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F984E" w14:textId="77777777" w:rsidR="00052596" w:rsidRDefault="00000000">
      <w:r>
        <w:rPr>
          <w:noProof/>
        </w:rPr>
        <mc:AlternateContent>
          <mc:Choice Requires="wps">
            <w:drawing>
              <wp:anchor distT="0" distB="0" distL="114300" distR="114300" simplePos="0" relativeHeight="251617792" behindDoc="0" locked="0" layoutInCell="1" allowOverlap="1" wp14:anchorId="3B38314B" wp14:editId="75C7EF19">
                <wp:simplePos x="0" y="0"/>
                <wp:positionH relativeFrom="column">
                  <wp:posOffset>-527681</wp:posOffset>
                </wp:positionH>
                <wp:positionV relativeFrom="paragraph">
                  <wp:posOffset>-675641</wp:posOffset>
                </wp:positionV>
                <wp:extent cx="1862459" cy="844548"/>
                <wp:effectExtent l="0" t="0" r="0" b="0"/>
                <wp:wrapNone/>
                <wp:docPr id="74" name="文字方塊 3"/>
                <wp:cNvGraphicFramePr/>
                <a:graphic xmlns:a="http://schemas.openxmlformats.org/drawingml/2006/main">
                  <a:graphicData uri="http://schemas.microsoft.com/office/word/2010/wordprocessingShape">
                    <wps:wsp>
                      <wps:cNvSpPr txBox="1"/>
                      <wps:spPr>
                        <a:xfrm>
                          <a:off x="0" y="0"/>
                          <a:ext cx="1862459" cy="844548"/>
                        </a:xfrm>
                        <a:prstGeom prst="rect">
                          <a:avLst/>
                        </a:prstGeom>
                        <a:noFill/>
                        <a:ln>
                          <a:noFill/>
                          <a:prstDash/>
                        </a:ln>
                      </wps:spPr>
                      <wps:txbx>
                        <w:txbxContent>
                          <w:p w14:paraId="5B9A0305" w14:textId="77777777" w:rsidR="00052596" w:rsidRDefault="00000000">
                            <w:pPr>
                              <w:autoSpaceDE w:val="0"/>
                              <w:spacing w:line="320" w:lineRule="exact"/>
                              <w:ind w:right="-343"/>
                              <w:rPr>
                                <w:rFonts w:eastAsia="標楷體"/>
                                <w:color w:val="6D5500"/>
                                <w:sz w:val="23"/>
                                <w:szCs w:val="23"/>
                              </w:rPr>
                            </w:pPr>
                            <w:r>
                              <w:rPr>
                                <w:rFonts w:eastAsia="標楷體"/>
                                <w:color w:val="6D5500"/>
                                <w:sz w:val="23"/>
                                <w:szCs w:val="23"/>
                              </w:rPr>
                              <w:t>編號</w:t>
                            </w:r>
                            <w:r>
                              <w:rPr>
                                <w:rFonts w:eastAsia="標楷體"/>
                                <w:color w:val="6D5500"/>
                                <w:sz w:val="23"/>
                                <w:szCs w:val="23"/>
                              </w:rPr>
                              <w:t>(102)006</w:t>
                            </w:r>
                            <w:r>
                              <w:rPr>
                                <w:rFonts w:eastAsia="標楷體"/>
                                <w:color w:val="6D5500"/>
                                <w:sz w:val="23"/>
                                <w:szCs w:val="23"/>
                              </w:rPr>
                              <w:t>．</w:t>
                            </w:r>
                            <w:r>
                              <w:rPr>
                                <w:rFonts w:eastAsia="標楷體"/>
                                <w:color w:val="6D5500"/>
                                <w:sz w:val="23"/>
                                <w:szCs w:val="23"/>
                              </w:rPr>
                              <w:t>103</w:t>
                            </w:r>
                          </w:p>
                          <w:p w14:paraId="3E72BFDE" w14:textId="77777777" w:rsidR="00052596" w:rsidRDefault="00000000">
                            <w:pPr>
                              <w:spacing w:line="320" w:lineRule="exact"/>
                              <w:ind w:right="-143"/>
                              <w:rPr>
                                <w:rFonts w:eastAsia="標楷體"/>
                                <w:color w:val="6D5500"/>
                                <w:sz w:val="23"/>
                                <w:szCs w:val="23"/>
                              </w:rPr>
                            </w:pPr>
                            <w:r>
                              <w:rPr>
                                <w:rFonts w:eastAsia="標楷體"/>
                                <w:color w:val="6D5500"/>
                                <w:sz w:val="23"/>
                                <w:szCs w:val="23"/>
                              </w:rPr>
                              <w:t>GPN</w:t>
                            </w:r>
                            <w:r>
                              <w:rPr>
                                <w:rFonts w:eastAsia="標楷體"/>
                                <w:color w:val="6D5500"/>
                                <w:sz w:val="23"/>
                                <w:szCs w:val="23"/>
                              </w:rPr>
                              <w:t>：</w:t>
                            </w:r>
                            <w:r>
                              <w:rPr>
                                <w:rFonts w:eastAsia="標楷體"/>
                                <w:color w:val="6D5500"/>
                                <w:sz w:val="23"/>
                                <w:szCs w:val="23"/>
                              </w:rPr>
                              <w:t>1010200079</w:t>
                            </w:r>
                          </w:p>
                          <w:p w14:paraId="53377473" w14:textId="77777777" w:rsidR="00052596" w:rsidRDefault="00000000">
                            <w:pPr>
                              <w:spacing w:line="320" w:lineRule="exact"/>
                              <w:ind w:right="-143"/>
                              <w:rPr>
                                <w:rFonts w:eastAsia="標楷體"/>
                                <w:color w:val="6D5500"/>
                                <w:sz w:val="23"/>
                                <w:szCs w:val="23"/>
                              </w:rPr>
                            </w:pPr>
                            <w:r>
                              <w:rPr>
                                <w:rFonts w:eastAsia="標楷體"/>
                                <w:color w:val="6D5500"/>
                                <w:sz w:val="23"/>
                                <w:szCs w:val="23"/>
                              </w:rPr>
                              <w:t>ISBN</w:t>
                            </w:r>
                            <w:r>
                              <w:rPr>
                                <w:rFonts w:eastAsia="標楷體"/>
                                <w:color w:val="6D5500"/>
                                <w:sz w:val="23"/>
                                <w:szCs w:val="23"/>
                              </w:rPr>
                              <w:t>：</w:t>
                            </w:r>
                            <w:r>
                              <w:rPr>
                                <w:rFonts w:eastAsia="標楷體"/>
                                <w:color w:val="6D5500"/>
                                <w:sz w:val="23"/>
                                <w:szCs w:val="23"/>
                              </w:rPr>
                              <w:t>978-986-03-5620-5</w:t>
                            </w:r>
                          </w:p>
                        </w:txbxContent>
                      </wps:txbx>
                      <wps:bodyPr wrap="square" lIns="91440" tIns="45720" rIns="91440" bIns="45720" anchor="t">
                        <a:noAutofit/>
                      </wps:bodyPr>
                    </wps:wsp>
                  </a:graphicData>
                </a:graphic>
              </wp:anchor>
            </w:drawing>
          </mc:Choice>
          <mc:Fallback>
            <w:pict>
              <v:shapetype w14:anchorId="3B38314B" id="_x0000_t202" coordsize="21600,21600" o:spt="202" path="m,l,21600r21600,l21600,xe">
                <v:stroke joinstyle="miter"/>
                <v:path gradientshapeok="t" o:connecttype="rect"/>
              </v:shapetype>
              <v:shape id="文字方塊 3" o:spid="_x0000_s1026" type="#_x0000_t202" style="position:absolute;margin-left:-41.55pt;margin-top:-53.2pt;width:146.65pt;height:66.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" filled="f" stroked="f">
                <v:textbox>
                  <w:txbxContent>
                    <w:p w14:paraId="5B9A0305" w14:textId="77777777" w:rsidR="00052596" w:rsidRDefault="00000000">
                      <w:pPr>
                        <w:autoSpaceDE w:val="0"/>
                        <w:spacing w:line="320" w:lineRule="exact"/>
                        <w:ind w:right="-343"/>
                        <w:rPr>
                          <w:rFonts w:eastAsia="標楷體"/>
                          <w:color w:val="6D5500"/>
                          <w:sz w:val="23"/>
                          <w:szCs w:val="23"/>
                        </w:rPr>
                      </w:pPr>
                      <w:r>
                        <w:rPr>
                          <w:rFonts w:eastAsia="標楷體"/>
                          <w:color w:val="6D5500"/>
                          <w:sz w:val="23"/>
                          <w:szCs w:val="23"/>
                        </w:rPr>
                        <w:t>編號</w:t>
                      </w:r>
                      <w:r>
                        <w:rPr>
                          <w:rFonts w:eastAsia="標楷體"/>
                          <w:color w:val="6D5500"/>
                          <w:sz w:val="23"/>
                          <w:szCs w:val="23"/>
                        </w:rPr>
                        <w:t>(102)006</w:t>
                      </w:r>
                      <w:r>
                        <w:rPr>
                          <w:rFonts w:eastAsia="標楷體"/>
                          <w:color w:val="6D5500"/>
                          <w:sz w:val="23"/>
                          <w:szCs w:val="23"/>
                        </w:rPr>
                        <w:t>．</w:t>
                      </w:r>
                      <w:r>
                        <w:rPr>
                          <w:rFonts w:eastAsia="標楷體"/>
                          <w:color w:val="6D5500"/>
                          <w:sz w:val="23"/>
                          <w:szCs w:val="23"/>
                        </w:rPr>
                        <w:t>103</w:t>
                      </w:r>
                    </w:p>
                    <w:p w14:paraId="3E72BFDE" w14:textId="77777777" w:rsidR="00052596" w:rsidRDefault="00000000">
                      <w:pPr>
                        <w:spacing w:line="320" w:lineRule="exact"/>
                        <w:ind w:right="-143"/>
                        <w:rPr>
                          <w:rFonts w:eastAsia="標楷體"/>
                          <w:color w:val="6D5500"/>
                          <w:sz w:val="23"/>
                          <w:szCs w:val="23"/>
                        </w:rPr>
                      </w:pPr>
                      <w:r>
                        <w:rPr>
                          <w:rFonts w:eastAsia="標楷體"/>
                          <w:color w:val="6D5500"/>
                          <w:sz w:val="23"/>
                          <w:szCs w:val="23"/>
                        </w:rPr>
                        <w:t>GPN</w:t>
                      </w:r>
                      <w:r>
                        <w:rPr>
                          <w:rFonts w:eastAsia="標楷體"/>
                          <w:color w:val="6D5500"/>
                          <w:sz w:val="23"/>
                          <w:szCs w:val="23"/>
                        </w:rPr>
                        <w:t>：</w:t>
                      </w:r>
                      <w:r>
                        <w:rPr>
                          <w:rFonts w:eastAsia="標楷體"/>
                          <w:color w:val="6D5500"/>
                          <w:sz w:val="23"/>
                          <w:szCs w:val="23"/>
                        </w:rPr>
                        <w:t>1010200079</w:t>
                      </w:r>
                    </w:p>
                    <w:p w14:paraId="53377473" w14:textId="77777777" w:rsidR="00052596" w:rsidRDefault="00000000">
                      <w:pPr>
                        <w:spacing w:line="320" w:lineRule="exact"/>
                        <w:ind w:right="-143"/>
                        <w:rPr>
                          <w:rFonts w:eastAsia="標楷體"/>
                          <w:color w:val="6D5500"/>
                          <w:sz w:val="23"/>
                          <w:szCs w:val="23"/>
                        </w:rPr>
                      </w:pPr>
                      <w:r>
                        <w:rPr>
                          <w:rFonts w:eastAsia="標楷體"/>
                          <w:color w:val="6D5500"/>
                          <w:sz w:val="23"/>
                          <w:szCs w:val="23"/>
                        </w:rPr>
                        <w:t>ISBN</w:t>
                      </w:r>
                      <w:r>
                        <w:rPr>
                          <w:rFonts w:eastAsia="標楷體"/>
                          <w:color w:val="6D5500"/>
                          <w:sz w:val="23"/>
                          <w:szCs w:val="23"/>
                        </w:rPr>
                        <w:t>：</w:t>
                      </w:r>
                      <w:r>
                        <w:rPr>
                          <w:rFonts w:eastAsia="標楷體"/>
                          <w:color w:val="6D5500"/>
                          <w:sz w:val="23"/>
                          <w:szCs w:val="23"/>
                        </w:rPr>
                        <w:t>978-986-03-5620-5</w:t>
                      </w:r>
                    </w:p>
                  </w:txbxContent>
                </v:textbox>
              </v:shape>
            </w:pict>
          </mc:Fallback>
        </mc:AlternateContent>
      </w:r>
    </w:p>
    <w:p w14:paraId="7C82BC1A" w14:textId="77777777" w:rsidR="00052596" w:rsidRDefault="00052596">
      <w:pPr>
        <w:rPr>
          <w:rFonts w:eastAsia="標楷體"/>
          <w:sz w:val="40"/>
          <w:szCs w:val="40"/>
        </w:rPr>
      </w:pPr>
    </w:p>
    <w:p w14:paraId="3E77347F" w14:textId="77777777" w:rsidR="00052596" w:rsidRDefault="00000000">
      <w:pPr>
        <w:overflowPunct w:val="0"/>
        <w:autoSpaceDE w:val="0"/>
        <w:jc w:val="center"/>
        <w:rPr>
          <w:rFonts w:eastAsia="標楷體"/>
          <w:color w:val="0000FF"/>
          <w:spacing w:val="100"/>
          <w:sz w:val="88"/>
          <w:szCs w:val="88"/>
        </w:rPr>
      </w:pPr>
      <w:r>
        <w:rPr>
          <w:rFonts w:eastAsia="標楷體"/>
          <w:color w:val="0000FF"/>
          <w:spacing w:val="100"/>
          <w:sz w:val="88"/>
          <w:szCs w:val="88"/>
        </w:rPr>
        <w:t>國家發展計畫</w:t>
      </w:r>
    </w:p>
    <w:p w14:paraId="7E25BA22" w14:textId="77777777" w:rsidR="00052596" w:rsidRDefault="00000000">
      <w:pPr>
        <w:overflowPunct w:val="0"/>
        <w:autoSpaceDE w:val="0"/>
        <w:spacing w:line="680" w:lineRule="exact"/>
        <w:jc w:val="center"/>
      </w:pPr>
      <w:r>
        <w:rPr>
          <w:rFonts w:ascii="標楷體" w:eastAsia="標楷體" w:hAnsi="標楷體"/>
          <w:color w:val="0000FF"/>
          <w:spacing w:val="40"/>
          <w:position w:val="2"/>
          <w:sz w:val="66"/>
          <w:szCs w:val="66"/>
        </w:rPr>
        <w:t>(</w:t>
      </w:r>
      <w:r>
        <w:rPr>
          <w:rFonts w:eastAsia="標楷體"/>
          <w:color w:val="0000FF"/>
          <w:spacing w:val="40"/>
          <w:sz w:val="66"/>
          <w:szCs w:val="66"/>
        </w:rPr>
        <w:t>102</w:t>
      </w:r>
      <w:r>
        <w:rPr>
          <w:rFonts w:eastAsia="標楷體"/>
          <w:color w:val="0000FF"/>
          <w:spacing w:val="40"/>
          <w:sz w:val="16"/>
          <w:szCs w:val="16"/>
        </w:rPr>
        <w:t xml:space="preserve"> </w:t>
      </w:r>
      <w:r>
        <w:rPr>
          <w:rFonts w:eastAsia="標楷體"/>
          <w:color w:val="0000FF"/>
          <w:spacing w:val="40"/>
          <w:sz w:val="66"/>
          <w:szCs w:val="66"/>
        </w:rPr>
        <w:t>至</w:t>
      </w:r>
      <w:r>
        <w:rPr>
          <w:rFonts w:eastAsia="標楷體"/>
          <w:color w:val="0000FF"/>
          <w:spacing w:val="40"/>
          <w:sz w:val="66"/>
          <w:szCs w:val="66"/>
        </w:rPr>
        <w:t>105</w:t>
      </w:r>
      <w:r>
        <w:rPr>
          <w:rFonts w:eastAsia="標楷體"/>
          <w:color w:val="0000FF"/>
          <w:spacing w:val="40"/>
          <w:sz w:val="66"/>
          <w:szCs w:val="66"/>
        </w:rPr>
        <w:t>年</w:t>
      </w:r>
      <w:r>
        <w:rPr>
          <w:rFonts w:ascii="標楷體" w:eastAsia="標楷體" w:hAnsi="標楷體"/>
          <w:color w:val="0000FF"/>
          <w:spacing w:val="40"/>
          <w:position w:val="2"/>
          <w:sz w:val="66"/>
          <w:szCs w:val="66"/>
        </w:rPr>
        <w:t>)</w:t>
      </w:r>
    </w:p>
    <w:p w14:paraId="0862ADEE" w14:textId="77777777" w:rsidR="00052596" w:rsidRDefault="00052596">
      <w:pPr>
        <w:overflowPunct w:val="0"/>
        <w:autoSpaceDE w:val="0"/>
        <w:jc w:val="center"/>
        <w:rPr>
          <w:rFonts w:eastAsia="標楷體"/>
          <w:spacing w:val="60"/>
          <w:sz w:val="56"/>
          <w:szCs w:val="56"/>
        </w:rPr>
      </w:pPr>
    </w:p>
    <w:p w14:paraId="4CB73570" w14:textId="77777777" w:rsidR="00052596" w:rsidRDefault="00052596">
      <w:pPr>
        <w:overflowPunct w:val="0"/>
        <w:autoSpaceDE w:val="0"/>
        <w:jc w:val="center"/>
        <w:rPr>
          <w:rFonts w:eastAsia="標楷體"/>
          <w:spacing w:val="60"/>
          <w:sz w:val="56"/>
          <w:szCs w:val="56"/>
        </w:rPr>
      </w:pPr>
    </w:p>
    <w:p w14:paraId="2B89E973" w14:textId="77777777" w:rsidR="00052596" w:rsidRDefault="00052596">
      <w:pPr>
        <w:overflowPunct w:val="0"/>
        <w:autoSpaceDE w:val="0"/>
        <w:jc w:val="center"/>
        <w:rPr>
          <w:rFonts w:eastAsia="標楷體"/>
          <w:spacing w:val="60"/>
          <w:sz w:val="40"/>
          <w:szCs w:val="40"/>
        </w:rPr>
      </w:pPr>
    </w:p>
    <w:p w14:paraId="64CD997F" w14:textId="77777777" w:rsidR="00052596" w:rsidRDefault="00000000">
      <w:pPr>
        <w:spacing w:before="180"/>
        <w:jc w:val="center"/>
        <w:textAlignment w:val="center"/>
      </w:pPr>
      <w:r>
        <w:rPr>
          <w:rFonts w:eastAsia="標楷體"/>
          <w:color w:val="6D5500"/>
          <w:spacing w:val="28"/>
          <w:sz w:val="40"/>
          <w:szCs w:val="40"/>
        </w:rPr>
        <w:t>行政院經濟建設委員會編著</w:t>
      </w:r>
    </w:p>
    <w:p w14:paraId="3E868A3C" w14:textId="77777777" w:rsidR="00052596" w:rsidRDefault="00052596">
      <w:pPr>
        <w:overflowPunct w:val="0"/>
        <w:autoSpaceDE w:val="0"/>
        <w:ind w:right="-334"/>
        <w:jc w:val="center"/>
        <w:rPr>
          <w:rFonts w:eastAsia="標楷體"/>
          <w:b/>
          <w:bCs/>
          <w:spacing w:val="-10"/>
          <w:sz w:val="56"/>
          <w:szCs w:val="56"/>
        </w:rPr>
      </w:pPr>
    </w:p>
    <w:p w14:paraId="4A71E541" w14:textId="77777777" w:rsidR="00052596" w:rsidRDefault="00052596">
      <w:pPr>
        <w:overflowPunct w:val="0"/>
        <w:autoSpaceDE w:val="0"/>
        <w:spacing w:line="600" w:lineRule="exact"/>
        <w:ind w:right="-334"/>
        <w:jc w:val="center"/>
        <w:rPr>
          <w:rFonts w:eastAsia="標楷體"/>
          <w:b/>
          <w:bCs/>
          <w:spacing w:val="-10"/>
          <w:sz w:val="56"/>
          <w:szCs w:val="56"/>
        </w:rPr>
      </w:pPr>
    </w:p>
    <w:p w14:paraId="0E74D711" w14:textId="77777777" w:rsidR="00052596" w:rsidRDefault="00052596">
      <w:pPr>
        <w:overflowPunct w:val="0"/>
        <w:autoSpaceDE w:val="0"/>
        <w:spacing w:line="600" w:lineRule="exact"/>
        <w:ind w:right="-334"/>
        <w:jc w:val="center"/>
        <w:rPr>
          <w:rFonts w:eastAsia="標楷體"/>
          <w:b/>
          <w:bCs/>
          <w:spacing w:val="-10"/>
          <w:sz w:val="56"/>
          <w:szCs w:val="56"/>
        </w:rPr>
      </w:pPr>
    </w:p>
    <w:p w14:paraId="336B6298" w14:textId="77777777" w:rsidR="00052596" w:rsidRDefault="00052596">
      <w:pPr>
        <w:overflowPunct w:val="0"/>
        <w:autoSpaceDE w:val="0"/>
        <w:spacing w:line="600" w:lineRule="exact"/>
        <w:ind w:left="-84" w:right="-334" w:firstLine="27"/>
        <w:jc w:val="center"/>
        <w:rPr>
          <w:rFonts w:eastAsia="標楷體"/>
          <w:spacing w:val="32"/>
          <w:sz w:val="38"/>
          <w:szCs w:val="38"/>
        </w:rPr>
      </w:pPr>
    </w:p>
    <w:p w14:paraId="39B23CA2" w14:textId="77777777" w:rsidR="00052596" w:rsidRDefault="00052596">
      <w:pPr>
        <w:overflowPunct w:val="0"/>
        <w:autoSpaceDE w:val="0"/>
        <w:spacing w:line="600" w:lineRule="exact"/>
        <w:ind w:left="-111" w:right="-334" w:hanging="16"/>
        <w:jc w:val="center"/>
        <w:rPr>
          <w:rFonts w:eastAsia="標楷體"/>
          <w:spacing w:val="22"/>
          <w:sz w:val="36"/>
          <w:szCs w:val="36"/>
        </w:rPr>
      </w:pPr>
    </w:p>
    <w:p w14:paraId="05CCDD69" w14:textId="77777777" w:rsidR="00052596" w:rsidRDefault="00052596">
      <w:pPr>
        <w:overflowPunct w:val="0"/>
        <w:autoSpaceDE w:val="0"/>
        <w:spacing w:line="600" w:lineRule="exact"/>
        <w:ind w:left="-112" w:right="-334" w:hanging="15"/>
        <w:jc w:val="center"/>
        <w:rPr>
          <w:rFonts w:eastAsia="標楷體"/>
          <w:spacing w:val="22"/>
          <w:sz w:val="32"/>
          <w:szCs w:val="32"/>
        </w:rPr>
      </w:pPr>
    </w:p>
    <w:p w14:paraId="1F56AE5B" w14:textId="77777777" w:rsidR="00052596" w:rsidRDefault="00052596">
      <w:pPr>
        <w:overflowPunct w:val="0"/>
        <w:autoSpaceDE w:val="0"/>
        <w:spacing w:line="600" w:lineRule="exact"/>
        <w:ind w:left="-112" w:right="-334" w:hanging="15"/>
        <w:jc w:val="center"/>
        <w:rPr>
          <w:rFonts w:eastAsia="標楷體"/>
          <w:spacing w:val="22"/>
          <w:sz w:val="32"/>
          <w:szCs w:val="32"/>
        </w:rPr>
      </w:pPr>
    </w:p>
    <w:p w14:paraId="5B6BAF26" w14:textId="77777777" w:rsidR="00052596" w:rsidRDefault="00052596">
      <w:pPr>
        <w:overflowPunct w:val="0"/>
        <w:autoSpaceDE w:val="0"/>
        <w:spacing w:line="280" w:lineRule="exact"/>
        <w:ind w:left="-112" w:right="-334" w:hanging="15"/>
        <w:jc w:val="center"/>
        <w:rPr>
          <w:rFonts w:eastAsia="標楷體"/>
          <w:spacing w:val="22"/>
          <w:sz w:val="32"/>
          <w:szCs w:val="32"/>
        </w:rPr>
      </w:pPr>
    </w:p>
    <w:p w14:paraId="4D2B39B1" w14:textId="77777777" w:rsidR="00052596" w:rsidRDefault="00052596">
      <w:pPr>
        <w:overflowPunct w:val="0"/>
        <w:autoSpaceDE w:val="0"/>
        <w:spacing w:line="280" w:lineRule="exact"/>
        <w:ind w:left="-112" w:right="-334" w:hanging="15"/>
        <w:jc w:val="center"/>
        <w:rPr>
          <w:rFonts w:eastAsia="標楷體"/>
          <w:spacing w:val="22"/>
          <w:sz w:val="32"/>
          <w:szCs w:val="32"/>
        </w:rPr>
      </w:pPr>
    </w:p>
    <w:p w14:paraId="0E5122EE" w14:textId="77777777" w:rsidR="00052596" w:rsidRDefault="00000000">
      <w:pPr>
        <w:spacing w:line="480" w:lineRule="exact"/>
        <w:jc w:val="center"/>
        <w:textAlignment w:val="center"/>
        <w:rPr>
          <w:rFonts w:eastAsia="標楷體"/>
          <w:color w:val="6D5500"/>
          <w:spacing w:val="16"/>
          <w:kern w:val="0"/>
          <w:sz w:val="30"/>
          <w:szCs w:val="30"/>
        </w:rPr>
      </w:pPr>
      <w:r>
        <w:rPr>
          <w:rFonts w:eastAsia="標楷體"/>
          <w:color w:val="6D5500"/>
          <w:spacing w:val="16"/>
          <w:kern w:val="0"/>
          <w:sz w:val="30"/>
          <w:szCs w:val="30"/>
        </w:rPr>
        <w:t>行政院經濟建設委員會</w:t>
      </w:r>
    </w:p>
    <w:p w14:paraId="59B5BFF4" w14:textId="77777777" w:rsidR="00052596" w:rsidRDefault="00000000">
      <w:pPr>
        <w:overflowPunct w:val="0"/>
        <w:autoSpaceDE w:val="0"/>
        <w:spacing w:line="480" w:lineRule="exact"/>
        <w:jc w:val="center"/>
        <w:textAlignment w:val="center"/>
      </w:pPr>
      <w:r>
        <w:rPr>
          <w:rFonts w:eastAsia="標楷體"/>
          <w:color w:val="6D5500"/>
          <w:spacing w:val="16"/>
          <w:kern w:val="0"/>
          <w:sz w:val="28"/>
          <w:szCs w:val="28"/>
        </w:rPr>
        <w:t>中華民國</w:t>
      </w:r>
      <w:r>
        <w:rPr>
          <w:rFonts w:eastAsia="標楷體"/>
          <w:b/>
          <w:bCs/>
          <w:color w:val="6D5500"/>
          <w:spacing w:val="16"/>
          <w:kern w:val="0"/>
          <w:sz w:val="28"/>
          <w:szCs w:val="28"/>
        </w:rPr>
        <w:t>102</w:t>
      </w:r>
      <w:r>
        <w:rPr>
          <w:rFonts w:eastAsia="標楷體"/>
          <w:color w:val="6D5500"/>
          <w:spacing w:val="16"/>
          <w:kern w:val="0"/>
          <w:sz w:val="28"/>
          <w:szCs w:val="28"/>
        </w:rPr>
        <w:t>年</w:t>
      </w:r>
      <w:r>
        <w:rPr>
          <w:rFonts w:eastAsia="標楷體"/>
          <w:b/>
          <w:bCs/>
          <w:color w:val="6D5500"/>
          <w:spacing w:val="16"/>
          <w:kern w:val="0"/>
          <w:sz w:val="28"/>
          <w:szCs w:val="28"/>
        </w:rPr>
        <w:t>1</w:t>
      </w:r>
      <w:r>
        <w:rPr>
          <w:rFonts w:eastAsia="標楷體"/>
          <w:color w:val="6D5500"/>
          <w:spacing w:val="16"/>
          <w:kern w:val="0"/>
          <w:sz w:val="28"/>
          <w:szCs w:val="28"/>
        </w:rPr>
        <w:t>月</w:t>
      </w:r>
    </w:p>
    <w:p w14:paraId="2C91D606" w14:textId="77777777" w:rsidR="00052596" w:rsidRDefault="00052596">
      <w:pPr>
        <w:pageBreakBefore/>
        <w:widowControl/>
        <w:rPr>
          <w:rFonts w:eastAsia="標楷體"/>
          <w:b/>
          <w:color w:val="000080"/>
          <w:spacing w:val="18"/>
          <w:kern w:val="0"/>
          <w:sz w:val="40"/>
          <w:szCs w:val="40"/>
        </w:rPr>
      </w:pPr>
    </w:p>
    <w:p w14:paraId="71CC6A9C" w14:textId="77777777" w:rsidR="00052596" w:rsidRDefault="00052596">
      <w:pPr>
        <w:overflowPunct w:val="0"/>
        <w:autoSpaceDE w:val="0"/>
        <w:spacing w:line="360" w:lineRule="atLeast"/>
        <w:jc w:val="center"/>
        <w:rPr>
          <w:rFonts w:eastAsia="標楷體"/>
          <w:b/>
          <w:color w:val="000080"/>
          <w:spacing w:val="18"/>
          <w:kern w:val="0"/>
          <w:sz w:val="40"/>
          <w:szCs w:val="40"/>
        </w:rPr>
      </w:pPr>
    </w:p>
    <w:p w14:paraId="4A22D8FC" w14:textId="77777777" w:rsidR="00052596" w:rsidRDefault="00052596">
      <w:pPr>
        <w:overflowPunct w:val="0"/>
        <w:autoSpaceDE w:val="0"/>
        <w:spacing w:line="360" w:lineRule="atLeast"/>
        <w:jc w:val="center"/>
        <w:rPr>
          <w:rFonts w:eastAsia="標楷體"/>
          <w:b/>
          <w:color w:val="000080"/>
          <w:spacing w:val="18"/>
          <w:kern w:val="0"/>
          <w:sz w:val="40"/>
          <w:szCs w:val="40"/>
        </w:rPr>
        <w:sectPr w:rsidR="00052596">
          <w:pgSz w:w="11907" w:h="16839"/>
          <w:pgMar w:top="1440" w:right="1797" w:bottom="1440" w:left="1797" w:header="720" w:footer="720" w:gutter="0"/>
          <w:pgNumType w:start="1"/>
          <w:cols w:space="720"/>
          <w:docGrid w:type="lines" w:linePitch="367"/>
        </w:sectPr>
      </w:pPr>
    </w:p>
    <w:p w14:paraId="35EB0E32" w14:textId="77777777" w:rsidR="00052596" w:rsidRDefault="00000000">
      <w:pPr>
        <w:overflowPunct w:val="0"/>
        <w:autoSpaceDE w:val="0"/>
        <w:spacing w:line="360" w:lineRule="atLeast"/>
        <w:jc w:val="center"/>
      </w:pPr>
      <w:r>
        <w:rPr>
          <w:rFonts w:eastAsia="標楷體"/>
          <w:b/>
          <w:color w:val="000080"/>
          <w:spacing w:val="18"/>
          <w:kern w:val="0"/>
          <w:sz w:val="40"/>
          <w:szCs w:val="40"/>
        </w:rPr>
        <w:lastRenderedPageBreak/>
        <w:t>國家發展計畫</w:t>
      </w:r>
      <w:r>
        <w:rPr>
          <w:rFonts w:ascii="標楷體" w:eastAsia="標楷體" w:hAnsi="標楷體"/>
          <w:b/>
          <w:color w:val="000080"/>
          <w:spacing w:val="18"/>
          <w:kern w:val="0"/>
          <w:sz w:val="40"/>
          <w:szCs w:val="40"/>
        </w:rPr>
        <w:t>(</w:t>
      </w:r>
      <w:r>
        <w:rPr>
          <w:rFonts w:eastAsia="標楷體"/>
          <w:b/>
          <w:color w:val="000080"/>
          <w:spacing w:val="18"/>
          <w:kern w:val="0"/>
          <w:position w:val="-2"/>
          <w:sz w:val="40"/>
          <w:szCs w:val="40"/>
        </w:rPr>
        <w:t>102</w:t>
      </w:r>
      <w:r>
        <w:rPr>
          <w:rFonts w:eastAsia="標楷體"/>
          <w:b/>
          <w:color w:val="000080"/>
          <w:spacing w:val="18"/>
          <w:kern w:val="0"/>
          <w:position w:val="-2"/>
          <w:sz w:val="40"/>
          <w:szCs w:val="40"/>
        </w:rPr>
        <w:t>至</w:t>
      </w:r>
      <w:r>
        <w:rPr>
          <w:rFonts w:eastAsia="標楷體"/>
          <w:b/>
          <w:color w:val="000080"/>
          <w:spacing w:val="18"/>
          <w:kern w:val="0"/>
          <w:position w:val="-2"/>
          <w:sz w:val="40"/>
          <w:szCs w:val="40"/>
        </w:rPr>
        <w:t>105</w:t>
      </w:r>
      <w:r>
        <w:rPr>
          <w:rFonts w:eastAsia="標楷體"/>
          <w:b/>
          <w:color w:val="000080"/>
          <w:spacing w:val="18"/>
          <w:kern w:val="0"/>
          <w:position w:val="-2"/>
          <w:sz w:val="40"/>
          <w:szCs w:val="40"/>
        </w:rPr>
        <w:t>年</w:t>
      </w:r>
      <w:r>
        <w:rPr>
          <w:rFonts w:ascii="標楷體" w:eastAsia="標楷體" w:hAnsi="標楷體"/>
          <w:b/>
          <w:color w:val="000080"/>
          <w:spacing w:val="18"/>
          <w:kern w:val="0"/>
          <w:sz w:val="40"/>
          <w:szCs w:val="40"/>
        </w:rPr>
        <w:t>)</w:t>
      </w:r>
    </w:p>
    <w:p w14:paraId="158C550E" w14:textId="77777777" w:rsidR="00052596" w:rsidRDefault="00052596">
      <w:pPr>
        <w:tabs>
          <w:tab w:val="left" w:pos="960"/>
          <w:tab w:val="left" w:pos="1920"/>
          <w:tab w:val="left" w:pos="2880"/>
          <w:tab w:val="left" w:pos="3840"/>
          <w:tab w:val="left" w:pos="4800"/>
          <w:tab w:val="left" w:pos="5760"/>
        </w:tabs>
        <w:autoSpaceDE w:val="0"/>
        <w:spacing w:line="440" w:lineRule="atLeast"/>
        <w:jc w:val="center"/>
        <w:rPr>
          <w:rFonts w:eastAsia="標楷體"/>
          <w:kern w:val="0"/>
          <w:sz w:val="32"/>
        </w:rPr>
      </w:pPr>
    </w:p>
    <w:p w14:paraId="43A7B91A" w14:textId="77777777" w:rsidR="00052596" w:rsidRDefault="00000000">
      <w:pPr>
        <w:spacing w:line="200" w:lineRule="exact"/>
        <w:ind w:right="-374"/>
        <w:jc w:val="right"/>
        <w:rPr>
          <w:rFonts w:eastAsia="標楷體"/>
          <w:color w:val="000080"/>
          <w:kern w:val="0"/>
          <w:sz w:val="22"/>
          <w:szCs w:val="22"/>
        </w:rPr>
      </w:pPr>
      <w:r>
        <w:rPr>
          <w:rFonts w:eastAsia="標楷體"/>
          <w:color w:val="000080"/>
          <w:kern w:val="0"/>
          <w:sz w:val="22"/>
          <w:szCs w:val="22"/>
        </w:rPr>
        <w:t>研擬與彙編：經建會</w:t>
      </w:r>
    </w:p>
    <w:p w14:paraId="1474EB12" w14:textId="77777777" w:rsidR="00052596" w:rsidRDefault="00000000">
      <w:pPr>
        <w:tabs>
          <w:tab w:val="left" w:pos="960"/>
          <w:tab w:val="left" w:pos="1920"/>
          <w:tab w:val="left" w:pos="2880"/>
          <w:tab w:val="left" w:pos="3840"/>
          <w:tab w:val="left" w:pos="4800"/>
          <w:tab w:val="left" w:pos="5760"/>
        </w:tabs>
        <w:autoSpaceDE w:val="0"/>
        <w:spacing w:after="360" w:line="240" w:lineRule="atLeast"/>
        <w:jc w:val="center"/>
        <w:rPr>
          <w:rFonts w:eastAsia="標楷體"/>
          <w:b/>
          <w:bCs/>
          <w:color w:val="6D5500"/>
          <w:kern w:val="0"/>
          <w:sz w:val="32"/>
          <w:szCs w:val="32"/>
        </w:rPr>
      </w:pPr>
      <w:r>
        <w:rPr>
          <w:rFonts w:eastAsia="標楷體"/>
          <w:b/>
          <w:bCs/>
          <w:color w:val="6D5500"/>
          <w:kern w:val="0"/>
          <w:sz w:val="32"/>
          <w:szCs w:val="32"/>
        </w:rPr>
        <w:t>目</w:t>
      </w:r>
      <w:r>
        <w:rPr>
          <w:rFonts w:eastAsia="標楷體"/>
          <w:b/>
          <w:bCs/>
          <w:color w:val="6D5500"/>
          <w:kern w:val="0"/>
          <w:sz w:val="32"/>
          <w:szCs w:val="32"/>
        </w:rPr>
        <w:t xml:space="preserve">   </w:t>
      </w:r>
      <w:r>
        <w:rPr>
          <w:rFonts w:eastAsia="標楷體"/>
          <w:b/>
          <w:bCs/>
          <w:color w:val="6D5500"/>
          <w:kern w:val="0"/>
          <w:sz w:val="32"/>
          <w:szCs w:val="32"/>
        </w:rPr>
        <w:t>錄</w:t>
      </w:r>
    </w:p>
    <w:p w14:paraId="646AD619" w14:textId="77777777" w:rsidR="00052596" w:rsidRDefault="00000000">
      <w:pPr>
        <w:tabs>
          <w:tab w:val="left" w:pos="960"/>
          <w:tab w:val="left" w:pos="1920"/>
          <w:tab w:val="left" w:pos="2880"/>
          <w:tab w:val="left" w:pos="3840"/>
          <w:tab w:val="left" w:pos="4800"/>
          <w:tab w:val="left" w:pos="5760"/>
        </w:tabs>
        <w:autoSpaceDE w:val="0"/>
        <w:spacing w:line="240" w:lineRule="atLeast"/>
        <w:ind w:left="-475"/>
      </w:pPr>
      <w:r>
        <w:rPr>
          <w:rFonts w:eastAsia="標楷體"/>
          <w:b/>
          <w:bCs/>
          <w:color w:val="000080"/>
          <w:kern w:val="0"/>
          <w:sz w:val="34"/>
          <w:szCs w:val="34"/>
        </w:rPr>
        <w:t>【</w:t>
      </w:r>
      <w:r>
        <w:rPr>
          <w:rFonts w:ascii="標楷體" w:eastAsia="標楷體" w:hAnsi="標楷體"/>
          <w:b/>
          <w:bCs/>
          <w:color w:val="000080"/>
          <w:spacing w:val="10"/>
          <w:kern w:val="0"/>
          <w:sz w:val="34"/>
          <w:szCs w:val="34"/>
        </w:rPr>
        <w:t>總體發展篇】</w:t>
      </w:r>
    </w:p>
    <w:tbl>
      <w:tblPr>
        <w:tblW w:w="9261" w:type="dxa"/>
        <w:jc w:val="center"/>
        <w:tblLayout w:type="fixed"/>
        <w:tblCellMar>
          <w:left w:w="10" w:type="dxa"/>
          <w:right w:w="10" w:type="dxa"/>
        </w:tblCellMar>
        <w:tblLook w:val="04A0" w:firstRow="1" w:lastRow="0" w:firstColumn="1" w:lastColumn="0" w:noHBand="0" w:noVBand="1"/>
      </w:tblPr>
      <w:tblGrid>
        <w:gridCol w:w="40"/>
        <w:gridCol w:w="5014"/>
        <w:gridCol w:w="3105"/>
        <w:gridCol w:w="1062"/>
        <w:gridCol w:w="40"/>
      </w:tblGrid>
      <w:tr w:rsidR="00052596" w14:paraId="7A8672F6" w14:textId="77777777">
        <w:tblPrEx>
          <w:tblCellMar>
            <w:top w:w="0" w:type="dxa"/>
            <w:bottom w:w="0" w:type="dxa"/>
          </w:tblCellMar>
        </w:tblPrEx>
        <w:trPr>
          <w:trHeight w:hRule="exact" w:val="680"/>
          <w:tblHeader/>
          <w:jc w:val="center"/>
        </w:trPr>
        <w:tc>
          <w:tcPr>
            <w:tcW w:w="5056" w:type="dxa"/>
            <w:gridSpan w:val="2"/>
            <w:shd w:val="clear" w:color="auto" w:fill="auto"/>
            <w:tcMar>
              <w:top w:w="0" w:type="dxa"/>
              <w:left w:w="28" w:type="dxa"/>
              <w:bottom w:w="0" w:type="dxa"/>
              <w:right w:w="28" w:type="dxa"/>
            </w:tcMar>
            <w:vAlign w:val="center"/>
          </w:tcPr>
          <w:p w14:paraId="71A45EA3"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ascii="標楷體" w:eastAsia="標楷體" w:hAnsi="標楷體"/>
                <w:b/>
                <w:bCs/>
                <w:color w:val="000000"/>
                <w:kern w:val="0"/>
                <w:sz w:val="32"/>
                <w:szCs w:val="32"/>
              </w:rPr>
            </w:pPr>
          </w:p>
        </w:tc>
        <w:tc>
          <w:tcPr>
            <w:tcW w:w="3119" w:type="dxa"/>
            <w:shd w:val="clear" w:color="auto" w:fill="auto"/>
            <w:tcMar>
              <w:top w:w="0" w:type="dxa"/>
              <w:left w:w="28" w:type="dxa"/>
              <w:bottom w:w="0" w:type="dxa"/>
              <w:right w:w="28" w:type="dxa"/>
            </w:tcMar>
            <w:vAlign w:val="center"/>
          </w:tcPr>
          <w:p w14:paraId="49CF8016" w14:textId="77777777" w:rsidR="00052596" w:rsidRDefault="00000000">
            <w:pPr>
              <w:tabs>
                <w:tab w:val="left" w:pos="960"/>
                <w:tab w:val="left" w:pos="1920"/>
                <w:tab w:val="left" w:pos="2880"/>
                <w:tab w:val="left" w:pos="3840"/>
                <w:tab w:val="left" w:pos="4800"/>
                <w:tab w:val="left" w:pos="5760"/>
              </w:tabs>
              <w:autoSpaceDE w:val="0"/>
              <w:spacing w:line="320" w:lineRule="exact"/>
              <w:jc w:val="center"/>
              <w:rPr>
                <w:rFonts w:ascii="標楷體" w:eastAsia="標楷體" w:hAnsi="標楷體"/>
                <w:b/>
                <w:bCs/>
                <w:color w:val="000080"/>
                <w:kern w:val="0"/>
                <w:sz w:val="26"/>
                <w:szCs w:val="26"/>
              </w:rPr>
            </w:pPr>
            <w:r>
              <w:rPr>
                <w:rFonts w:ascii="標楷體" w:eastAsia="標楷體" w:hAnsi="標楷體"/>
                <w:b/>
                <w:bCs/>
                <w:color w:val="000080"/>
                <w:kern w:val="0"/>
                <w:sz w:val="26"/>
                <w:szCs w:val="26"/>
              </w:rPr>
              <w:t>主(協)辦機關</w:t>
            </w:r>
          </w:p>
        </w:tc>
        <w:tc>
          <w:tcPr>
            <w:tcW w:w="1086" w:type="dxa"/>
            <w:gridSpan w:val="2"/>
            <w:shd w:val="clear" w:color="auto" w:fill="auto"/>
            <w:tcMar>
              <w:top w:w="0" w:type="dxa"/>
              <w:left w:w="28" w:type="dxa"/>
              <w:bottom w:w="0" w:type="dxa"/>
              <w:right w:w="28" w:type="dxa"/>
            </w:tcMar>
            <w:vAlign w:val="center"/>
          </w:tcPr>
          <w:p w14:paraId="3871A2FC" w14:textId="77777777" w:rsidR="00052596" w:rsidRDefault="00000000">
            <w:pPr>
              <w:tabs>
                <w:tab w:val="left" w:pos="960"/>
                <w:tab w:val="left" w:pos="1920"/>
                <w:tab w:val="left" w:pos="2880"/>
                <w:tab w:val="left" w:pos="3840"/>
                <w:tab w:val="left" w:pos="4800"/>
                <w:tab w:val="left" w:pos="5760"/>
              </w:tabs>
              <w:autoSpaceDE w:val="0"/>
              <w:spacing w:line="320" w:lineRule="exact"/>
              <w:jc w:val="center"/>
              <w:rPr>
                <w:rFonts w:ascii="標楷體" w:eastAsia="標楷體" w:hAnsi="標楷體"/>
                <w:b/>
                <w:bCs/>
                <w:color w:val="000080"/>
                <w:kern w:val="0"/>
                <w:sz w:val="26"/>
                <w:szCs w:val="26"/>
              </w:rPr>
            </w:pPr>
            <w:r>
              <w:rPr>
                <w:rFonts w:ascii="標楷體" w:eastAsia="標楷體" w:hAnsi="標楷體"/>
                <w:b/>
                <w:bCs/>
                <w:color w:val="000080"/>
                <w:kern w:val="0"/>
                <w:sz w:val="26"/>
                <w:szCs w:val="26"/>
              </w:rPr>
              <w:t xml:space="preserve">  頁次</w:t>
            </w:r>
          </w:p>
        </w:tc>
      </w:tr>
      <w:tr w:rsidR="00052596" w14:paraId="0F3962A5" w14:textId="77777777">
        <w:tblPrEx>
          <w:tblCellMar>
            <w:top w:w="0" w:type="dxa"/>
            <w:bottom w:w="0" w:type="dxa"/>
          </w:tblCellMar>
        </w:tblPrEx>
        <w:trPr>
          <w:trHeight w:hRule="exact" w:val="680"/>
          <w:jc w:val="center"/>
        </w:trPr>
        <w:tc>
          <w:tcPr>
            <w:tcW w:w="5056" w:type="dxa"/>
            <w:gridSpan w:val="2"/>
            <w:shd w:val="clear" w:color="auto" w:fill="FFE6CD"/>
            <w:tcMar>
              <w:top w:w="0" w:type="dxa"/>
              <w:left w:w="28" w:type="dxa"/>
              <w:bottom w:w="0" w:type="dxa"/>
              <w:right w:w="28" w:type="dxa"/>
            </w:tcMar>
            <w:vAlign w:val="center"/>
          </w:tcPr>
          <w:p w14:paraId="12F54A45" w14:textId="77777777" w:rsidR="00052596" w:rsidRDefault="00000000">
            <w:pPr>
              <w:tabs>
                <w:tab w:val="left" w:pos="960"/>
                <w:tab w:val="left" w:pos="1920"/>
                <w:tab w:val="left" w:pos="2880"/>
                <w:tab w:val="left" w:pos="3840"/>
                <w:tab w:val="left" w:pos="4800"/>
                <w:tab w:val="left" w:pos="5760"/>
              </w:tabs>
              <w:autoSpaceDE w:val="0"/>
              <w:spacing w:line="320" w:lineRule="exact"/>
              <w:jc w:val="both"/>
            </w:pPr>
            <w:r>
              <w:rPr>
                <w:rFonts w:eastAsia="標楷體"/>
                <w:b/>
                <w:bCs/>
                <w:color w:val="800000"/>
                <w:kern w:val="0"/>
                <w:sz w:val="32"/>
                <w:szCs w:val="32"/>
              </w:rPr>
              <w:t>摘</w:t>
            </w:r>
            <w:r>
              <w:rPr>
                <w:rFonts w:eastAsia="標楷體"/>
                <w:b/>
                <w:bCs/>
                <w:color w:val="800000"/>
                <w:kern w:val="0"/>
                <w:sz w:val="32"/>
                <w:szCs w:val="32"/>
              </w:rPr>
              <w:t xml:space="preserve"> </w:t>
            </w:r>
            <w:r>
              <w:rPr>
                <w:rFonts w:eastAsia="標楷體"/>
                <w:b/>
                <w:bCs/>
                <w:color w:val="800000"/>
                <w:kern w:val="0"/>
                <w:sz w:val="32"/>
                <w:szCs w:val="32"/>
              </w:rPr>
              <w:t>要</w:t>
            </w:r>
          </w:p>
        </w:tc>
        <w:tc>
          <w:tcPr>
            <w:tcW w:w="3119" w:type="dxa"/>
            <w:shd w:val="clear" w:color="auto" w:fill="FFE6CD"/>
            <w:tcMar>
              <w:top w:w="0" w:type="dxa"/>
              <w:left w:w="28" w:type="dxa"/>
              <w:bottom w:w="0" w:type="dxa"/>
              <w:right w:w="28" w:type="dxa"/>
            </w:tcMar>
            <w:vAlign w:val="center"/>
          </w:tcPr>
          <w:p w14:paraId="672EF921" w14:textId="77777777" w:rsidR="00052596" w:rsidRDefault="00000000">
            <w:pPr>
              <w:tabs>
                <w:tab w:val="left" w:pos="960"/>
                <w:tab w:val="left" w:pos="1920"/>
                <w:tab w:val="left" w:pos="2880"/>
                <w:tab w:val="left" w:pos="3840"/>
                <w:tab w:val="left" w:pos="4800"/>
                <w:tab w:val="left" w:pos="5760"/>
              </w:tabs>
              <w:autoSpaceDE w:val="0"/>
              <w:spacing w:line="240" w:lineRule="atLeast"/>
              <w:jc w:val="center"/>
            </w:pPr>
            <w:r>
              <w:rPr>
                <w:rFonts w:eastAsia="標楷體"/>
                <w:color w:val="800000"/>
                <w:kern w:val="0"/>
                <w:sz w:val="22"/>
              </w:rPr>
              <w:t>經建會</w:t>
            </w:r>
          </w:p>
        </w:tc>
        <w:tc>
          <w:tcPr>
            <w:tcW w:w="1086" w:type="dxa"/>
            <w:gridSpan w:val="2"/>
            <w:shd w:val="clear" w:color="auto" w:fill="FFE6CD"/>
            <w:tcMar>
              <w:top w:w="0" w:type="dxa"/>
              <w:left w:w="28" w:type="dxa"/>
              <w:bottom w:w="0" w:type="dxa"/>
              <w:right w:w="28" w:type="dxa"/>
            </w:tcMar>
            <w:vAlign w:val="center"/>
          </w:tcPr>
          <w:p w14:paraId="10184C72" w14:textId="77777777" w:rsidR="00052596" w:rsidRDefault="00000000">
            <w:pPr>
              <w:tabs>
                <w:tab w:val="left" w:pos="960"/>
                <w:tab w:val="left" w:pos="1920"/>
                <w:tab w:val="left" w:pos="2880"/>
                <w:tab w:val="left" w:pos="3840"/>
                <w:tab w:val="left" w:pos="4800"/>
                <w:tab w:val="left" w:pos="5760"/>
              </w:tabs>
              <w:autoSpaceDE w:val="0"/>
              <w:spacing w:line="240" w:lineRule="atLeast"/>
              <w:ind w:right="288"/>
              <w:jc w:val="right"/>
              <w:rPr>
                <w:rFonts w:eastAsia="標楷體"/>
                <w:b/>
                <w:bCs/>
                <w:i/>
                <w:iCs/>
                <w:color w:val="800000"/>
                <w:kern w:val="0"/>
                <w:sz w:val="28"/>
                <w:szCs w:val="28"/>
              </w:rPr>
            </w:pPr>
            <w:r>
              <w:rPr>
                <w:rFonts w:eastAsia="標楷體"/>
                <w:b/>
                <w:bCs/>
                <w:i/>
                <w:iCs/>
                <w:color w:val="800000"/>
                <w:kern w:val="0"/>
                <w:sz w:val="28"/>
                <w:szCs w:val="28"/>
              </w:rPr>
              <w:t>i</w:t>
            </w:r>
          </w:p>
        </w:tc>
      </w:tr>
      <w:tr w:rsidR="00052596" w14:paraId="4D6E2BEB" w14:textId="77777777">
        <w:tblPrEx>
          <w:tblCellMar>
            <w:top w:w="0" w:type="dxa"/>
            <w:bottom w:w="0" w:type="dxa"/>
          </w:tblCellMar>
        </w:tblPrEx>
        <w:trPr>
          <w:trHeight w:hRule="exact" w:val="680"/>
          <w:jc w:val="center"/>
        </w:trPr>
        <w:tc>
          <w:tcPr>
            <w:tcW w:w="5056" w:type="dxa"/>
            <w:gridSpan w:val="2"/>
            <w:shd w:val="clear" w:color="auto" w:fill="FFFFD5"/>
            <w:tcMar>
              <w:top w:w="0" w:type="dxa"/>
              <w:left w:w="28" w:type="dxa"/>
              <w:bottom w:w="0" w:type="dxa"/>
              <w:right w:w="28" w:type="dxa"/>
            </w:tcMar>
            <w:vAlign w:val="center"/>
          </w:tcPr>
          <w:p w14:paraId="278A1462" w14:textId="77777777" w:rsidR="00052596" w:rsidRDefault="00000000">
            <w:pPr>
              <w:tabs>
                <w:tab w:val="left" w:pos="960"/>
                <w:tab w:val="left" w:pos="1920"/>
                <w:tab w:val="left" w:pos="2880"/>
                <w:tab w:val="left" w:pos="3840"/>
                <w:tab w:val="left" w:pos="4800"/>
                <w:tab w:val="left" w:pos="5760"/>
              </w:tabs>
              <w:autoSpaceDE w:val="0"/>
              <w:spacing w:line="320" w:lineRule="exact"/>
              <w:jc w:val="both"/>
            </w:pPr>
            <w:r>
              <w:rPr>
                <w:rFonts w:eastAsia="標楷體"/>
                <w:b/>
                <w:color w:val="000080"/>
                <w:spacing w:val="4"/>
                <w:kern w:val="0"/>
                <w:sz w:val="30"/>
              </w:rPr>
              <w:t>第一章　主客觀情勢分析</w:t>
            </w:r>
          </w:p>
        </w:tc>
        <w:tc>
          <w:tcPr>
            <w:tcW w:w="3119" w:type="dxa"/>
            <w:shd w:val="clear" w:color="auto" w:fill="FFFFD5"/>
            <w:tcMar>
              <w:top w:w="0" w:type="dxa"/>
              <w:left w:w="28" w:type="dxa"/>
              <w:bottom w:w="0" w:type="dxa"/>
              <w:right w:w="28" w:type="dxa"/>
            </w:tcMar>
            <w:vAlign w:val="center"/>
          </w:tcPr>
          <w:p w14:paraId="773CAF2B" w14:textId="77777777" w:rsidR="00052596" w:rsidRDefault="00000000">
            <w:pPr>
              <w:tabs>
                <w:tab w:val="left" w:pos="960"/>
                <w:tab w:val="left" w:pos="1920"/>
                <w:tab w:val="left" w:pos="2880"/>
                <w:tab w:val="left" w:pos="3840"/>
                <w:tab w:val="left" w:pos="4800"/>
                <w:tab w:val="left" w:pos="5760"/>
              </w:tabs>
              <w:autoSpaceDE w:val="0"/>
              <w:spacing w:line="240" w:lineRule="atLeast"/>
              <w:jc w:val="center"/>
            </w:pPr>
            <w:r>
              <w:rPr>
                <w:rFonts w:eastAsia="標楷體"/>
                <w:color w:val="000080"/>
                <w:kern w:val="0"/>
                <w:sz w:val="22"/>
              </w:rPr>
              <w:t>經建會</w:t>
            </w:r>
          </w:p>
        </w:tc>
        <w:tc>
          <w:tcPr>
            <w:tcW w:w="1086" w:type="dxa"/>
            <w:gridSpan w:val="2"/>
            <w:shd w:val="clear" w:color="auto" w:fill="FFFFD5"/>
            <w:tcMar>
              <w:top w:w="0" w:type="dxa"/>
              <w:left w:w="28" w:type="dxa"/>
              <w:bottom w:w="0" w:type="dxa"/>
              <w:right w:w="28" w:type="dxa"/>
            </w:tcMar>
            <w:vAlign w:val="center"/>
          </w:tcPr>
          <w:p w14:paraId="6E18EDF8" w14:textId="77777777" w:rsidR="00052596" w:rsidRDefault="00000000">
            <w:pPr>
              <w:tabs>
                <w:tab w:val="left" w:pos="960"/>
                <w:tab w:val="left" w:pos="1920"/>
                <w:tab w:val="left" w:pos="2880"/>
                <w:tab w:val="left" w:pos="3840"/>
                <w:tab w:val="left" w:pos="4800"/>
                <w:tab w:val="left" w:pos="5760"/>
              </w:tabs>
              <w:autoSpaceDE w:val="0"/>
              <w:spacing w:line="240" w:lineRule="atLeast"/>
              <w:ind w:right="288"/>
              <w:jc w:val="right"/>
              <w:rPr>
                <w:rFonts w:eastAsia="標楷體"/>
                <w:b/>
                <w:i/>
                <w:color w:val="000080"/>
                <w:kern w:val="0"/>
                <w:szCs w:val="24"/>
              </w:rPr>
            </w:pPr>
            <w:r>
              <w:rPr>
                <w:rFonts w:eastAsia="標楷體"/>
                <w:b/>
                <w:i/>
                <w:color w:val="000080"/>
                <w:kern w:val="0"/>
                <w:szCs w:val="24"/>
              </w:rPr>
              <w:t>1</w:t>
            </w:r>
          </w:p>
        </w:tc>
      </w:tr>
      <w:tr w:rsidR="00052596" w14:paraId="5332A8D2"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1697B4B5" w14:textId="77777777" w:rsidR="00052596" w:rsidRDefault="00000000">
            <w:pPr>
              <w:tabs>
                <w:tab w:val="left" w:pos="960"/>
                <w:tab w:val="left" w:pos="1920"/>
                <w:tab w:val="left" w:pos="2880"/>
                <w:tab w:val="left" w:pos="3840"/>
                <w:tab w:val="left" w:pos="4800"/>
                <w:tab w:val="left" w:pos="5760"/>
              </w:tabs>
              <w:autoSpaceDE w:val="0"/>
              <w:spacing w:line="320" w:lineRule="exact"/>
              <w:ind w:left="312"/>
              <w:jc w:val="both"/>
              <w:rPr>
                <w:rFonts w:eastAsia="標楷體"/>
                <w:b/>
                <w:color w:val="000080"/>
                <w:spacing w:val="4"/>
                <w:kern w:val="0"/>
                <w:sz w:val="29"/>
                <w:szCs w:val="29"/>
              </w:rPr>
            </w:pPr>
            <w:r>
              <w:rPr>
                <w:rFonts w:eastAsia="標楷體"/>
                <w:b/>
                <w:color w:val="000080"/>
                <w:spacing w:val="4"/>
                <w:kern w:val="0"/>
                <w:sz w:val="29"/>
                <w:szCs w:val="29"/>
              </w:rPr>
              <w:t>第一節　前瞻世界趨勢</w:t>
            </w:r>
          </w:p>
        </w:tc>
        <w:tc>
          <w:tcPr>
            <w:tcW w:w="3119" w:type="dxa"/>
            <w:shd w:val="clear" w:color="auto" w:fill="EDFAFF"/>
            <w:tcMar>
              <w:top w:w="0" w:type="dxa"/>
              <w:left w:w="28" w:type="dxa"/>
              <w:bottom w:w="0" w:type="dxa"/>
              <w:right w:w="28" w:type="dxa"/>
            </w:tcMar>
            <w:vAlign w:val="center"/>
          </w:tcPr>
          <w:p w14:paraId="54FC5187"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color w:val="000080"/>
                <w:spacing w:val="4"/>
                <w:kern w:val="0"/>
                <w:szCs w:val="24"/>
              </w:rPr>
            </w:pPr>
          </w:p>
        </w:tc>
        <w:tc>
          <w:tcPr>
            <w:tcW w:w="1086" w:type="dxa"/>
            <w:gridSpan w:val="2"/>
            <w:shd w:val="clear" w:color="auto" w:fill="EDFAFF"/>
            <w:tcMar>
              <w:top w:w="0" w:type="dxa"/>
              <w:left w:w="28" w:type="dxa"/>
              <w:bottom w:w="0" w:type="dxa"/>
              <w:right w:w="28" w:type="dxa"/>
            </w:tcMar>
            <w:vAlign w:val="center"/>
          </w:tcPr>
          <w:p w14:paraId="6ED096B6"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
                <w:bCs/>
                <w:i/>
                <w:color w:val="000080"/>
                <w:kern w:val="0"/>
                <w:szCs w:val="24"/>
              </w:rPr>
            </w:pPr>
            <w:r>
              <w:rPr>
                <w:rFonts w:eastAsia="標楷體"/>
                <w:b/>
                <w:bCs/>
                <w:i/>
                <w:color w:val="000080"/>
                <w:kern w:val="0"/>
                <w:szCs w:val="24"/>
              </w:rPr>
              <w:t>2</w:t>
            </w:r>
          </w:p>
        </w:tc>
      </w:tr>
      <w:tr w:rsidR="00052596" w14:paraId="5C6ED338" w14:textId="77777777">
        <w:tblPrEx>
          <w:tblCellMar>
            <w:top w:w="0" w:type="dxa"/>
            <w:bottom w:w="0" w:type="dxa"/>
          </w:tblCellMar>
        </w:tblPrEx>
        <w:trPr>
          <w:trHeight w:hRule="exact" w:val="451"/>
          <w:jc w:val="center"/>
        </w:trPr>
        <w:tc>
          <w:tcPr>
            <w:tcW w:w="5056" w:type="dxa"/>
            <w:gridSpan w:val="2"/>
            <w:shd w:val="clear" w:color="auto" w:fill="auto"/>
            <w:tcMar>
              <w:top w:w="0" w:type="dxa"/>
              <w:left w:w="28" w:type="dxa"/>
              <w:bottom w:w="0" w:type="dxa"/>
              <w:right w:w="28" w:type="dxa"/>
            </w:tcMar>
            <w:vAlign w:val="center"/>
          </w:tcPr>
          <w:p w14:paraId="59835EEC"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壹、全球經濟復甦與風險</w:t>
            </w:r>
          </w:p>
        </w:tc>
        <w:tc>
          <w:tcPr>
            <w:tcW w:w="3119" w:type="dxa"/>
            <w:shd w:val="clear" w:color="auto" w:fill="auto"/>
            <w:tcMar>
              <w:top w:w="0" w:type="dxa"/>
              <w:left w:w="28" w:type="dxa"/>
              <w:bottom w:w="0" w:type="dxa"/>
              <w:right w:w="28" w:type="dxa"/>
            </w:tcMar>
            <w:vAlign w:val="center"/>
          </w:tcPr>
          <w:p w14:paraId="1FDD6D63"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spacing w:val="4"/>
                <w:kern w:val="0"/>
                <w:szCs w:val="24"/>
              </w:rPr>
            </w:pPr>
          </w:p>
        </w:tc>
        <w:tc>
          <w:tcPr>
            <w:tcW w:w="1086" w:type="dxa"/>
            <w:gridSpan w:val="2"/>
            <w:shd w:val="clear" w:color="auto" w:fill="auto"/>
            <w:tcMar>
              <w:top w:w="0" w:type="dxa"/>
              <w:left w:w="28" w:type="dxa"/>
              <w:bottom w:w="0" w:type="dxa"/>
              <w:right w:w="28" w:type="dxa"/>
            </w:tcMar>
            <w:vAlign w:val="center"/>
          </w:tcPr>
          <w:p w14:paraId="0CBA26CA"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Cs/>
                <w:i/>
                <w:kern w:val="0"/>
                <w:szCs w:val="24"/>
              </w:rPr>
            </w:pPr>
            <w:r>
              <w:rPr>
                <w:rFonts w:eastAsia="標楷體"/>
                <w:bCs/>
                <w:i/>
                <w:kern w:val="0"/>
                <w:szCs w:val="24"/>
              </w:rPr>
              <w:t>2</w:t>
            </w:r>
          </w:p>
        </w:tc>
      </w:tr>
      <w:tr w:rsidR="00052596" w14:paraId="57F1FC44" w14:textId="77777777">
        <w:tblPrEx>
          <w:tblCellMar>
            <w:top w:w="0" w:type="dxa"/>
            <w:bottom w:w="0" w:type="dxa"/>
          </w:tblCellMar>
        </w:tblPrEx>
        <w:trPr>
          <w:trHeight w:val="429"/>
          <w:jc w:val="center"/>
        </w:trPr>
        <w:tc>
          <w:tcPr>
            <w:tcW w:w="5056" w:type="dxa"/>
            <w:gridSpan w:val="2"/>
            <w:shd w:val="clear" w:color="auto" w:fill="auto"/>
            <w:tcMar>
              <w:top w:w="0" w:type="dxa"/>
              <w:left w:w="28" w:type="dxa"/>
              <w:bottom w:w="0" w:type="dxa"/>
              <w:right w:w="28" w:type="dxa"/>
            </w:tcMar>
            <w:vAlign w:val="center"/>
          </w:tcPr>
          <w:p w14:paraId="22AA0242"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貳、新興經濟體成長、結盟與布局</w:t>
            </w:r>
          </w:p>
        </w:tc>
        <w:tc>
          <w:tcPr>
            <w:tcW w:w="3119" w:type="dxa"/>
            <w:shd w:val="clear" w:color="auto" w:fill="auto"/>
            <w:tcMar>
              <w:top w:w="0" w:type="dxa"/>
              <w:left w:w="28" w:type="dxa"/>
              <w:bottom w:w="0" w:type="dxa"/>
              <w:right w:w="28" w:type="dxa"/>
            </w:tcMar>
            <w:vAlign w:val="center"/>
          </w:tcPr>
          <w:p w14:paraId="6F255B91"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spacing w:val="4"/>
                <w:kern w:val="0"/>
                <w:szCs w:val="24"/>
              </w:rPr>
            </w:pPr>
          </w:p>
        </w:tc>
        <w:tc>
          <w:tcPr>
            <w:tcW w:w="1086" w:type="dxa"/>
            <w:gridSpan w:val="2"/>
            <w:shd w:val="clear" w:color="auto" w:fill="auto"/>
            <w:tcMar>
              <w:top w:w="0" w:type="dxa"/>
              <w:left w:w="28" w:type="dxa"/>
              <w:bottom w:w="0" w:type="dxa"/>
              <w:right w:w="28" w:type="dxa"/>
            </w:tcMar>
            <w:vAlign w:val="center"/>
          </w:tcPr>
          <w:p w14:paraId="0736AF5B"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Cs/>
                <w:i/>
                <w:kern w:val="0"/>
                <w:szCs w:val="24"/>
              </w:rPr>
            </w:pPr>
            <w:r>
              <w:rPr>
                <w:rFonts w:eastAsia="標楷體"/>
                <w:bCs/>
                <w:i/>
                <w:kern w:val="0"/>
                <w:szCs w:val="24"/>
              </w:rPr>
              <w:t>12</w:t>
            </w:r>
          </w:p>
        </w:tc>
      </w:tr>
      <w:tr w:rsidR="00052596" w14:paraId="087F48AB" w14:textId="77777777">
        <w:tblPrEx>
          <w:tblCellMar>
            <w:top w:w="0" w:type="dxa"/>
            <w:bottom w:w="0" w:type="dxa"/>
          </w:tblCellMar>
        </w:tblPrEx>
        <w:trPr>
          <w:trHeight w:val="281"/>
          <w:jc w:val="center"/>
        </w:trPr>
        <w:tc>
          <w:tcPr>
            <w:tcW w:w="5056" w:type="dxa"/>
            <w:gridSpan w:val="2"/>
            <w:shd w:val="clear" w:color="auto" w:fill="auto"/>
            <w:tcMar>
              <w:top w:w="0" w:type="dxa"/>
              <w:left w:w="28" w:type="dxa"/>
              <w:bottom w:w="0" w:type="dxa"/>
              <w:right w:w="28" w:type="dxa"/>
            </w:tcMar>
            <w:vAlign w:val="center"/>
          </w:tcPr>
          <w:p w14:paraId="79679E1B"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參、人口高齡化衝擊與因應</w:t>
            </w:r>
          </w:p>
        </w:tc>
        <w:tc>
          <w:tcPr>
            <w:tcW w:w="3119" w:type="dxa"/>
            <w:shd w:val="clear" w:color="auto" w:fill="auto"/>
            <w:tcMar>
              <w:top w:w="0" w:type="dxa"/>
              <w:left w:w="28" w:type="dxa"/>
              <w:bottom w:w="0" w:type="dxa"/>
              <w:right w:w="28" w:type="dxa"/>
            </w:tcMar>
            <w:vAlign w:val="center"/>
          </w:tcPr>
          <w:p w14:paraId="1729771C"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spacing w:val="4"/>
                <w:kern w:val="0"/>
                <w:szCs w:val="24"/>
              </w:rPr>
            </w:pPr>
          </w:p>
        </w:tc>
        <w:tc>
          <w:tcPr>
            <w:tcW w:w="1086" w:type="dxa"/>
            <w:gridSpan w:val="2"/>
            <w:shd w:val="clear" w:color="auto" w:fill="auto"/>
            <w:tcMar>
              <w:top w:w="0" w:type="dxa"/>
              <w:left w:w="28" w:type="dxa"/>
              <w:bottom w:w="0" w:type="dxa"/>
              <w:right w:w="28" w:type="dxa"/>
            </w:tcMar>
            <w:vAlign w:val="center"/>
          </w:tcPr>
          <w:p w14:paraId="2CCB260B"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Cs/>
                <w:i/>
                <w:kern w:val="0"/>
                <w:szCs w:val="24"/>
              </w:rPr>
            </w:pPr>
            <w:r>
              <w:rPr>
                <w:rFonts w:eastAsia="標楷體"/>
                <w:bCs/>
                <w:i/>
                <w:kern w:val="0"/>
                <w:szCs w:val="24"/>
              </w:rPr>
              <w:t>21</w:t>
            </w:r>
          </w:p>
        </w:tc>
      </w:tr>
      <w:tr w:rsidR="00052596" w14:paraId="34F9E7F3" w14:textId="77777777">
        <w:tblPrEx>
          <w:tblCellMar>
            <w:top w:w="0" w:type="dxa"/>
            <w:bottom w:w="0" w:type="dxa"/>
          </w:tblCellMar>
        </w:tblPrEx>
        <w:trPr>
          <w:trHeight w:val="571"/>
          <w:jc w:val="center"/>
        </w:trPr>
        <w:tc>
          <w:tcPr>
            <w:tcW w:w="5056" w:type="dxa"/>
            <w:gridSpan w:val="2"/>
            <w:shd w:val="clear" w:color="auto" w:fill="auto"/>
            <w:tcMar>
              <w:top w:w="0" w:type="dxa"/>
              <w:left w:w="28" w:type="dxa"/>
              <w:bottom w:w="0" w:type="dxa"/>
              <w:right w:w="28" w:type="dxa"/>
            </w:tcMar>
            <w:vAlign w:val="center"/>
          </w:tcPr>
          <w:p w14:paraId="16138557"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肆、綠色經濟挑戰與商機</w:t>
            </w:r>
          </w:p>
        </w:tc>
        <w:tc>
          <w:tcPr>
            <w:tcW w:w="3119" w:type="dxa"/>
            <w:shd w:val="clear" w:color="auto" w:fill="auto"/>
            <w:tcMar>
              <w:top w:w="0" w:type="dxa"/>
              <w:left w:w="28" w:type="dxa"/>
              <w:bottom w:w="0" w:type="dxa"/>
              <w:right w:w="28" w:type="dxa"/>
            </w:tcMar>
            <w:vAlign w:val="center"/>
          </w:tcPr>
          <w:p w14:paraId="05EF1D72"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spacing w:val="4"/>
                <w:kern w:val="0"/>
                <w:szCs w:val="24"/>
              </w:rPr>
            </w:pPr>
          </w:p>
        </w:tc>
        <w:tc>
          <w:tcPr>
            <w:tcW w:w="1086" w:type="dxa"/>
            <w:gridSpan w:val="2"/>
            <w:shd w:val="clear" w:color="auto" w:fill="auto"/>
            <w:tcMar>
              <w:top w:w="0" w:type="dxa"/>
              <w:left w:w="28" w:type="dxa"/>
              <w:bottom w:w="0" w:type="dxa"/>
              <w:right w:w="28" w:type="dxa"/>
            </w:tcMar>
            <w:vAlign w:val="center"/>
          </w:tcPr>
          <w:p w14:paraId="414952CA"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Cs/>
                <w:i/>
                <w:kern w:val="0"/>
                <w:szCs w:val="24"/>
              </w:rPr>
            </w:pPr>
            <w:r>
              <w:rPr>
                <w:rFonts w:eastAsia="標楷體"/>
                <w:bCs/>
                <w:i/>
                <w:kern w:val="0"/>
                <w:szCs w:val="24"/>
              </w:rPr>
              <w:t>31</w:t>
            </w:r>
          </w:p>
        </w:tc>
      </w:tr>
      <w:tr w:rsidR="00052596" w14:paraId="182357F6"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72442393" w14:textId="77777777" w:rsidR="00052596" w:rsidRDefault="00000000">
            <w:pPr>
              <w:tabs>
                <w:tab w:val="left" w:pos="960"/>
                <w:tab w:val="left" w:pos="1920"/>
                <w:tab w:val="left" w:pos="2880"/>
                <w:tab w:val="left" w:pos="3840"/>
                <w:tab w:val="left" w:pos="4800"/>
                <w:tab w:val="left" w:pos="5760"/>
              </w:tabs>
              <w:autoSpaceDE w:val="0"/>
              <w:spacing w:line="320" w:lineRule="exact"/>
              <w:ind w:left="312"/>
              <w:jc w:val="both"/>
              <w:rPr>
                <w:rFonts w:eastAsia="標楷體"/>
                <w:b/>
                <w:color w:val="000080"/>
                <w:spacing w:val="4"/>
                <w:kern w:val="0"/>
                <w:sz w:val="29"/>
                <w:szCs w:val="29"/>
              </w:rPr>
            </w:pPr>
            <w:r>
              <w:rPr>
                <w:rFonts w:eastAsia="標楷體"/>
                <w:b/>
                <w:color w:val="000080"/>
                <w:spacing w:val="4"/>
                <w:kern w:val="0"/>
                <w:sz w:val="29"/>
                <w:szCs w:val="29"/>
              </w:rPr>
              <w:t>第二節</w:t>
            </w:r>
            <w:r>
              <w:rPr>
                <w:rFonts w:eastAsia="標楷體"/>
                <w:b/>
                <w:color w:val="000080"/>
                <w:spacing w:val="4"/>
                <w:kern w:val="0"/>
                <w:sz w:val="29"/>
                <w:szCs w:val="29"/>
              </w:rPr>
              <w:t xml:space="preserve">  </w:t>
            </w:r>
            <w:r>
              <w:rPr>
                <w:rFonts w:eastAsia="標楷體"/>
                <w:b/>
                <w:color w:val="000080"/>
                <w:spacing w:val="4"/>
                <w:kern w:val="0"/>
                <w:sz w:val="29"/>
                <w:szCs w:val="29"/>
              </w:rPr>
              <w:t>掌握內在課題</w:t>
            </w:r>
          </w:p>
        </w:tc>
        <w:tc>
          <w:tcPr>
            <w:tcW w:w="3119" w:type="dxa"/>
            <w:shd w:val="clear" w:color="auto" w:fill="EDFAFF"/>
            <w:tcMar>
              <w:top w:w="0" w:type="dxa"/>
              <w:left w:w="28" w:type="dxa"/>
              <w:bottom w:w="0" w:type="dxa"/>
              <w:right w:w="28" w:type="dxa"/>
            </w:tcMar>
            <w:vAlign w:val="center"/>
          </w:tcPr>
          <w:p w14:paraId="3B15B77D"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color w:val="000080"/>
                <w:spacing w:val="4"/>
                <w:kern w:val="0"/>
                <w:szCs w:val="24"/>
              </w:rPr>
            </w:pPr>
          </w:p>
        </w:tc>
        <w:tc>
          <w:tcPr>
            <w:tcW w:w="1086" w:type="dxa"/>
            <w:gridSpan w:val="2"/>
            <w:shd w:val="clear" w:color="auto" w:fill="EDFAFF"/>
            <w:tcMar>
              <w:top w:w="0" w:type="dxa"/>
              <w:left w:w="28" w:type="dxa"/>
              <w:bottom w:w="0" w:type="dxa"/>
              <w:right w:w="28" w:type="dxa"/>
            </w:tcMar>
            <w:vAlign w:val="center"/>
          </w:tcPr>
          <w:p w14:paraId="4B2CFE44"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
                <w:bCs/>
                <w:i/>
                <w:color w:val="000080"/>
                <w:kern w:val="0"/>
                <w:szCs w:val="24"/>
              </w:rPr>
            </w:pPr>
            <w:r>
              <w:rPr>
                <w:rFonts w:eastAsia="標楷體"/>
                <w:b/>
                <w:bCs/>
                <w:i/>
                <w:color w:val="000080"/>
                <w:kern w:val="0"/>
                <w:szCs w:val="24"/>
              </w:rPr>
              <w:t>39</w:t>
            </w:r>
          </w:p>
        </w:tc>
      </w:tr>
      <w:tr w:rsidR="00052596" w14:paraId="79A446B5" w14:textId="77777777">
        <w:tblPrEx>
          <w:tblCellMar>
            <w:top w:w="0" w:type="dxa"/>
            <w:bottom w:w="0" w:type="dxa"/>
          </w:tblCellMar>
        </w:tblPrEx>
        <w:trPr>
          <w:trHeight w:hRule="exact" w:val="385"/>
          <w:jc w:val="center"/>
        </w:trPr>
        <w:tc>
          <w:tcPr>
            <w:tcW w:w="5056" w:type="dxa"/>
            <w:gridSpan w:val="2"/>
            <w:shd w:val="clear" w:color="auto" w:fill="auto"/>
            <w:tcMar>
              <w:top w:w="0" w:type="dxa"/>
              <w:left w:w="28" w:type="dxa"/>
              <w:bottom w:w="0" w:type="dxa"/>
              <w:right w:w="28" w:type="dxa"/>
            </w:tcMar>
            <w:vAlign w:val="center"/>
          </w:tcPr>
          <w:p w14:paraId="1EF2495E"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壹、經濟創新與開放</w:t>
            </w:r>
          </w:p>
        </w:tc>
        <w:tc>
          <w:tcPr>
            <w:tcW w:w="3119" w:type="dxa"/>
            <w:shd w:val="clear" w:color="auto" w:fill="auto"/>
            <w:tcMar>
              <w:top w:w="0" w:type="dxa"/>
              <w:left w:w="28" w:type="dxa"/>
              <w:bottom w:w="0" w:type="dxa"/>
              <w:right w:w="28" w:type="dxa"/>
            </w:tcMar>
            <w:vAlign w:val="center"/>
          </w:tcPr>
          <w:p w14:paraId="4FF55C30"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spacing w:val="4"/>
                <w:kern w:val="0"/>
                <w:szCs w:val="24"/>
              </w:rPr>
            </w:pPr>
          </w:p>
        </w:tc>
        <w:tc>
          <w:tcPr>
            <w:tcW w:w="1086" w:type="dxa"/>
            <w:gridSpan w:val="2"/>
            <w:shd w:val="clear" w:color="auto" w:fill="auto"/>
            <w:tcMar>
              <w:top w:w="0" w:type="dxa"/>
              <w:left w:w="28" w:type="dxa"/>
              <w:bottom w:w="0" w:type="dxa"/>
              <w:right w:w="28" w:type="dxa"/>
            </w:tcMar>
            <w:vAlign w:val="center"/>
          </w:tcPr>
          <w:p w14:paraId="12DE6A64"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Cs/>
                <w:i/>
                <w:kern w:val="0"/>
                <w:szCs w:val="24"/>
              </w:rPr>
            </w:pPr>
            <w:r>
              <w:rPr>
                <w:rFonts w:eastAsia="標楷體"/>
                <w:bCs/>
                <w:i/>
                <w:kern w:val="0"/>
                <w:szCs w:val="24"/>
              </w:rPr>
              <w:t>40</w:t>
            </w:r>
          </w:p>
        </w:tc>
      </w:tr>
      <w:tr w:rsidR="00052596" w14:paraId="17BBFBB9" w14:textId="77777777">
        <w:tblPrEx>
          <w:tblCellMar>
            <w:top w:w="0" w:type="dxa"/>
            <w:bottom w:w="0" w:type="dxa"/>
          </w:tblCellMar>
        </w:tblPrEx>
        <w:trPr>
          <w:trHeight w:hRule="exact" w:val="421"/>
          <w:jc w:val="center"/>
        </w:trPr>
        <w:tc>
          <w:tcPr>
            <w:tcW w:w="5056" w:type="dxa"/>
            <w:gridSpan w:val="2"/>
            <w:shd w:val="clear" w:color="auto" w:fill="auto"/>
            <w:tcMar>
              <w:top w:w="0" w:type="dxa"/>
              <w:left w:w="28" w:type="dxa"/>
              <w:bottom w:w="0" w:type="dxa"/>
              <w:right w:w="28" w:type="dxa"/>
            </w:tcMar>
            <w:vAlign w:val="center"/>
          </w:tcPr>
          <w:p w14:paraId="2E39796D"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貳、產業結構調整與升級</w:t>
            </w:r>
          </w:p>
        </w:tc>
        <w:tc>
          <w:tcPr>
            <w:tcW w:w="3119" w:type="dxa"/>
            <w:shd w:val="clear" w:color="auto" w:fill="auto"/>
            <w:tcMar>
              <w:top w:w="0" w:type="dxa"/>
              <w:left w:w="28" w:type="dxa"/>
              <w:bottom w:w="0" w:type="dxa"/>
              <w:right w:w="28" w:type="dxa"/>
            </w:tcMar>
            <w:vAlign w:val="center"/>
          </w:tcPr>
          <w:p w14:paraId="6DF4252F"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spacing w:val="4"/>
                <w:kern w:val="0"/>
                <w:szCs w:val="24"/>
              </w:rPr>
            </w:pPr>
          </w:p>
        </w:tc>
        <w:tc>
          <w:tcPr>
            <w:tcW w:w="1086" w:type="dxa"/>
            <w:gridSpan w:val="2"/>
            <w:shd w:val="clear" w:color="auto" w:fill="auto"/>
            <w:tcMar>
              <w:top w:w="0" w:type="dxa"/>
              <w:left w:w="28" w:type="dxa"/>
              <w:bottom w:w="0" w:type="dxa"/>
              <w:right w:w="28" w:type="dxa"/>
            </w:tcMar>
            <w:vAlign w:val="center"/>
          </w:tcPr>
          <w:p w14:paraId="4A436D11"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Cs/>
                <w:i/>
                <w:kern w:val="0"/>
                <w:szCs w:val="24"/>
              </w:rPr>
            </w:pPr>
            <w:r>
              <w:rPr>
                <w:rFonts w:eastAsia="標楷體"/>
                <w:bCs/>
                <w:i/>
                <w:kern w:val="0"/>
                <w:szCs w:val="24"/>
              </w:rPr>
              <w:t>49</w:t>
            </w:r>
          </w:p>
        </w:tc>
      </w:tr>
      <w:tr w:rsidR="00052596" w14:paraId="434518BA" w14:textId="77777777">
        <w:tblPrEx>
          <w:tblCellMar>
            <w:top w:w="0" w:type="dxa"/>
            <w:bottom w:w="0" w:type="dxa"/>
          </w:tblCellMar>
        </w:tblPrEx>
        <w:trPr>
          <w:trHeight w:val="416"/>
          <w:jc w:val="center"/>
        </w:trPr>
        <w:tc>
          <w:tcPr>
            <w:tcW w:w="5056" w:type="dxa"/>
            <w:gridSpan w:val="2"/>
            <w:shd w:val="clear" w:color="auto" w:fill="auto"/>
            <w:tcMar>
              <w:top w:w="0" w:type="dxa"/>
              <w:left w:w="28" w:type="dxa"/>
              <w:bottom w:w="0" w:type="dxa"/>
              <w:right w:w="28" w:type="dxa"/>
            </w:tcMar>
            <w:vAlign w:val="center"/>
          </w:tcPr>
          <w:p w14:paraId="21B493D1"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參、經濟成長與就業創造</w:t>
            </w:r>
          </w:p>
        </w:tc>
        <w:tc>
          <w:tcPr>
            <w:tcW w:w="3119" w:type="dxa"/>
            <w:shd w:val="clear" w:color="auto" w:fill="auto"/>
            <w:tcMar>
              <w:top w:w="0" w:type="dxa"/>
              <w:left w:w="28" w:type="dxa"/>
              <w:bottom w:w="0" w:type="dxa"/>
              <w:right w:w="28" w:type="dxa"/>
            </w:tcMar>
            <w:vAlign w:val="center"/>
          </w:tcPr>
          <w:p w14:paraId="279787D4"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spacing w:val="4"/>
                <w:kern w:val="0"/>
                <w:szCs w:val="24"/>
              </w:rPr>
            </w:pPr>
          </w:p>
        </w:tc>
        <w:tc>
          <w:tcPr>
            <w:tcW w:w="1086" w:type="dxa"/>
            <w:gridSpan w:val="2"/>
            <w:shd w:val="clear" w:color="auto" w:fill="auto"/>
            <w:tcMar>
              <w:top w:w="0" w:type="dxa"/>
              <w:left w:w="28" w:type="dxa"/>
              <w:bottom w:w="0" w:type="dxa"/>
              <w:right w:w="28" w:type="dxa"/>
            </w:tcMar>
            <w:vAlign w:val="center"/>
          </w:tcPr>
          <w:p w14:paraId="7B428DC1"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Cs/>
                <w:i/>
                <w:kern w:val="0"/>
                <w:szCs w:val="24"/>
              </w:rPr>
            </w:pPr>
            <w:r>
              <w:rPr>
                <w:rFonts w:eastAsia="標楷體"/>
                <w:bCs/>
                <w:i/>
                <w:kern w:val="0"/>
                <w:szCs w:val="24"/>
              </w:rPr>
              <w:t>56</w:t>
            </w:r>
          </w:p>
        </w:tc>
      </w:tr>
      <w:tr w:rsidR="00052596" w14:paraId="722A5709" w14:textId="77777777">
        <w:tblPrEx>
          <w:tblCellMar>
            <w:top w:w="0" w:type="dxa"/>
            <w:bottom w:w="0" w:type="dxa"/>
          </w:tblCellMar>
        </w:tblPrEx>
        <w:trPr>
          <w:trHeight w:val="457"/>
          <w:jc w:val="center"/>
        </w:trPr>
        <w:tc>
          <w:tcPr>
            <w:tcW w:w="5056" w:type="dxa"/>
            <w:gridSpan w:val="2"/>
            <w:shd w:val="clear" w:color="auto" w:fill="auto"/>
            <w:tcMar>
              <w:top w:w="0" w:type="dxa"/>
              <w:left w:w="28" w:type="dxa"/>
              <w:bottom w:w="0" w:type="dxa"/>
              <w:right w:w="28" w:type="dxa"/>
            </w:tcMar>
            <w:vAlign w:val="center"/>
          </w:tcPr>
          <w:p w14:paraId="4CD27BE6"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肆、經濟成長與所得分配</w:t>
            </w:r>
          </w:p>
        </w:tc>
        <w:tc>
          <w:tcPr>
            <w:tcW w:w="3119" w:type="dxa"/>
            <w:shd w:val="clear" w:color="auto" w:fill="auto"/>
            <w:tcMar>
              <w:top w:w="0" w:type="dxa"/>
              <w:left w:w="28" w:type="dxa"/>
              <w:bottom w:w="0" w:type="dxa"/>
              <w:right w:w="28" w:type="dxa"/>
            </w:tcMar>
            <w:vAlign w:val="center"/>
          </w:tcPr>
          <w:p w14:paraId="41E808B6"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spacing w:val="4"/>
                <w:kern w:val="0"/>
                <w:szCs w:val="24"/>
              </w:rPr>
            </w:pPr>
          </w:p>
        </w:tc>
        <w:tc>
          <w:tcPr>
            <w:tcW w:w="1086" w:type="dxa"/>
            <w:gridSpan w:val="2"/>
            <w:shd w:val="clear" w:color="auto" w:fill="auto"/>
            <w:tcMar>
              <w:top w:w="0" w:type="dxa"/>
              <w:left w:w="28" w:type="dxa"/>
              <w:bottom w:w="0" w:type="dxa"/>
              <w:right w:w="28" w:type="dxa"/>
            </w:tcMar>
            <w:vAlign w:val="center"/>
          </w:tcPr>
          <w:p w14:paraId="7DA30601"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Cs/>
                <w:i/>
                <w:kern w:val="0"/>
                <w:szCs w:val="24"/>
              </w:rPr>
            </w:pPr>
            <w:r>
              <w:rPr>
                <w:rFonts w:eastAsia="標楷體"/>
                <w:bCs/>
                <w:i/>
                <w:kern w:val="0"/>
                <w:szCs w:val="24"/>
              </w:rPr>
              <w:t>64</w:t>
            </w:r>
          </w:p>
        </w:tc>
      </w:tr>
      <w:tr w:rsidR="00052596" w14:paraId="188BDD26" w14:textId="77777777">
        <w:tblPrEx>
          <w:tblCellMar>
            <w:top w:w="0" w:type="dxa"/>
            <w:bottom w:w="0" w:type="dxa"/>
          </w:tblCellMar>
        </w:tblPrEx>
        <w:trPr>
          <w:trHeight w:hRule="exact" w:val="423"/>
          <w:jc w:val="center"/>
        </w:trPr>
        <w:tc>
          <w:tcPr>
            <w:tcW w:w="5056" w:type="dxa"/>
            <w:gridSpan w:val="2"/>
            <w:shd w:val="clear" w:color="auto" w:fill="auto"/>
            <w:tcMar>
              <w:top w:w="0" w:type="dxa"/>
              <w:left w:w="28" w:type="dxa"/>
              <w:bottom w:w="0" w:type="dxa"/>
              <w:right w:w="28" w:type="dxa"/>
            </w:tcMar>
            <w:vAlign w:val="center"/>
          </w:tcPr>
          <w:p w14:paraId="5D59EC14"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伍、綠色成長與社會包容</w:t>
            </w:r>
          </w:p>
        </w:tc>
        <w:tc>
          <w:tcPr>
            <w:tcW w:w="3119" w:type="dxa"/>
            <w:shd w:val="clear" w:color="auto" w:fill="auto"/>
            <w:tcMar>
              <w:top w:w="0" w:type="dxa"/>
              <w:left w:w="28" w:type="dxa"/>
              <w:bottom w:w="0" w:type="dxa"/>
              <w:right w:w="28" w:type="dxa"/>
            </w:tcMar>
            <w:vAlign w:val="center"/>
          </w:tcPr>
          <w:p w14:paraId="5DC2A630"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spacing w:val="4"/>
                <w:kern w:val="0"/>
                <w:szCs w:val="24"/>
              </w:rPr>
            </w:pPr>
          </w:p>
        </w:tc>
        <w:tc>
          <w:tcPr>
            <w:tcW w:w="1086" w:type="dxa"/>
            <w:gridSpan w:val="2"/>
            <w:shd w:val="clear" w:color="auto" w:fill="auto"/>
            <w:tcMar>
              <w:top w:w="0" w:type="dxa"/>
              <w:left w:w="28" w:type="dxa"/>
              <w:bottom w:w="0" w:type="dxa"/>
              <w:right w:w="28" w:type="dxa"/>
            </w:tcMar>
            <w:vAlign w:val="center"/>
          </w:tcPr>
          <w:p w14:paraId="0F6E60FF"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Cs/>
                <w:i/>
                <w:kern w:val="0"/>
                <w:szCs w:val="24"/>
              </w:rPr>
            </w:pPr>
            <w:r>
              <w:rPr>
                <w:rFonts w:eastAsia="標楷體"/>
                <w:bCs/>
                <w:i/>
                <w:kern w:val="0"/>
                <w:szCs w:val="24"/>
              </w:rPr>
              <w:t>71</w:t>
            </w:r>
          </w:p>
        </w:tc>
      </w:tr>
      <w:tr w:rsidR="00052596" w14:paraId="067BAB1A" w14:textId="77777777">
        <w:tblPrEx>
          <w:tblCellMar>
            <w:top w:w="0" w:type="dxa"/>
            <w:bottom w:w="0" w:type="dxa"/>
          </w:tblCellMar>
        </w:tblPrEx>
        <w:trPr>
          <w:trHeight w:hRule="exact" w:val="680"/>
          <w:jc w:val="center"/>
        </w:trPr>
        <w:tc>
          <w:tcPr>
            <w:tcW w:w="5056" w:type="dxa"/>
            <w:gridSpan w:val="2"/>
            <w:shd w:val="clear" w:color="auto" w:fill="FFFFD5"/>
            <w:tcMar>
              <w:top w:w="0" w:type="dxa"/>
              <w:left w:w="28" w:type="dxa"/>
              <w:bottom w:w="0" w:type="dxa"/>
              <w:right w:w="28" w:type="dxa"/>
            </w:tcMar>
            <w:vAlign w:val="center"/>
          </w:tcPr>
          <w:p w14:paraId="48AFAB5C" w14:textId="77777777" w:rsidR="00052596" w:rsidRDefault="00000000">
            <w:pPr>
              <w:tabs>
                <w:tab w:val="left" w:pos="960"/>
                <w:tab w:val="left" w:pos="1920"/>
                <w:tab w:val="left" w:pos="2880"/>
                <w:tab w:val="left" w:pos="3840"/>
                <w:tab w:val="left" w:pos="4800"/>
                <w:tab w:val="left" w:pos="5760"/>
              </w:tabs>
              <w:autoSpaceDE w:val="0"/>
              <w:spacing w:line="320" w:lineRule="exact"/>
              <w:jc w:val="both"/>
            </w:pPr>
            <w:r>
              <w:rPr>
                <w:rFonts w:eastAsia="標楷體"/>
                <w:b/>
                <w:color w:val="000080"/>
                <w:spacing w:val="4"/>
                <w:kern w:val="0"/>
                <w:sz w:val="30"/>
              </w:rPr>
              <w:t>第二章　國家發展願景與目標</w:t>
            </w:r>
          </w:p>
        </w:tc>
        <w:tc>
          <w:tcPr>
            <w:tcW w:w="3119" w:type="dxa"/>
            <w:shd w:val="clear" w:color="auto" w:fill="FFFFD5"/>
            <w:tcMar>
              <w:top w:w="0" w:type="dxa"/>
              <w:left w:w="28" w:type="dxa"/>
              <w:bottom w:w="0" w:type="dxa"/>
              <w:right w:w="28" w:type="dxa"/>
            </w:tcMar>
            <w:vAlign w:val="center"/>
          </w:tcPr>
          <w:p w14:paraId="164DB6E0" w14:textId="77777777" w:rsidR="00052596" w:rsidRDefault="00052596">
            <w:pPr>
              <w:tabs>
                <w:tab w:val="left" w:pos="960"/>
                <w:tab w:val="left" w:pos="1920"/>
                <w:tab w:val="left" w:pos="2880"/>
                <w:tab w:val="left" w:pos="3840"/>
                <w:tab w:val="left" w:pos="4800"/>
                <w:tab w:val="left" w:pos="5760"/>
              </w:tabs>
              <w:autoSpaceDE w:val="0"/>
              <w:spacing w:line="320" w:lineRule="exact"/>
              <w:jc w:val="center"/>
              <w:rPr>
                <w:rFonts w:eastAsia="標楷體"/>
                <w:color w:val="000080"/>
                <w:kern w:val="0"/>
                <w:szCs w:val="24"/>
              </w:rPr>
            </w:pPr>
          </w:p>
        </w:tc>
        <w:tc>
          <w:tcPr>
            <w:tcW w:w="1086" w:type="dxa"/>
            <w:gridSpan w:val="2"/>
            <w:shd w:val="clear" w:color="auto" w:fill="FFFFD5"/>
            <w:tcMar>
              <w:top w:w="0" w:type="dxa"/>
              <w:left w:w="28" w:type="dxa"/>
              <w:bottom w:w="0" w:type="dxa"/>
              <w:right w:w="28" w:type="dxa"/>
            </w:tcMar>
            <w:vAlign w:val="center"/>
          </w:tcPr>
          <w:p w14:paraId="3E6D69AB" w14:textId="77777777" w:rsidR="00052596" w:rsidRDefault="00000000">
            <w:pPr>
              <w:tabs>
                <w:tab w:val="left" w:pos="960"/>
                <w:tab w:val="left" w:pos="1920"/>
                <w:tab w:val="left" w:pos="2880"/>
                <w:tab w:val="left" w:pos="3840"/>
                <w:tab w:val="left" w:pos="4800"/>
                <w:tab w:val="left" w:pos="5760"/>
              </w:tabs>
              <w:autoSpaceDE w:val="0"/>
              <w:spacing w:line="320" w:lineRule="exact"/>
              <w:ind w:right="288"/>
              <w:jc w:val="right"/>
              <w:rPr>
                <w:rFonts w:eastAsia="標楷體"/>
                <w:b/>
                <w:i/>
                <w:color w:val="000080"/>
                <w:kern w:val="0"/>
                <w:szCs w:val="24"/>
              </w:rPr>
            </w:pPr>
            <w:r>
              <w:rPr>
                <w:rFonts w:eastAsia="標楷體"/>
                <w:b/>
                <w:i/>
                <w:color w:val="000080"/>
                <w:kern w:val="0"/>
                <w:szCs w:val="24"/>
              </w:rPr>
              <w:t>79</w:t>
            </w:r>
          </w:p>
        </w:tc>
      </w:tr>
      <w:tr w:rsidR="00052596" w14:paraId="43BE5950"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515FC016" w14:textId="77777777" w:rsidR="00052596" w:rsidRDefault="00000000">
            <w:pPr>
              <w:tabs>
                <w:tab w:val="left" w:pos="960"/>
                <w:tab w:val="left" w:pos="1920"/>
                <w:tab w:val="left" w:pos="2880"/>
                <w:tab w:val="left" w:pos="3840"/>
                <w:tab w:val="left" w:pos="4800"/>
                <w:tab w:val="left" w:pos="5760"/>
              </w:tabs>
              <w:autoSpaceDE w:val="0"/>
              <w:spacing w:line="240" w:lineRule="atLeast"/>
              <w:ind w:left="312"/>
              <w:jc w:val="both"/>
              <w:rPr>
                <w:rFonts w:eastAsia="標楷體"/>
                <w:b/>
                <w:color w:val="000080"/>
                <w:spacing w:val="4"/>
                <w:kern w:val="0"/>
                <w:sz w:val="29"/>
                <w:szCs w:val="29"/>
              </w:rPr>
            </w:pPr>
            <w:r>
              <w:rPr>
                <w:rFonts w:eastAsia="標楷體"/>
                <w:b/>
                <w:color w:val="000080"/>
                <w:spacing w:val="4"/>
                <w:kern w:val="0"/>
                <w:sz w:val="29"/>
                <w:szCs w:val="29"/>
              </w:rPr>
              <w:t>第一節</w:t>
            </w:r>
            <w:r>
              <w:rPr>
                <w:rFonts w:eastAsia="標楷體"/>
                <w:b/>
                <w:color w:val="000080"/>
                <w:spacing w:val="4"/>
                <w:kern w:val="0"/>
                <w:sz w:val="29"/>
                <w:szCs w:val="29"/>
              </w:rPr>
              <w:t xml:space="preserve">  </w:t>
            </w:r>
            <w:r>
              <w:rPr>
                <w:rFonts w:eastAsia="標楷體"/>
                <w:b/>
                <w:color w:val="000080"/>
                <w:spacing w:val="4"/>
                <w:kern w:val="0"/>
                <w:sz w:val="29"/>
                <w:szCs w:val="29"/>
              </w:rPr>
              <w:t>國家發展願景</w:t>
            </w:r>
          </w:p>
        </w:tc>
        <w:tc>
          <w:tcPr>
            <w:tcW w:w="3119" w:type="dxa"/>
            <w:shd w:val="clear" w:color="auto" w:fill="EDFAFF"/>
            <w:tcMar>
              <w:top w:w="0" w:type="dxa"/>
              <w:left w:w="28" w:type="dxa"/>
              <w:bottom w:w="0" w:type="dxa"/>
              <w:right w:w="28" w:type="dxa"/>
            </w:tcMar>
            <w:vAlign w:val="center"/>
          </w:tcPr>
          <w:p w14:paraId="6158FC4F" w14:textId="77777777" w:rsidR="00052596" w:rsidRDefault="00000000">
            <w:pPr>
              <w:tabs>
                <w:tab w:val="left" w:pos="960"/>
                <w:tab w:val="left" w:pos="1920"/>
                <w:tab w:val="left" w:pos="2880"/>
                <w:tab w:val="left" w:pos="3840"/>
                <w:tab w:val="left" w:pos="4800"/>
                <w:tab w:val="left" w:pos="5760"/>
              </w:tabs>
              <w:autoSpaceDE w:val="0"/>
              <w:spacing w:line="240" w:lineRule="atLeast"/>
              <w:jc w:val="center"/>
            </w:pPr>
            <w:r>
              <w:rPr>
                <w:rFonts w:eastAsia="標楷體"/>
                <w:color w:val="000080"/>
                <w:kern w:val="0"/>
                <w:sz w:val="22"/>
              </w:rPr>
              <w:t>經建會</w:t>
            </w:r>
          </w:p>
        </w:tc>
        <w:tc>
          <w:tcPr>
            <w:tcW w:w="1086" w:type="dxa"/>
            <w:gridSpan w:val="2"/>
            <w:shd w:val="clear" w:color="auto" w:fill="EDFAFF"/>
            <w:tcMar>
              <w:top w:w="0" w:type="dxa"/>
              <w:left w:w="28" w:type="dxa"/>
              <w:bottom w:w="0" w:type="dxa"/>
              <w:right w:w="28" w:type="dxa"/>
            </w:tcMar>
            <w:vAlign w:val="center"/>
          </w:tcPr>
          <w:p w14:paraId="2DD44741" w14:textId="77777777" w:rsidR="00052596" w:rsidRDefault="00000000">
            <w:pPr>
              <w:tabs>
                <w:tab w:val="left" w:pos="960"/>
                <w:tab w:val="left" w:pos="1920"/>
                <w:tab w:val="left" w:pos="2880"/>
                <w:tab w:val="left" w:pos="3840"/>
                <w:tab w:val="left" w:pos="4800"/>
                <w:tab w:val="left" w:pos="5760"/>
              </w:tabs>
              <w:autoSpaceDE w:val="0"/>
              <w:spacing w:line="240" w:lineRule="atLeast"/>
              <w:ind w:right="288"/>
              <w:jc w:val="right"/>
              <w:rPr>
                <w:rFonts w:eastAsia="標楷體"/>
                <w:b/>
                <w:bCs/>
                <w:i/>
                <w:color w:val="000080"/>
                <w:kern w:val="0"/>
                <w:szCs w:val="24"/>
              </w:rPr>
            </w:pPr>
            <w:r>
              <w:rPr>
                <w:rFonts w:eastAsia="標楷體"/>
                <w:b/>
                <w:bCs/>
                <w:i/>
                <w:color w:val="000080"/>
                <w:kern w:val="0"/>
                <w:szCs w:val="24"/>
              </w:rPr>
              <w:t>79</w:t>
            </w:r>
          </w:p>
        </w:tc>
      </w:tr>
      <w:tr w:rsidR="00052596" w14:paraId="483B9841"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78751D96" w14:textId="77777777" w:rsidR="00052596" w:rsidRDefault="00000000">
            <w:pPr>
              <w:tabs>
                <w:tab w:val="left" w:pos="960"/>
                <w:tab w:val="left" w:pos="1920"/>
                <w:tab w:val="left" w:pos="2880"/>
                <w:tab w:val="left" w:pos="3840"/>
                <w:tab w:val="left" w:pos="4800"/>
                <w:tab w:val="left" w:pos="5760"/>
              </w:tabs>
              <w:autoSpaceDE w:val="0"/>
              <w:spacing w:line="240" w:lineRule="atLeast"/>
              <w:ind w:left="312"/>
              <w:jc w:val="both"/>
              <w:rPr>
                <w:rFonts w:eastAsia="標楷體"/>
                <w:b/>
                <w:color w:val="000080"/>
                <w:spacing w:val="4"/>
                <w:kern w:val="0"/>
                <w:sz w:val="29"/>
                <w:szCs w:val="29"/>
              </w:rPr>
            </w:pPr>
            <w:r>
              <w:rPr>
                <w:rFonts w:eastAsia="標楷體"/>
                <w:b/>
                <w:color w:val="000080"/>
                <w:spacing w:val="4"/>
                <w:kern w:val="0"/>
                <w:sz w:val="29"/>
                <w:szCs w:val="29"/>
              </w:rPr>
              <w:t>第二節</w:t>
            </w:r>
            <w:r>
              <w:rPr>
                <w:rFonts w:eastAsia="標楷體"/>
                <w:b/>
                <w:color w:val="000080"/>
                <w:spacing w:val="4"/>
                <w:kern w:val="0"/>
                <w:sz w:val="29"/>
                <w:szCs w:val="29"/>
              </w:rPr>
              <w:t xml:space="preserve">  </w:t>
            </w:r>
            <w:r>
              <w:rPr>
                <w:rFonts w:eastAsia="標楷體"/>
                <w:b/>
                <w:color w:val="000080"/>
                <w:spacing w:val="4"/>
                <w:kern w:val="0"/>
                <w:sz w:val="29"/>
                <w:szCs w:val="29"/>
              </w:rPr>
              <w:t>政策規劃構想</w:t>
            </w:r>
          </w:p>
        </w:tc>
        <w:tc>
          <w:tcPr>
            <w:tcW w:w="3119" w:type="dxa"/>
            <w:shd w:val="clear" w:color="auto" w:fill="EDFAFF"/>
            <w:tcMar>
              <w:top w:w="0" w:type="dxa"/>
              <w:left w:w="28" w:type="dxa"/>
              <w:bottom w:w="0" w:type="dxa"/>
              <w:right w:w="28" w:type="dxa"/>
            </w:tcMar>
            <w:vAlign w:val="center"/>
          </w:tcPr>
          <w:p w14:paraId="3FFD074B" w14:textId="77777777" w:rsidR="00052596" w:rsidRDefault="00000000">
            <w:pPr>
              <w:tabs>
                <w:tab w:val="left" w:pos="960"/>
                <w:tab w:val="left" w:pos="1920"/>
                <w:tab w:val="left" w:pos="2880"/>
                <w:tab w:val="left" w:pos="3840"/>
                <w:tab w:val="left" w:pos="4800"/>
                <w:tab w:val="left" w:pos="5760"/>
              </w:tabs>
              <w:autoSpaceDE w:val="0"/>
              <w:spacing w:line="240" w:lineRule="atLeast"/>
              <w:jc w:val="center"/>
            </w:pPr>
            <w:r>
              <w:rPr>
                <w:rFonts w:eastAsia="標楷體"/>
                <w:color w:val="000080"/>
                <w:kern w:val="0"/>
                <w:sz w:val="22"/>
              </w:rPr>
              <w:t>經建會</w:t>
            </w:r>
          </w:p>
        </w:tc>
        <w:tc>
          <w:tcPr>
            <w:tcW w:w="1086" w:type="dxa"/>
            <w:gridSpan w:val="2"/>
            <w:shd w:val="clear" w:color="auto" w:fill="EDFAFF"/>
            <w:tcMar>
              <w:top w:w="0" w:type="dxa"/>
              <w:left w:w="28" w:type="dxa"/>
              <w:bottom w:w="0" w:type="dxa"/>
              <w:right w:w="28" w:type="dxa"/>
            </w:tcMar>
            <w:vAlign w:val="center"/>
          </w:tcPr>
          <w:p w14:paraId="690D8F33" w14:textId="77777777" w:rsidR="00052596" w:rsidRDefault="00000000">
            <w:pPr>
              <w:tabs>
                <w:tab w:val="left" w:pos="960"/>
                <w:tab w:val="left" w:pos="1920"/>
                <w:tab w:val="left" w:pos="2880"/>
                <w:tab w:val="left" w:pos="3840"/>
                <w:tab w:val="left" w:pos="4800"/>
                <w:tab w:val="left" w:pos="5760"/>
              </w:tabs>
              <w:autoSpaceDE w:val="0"/>
              <w:spacing w:line="240" w:lineRule="atLeast"/>
              <w:ind w:right="288"/>
              <w:jc w:val="right"/>
              <w:rPr>
                <w:rFonts w:eastAsia="標楷體"/>
                <w:b/>
                <w:bCs/>
                <w:i/>
                <w:color w:val="000080"/>
                <w:kern w:val="0"/>
                <w:szCs w:val="24"/>
              </w:rPr>
            </w:pPr>
            <w:r>
              <w:rPr>
                <w:rFonts w:eastAsia="標楷體"/>
                <w:b/>
                <w:bCs/>
                <w:i/>
                <w:color w:val="000080"/>
                <w:kern w:val="0"/>
                <w:szCs w:val="24"/>
              </w:rPr>
              <w:t>83</w:t>
            </w:r>
          </w:p>
        </w:tc>
      </w:tr>
      <w:tr w:rsidR="00052596" w14:paraId="1E4D4F07"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314CD1B4" w14:textId="77777777" w:rsidR="00052596" w:rsidRDefault="00000000">
            <w:pPr>
              <w:tabs>
                <w:tab w:val="left" w:pos="960"/>
                <w:tab w:val="left" w:pos="1920"/>
                <w:tab w:val="left" w:pos="2880"/>
                <w:tab w:val="left" w:pos="3840"/>
                <w:tab w:val="left" w:pos="4800"/>
                <w:tab w:val="left" w:pos="5760"/>
              </w:tabs>
              <w:autoSpaceDE w:val="0"/>
              <w:spacing w:line="240" w:lineRule="atLeast"/>
              <w:ind w:left="312"/>
              <w:jc w:val="both"/>
            </w:pPr>
            <w:r>
              <w:rPr>
                <w:rFonts w:eastAsia="標楷體"/>
                <w:b/>
                <w:color w:val="000080"/>
                <w:spacing w:val="4"/>
                <w:kern w:val="0"/>
                <w:sz w:val="29"/>
                <w:szCs w:val="29"/>
              </w:rPr>
              <w:t>第三節</w:t>
            </w:r>
            <w:r>
              <w:rPr>
                <w:rFonts w:eastAsia="標楷體"/>
                <w:b/>
                <w:color w:val="000080"/>
                <w:spacing w:val="4"/>
                <w:kern w:val="0"/>
                <w:sz w:val="29"/>
                <w:szCs w:val="29"/>
              </w:rPr>
              <w:t xml:space="preserve">  </w:t>
            </w:r>
            <w:r>
              <w:rPr>
                <w:rFonts w:eastAsia="標楷體"/>
                <w:b/>
                <w:color w:val="000080"/>
                <w:spacing w:val="4"/>
                <w:kern w:val="0"/>
                <w:sz w:val="29"/>
                <w:szCs w:val="29"/>
              </w:rPr>
              <w:t>目標釐訂</w:t>
            </w:r>
          </w:p>
        </w:tc>
        <w:tc>
          <w:tcPr>
            <w:tcW w:w="3119" w:type="dxa"/>
            <w:shd w:val="clear" w:color="auto" w:fill="EDFAFF"/>
            <w:tcMar>
              <w:top w:w="0" w:type="dxa"/>
              <w:left w:w="28" w:type="dxa"/>
              <w:bottom w:w="0" w:type="dxa"/>
              <w:right w:w="28" w:type="dxa"/>
            </w:tcMar>
            <w:vAlign w:val="center"/>
          </w:tcPr>
          <w:p w14:paraId="6B15A2EE" w14:textId="77777777" w:rsidR="00052596" w:rsidRDefault="00052596">
            <w:pPr>
              <w:tabs>
                <w:tab w:val="left" w:pos="960"/>
                <w:tab w:val="left" w:pos="1920"/>
                <w:tab w:val="left" w:pos="2880"/>
                <w:tab w:val="left" w:pos="3840"/>
                <w:tab w:val="left" w:pos="4800"/>
                <w:tab w:val="left" w:pos="5760"/>
              </w:tabs>
              <w:autoSpaceDE w:val="0"/>
              <w:spacing w:line="240" w:lineRule="atLeast"/>
              <w:jc w:val="center"/>
              <w:rPr>
                <w:rFonts w:ascii="標楷體" w:eastAsia="標楷體" w:hAnsi="標楷體"/>
                <w:color w:val="000080"/>
                <w:kern w:val="0"/>
                <w:sz w:val="22"/>
                <w:szCs w:val="22"/>
              </w:rPr>
            </w:pPr>
          </w:p>
        </w:tc>
        <w:tc>
          <w:tcPr>
            <w:tcW w:w="1086" w:type="dxa"/>
            <w:gridSpan w:val="2"/>
            <w:shd w:val="clear" w:color="auto" w:fill="EDFAFF"/>
            <w:tcMar>
              <w:top w:w="0" w:type="dxa"/>
              <w:left w:w="28" w:type="dxa"/>
              <w:bottom w:w="0" w:type="dxa"/>
              <w:right w:w="28" w:type="dxa"/>
            </w:tcMar>
            <w:vAlign w:val="center"/>
          </w:tcPr>
          <w:p w14:paraId="38187BAC" w14:textId="77777777" w:rsidR="00052596" w:rsidRDefault="00000000">
            <w:pPr>
              <w:tabs>
                <w:tab w:val="left" w:pos="960"/>
                <w:tab w:val="left" w:pos="1920"/>
                <w:tab w:val="left" w:pos="2880"/>
                <w:tab w:val="left" w:pos="3840"/>
                <w:tab w:val="left" w:pos="4800"/>
                <w:tab w:val="left" w:pos="5760"/>
              </w:tabs>
              <w:autoSpaceDE w:val="0"/>
              <w:spacing w:line="240" w:lineRule="atLeast"/>
              <w:ind w:right="288"/>
              <w:jc w:val="right"/>
              <w:rPr>
                <w:rFonts w:eastAsia="標楷體"/>
                <w:b/>
                <w:bCs/>
                <w:i/>
                <w:color w:val="000080"/>
                <w:kern w:val="0"/>
                <w:szCs w:val="24"/>
              </w:rPr>
            </w:pPr>
            <w:r>
              <w:rPr>
                <w:rFonts w:eastAsia="標楷體"/>
                <w:b/>
                <w:bCs/>
                <w:i/>
                <w:color w:val="000080"/>
                <w:kern w:val="0"/>
                <w:szCs w:val="24"/>
              </w:rPr>
              <w:t>86</w:t>
            </w:r>
          </w:p>
        </w:tc>
      </w:tr>
      <w:tr w:rsidR="00052596" w14:paraId="39B918FC" w14:textId="77777777">
        <w:tblPrEx>
          <w:tblCellMar>
            <w:top w:w="0" w:type="dxa"/>
            <w:bottom w:w="0" w:type="dxa"/>
          </w:tblCellMar>
        </w:tblPrEx>
        <w:trPr>
          <w:trHeight w:hRule="exact" w:val="510"/>
          <w:jc w:val="center"/>
        </w:trPr>
        <w:tc>
          <w:tcPr>
            <w:tcW w:w="5056" w:type="dxa"/>
            <w:gridSpan w:val="2"/>
            <w:shd w:val="clear" w:color="auto" w:fill="auto"/>
            <w:tcMar>
              <w:top w:w="0" w:type="dxa"/>
              <w:left w:w="28" w:type="dxa"/>
              <w:bottom w:w="0" w:type="dxa"/>
              <w:right w:w="28" w:type="dxa"/>
            </w:tcMar>
            <w:vAlign w:val="center"/>
          </w:tcPr>
          <w:p w14:paraId="16DD7558"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lastRenderedPageBreak/>
              <w:t>壹、總體經濟目標</w:t>
            </w:r>
          </w:p>
        </w:tc>
        <w:tc>
          <w:tcPr>
            <w:tcW w:w="3119" w:type="dxa"/>
            <w:shd w:val="clear" w:color="auto" w:fill="auto"/>
            <w:tcMar>
              <w:top w:w="0" w:type="dxa"/>
              <w:left w:w="28" w:type="dxa"/>
              <w:bottom w:w="0" w:type="dxa"/>
              <w:right w:w="28" w:type="dxa"/>
            </w:tcMar>
            <w:vAlign w:val="center"/>
          </w:tcPr>
          <w:p w14:paraId="48EB747B" w14:textId="77777777" w:rsidR="00052596" w:rsidRDefault="00000000">
            <w:pPr>
              <w:tabs>
                <w:tab w:val="left" w:pos="960"/>
                <w:tab w:val="left" w:pos="1920"/>
                <w:tab w:val="left" w:pos="2880"/>
                <w:tab w:val="left" w:pos="3840"/>
                <w:tab w:val="left" w:pos="4800"/>
                <w:tab w:val="left" w:pos="5760"/>
              </w:tabs>
              <w:autoSpaceDE w:val="0"/>
              <w:spacing w:line="320" w:lineRule="exact"/>
              <w:jc w:val="center"/>
            </w:pPr>
            <w:r>
              <w:rPr>
                <w:rFonts w:eastAsia="標楷體"/>
                <w:kern w:val="0"/>
                <w:sz w:val="22"/>
              </w:rPr>
              <w:t xml:space="preserve">  </w:t>
            </w:r>
            <w:r>
              <w:rPr>
                <w:rFonts w:eastAsia="標楷體"/>
                <w:kern w:val="0"/>
                <w:sz w:val="22"/>
              </w:rPr>
              <w:t>經建會</w:t>
            </w:r>
          </w:p>
        </w:tc>
        <w:tc>
          <w:tcPr>
            <w:tcW w:w="1086" w:type="dxa"/>
            <w:gridSpan w:val="2"/>
            <w:shd w:val="clear" w:color="auto" w:fill="auto"/>
            <w:tcMar>
              <w:top w:w="0" w:type="dxa"/>
              <w:left w:w="28" w:type="dxa"/>
              <w:bottom w:w="0" w:type="dxa"/>
              <w:right w:w="28" w:type="dxa"/>
            </w:tcMar>
            <w:vAlign w:val="center"/>
          </w:tcPr>
          <w:p w14:paraId="0BE05F6A" w14:textId="77777777" w:rsidR="00052596" w:rsidRDefault="00000000">
            <w:pPr>
              <w:tabs>
                <w:tab w:val="left" w:pos="960"/>
                <w:tab w:val="left" w:pos="1920"/>
                <w:tab w:val="left" w:pos="2880"/>
                <w:tab w:val="left" w:pos="3840"/>
                <w:tab w:val="left" w:pos="4800"/>
                <w:tab w:val="left" w:pos="5760"/>
              </w:tabs>
              <w:autoSpaceDE w:val="0"/>
              <w:spacing w:line="320" w:lineRule="exact"/>
              <w:ind w:right="151"/>
              <w:jc w:val="right"/>
              <w:rPr>
                <w:rFonts w:eastAsia="標楷體"/>
                <w:bCs/>
                <w:i/>
                <w:kern w:val="0"/>
                <w:szCs w:val="24"/>
              </w:rPr>
            </w:pPr>
            <w:r>
              <w:rPr>
                <w:rFonts w:eastAsia="標楷體"/>
                <w:bCs/>
                <w:i/>
                <w:kern w:val="0"/>
                <w:szCs w:val="24"/>
              </w:rPr>
              <w:t>86</w:t>
            </w:r>
          </w:p>
        </w:tc>
      </w:tr>
      <w:tr w:rsidR="00052596" w14:paraId="76FF186E" w14:textId="77777777">
        <w:tblPrEx>
          <w:tblCellMar>
            <w:top w:w="0" w:type="dxa"/>
            <w:bottom w:w="0" w:type="dxa"/>
          </w:tblCellMar>
        </w:tblPrEx>
        <w:trPr>
          <w:trHeight w:hRule="exact" w:val="510"/>
          <w:jc w:val="center"/>
        </w:trPr>
        <w:tc>
          <w:tcPr>
            <w:tcW w:w="5056" w:type="dxa"/>
            <w:gridSpan w:val="2"/>
            <w:shd w:val="clear" w:color="auto" w:fill="auto"/>
            <w:tcMar>
              <w:top w:w="0" w:type="dxa"/>
              <w:left w:w="28" w:type="dxa"/>
              <w:bottom w:w="0" w:type="dxa"/>
              <w:right w:w="28" w:type="dxa"/>
            </w:tcMar>
            <w:vAlign w:val="center"/>
          </w:tcPr>
          <w:p w14:paraId="0D004D39" w14:textId="77777777" w:rsidR="00052596" w:rsidRDefault="00000000">
            <w:pPr>
              <w:tabs>
                <w:tab w:val="left" w:pos="960"/>
                <w:tab w:val="left" w:pos="1920"/>
                <w:tab w:val="left" w:pos="2880"/>
                <w:tab w:val="left" w:pos="3840"/>
                <w:tab w:val="left" w:pos="4800"/>
                <w:tab w:val="left" w:pos="5760"/>
              </w:tabs>
              <w:autoSpaceDE w:val="0"/>
              <w:spacing w:line="320" w:lineRule="exact"/>
              <w:ind w:left="1518" w:hanging="894"/>
              <w:jc w:val="both"/>
              <w:rPr>
                <w:rFonts w:eastAsia="標楷體"/>
                <w:spacing w:val="4"/>
                <w:kern w:val="0"/>
                <w:sz w:val="29"/>
                <w:szCs w:val="29"/>
              </w:rPr>
            </w:pPr>
            <w:r>
              <w:rPr>
                <w:rFonts w:eastAsia="標楷體"/>
                <w:spacing w:val="4"/>
                <w:kern w:val="0"/>
                <w:sz w:val="29"/>
                <w:szCs w:val="29"/>
              </w:rPr>
              <w:t>貳、國家發展指標</w:t>
            </w:r>
          </w:p>
        </w:tc>
        <w:tc>
          <w:tcPr>
            <w:tcW w:w="3119" w:type="dxa"/>
            <w:shd w:val="clear" w:color="auto" w:fill="auto"/>
            <w:tcMar>
              <w:top w:w="0" w:type="dxa"/>
              <w:left w:w="28" w:type="dxa"/>
              <w:bottom w:w="0" w:type="dxa"/>
              <w:right w:w="28" w:type="dxa"/>
            </w:tcMar>
            <w:vAlign w:val="center"/>
          </w:tcPr>
          <w:p w14:paraId="5F9F36BB" w14:textId="77777777" w:rsidR="00052596" w:rsidRDefault="00000000">
            <w:pPr>
              <w:tabs>
                <w:tab w:val="left" w:pos="960"/>
                <w:tab w:val="left" w:pos="1920"/>
                <w:tab w:val="left" w:pos="2880"/>
                <w:tab w:val="left" w:pos="3840"/>
                <w:tab w:val="left" w:pos="4800"/>
                <w:tab w:val="left" w:pos="5760"/>
              </w:tabs>
              <w:autoSpaceDE w:val="0"/>
              <w:spacing w:line="320" w:lineRule="exact"/>
              <w:jc w:val="center"/>
              <w:rPr>
                <w:rFonts w:ascii="標楷體" w:eastAsia="標楷體" w:hAnsi="標楷體"/>
                <w:kern w:val="0"/>
                <w:sz w:val="22"/>
                <w:szCs w:val="22"/>
              </w:rPr>
            </w:pPr>
            <w:r>
              <w:rPr>
                <w:rFonts w:ascii="標楷體" w:eastAsia="標楷體" w:hAnsi="標楷體"/>
                <w:kern w:val="0"/>
                <w:sz w:val="22"/>
                <w:szCs w:val="22"/>
              </w:rPr>
              <w:t xml:space="preserve">  各相關機關</w:t>
            </w:r>
          </w:p>
        </w:tc>
        <w:tc>
          <w:tcPr>
            <w:tcW w:w="1086" w:type="dxa"/>
            <w:gridSpan w:val="2"/>
            <w:shd w:val="clear" w:color="auto" w:fill="auto"/>
            <w:tcMar>
              <w:top w:w="0" w:type="dxa"/>
              <w:left w:w="28" w:type="dxa"/>
              <w:bottom w:w="0" w:type="dxa"/>
              <w:right w:w="28" w:type="dxa"/>
            </w:tcMar>
            <w:vAlign w:val="center"/>
          </w:tcPr>
          <w:p w14:paraId="7A039885" w14:textId="77777777" w:rsidR="00052596" w:rsidRDefault="00000000">
            <w:pPr>
              <w:tabs>
                <w:tab w:val="left" w:pos="960"/>
                <w:tab w:val="left" w:pos="1920"/>
                <w:tab w:val="left" w:pos="2880"/>
                <w:tab w:val="left" w:pos="3840"/>
                <w:tab w:val="left" w:pos="4800"/>
                <w:tab w:val="left" w:pos="5760"/>
              </w:tabs>
              <w:autoSpaceDE w:val="0"/>
              <w:spacing w:line="320" w:lineRule="exact"/>
              <w:ind w:right="151"/>
              <w:jc w:val="right"/>
              <w:rPr>
                <w:rFonts w:eastAsia="標楷體"/>
                <w:bCs/>
                <w:i/>
                <w:kern w:val="0"/>
                <w:szCs w:val="24"/>
              </w:rPr>
            </w:pPr>
            <w:r>
              <w:rPr>
                <w:rFonts w:eastAsia="標楷體"/>
                <w:bCs/>
                <w:i/>
                <w:kern w:val="0"/>
                <w:szCs w:val="24"/>
              </w:rPr>
              <w:t>92</w:t>
            </w:r>
          </w:p>
        </w:tc>
      </w:tr>
      <w:tr w:rsidR="00052596" w14:paraId="0DB6D528" w14:textId="77777777">
        <w:tblPrEx>
          <w:tblCellMar>
            <w:top w:w="0" w:type="dxa"/>
            <w:bottom w:w="0" w:type="dxa"/>
          </w:tblCellMar>
        </w:tblPrEx>
        <w:trPr>
          <w:trHeight w:hRule="exact" w:val="680"/>
          <w:jc w:val="center"/>
        </w:trPr>
        <w:tc>
          <w:tcPr>
            <w:tcW w:w="5056" w:type="dxa"/>
            <w:gridSpan w:val="2"/>
            <w:shd w:val="clear" w:color="auto" w:fill="FFFFD5"/>
            <w:tcMar>
              <w:top w:w="0" w:type="dxa"/>
              <w:left w:w="28" w:type="dxa"/>
              <w:bottom w:w="0" w:type="dxa"/>
              <w:right w:w="28" w:type="dxa"/>
            </w:tcMar>
            <w:vAlign w:val="center"/>
          </w:tcPr>
          <w:p w14:paraId="33592661" w14:textId="77777777" w:rsidR="00052596" w:rsidRDefault="00000000">
            <w:pPr>
              <w:tabs>
                <w:tab w:val="left" w:pos="960"/>
                <w:tab w:val="left" w:pos="1920"/>
                <w:tab w:val="left" w:pos="2880"/>
                <w:tab w:val="left" w:pos="3840"/>
                <w:tab w:val="left" w:pos="4800"/>
                <w:tab w:val="left" w:pos="5760"/>
              </w:tabs>
              <w:autoSpaceDE w:val="0"/>
              <w:spacing w:line="240" w:lineRule="atLeast"/>
              <w:jc w:val="both"/>
              <w:rPr>
                <w:rFonts w:eastAsia="標楷體"/>
                <w:b/>
                <w:color w:val="000080"/>
                <w:spacing w:val="4"/>
                <w:kern w:val="0"/>
                <w:sz w:val="30"/>
              </w:rPr>
            </w:pPr>
            <w:r>
              <w:rPr>
                <w:rFonts w:eastAsia="標楷體"/>
                <w:b/>
                <w:color w:val="000080"/>
                <w:spacing w:val="4"/>
                <w:kern w:val="0"/>
                <w:sz w:val="30"/>
              </w:rPr>
              <w:t>第三章　國家發展政策主軸</w:t>
            </w:r>
          </w:p>
        </w:tc>
        <w:tc>
          <w:tcPr>
            <w:tcW w:w="3119" w:type="dxa"/>
            <w:shd w:val="clear" w:color="auto" w:fill="FFFFD5"/>
            <w:tcMar>
              <w:top w:w="0" w:type="dxa"/>
              <w:left w:w="28" w:type="dxa"/>
              <w:bottom w:w="0" w:type="dxa"/>
              <w:right w:w="28" w:type="dxa"/>
            </w:tcMar>
            <w:vAlign w:val="center"/>
          </w:tcPr>
          <w:p w14:paraId="7E2218CC" w14:textId="77777777" w:rsidR="00052596" w:rsidRDefault="00052596">
            <w:pPr>
              <w:tabs>
                <w:tab w:val="left" w:pos="960"/>
                <w:tab w:val="left" w:pos="1920"/>
                <w:tab w:val="left" w:pos="2880"/>
                <w:tab w:val="left" w:pos="3840"/>
                <w:tab w:val="left" w:pos="4800"/>
                <w:tab w:val="left" w:pos="5760"/>
              </w:tabs>
              <w:autoSpaceDE w:val="0"/>
              <w:spacing w:line="240" w:lineRule="atLeast"/>
              <w:jc w:val="center"/>
              <w:rPr>
                <w:rFonts w:ascii="標楷體" w:eastAsia="標楷體" w:hAnsi="標楷體"/>
                <w:color w:val="000080"/>
                <w:kern w:val="0"/>
                <w:sz w:val="22"/>
                <w:szCs w:val="22"/>
              </w:rPr>
            </w:pPr>
          </w:p>
        </w:tc>
        <w:tc>
          <w:tcPr>
            <w:tcW w:w="1086" w:type="dxa"/>
            <w:gridSpan w:val="2"/>
            <w:shd w:val="clear" w:color="auto" w:fill="FFFFD5"/>
            <w:tcMar>
              <w:top w:w="0" w:type="dxa"/>
              <w:left w:w="28" w:type="dxa"/>
              <w:bottom w:w="0" w:type="dxa"/>
              <w:right w:w="28" w:type="dxa"/>
            </w:tcMar>
            <w:vAlign w:val="center"/>
          </w:tcPr>
          <w:p w14:paraId="7D1E47D6"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r>
              <w:rPr>
                <w:rFonts w:eastAsia="標楷體"/>
                <w:b/>
                <w:bCs/>
                <w:i/>
                <w:color w:val="000080"/>
                <w:kern w:val="0"/>
                <w:szCs w:val="24"/>
              </w:rPr>
              <w:t>99</w:t>
            </w:r>
          </w:p>
        </w:tc>
      </w:tr>
      <w:tr w:rsidR="00052596" w14:paraId="02187122" w14:textId="77777777">
        <w:tblPrEx>
          <w:tblCellMar>
            <w:top w:w="0" w:type="dxa"/>
            <w:bottom w:w="0" w:type="dxa"/>
          </w:tblCellMar>
        </w:tblPrEx>
        <w:trPr>
          <w:trHeight w:val="680"/>
          <w:jc w:val="center"/>
        </w:trPr>
        <w:tc>
          <w:tcPr>
            <w:tcW w:w="8175" w:type="dxa"/>
            <w:gridSpan w:val="3"/>
            <w:shd w:val="clear" w:color="auto" w:fill="EFFFEF"/>
            <w:tcMar>
              <w:top w:w="0" w:type="dxa"/>
              <w:left w:w="28" w:type="dxa"/>
              <w:bottom w:w="0" w:type="dxa"/>
              <w:right w:w="28" w:type="dxa"/>
            </w:tcMar>
            <w:vAlign w:val="center"/>
          </w:tcPr>
          <w:p w14:paraId="3A1C0F1D" w14:textId="77777777" w:rsidR="00052596" w:rsidRDefault="00000000">
            <w:pPr>
              <w:tabs>
                <w:tab w:val="left" w:pos="960"/>
                <w:tab w:val="left" w:pos="1920"/>
                <w:tab w:val="left" w:pos="2880"/>
                <w:tab w:val="left" w:pos="3840"/>
                <w:tab w:val="left" w:pos="4800"/>
                <w:tab w:val="left" w:pos="5760"/>
              </w:tabs>
              <w:autoSpaceDE w:val="0"/>
              <w:spacing w:line="240" w:lineRule="atLeast"/>
              <w:ind w:left="293"/>
            </w:pPr>
            <w:r>
              <w:rPr>
                <w:rFonts w:ascii="Wingdings" w:eastAsia="Wingdings" w:hAnsi="Wingdings" w:cs="Wingdings"/>
                <w:b/>
                <w:color w:val="000080"/>
                <w:kern w:val="0"/>
                <w:sz w:val="29"/>
                <w:szCs w:val="29"/>
              </w:rPr>
              <w:t></w:t>
            </w:r>
            <w:r>
              <w:rPr>
                <w:rFonts w:eastAsia="標楷體"/>
                <w:b/>
                <w:color w:val="000080"/>
                <w:kern w:val="0"/>
                <w:sz w:val="29"/>
                <w:szCs w:val="29"/>
              </w:rPr>
              <w:t xml:space="preserve"> </w:t>
            </w:r>
            <w:r>
              <w:rPr>
                <w:rFonts w:eastAsia="標楷體"/>
                <w:b/>
                <w:color w:val="000080"/>
                <w:kern w:val="0"/>
                <w:sz w:val="29"/>
                <w:szCs w:val="29"/>
              </w:rPr>
              <w:t>全方位建設－落實「黃金十年</w:t>
            </w:r>
            <w:r>
              <w:rPr>
                <w:rFonts w:eastAsia="標楷體"/>
                <w:b/>
                <w:color w:val="000080"/>
                <w:kern w:val="0"/>
                <w:sz w:val="29"/>
                <w:szCs w:val="29"/>
              </w:rPr>
              <w:t xml:space="preserve"> </w:t>
            </w:r>
            <w:r>
              <w:rPr>
                <w:rFonts w:eastAsia="標楷體"/>
                <w:b/>
                <w:color w:val="000080"/>
                <w:kern w:val="0"/>
                <w:sz w:val="29"/>
                <w:szCs w:val="29"/>
              </w:rPr>
              <w:t>國家願景」</w:t>
            </w:r>
          </w:p>
        </w:tc>
        <w:tc>
          <w:tcPr>
            <w:tcW w:w="1086" w:type="dxa"/>
            <w:gridSpan w:val="2"/>
            <w:shd w:val="clear" w:color="auto" w:fill="EFFFEF"/>
            <w:tcMar>
              <w:top w:w="0" w:type="dxa"/>
              <w:left w:w="28" w:type="dxa"/>
              <w:bottom w:w="0" w:type="dxa"/>
              <w:right w:w="28" w:type="dxa"/>
            </w:tcMar>
            <w:vAlign w:val="center"/>
          </w:tcPr>
          <w:p w14:paraId="617C8C1F"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r>
              <w:rPr>
                <w:rFonts w:eastAsia="標楷體"/>
                <w:b/>
                <w:bCs/>
                <w:i/>
                <w:color w:val="000080"/>
                <w:kern w:val="0"/>
                <w:szCs w:val="24"/>
              </w:rPr>
              <w:t>99</w:t>
            </w:r>
          </w:p>
        </w:tc>
      </w:tr>
      <w:tr w:rsidR="00052596" w14:paraId="2347F3B5"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7EB8E018" w14:textId="77777777" w:rsidR="00052596" w:rsidRDefault="00000000">
            <w:pPr>
              <w:tabs>
                <w:tab w:val="left" w:pos="960"/>
                <w:tab w:val="left" w:pos="1920"/>
                <w:tab w:val="left" w:pos="2880"/>
                <w:tab w:val="left" w:pos="3840"/>
                <w:tab w:val="left" w:pos="4800"/>
                <w:tab w:val="left" w:pos="5760"/>
              </w:tabs>
              <w:autoSpaceDE w:val="0"/>
              <w:spacing w:line="240" w:lineRule="atLeast"/>
              <w:ind w:left="720"/>
              <w:jc w:val="both"/>
            </w:pPr>
            <w:r>
              <w:rPr>
                <w:rFonts w:eastAsia="標楷體"/>
                <w:b/>
                <w:color w:val="000080"/>
                <w:spacing w:val="4"/>
                <w:kern w:val="0"/>
                <w:sz w:val="29"/>
                <w:szCs w:val="29"/>
              </w:rPr>
              <w:t>第一節</w:t>
            </w:r>
            <w:r>
              <w:rPr>
                <w:rFonts w:eastAsia="標楷體"/>
                <w:b/>
                <w:color w:val="000080"/>
                <w:spacing w:val="4"/>
                <w:kern w:val="0"/>
                <w:sz w:val="29"/>
                <w:szCs w:val="29"/>
              </w:rPr>
              <w:t xml:space="preserve"> </w:t>
            </w:r>
            <w:r>
              <w:rPr>
                <w:rFonts w:eastAsia="標楷體"/>
                <w:b/>
                <w:color w:val="000080"/>
                <w:spacing w:val="4"/>
                <w:kern w:val="0"/>
                <w:sz w:val="29"/>
                <w:szCs w:val="29"/>
              </w:rPr>
              <w:t>活力經濟</w:t>
            </w:r>
          </w:p>
        </w:tc>
        <w:tc>
          <w:tcPr>
            <w:tcW w:w="3119" w:type="dxa"/>
            <w:shd w:val="clear" w:color="auto" w:fill="EDFAFF"/>
            <w:tcMar>
              <w:top w:w="0" w:type="dxa"/>
              <w:left w:w="28" w:type="dxa"/>
              <w:bottom w:w="0" w:type="dxa"/>
              <w:right w:w="28" w:type="dxa"/>
            </w:tcMar>
            <w:vAlign w:val="center"/>
          </w:tcPr>
          <w:p w14:paraId="1579E226" w14:textId="77777777" w:rsidR="00052596" w:rsidRDefault="00052596">
            <w:pPr>
              <w:tabs>
                <w:tab w:val="left" w:pos="960"/>
                <w:tab w:val="left" w:pos="1920"/>
                <w:tab w:val="left" w:pos="2880"/>
                <w:tab w:val="left" w:pos="3840"/>
                <w:tab w:val="left" w:pos="4800"/>
                <w:tab w:val="left" w:pos="5760"/>
              </w:tabs>
              <w:autoSpaceDE w:val="0"/>
              <w:spacing w:line="240" w:lineRule="atLeast"/>
              <w:jc w:val="center"/>
              <w:rPr>
                <w:rFonts w:ascii="標楷體" w:eastAsia="標楷體" w:hAnsi="標楷體"/>
                <w:color w:val="000080"/>
                <w:kern w:val="0"/>
                <w:sz w:val="22"/>
                <w:szCs w:val="22"/>
              </w:rPr>
            </w:pPr>
          </w:p>
        </w:tc>
        <w:tc>
          <w:tcPr>
            <w:tcW w:w="1086" w:type="dxa"/>
            <w:gridSpan w:val="2"/>
            <w:shd w:val="clear" w:color="auto" w:fill="EDFAFF"/>
            <w:tcMar>
              <w:top w:w="0" w:type="dxa"/>
              <w:left w:w="28" w:type="dxa"/>
              <w:bottom w:w="0" w:type="dxa"/>
              <w:right w:w="28" w:type="dxa"/>
            </w:tcMar>
            <w:vAlign w:val="center"/>
          </w:tcPr>
          <w:p w14:paraId="7FE585B8"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r>
              <w:rPr>
                <w:rFonts w:eastAsia="標楷體"/>
                <w:b/>
                <w:bCs/>
                <w:i/>
                <w:color w:val="000080"/>
                <w:kern w:val="0"/>
                <w:szCs w:val="24"/>
              </w:rPr>
              <w:t>99</w:t>
            </w:r>
          </w:p>
        </w:tc>
      </w:tr>
      <w:tr w:rsidR="00052596" w14:paraId="6B96249D" w14:textId="77777777">
        <w:tblPrEx>
          <w:tblCellMar>
            <w:top w:w="0" w:type="dxa"/>
            <w:bottom w:w="0" w:type="dxa"/>
          </w:tblCellMar>
        </w:tblPrEx>
        <w:trPr>
          <w:trHeight w:val="848"/>
          <w:jc w:val="center"/>
        </w:trPr>
        <w:tc>
          <w:tcPr>
            <w:tcW w:w="5056" w:type="dxa"/>
            <w:gridSpan w:val="2"/>
            <w:shd w:val="clear" w:color="auto" w:fill="auto"/>
            <w:tcMar>
              <w:top w:w="0" w:type="dxa"/>
              <w:left w:w="28" w:type="dxa"/>
              <w:bottom w:w="0" w:type="dxa"/>
              <w:right w:w="28" w:type="dxa"/>
            </w:tcMar>
            <w:vAlign w:val="center"/>
          </w:tcPr>
          <w:p w14:paraId="1A5D3701"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壹、開放布局</w:t>
            </w:r>
          </w:p>
        </w:tc>
        <w:tc>
          <w:tcPr>
            <w:tcW w:w="3119" w:type="dxa"/>
            <w:shd w:val="clear" w:color="auto" w:fill="auto"/>
            <w:tcMar>
              <w:top w:w="0" w:type="dxa"/>
              <w:left w:w="28" w:type="dxa"/>
              <w:bottom w:w="0" w:type="dxa"/>
              <w:right w:w="28" w:type="dxa"/>
            </w:tcMar>
            <w:vAlign w:val="center"/>
          </w:tcPr>
          <w:p w14:paraId="0513E973"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經濟部(內政部、財政部、教育部、勞委會、通傳會、經建會)</w:t>
            </w:r>
          </w:p>
        </w:tc>
        <w:tc>
          <w:tcPr>
            <w:tcW w:w="1086" w:type="dxa"/>
            <w:gridSpan w:val="2"/>
            <w:shd w:val="clear" w:color="auto" w:fill="auto"/>
            <w:tcMar>
              <w:top w:w="0" w:type="dxa"/>
              <w:left w:w="28" w:type="dxa"/>
              <w:bottom w:w="0" w:type="dxa"/>
              <w:right w:w="28" w:type="dxa"/>
            </w:tcMar>
            <w:vAlign w:val="center"/>
          </w:tcPr>
          <w:p w14:paraId="67EF8A36"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99</w:t>
            </w:r>
          </w:p>
        </w:tc>
      </w:tr>
      <w:tr w:rsidR="00052596" w14:paraId="54F8357A" w14:textId="77777777">
        <w:tblPrEx>
          <w:tblCellMar>
            <w:top w:w="0" w:type="dxa"/>
            <w:bottom w:w="0" w:type="dxa"/>
          </w:tblCellMar>
        </w:tblPrEx>
        <w:trPr>
          <w:trHeight w:val="793"/>
          <w:jc w:val="center"/>
        </w:trPr>
        <w:tc>
          <w:tcPr>
            <w:tcW w:w="5056" w:type="dxa"/>
            <w:gridSpan w:val="2"/>
            <w:shd w:val="clear" w:color="auto" w:fill="auto"/>
            <w:tcMar>
              <w:top w:w="0" w:type="dxa"/>
              <w:left w:w="28" w:type="dxa"/>
              <w:bottom w:w="0" w:type="dxa"/>
              <w:right w:w="28" w:type="dxa"/>
            </w:tcMar>
            <w:vAlign w:val="center"/>
          </w:tcPr>
          <w:p w14:paraId="7A07838F"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貳、科技創新</w:t>
            </w:r>
          </w:p>
        </w:tc>
        <w:tc>
          <w:tcPr>
            <w:tcW w:w="3119" w:type="dxa"/>
            <w:shd w:val="clear" w:color="auto" w:fill="auto"/>
            <w:tcMar>
              <w:top w:w="0" w:type="dxa"/>
              <w:left w:w="28" w:type="dxa"/>
              <w:bottom w:w="0" w:type="dxa"/>
              <w:right w:w="28" w:type="dxa"/>
            </w:tcMar>
            <w:vAlign w:val="center"/>
          </w:tcPr>
          <w:p w14:paraId="0D4EEDC7" w14:textId="77777777" w:rsidR="00052596" w:rsidRDefault="00000000">
            <w:pPr>
              <w:tabs>
                <w:tab w:val="left" w:pos="960"/>
                <w:tab w:val="left" w:pos="1920"/>
                <w:tab w:val="left" w:pos="2880"/>
                <w:tab w:val="left" w:pos="3840"/>
                <w:tab w:val="left" w:pos="4800"/>
                <w:tab w:val="left" w:pos="5760"/>
              </w:tabs>
              <w:autoSpaceDE w:val="0"/>
              <w:spacing w:before="108" w:after="108" w:line="260" w:lineRule="exact"/>
              <w:ind w:left="57"/>
              <w:jc w:val="both"/>
              <w:rPr>
                <w:rFonts w:ascii="標楷體" w:eastAsia="標楷體" w:hAnsi="標楷體"/>
                <w:kern w:val="0"/>
                <w:sz w:val="22"/>
                <w:szCs w:val="22"/>
              </w:rPr>
            </w:pPr>
            <w:r>
              <w:rPr>
                <w:rFonts w:ascii="標楷體" w:eastAsia="標楷體" w:hAnsi="標楷體"/>
                <w:kern w:val="0"/>
                <w:sz w:val="22"/>
                <w:szCs w:val="22"/>
              </w:rPr>
              <w:t>行政院科技會報辦公室(國科會、經濟部、教育部、國防部)</w:t>
            </w:r>
          </w:p>
        </w:tc>
        <w:tc>
          <w:tcPr>
            <w:tcW w:w="1086" w:type="dxa"/>
            <w:gridSpan w:val="2"/>
            <w:shd w:val="clear" w:color="auto" w:fill="auto"/>
            <w:tcMar>
              <w:top w:w="0" w:type="dxa"/>
              <w:left w:w="28" w:type="dxa"/>
              <w:bottom w:w="0" w:type="dxa"/>
              <w:right w:w="28" w:type="dxa"/>
            </w:tcMar>
            <w:vAlign w:val="center"/>
          </w:tcPr>
          <w:p w14:paraId="2804A344"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104</w:t>
            </w:r>
          </w:p>
        </w:tc>
      </w:tr>
      <w:tr w:rsidR="00052596" w14:paraId="35194BC5" w14:textId="77777777">
        <w:tblPrEx>
          <w:tblCellMar>
            <w:top w:w="0" w:type="dxa"/>
            <w:bottom w:w="0" w:type="dxa"/>
          </w:tblCellMar>
        </w:tblPrEx>
        <w:trPr>
          <w:trHeight w:hRule="exact" w:val="510"/>
          <w:jc w:val="center"/>
        </w:trPr>
        <w:tc>
          <w:tcPr>
            <w:tcW w:w="5056" w:type="dxa"/>
            <w:gridSpan w:val="2"/>
            <w:shd w:val="clear" w:color="auto" w:fill="auto"/>
            <w:tcMar>
              <w:top w:w="0" w:type="dxa"/>
              <w:left w:w="28" w:type="dxa"/>
              <w:bottom w:w="0" w:type="dxa"/>
              <w:right w:w="28" w:type="dxa"/>
            </w:tcMar>
            <w:vAlign w:val="center"/>
          </w:tcPr>
          <w:p w14:paraId="512877FD"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參、樂活農業</w:t>
            </w:r>
          </w:p>
        </w:tc>
        <w:tc>
          <w:tcPr>
            <w:tcW w:w="3119" w:type="dxa"/>
            <w:shd w:val="clear" w:color="auto" w:fill="auto"/>
            <w:tcMar>
              <w:top w:w="0" w:type="dxa"/>
              <w:left w:w="28" w:type="dxa"/>
              <w:bottom w:w="0" w:type="dxa"/>
              <w:right w:w="28" w:type="dxa"/>
            </w:tcMar>
            <w:vAlign w:val="center"/>
          </w:tcPr>
          <w:p w14:paraId="1890099E"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pPr>
            <w:r>
              <w:rPr>
                <w:rFonts w:ascii="標楷體" w:eastAsia="標楷體" w:hAnsi="標楷體"/>
                <w:kern w:val="0"/>
                <w:sz w:val="22"/>
                <w:szCs w:val="22"/>
              </w:rPr>
              <w:t>農委會</w:t>
            </w:r>
          </w:p>
        </w:tc>
        <w:tc>
          <w:tcPr>
            <w:tcW w:w="1086" w:type="dxa"/>
            <w:gridSpan w:val="2"/>
            <w:shd w:val="clear" w:color="auto" w:fill="auto"/>
            <w:tcMar>
              <w:top w:w="0" w:type="dxa"/>
              <w:left w:w="28" w:type="dxa"/>
              <w:bottom w:w="0" w:type="dxa"/>
              <w:right w:w="28" w:type="dxa"/>
            </w:tcMar>
            <w:vAlign w:val="center"/>
          </w:tcPr>
          <w:p w14:paraId="68CDAAAB"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108</w:t>
            </w:r>
          </w:p>
        </w:tc>
      </w:tr>
      <w:tr w:rsidR="00052596" w14:paraId="215FBF65" w14:textId="77777777">
        <w:tblPrEx>
          <w:tblCellMar>
            <w:top w:w="0" w:type="dxa"/>
            <w:bottom w:w="0" w:type="dxa"/>
          </w:tblCellMar>
        </w:tblPrEx>
        <w:trPr>
          <w:trHeight w:hRule="exact" w:val="510"/>
          <w:jc w:val="center"/>
        </w:trPr>
        <w:tc>
          <w:tcPr>
            <w:tcW w:w="5056" w:type="dxa"/>
            <w:gridSpan w:val="2"/>
            <w:shd w:val="clear" w:color="auto" w:fill="auto"/>
            <w:tcMar>
              <w:top w:w="0" w:type="dxa"/>
              <w:left w:w="28" w:type="dxa"/>
              <w:bottom w:w="0" w:type="dxa"/>
              <w:right w:w="28" w:type="dxa"/>
            </w:tcMar>
            <w:vAlign w:val="center"/>
          </w:tcPr>
          <w:p w14:paraId="267CA2C1"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肆、結構調整</w:t>
            </w:r>
          </w:p>
        </w:tc>
        <w:tc>
          <w:tcPr>
            <w:tcW w:w="3119" w:type="dxa"/>
            <w:shd w:val="clear" w:color="auto" w:fill="auto"/>
            <w:tcMar>
              <w:top w:w="0" w:type="dxa"/>
              <w:left w:w="28" w:type="dxa"/>
              <w:bottom w:w="0" w:type="dxa"/>
              <w:right w:w="28" w:type="dxa"/>
            </w:tcMar>
            <w:vAlign w:val="center"/>
          </w:tcPr>
          <w:p w14:paraId="167C85F4"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經濟部(經建會、通傳會)</w:t>
            </w:r>
          </w:p>
        </w:tc>
        <w:tc>
          <w:tcPr>
            <w:tcW w:w="1086" w:type="dxa"/>
            <w:gridSpan w:val="2"/>
            <w:shd w:val="clear" w:color="auto" w:fill="auto"/>
            <w:tcMar>
              <w:top w:w="0" w:type="dxa"/>
              <w:left w:w="28" w:type="dxa"/>
              <w:bottom w:w="0" w:type="dxa"/>
              <w:right w:w="28" w:type="dxa"/>
            </w:tcMar>
            <w:vAlign w:val="center"/>
          </w:tcPr>
          <w:p w14:paraId="422BB230"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111</w:t>
            </w:r>
          </w:p>
        </w:tc>
      </w:tr>
      <w:tr w:rsidR="00052596" w14:paraId="774913F9" w14:textId="77777777">
        <w:tblPrEx>
          <w:tblCellMar>
            <w:top w:w="0" w:type="dxa"/>
            <w:bottom w:w="0" w:type="dxa"/>
          </w:tblCellMar>
        </w:tblPrEx>
        <w:trPr>
          <w:trHeight w:val="834"/>
          <w:jc w:val="center"/>
        </w:trPr>
        <w:tc>
          <w:tcPr>
            <w:tcW w:w="5056" w:type="dxa"/>
            <w:gridSpan w:val="2"/>
            <w:shd w:val="clear" w:color="auto" w:fill="auto"/>
            <w:tcMar>
              <w:top w:w="0" w:type="dxa"/>
              <w:left w:w="28" w:type="dxa"/>
              <w:bottom w:w="0" w:type="dxa"/>
              <w:right w:w="28" w:type="dxa"/>
            </w:tcMar>
            <w:vAlign w:val="center"/>
          </w:tcPr>
          <w:p w14:paraId="713E4501"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伍、促進就業</w:t>
            </w:r>
          </w:p>
        </w:tc>
        <w:tc>
          <w:tcPr>
            <w:tcW w:w="3119" w:type="dxa"/>
            <w:shd w:val="clear" w:color="auto" w:fill="auto"/>
            <w:tcMar>
              <w:top w:w="0" w:type="dxa"/>
              <w:left w:w="28" w:type="dxa"/>
              <w:bottom w:w="0" w:type="dxa"/>
              <w:right w:w="28" w:type="dxa"/>
            </w:tcMar>
            <w:vAlign w:val="center"/>
          </w:tcPr>
          <w:p w14:paraId="7CEA23DB" w14:textId="77777777" w:rsidR="00052596" w:rsidRDefault="00000000">
            <w:pPr>
              <w:tabs>
                <w:tab w:val="left" w:pos="960"/>
                <w:tab w:val="left" w:pos="1920"/>
                <w:tab w:val="left" w:pos="2880"/>
                <w:tab w:val="left" w:pos="3840"/>
                <w:tab w:val="left" w:pos="4800"/>
                <w:tab w:val="left" w:pos="5760"/>
              </w:tabs>
              <w:autoSpaceDE w:val="0"/>
              <w:spacing w:before="108" w:after="108" w:line="260" w:lineRule="exact"/>
              <w:ind w:left="57"/>
              <w:jc w:val="both"/>
              <w:rPr>
                <w:rFonts w:ascii="標楷體" w:eastAsia="標楷體" w:hAnsi="標楷體"/>
                <w:kern w:val="0"/>
                <w:sz w:val="22"/>
                <w:szCs w:val="22"/>
              </w:rPr>
            </w:pPr>
            <w:r>
              <w:rPr>
                <w:rFonts w:ascii="標楷體" w:eastAsia="標楷體" w:hAnsi="標楷體"/>
                <w:kern w:val="0"/>
                <w:sz w:val="22"/>
                <w:szCs w:val="22"/>
              </w:rPr>
              <w:t>勞委會(經濟部、教育部、</w:t>
            </w:r>
          </w:p>
          <w:p w14:paraId="3D6E895C" w14:textId="77777777" w:rsidR="00052596" w:rsidRDefault="00000000">
            <w:pPr>
              <w:tabs>
                <w:tab w:val="left" w:pos="960"/>
                <w:tab w:val="left" w:pos="1920"/>
                <w:tab w:val="left" w:pos="2880"/>
                <w:tab w:val="left" w:pos="3840"/>
                <w:tab w:val="left" w:pos="4800"/>
                <w:tab w:val="left" w:pos="5760"/>
              </w:tabs>
              <w:autoSpaceDE w:val="0"/>
              <w:spacing w:before="108" w:after="108" w:line="260" w:lineRule="exact"/>
              <w:ind w:left="57"/>
              <w:jc w:val="both"/>
              <w:rPr>
                <w:rFonts w:ascii="標楷體" w:eastAsia="標楷體" w:hAnsi="標楷體"/>
                <w:kern w:val="0"/>
                <w:sz w:val="22"/>
                <w:szCs w:val="22"/>
              </w:rPr>
            </w:pPr>
            <w:r>
              <w:rPr>
                <w:rFonts w:ascii="標楷體" w:eastAsia="標楷體" w:hAnsi="標楷體"/>
                <w:kern w:val="0"/>
                <w:sz w:val="22"/>
                <w:szCs w:val="22"/>
              </w:rPr>
              <w:t>內政部、原民會、經建會)</w:t>
            </w:r>
          </w:p>
        </w:tc>
        <w:tc>
          <w:tcPr>
            <w:tcW w:w="1086" w:type="dxa"/>
            <w:gridSpan w:val="2"/>
            <w:shd w:val="clear" w:color="auto" w:fill="auto"/>
            <w:tcMar>
              <w:top w:w="0" w:type="dxa"/>
              <w:left w:w="28" w:type="dxa"/>
              <w:bottom w:w="0" w:type="dxa"/>
              <w:right w:w="28" w:type="dxa"/>
            </w:tcMar>
            <w:vAlign w:val="center"/>
          </w:tcPr>
          <w:p w14:paraId="5498718D"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115</w:t>
            </w:r>
          </w:p>
        </w:tc>
      </w:tr>
      <w:tr w:rsidR="00052596" w14:paraId="7B5E8151" w14:textId="77777777">
        <w:tblPrEx>
          <w:tblCellMar>
            <w:top w:w="0" w:type="dxa"/>
            <w:bottom w:w="0" w:type="dxa"/>
          </w:tblCellMar>
        </w:tblPrEx>
        <w:trPr>
          <w:trHeight w:hRule="exact" w:val="1304"/>
          <w:jc w:val="center"/>
        </w:trPr>
        <w:tc>
          <w:tcPr>
            <w:tcW w:w="5056" w:type="dxa"/>
            <w:gridSpan w:val="2"/>
            <w:shd w:val="clear" w:color="auto" w:fill="auto"/>
            <w:tcMar>
              <w:top w:w="0" w:type="dxa"/>
              <w:left w:w="28" w:type="dxa"/>
              <w:bottom w:w="0" w:type="dxa"/>
              <w:right w:w="28" w:type="dxa"/>
            </w:tcMar>
            <w:vAlign w:val="center"/>
          </w:tcPr>
          <w:p w14:paraId="49902AEC"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陸、穩定物價</w:t>
            </w:r>
          </w:p>
        </w:tc>
        <w:tc>
          <w:tcPr>
            <w:tcW w:w="3119" w:type="dxa"/>
            <w:shd w:val="clear" w:color="auto" w:fill="auto"/>
            <w:tcMar>
              <w:top w:w="0" w:type="dxa"/>
              <w:left w:w="28" w:type="dxa"/>
              <w:bottom w:w="0" w:type="dxa"/>
              <w:right w:w="28" w:type="dxa"/>
            </w:tcMar>
            <w:vAlign w:val="center"/>
          </w:tcPr>
          <w:p w14:paraId="3ACB7621" w14:textId="77777777" w:rsidR="00052596" w:rsidRDefault="00000000">
            <w:pPr>
              <w:tabs>
                <w:tab w:val="left" w:pos="960"/>
                <w:tab w:val="left" w:pos="1920"/>
                <w:tab w:val="left" w:pos="2880"/>
                <w:tab w:val="left" w:pos="3840"/>
                <w:tab w:val="left" w:pos="4800"/>
                <w:tab w:val="left" w:pos="5760"/>
              </w:tabs>
              <w:autoSpaceDE w:val="0"/>
              <w:spacing w:before="108" w:after="108" w:line="260" w:lineRule="exact"/>
              <w:ind w:left="57"/>
              <w:jc w:val="both"/>
            </w:pPr>
            <w:r>
              <w:rPr>
                <w:rFonts w:ascii="標楷體" w:eastAsia="標楷體" w:hAnsi="標楷體"/>
                <w:kern w:val="0"/>
                <w:sz w:val="22"/>
                <w:szCs w:val="22"/>
              </w:rPr>
              <w:t>經建會(經濟部、內政部、交通部、工程會、農委會、財政部、法務部、公平會、</w:t>
            </w:r>
            <w:r>
              <w:rPr>
                <w:rFonts w:ascii="文鼎中楷" w:eastAsia="標楷體" w:hAnsi="文鼎中楷"/>
                <w:kern w:val="0"/>
                <w:sz w:val="22"/>
                <w:szCs w:val="22"/>
              </w:rPr>
              <w:t>行政院消費者保護處、中央銀行、主計總處</w:t>
            </w:r>
            <w:r>
              <w:rPr>
                <w:rFonts w:ascii="文鼎中楷" w:eastAsia="標楷體" w:hAnsi="文鼎中楷"/>
                <w:kern w:val="0"/>
                <w:sz w:val="22"/>
                <w:szCs w:val="22"/>
              </w:rPr>
              <w:t>)</w:t>
            </w:r>
          </w:p>
        </w:tc>
        <w:tc>
          <w:tcPr>
            <w:tcW w:w="1086" w:type="dxa"/>
            <w:gridSpan w:val="2"/>
            <w:shd w:val="clear" w:color="auto" w:fill="auto"/>
            <w:tcMar>
              <w:top w:w="0" w:type="dxa"/>
              <w:left w:w="28" w:type="dxa"/>
              <w:bottom w:w="0" w:type="dxa"/>
              <w:right w:w="28" w:type="dxa"/>
            </w:tcMar>
            <w:vAlign w:val="center"/>
          </w:tcPr>
          <w:p w14:paraId="2A7F9406"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120</w:t>
            </w:r>
          </w:p>
        </w:tc>
      </w:tr>
      <w:tr w:rsidR="00052596" w14:paraId="48AD8426"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73940A24" w14:textId="77777777" w:rsidR="00052596" w:rsidRDefault="00000000">
            <w:pPr>
              <w:tabs>
                <w:tab w:val="left" w:pos="960"/>
                <w:tab w:val="left" w:pos="1920"/>
                <w:tab w:val="left" w:pos="2880"/>
                <w:tab w:val="left" w:pos="3840"/>
                <w:tab w:val="left" w:pos="4800"/>
                <w:tab w:val="left" w:pos="5760"/>
              </w:tabs>
              <w:autoSpaceDE w:val="0"/>
              <w:spacing w:line="240" w:lineRule="atLeast"/>
              <w:ind w:left="720"/>
              <w:jc w:val="both"/>
            </w:pPr>
            <w:r>
              <w:rPr>
                <w:rFonts w:eastAsia="標楷體"/>
                <w:b/>
                <w:color w:val="000080"/>
                <w:spacing w:val="4"/>
                <w:kern w:val="0"/>
                <w:sz w:val="29"/>
                <w:szCs w:val="29"/>
              </w:rPr>
              <w:t>第二節</w:t>
            </w:r>
            <w:r>
              <w:rPr>
                <w:rFonts w:eastAsia="標楷體"/>
                <w:b/>
                <w:color w:val="000080"/>
                <w:spacing w:val="4"/>
                <w:kern w:val="0"/>
                <w:sz w:val="29"/>
                <w:szCs w:val="29"/>
              </w:rPr>
              <w:t xml:space="preserve"> </w:t>
            </w:r>
            <w:r>
              <w:rPr>
                <w:rFonts w:eastAsia="標楷體"/>
                <w:b/>
                <w:color w:val="000080"/>
                <w:spacing w:val="4"/>
                <w:kern w:val="0"/>
                <w:sz w:val="29"/>
                <w:szCs w:val="29"/>
              </w:rPr>
              <w:t>公義社會</w:t>
            </w:r>
          </w:p>
        </w:tc>
        <w:tc>
          <w:tcPr>
            <w:tcW w:w="3119" w:type="dxa"/>
            <w:shd w:val="clear" w:color="auto" w:fill="EDFAFF"/>
            <w:tcMar>
              <w:top w:w="0" w:type="dxa"/>
              <w:left w:w="28" w:type="dxa"/>
              <w:bottom w:w="0" w:type="dxa"/>
              <w:right w:w="28" w:type="dxa"/>
            </w:tcMar>
            <w:vAlign w:val="center"/>
          </w:tcPr>
          <w:p w14:paraId="115601E4" w14:textId="77777777" w:rsidR="00052596" w:rsidRDefault="00052596">
            <w:pPr>
              <w:tabs>
                <w:tab w:val="left" w:pos="960"/>
                <w:tab w:val="left" w:pos="1920"/>
                <w:tab w:val="left" w:pos="2880"/>
                <w:tab w:val="left" w:pos="3840"/>
                <w:tab w:val="left" w:pos="4800"/>
                <w:tab w:val="left" w:pos="5760"/>
              </w:tabs>
              <w:autoSpaceDE w:val="0"/>
              <w:spacing w:line="240" w:lineRule="atLeast"/>
              <w:ind w:left="57"/>
              <w:jc w:val="both"/>
              <w:rPr>
                <w:rFonts w:ascii="文鼎中楷" w:eastAsia="文鼎中楷" w:hAnsi="文鼎中楷"/>
                <w:color w:val="000080"/>
                <w:kern w:val="0"/>
              </w:rPr>
            </w:pPr>
          </w:p>
        </w:tc>
        <w:tc>
          <w:tcPr>
            <w:tcW w:w="1086" w:type="dxa"/>
            <w:gridSpan w:val="2"/>
            <w:shd w:val="clear" w:color="auto" w:fill="EDFAFF"/>
            <w:tcMar>
              <w:top w:w="0" w:type="dxa"/>
              <w:left w:w="28" w:type="dxa"/>
              <w:bottom w:w="0" w:type="dxa"/>
              <w:right w:w="28" w:type="dxa"/>
            </w:tcMar>
            <w:vAlign w:val="center"/>
          </w:tcPr>
          <w:p w14:paraId="2B933037"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r>
              <w:rPr>
                <w:rFonts w:eastAsia="標楷體"/>
                <w:b/>
                <w:bCs/>
                <w:i/>
                <w:color w:val="000080"/>
                <w:kern w:val="0"/>
                <w:szCs w:val="24"/>
              </w:rPr>
              <w:t>123</w:t>
            </w:r>
          </w:p>
        </w:tc>
      </w:tr>
      <w:tr w:rsidR="00052596" w14:paraId="161C7611" w14:textId="77777777">
        <w:tblPrEx>
          <w:tblCellMar>
            <w:top w:w="0" w:type="dxa"/>
            <w:bottom w:w="0" w:type="dxa"/>
          </w:tblCellMar>
        </w:tblPrEx>
        <w:trPr>
          <w:trHeight w:hRule="exact" w:val="1062"/>
          <w:jc w:val="center"/>
        </w:trPr>
        <w:tc>
          <w:tcPr>
            <w:tcW w:w="5056" w:type="dxa"/>
            <w:gridSpan w:val="2"/>
            <w:shd w:val="clear" w:color="auto" w:fill="auto"/>
            <w:tcMar>
              <w:top w:w="0" w:type="dxa"/>
              <w:left w:w="28" w:type="dxa"/>
              <w:bottom w:w="0" w:type="dxa"/>
              <w:right w:w="28" w:type="dxa"/>
            </w:tcMar>
            <w:vAlign w:val="center"/>
          </w:tcPr>
          <w:p w14:paraId="43B37B4C"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壹、均富共享</w:t>
            </w:r>
          </w:p>
        </w:tc>
        <w:tc>
          <w:tcPr>
            <w:tcW w:w="3119" w:type="dxa"/>
            <w:shd w:val="clear" w:color="auto" w:fill="auto"/>
            <w:tcMar>
              <w:top w:w="0" w:type="dxa"/>
              <w:left w:w="28" w:type="dxa"/>
              <w:bottom w:w="0" w:type="dxa"/>
              <w:right w:w="28" w:type="dxa"/>
            </w:tcMar>
            <w:vAlign w:val="center"/>
          </w:tcPr>
          <w:p w14:paraId="578DF61D" w14:textId="77777777" w:rsidR="00052596" w:rsidRDefault="00000000">
            <w:pPr>
              <w:tabs>
                <w:tab w:val="left" w:pos="960"/>
                <w:tab w:val="left" w:pos="1920"/>
                <w:tab w:val="left" w:pos="2880"/>
                <w:tab w:val="left" w:pos="3840"/>
                <w:tab w:val="left" w:pos="4800"/>
                <w:tab w:val="left" w:pos="5760"/>
              </w:tabs>
              <w:autoSpaceDE w:val="0"/>
              <w:spacing w:before="108" w:after="108" w:line="260" w:lineRule="exact"/>
              <w:ind w:left="57"/>
              <w:jc w:val="both"/>
              <w:rPr>
                <w:rFonts w:ascii="標楷體" w:eastAsia="標楷體" w:hAnsi="標楷體"/>
                <w:kern w:val="0"/>
                <w:sz w:val="22"/>
                <w:szCs w:val="22"/>
              </w:rPr>
            </w:pPr>
            <w:r>
              <w:rPr>
                <w:rFonts w:ascii="標楷體" w:eastAsia="標楷體" w:hAnsi="標楷體"/>
                <w:kern w:val="0"/>
                <w:sz w:val="22"/>
                <w:szCs w:val="22"/>
              </w:rPr>
              <w:t>經建會(內政部、勞委會、教育部、金管會、經濟部、財政部、農委會、原民會)</w:t>
            </w:r>
          </w:p>
        </w:tc>
        <w:tc>
          <w:tcPr>
            <w:tcW w:w="1086" w:type="dxa"/>
            <w:gridSpan w:val="2"/>
            <w:shd w:val="clear" w:color="auto" w:fill="auto"/>
            <w:tcMar>
              <w:top w:w="0" w:type="dxa"/>
              <w:left w:w="28" w:type="dxa"/>
              <w:bottom w:w="0" w:type="dxa"/>
              <w:right w:w="28" w:type="dxa"/>
            </w:tcMar>
            <w:vAlign w:val="center"/>
          </w:tcPr>
          <w:p w14:paraId="7C2798C3"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123</w:t>
            </w:r>
          </w:p>
        </w:tc>
      </w:tr>
      <w:tr w:rsidR="00052596" w14:paraId="5933E1A8" w14:textId="77777777">
        <w:tblPrEx>
          <w:tblCellMar>
            <w:top w:w="0" w:type="dxa"/>
            <w:bottom w:w="0" w:type="dxa"/>
          </w:tblCellMar>
        </w:tblPrEx>
        <w:trPr>
          <w:trHeight w:hRule="exact" w:val="680"/>
          <w:jc w:val="center"/>
        </w:trPr>
        <w:tc>
          <w:tcPr>
            <w:tcW w:w="5056" w:type="dxa"/>
            <w:gridSpan w:val="2"/>
            <w:shd w:val="clear" w:color="auto" w:fill="auto"/>
            <w:tcMar>
              <w:top w:w="0" w:type="dxa"/>
              <w:left w:w="28" w:type="dxa"/>
              <w:bottom w:w="0" w:type="dxa"/>
              <w:right w:w="28" w:type="dxa"/>
            </w:tcMar>
            <w:vAlign w:val="center"/>
          </w:tcPr>
          <w:p w14:paraId="5CEA1C27"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貳、平安健康</w:t>
            </w:r>
          </w:p>
        </w:tc>
        <w:tc>
          <w:tcPr>
            <w:tcW w:w="3119" w:type="dxa"/>
            <w:shd w:val="clear" w:color="auto" w:fill="auto"/>
            <w:tcMar>
              <w:top w:w="0" w:type="dxa"/>
              <w:left w:w="28" w:type="dxa"/>
              <w:bottom w:w="0" w:type="dxa"/>
              <w:right w:w="28" w:type="dxa"/>
            </w:tcMar>
            <w:vAlign w:val="center"/>
          </w:tcPr>
          <w:p w14:paraId="1C46E3EE" w14:textId="77777777" w:rsidR="00052596" w:rsidRDefault="00000000">
            <w:pPr>
              <w:tabs>
                <w:tab w:val="left" w:pos="960"/>
                <w:tab w:val="left" w:pos="1920"/>
                <w:tab w:val="left" w:pos="2880"/>
                <w:tab w:val="left" w:pos="3840"/>
                <w:tab w:val="left" w:pos="4800"/>
                <w:tab w:val="left" w:pos="5760"/>
              </w:tabs>
              <w:autoSpaceDE w:val="0"/>
              <w:spacing w:before="108" w:after="36" w:line="260" w:lineRule="exact"/>
              <w:ind w:left="57"/>
              <w:jc w:val="both"/>
              <w:rPr>
                <w:rFonts w:ascii="標楷體" w:eastAsia="標楷體" w:hAnsi="標楷體"/>
                <w:kern w:val="0"/>
                <w:sz w:val="22"/>
                <w:szCs w:val="22"/>
              </w:rPr>
            </w:pPr>
            <w:r>
              <w:rPr>
                <w:rFonts w:ascii="標楷體" w:eastAsia="標楷體" w:hAnsi="標楷體"/>
                <w:kern w:val="0"/>
                <w:sz w:val="22"/>
                <w:szCs w:val="22"/>
              </w:rPr>
              <w:t>衛生署(交通部、內政部、</w:t>
            </w:r>
          </w:p>
          <w:p w14:paraId="66A2DA2E"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教育部)</w:t>
            </w:r>
          </w:p>
        </w:tc>
        <w:tc>
          <w:tcPr>
            <w:tcW w:w="1086" w:type="dxa"/>
            <w:gridSpan w:val="2"/>
            <w:shd w:val="clear" w:color="auto" w:fill="auto"/>
            <w:tcMar>
              <w:top w:w="0" w:type="dxa"/>
              <w:left w:w="28" w:type="dxa"/>
              <w:bottom w:w="0" w:type="dxa"/>
              <w:right w:w="28" w:type="dxa"/>
            </w:tcMar>
            <w:vAlign w:val="center"/>
          </w:tcPr>
          <w:p w14:paraId="109903CF"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126</w:t>
            </w:r>
          </w:p>
        </w:tc>
      </w:tr>
      <w:tr w:rsidR="00052596" w14:paraId="734AFDC8" w14:textId="77777777">
        <w:tblPrEx>
          <w:tblCellMar>
            <w:top w:w="0" w:type="dxa"/>
            <w:bottom w:w="0" w:type="dxa"/>
          </w:tblCellMar>
        </w:tblPrEx>
        <w:trPr>
          <w:trHeight w:hRule="exact" w:val="680"/>
          <w:jc w:val="center"/>
        </w:trPr>
        <w:tc>
          <w:tcPr>
            <w:tcW w:w="5056" w:type="dxa"/>
            <w:gridSpan w:val="2"/>
            <w:shd w:val="clear" w:color="auto" w:fill="auto"/>
            <w:tcMar>
              <w:top w:w="0" w:type="dxa"/>
              <w:left w:w="28" w:type="dxa"/>
              <w:bottom w:w="0" w:type="dxa"/>
              <w:right w:w="28" w:type="dxa"/>
            </w:tcMar>
            <w:vAlign w:val="center"/>
          </w:tcPr>
          <w:p w14:paraId="3664D27B"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參、扶幼護老</w:t>
            </w:r>
          </w:p>
        </w:tc>
        <w:tc>
          <w:tcPr>
            <w:tcW w:w="3119" w:type="dxa"/>
            <w:shd w:val="clear" w:color="auto" w:fill="auto"/>
            <w:tcMar>
              <w:top w:w="0" w:type="dxa"/>
              <w:left w:w="28" w:type="dxa"/>
              <w:bottom w:w="0" w:type="dxa"/>
              <w:right w:w="28" w:type="dxa"/>
            </w:tcMar>
            <w:vAlign w:val="center"/>
          </w:tcPr>
          <w:p w14:paraId="54EB9A77" w14:textId="77777777" w:rsidR="00052596" w:rsidRDefault="00000000">
            <w:pPr>
              <w:tabs>
                <w:tab w:val="left" w:pos="960"/>
                <w:tab w:val="left" w:pos="1920"/>
                <w:tab w:val="left" w:pos="2880"/>
                <w:tab w:val="left" w:pos="3840"/>
                <w:tab w:val="left" w:pos="4800"/>
                <w:tab w:val="left" w:pos="5760"/>
              </w:tabs>
              <w:autoSpaceDE w:val="0"/>
              <w:spacing w:before="108" w:after="36" w:line="260" w:lineRule="exact"/>
              <w:ind w:left="57"/>
              <w:jc w:val="both"/>
              <w:rPr>
                <w:rFonts w:ascii="標楷體" w:eastAsia="標楷體" w:hAnsi="標楷體"/>
                <w:kern w:val="0"/>
                <w:sz w:val="22"/>
                <w:szCs w:val="22"/>
              </w:rPr>
            </w:pPr>
            <w:r>
              <w:rPr>
                <w:rFonts w:ascii="標楷體" w:eastAsia="標楷體" w:hAnsi="標楷體"/>
                <w:kern w:val="0"/>
                <w:sz w:val="22"/>
                <w:szCs w:val="22"/>
              </w:rPr>
              <w:t>內政部(衛生署、教育部、</w:t>
            </w:r>
          </w:p>
          <w:p w14:paraId="6D91A2A4"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財政部)</w:t>
            </w:r>
          </w:p>
        </w:tc>
        <w:tc>
          <w:tcPr>
            <w:tcW w:w="1086" w:type="dxa"/>
            <w:gridSpan w:val="2"/>
            <w:shd w:val="clear" w:color="auto" w:fill="auto"/>
            <w:tcMar>
              <w:top w:w="0" w:type="dxa"/>
              <w:left w:w="28" w:type="dxa"/>
              <w:bottom w:w="0" w:type="dxa"/>
              <w:right w:w="28" w:type="dxa"/>
            </w:tcMar>
            <w:vAlign w:val="center"/>
          </w:tcPr>
          <w:p w14:paraId="07195E80"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132</w:t>
            </w:r>
          </w:p>
        </w:tc>
      </w:tr>
      <w:tr w:rsidR="00052596" w14:paraId="29DF100C" w14:textId="77777777">
        <w:tblPrEx>
          <w:tblCellMar>
            <w:top w:w="0" w:type="dxa"/>
            <w:bottom w:w="0" w:type="dxa"/>
          </w:tblCellMar>
        </w:tblPrEx>
        <w:trPr>
          <w:trHeight w:hRule="exact" w:val="680"/>
          <w:jc w:val="center"/>
        </w:trPr>
        <w:tc>
          <w:tcPr>
            <w:tcW w:w="5056" w:type="dxa"/>
            <w:gridSpan w:val="2"/>
            <w:shd w:val="clear" w:color="auto" w:fill="auto"/>
            <w:tcMar>
              <w:top w:w="0" w:type="dxa"/>
              <w:left w:w="28" w:type="dxa"/>
              <w:bottom w:w="0" w:type="dxa"/>
              <w:right w:w="28" w:type="dxa"/>
            </w:tcMar>
            <w:vAlign w:val="center"/>
          </w:tcPr>
          <w:p w14:paraId="1EF6E515"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肆、族群和諧</w:t>
            </w:r>
          </w:p>
        </w:tc>
        <w:tc>
          <w:tcPr>
            <w:tcW w:w="3119" w:type="dxa"/>
            <w:shd w:val="clear" w:color="auto" w:fill="auto"/>
            <w:tcMar>
              <w:top w:w="0" w:type="dxa"/>
              <w:left w:w="28" w:type="dxa"/>
              <w:bottom w:w="0" w:type="dxa"/>
              <w:right w:w="28" w:type="dxa"/>
            </w:tcMar>
            <w:vAlign w:val="center"/>
          </w:tcPr>
          <w:p w14:paraId="00BF2130" w14:textId="77777777" w:rsidR="00052596" w:rsidRDefault="00000000">
            <w:pPr>
              <w:tabs>
                <w:tab w:val="left" w:pos="960"/>
                <w:tab w:val="left" w:pos="1920"/>
                <w:tab w:val="left" w:pos="2880"/>
                <w:tab w:val="left" w:pos="3840"/>
                <w:tab w:val="left" w:pos="4800"/>
                <w:tab w:val="left" w:pos="5760"/>
              </w:tabs>
              <w:autoSpaceDE w:val="0"/>
              <w:spacing w:before="108" w:after="36" w:line="260" w:lineRule="exact"/>
              <w:ind w:left="57"/>
              <w:jc w:val="both"/>
              <w:rPr>
                <w:rFonts w:ascii="標楷體" w:eastAsia="標楷體" w:hAnsi="標楷體"/>
                <w:kern w:val="0"/>
                <w:sz w:val="22"/>
                <w:szCs w:val="22"/>
              </w:rPr>
            </w:pPr>
            <w:r>
              <w:rPr>
                <w:rFonts w:ascii="標楷體" w:eastAsia="標楷體" w:hAnsi="標楷體"/>
                <w:kern w:val="0"/>
                <w:sz w:val="22"/>
                <w:szCs w:val="22"/>
              </w:rPr>
              <w:t>內政部(文化部、原民會、</w:t>
            </w:r>
          </w:p>
          <w:p w14:paraId="3F68D7A6" w14:textId="77777777" w:rsidR="00052596" w:rsidRDefault="00000000">
            <w:pPr>
              <w:tabs>
                <w:tab w:val="left" w:pos="960"/>
                <w:tab w:val="left" w:pos="1920"/>
                <w:tab w:val="left" w:pos="2880"/>
                <w:tab w:val="left" w:pos="3840"/>
                <w:tab w:val="left" w:pos="4800"/>
                <w:tab w:val="left" w:pos="5760"/>
              </w:tabs>
              <w:autoSpaceDE w:val="0"/>
              <w:spacing w:after="108" w:line="260" w:lineRule="exact"/>
              <w:ind w:left="57"/>
              <w:jc w:val="both"/>
              <w:rPr>
                <w:rFonts w:ascii="標楷體" w:eastAsia="標楷體" w:hAnsi="標楷體"/>
                <w:kern w:val="0"/>
                <w:sz w:val="22"/>
                <w:szCs w:val="22"/>
              </w:rPr>
            </w:pPr>
            <w:r>
              <w:rPr>
                <w:rFonts w:ascii="標楷體" w:eastAsia="標楷體" w:hAnsi="標楷體"/>
                <w:kern w:val="0"/>
                <w:sz w:val="22"/>
                <w:szCs w:val="22"/>
              </w:rPr>
              <w:t>客委會、教育部、國防部)</w:t>
            </w:r>
          </w:p>
        </w:tc>
        <w:tc>
          <w:tcPr>
            <w:tcW w:w="1086" w:type="dxa"/>
            <w:gridSpan w:val="2"/>
            <w:shd w:val="clear" w:color="auto" w:fill="auto"/>
            <w:tcMar>
              <w:top w:w="0" w:type="dxa"/>
              <w:left w:w="28" w:type="dxa"/>
              <w:bottom w:w="0" w:type="dxa"/>
              <w:right w:w="28" w:type="dxa"/>
            </w:tcMar>
            <w:vAlign w:val="center"/>
          </w:tcPr>
          <w:p w14:paraId="3425D166"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135</w:t>
            </w:r>
          </w:p>
        </w:tc>
      </w:tr>
      <w:tr w:rsidR="00052596" w14:paraId="6242C7B6" w14:textId="77777777">
        <w:tblPrEx>
          <w:tblCellMar>
            <w:top w:w="0" w:type="dxa"/>
            <w:bottom w:w="0" w:type="dxa"/>
          </w:tblCellMar>
        </w:tblPrEx>
        <w:trPr>
          <w:trHeight w:hRule="exact" w:val="680"/>
          <w:jc w:val="center"/>
        </w:trPr>
        <w:tc>
          <w:tcPr>
            <w:tcW w:w="5056" w:type="dxa"/>
            <w:gridSpan w:val="2"/>
            <w:shd w:val="clear" w:color="auto" w:fill="auto"/>
            <w:tcMar>
              <w:top w:w="0" w:type="dxa"/>
              <w:left w:w="28" w:type="dxa"/>
              <w:bottom w:w="0" w:type="dxa"/>
              <w:right w:w="28" w:type="dxa"/>
            </w:tcMar>
            <w:vAlign w:val="center"/>
          </w:tcPr>
          <w:p w14:paraId="6D77559A"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伍、居住正義</w:t>
            </w:r>
          </w:p>
        </w:tc>
        <w:tc>
          <w:tcPr>
            <w:tcW w:w="3119" w:type="dxa"/>
            <w:shd w:val="clear" w:color="auto" w:fill="auto"/>
            <w:tcMar>
              <w:top w:w="0" w:type="dxa"/>
              <w:left w:w="28" w:type="dxa"/>
              <w:bottom w:w="0" w:type="dxa"/>
              <w:right w:w="28" w:type="dxa"/>
            </w:tcMar>
            <w:vAlign w:val="center"/>
          </w:tcPr>
          <w:p w14:paraId="161BEC75" w14:textId="77777777" w:rsidR="00052596" w:rsidRDefault="00000000">
            <w:pPr>
              <w:tabs>
                <w:tab w:val="left" w:pos="960"/>
                <w:tab w:val="left" w:pos="1920"/>
                <w:tab w:val="left" w:pos="2880"/>
                <w:tab w:val="left" w:pos="3840"/>
                <w:tab w:val="left" w:pos="4800"/>
                <w:tab w:val="left" w:pos="5760"/>
              </w:tabs>
              <w:autoSpaceDE w:val="0"/>
              <w:spacing w:before="108" w:line="260" w:lineRule="exact"/>
              <w:ind w:left="57"/>
              <w:jc w:val="both"/>
              <w:rPr>
                <w:rFonts w:ascii="標楷體" w:eastAsia="標楷體" w:hAnsi="標楷體"/>
                <w:kern w:val="0"/>
                <w:sz w:val="22"/>
                <w:szCs w:val="22"/>
              </w:rPr>
            </w:pPr>
            <w:r>
              <w:rPr>
                <w:rFonts w:ascii="標楷體" w:eastAsia="標楷體" w:hAnsi="標楷體"/>
                <w:kern w:val="0"/>
                <w:sz w:val="22"/>
                <w:szCs w:val="22"/>
              </w:rPr>
              <w:t>內政部(財政部、文化部、</w:t>
            </w:r>
          </w:p>
          <w:p w14:paraId="484B138E"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原民會)</w:t>
            </w:r>
          </w:p>
        </w:tc>
        <w:tc>
          <w:tcPr>
            <w:tcW w:w="1086" w:type="dxa"/>
            <w:gridSpan w:val="2"/>
            <w:shd w:val="clear" w:color="auto" w:fill="auto"/>
            <w:tcMar>
              <w:top w:w="0" w:type="dxa"/>
              <w:left w:w="28" w:type="dxa"/>
              <w:bottom w:w="0" w:type="dxa"/>
              <w:right w:w="28" w:type="dxa"/>
            </w:tcMar>
            <w:vAlign w:val="center"/>
          </w:tcPr>
          <w:p w14:paraId="0339FA44"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140</w:t>
            </w:r>
          </w:p>
        </w:tc>
      </w:tr>
      <w:tr w:rsidR="00052596" w14:paraId="63979D9C" w14:textId="77777777">
        <w:tblPrEx>
          <w:tblCellMar>
            <w:top w:w="0" w:type="dxa"/>
            <w:bottom w:w="0" w:type="dxa"/>
          </w:tblCellMar>
        </w:tblPrEx>
        <w:trPr>
          <w:trHeight w:hRule="exact" w:val="1193"/>
          <w:jc w:val="center"/>
        </w:trPr>
        <w:tc>
          <w:tcPr>
            <w:tcW w:w="5056" w:type="dxa"/>
            <w:gridSpan w:val="2"/>
            <w:shd w:val="clear" w:color="auto" w:fill="auto"/>
            <w:tcMar>
              <w:top w:w="0" w:type="dxa"/>
              <w:left w:w="28" w:type="dxa"/>
              <w:bottom w:w="0" w:type="dxa"/>
              <w:right w:w="28" w:type="dxa"/>
            </w:tcMar>
            <w:vAlign w:val="center"/>
          </w:tcPr>
          <w:p w14:paraId="36F47620"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lastRenderedPageBreak/>
              <w:t>陸、性別平等</w:t>
            </w:r>
          </w:p>
        </w:tc>
        <w:tc>
          <w:tcPr>
            <w:tcW w:w="3119" w:type="dxa"/>
            <w:shd w:val="clear" w:color="auto" w:fill="auto"/>
            <w:tcMar>
              <w:top w:w="0" w:type="dxa"/>
              <w:left w:w="28" w:type="dxa"/>
              <w:bottom w:w="0" w:type="dxa"/>
              <w:right w:w="28" w:type="dxa"/>
            </w:tcMar>
            <w:vAlign w:val="center"/>
          </w:tcPr>
          <w:p w14:paraId="5B646E68"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行政院性別平等處(教育部、</w:t>
            </w:r>
          </w:p>
          <w:p w14:paraId="36EC823E"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衛生署、內政部、法務部、</w:t>
            </w:r>
          </w:p>
          <w:p w14:paraId="2A4D6508"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文化部、財政部、農委會、</w:t>
            </w:r>
          </w:p>
          <w:p w14:paraId="7629BBF2"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勞委會、國科會)</w:t>
            </w:r>
          </w:p>
        </w:tc>
        <w:tc>
          <w:tcPr>
            <w:tcW w:w="1086" w:type="dxa"/>
            <w:gridSpan w:val="2"/>
            <w:shd w:val="clear" w:color="auto" w:fill="auto"/>
            <w:tcMar>
              <w:top w:w="0" w:type="dxa"/>
              <w:left w:w="28" w:type="dxa"/>
              <w:bottom w:w="0" w:type="dxa"/>
              <w:right w:w="28" w:type="dxa"/>
            </w:tcMar>
            <w:vAlign w:val="center"/>
          </w:tcPr>
          <w:p w14:paraId="3A1C1D2A"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145</w:t>
            </w:r>
          </w:p>
        </w:tc>
      </w:tr>
      <w:tr w:rsidR="00052596" w14:paraId="6B9C6AED"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4A866335" w14:textId="77777777" w:rsidR="00052596" w:rsidRDefault="00000000">
            <w:pPr>
              <w:tabs>
                <w:tab w:val="left" w:pos="960"/>
                <w:tab w:val="left" w:pos="1920"/>
                <w:tab w:val="left" w:pos="2880"/>
                <w:tab w:val="left" w:pos="3840"/>
                <w:tab w:val="left" w:pos="4800"/>
                <w:tab w:val="left" w:pos="5760"/>
              </w:tabs>
              <w:autoSpaceDE w:val="0"/>
              <w:spacing w:line="240" w:lineRule="atLeast"/>
              <w:ind w:left="720"/>
              <w:jc w:val="both"/>
            </w:pPr>
            <w:r>
              <w:rPr>
                <w:rFonts w:eastAsia="標楷體"/>
                <w:b/>
                <w:color w:val="000080"/>
                <w:spacing w:val="4"/>
                <w:kern w:val="0"/>
                <w:sz w:val="29"/>
                <w:szCs w:val="29"/>
              </w:rPr>
              <w:t>第三節</w:t>
            </w:r>
            <w:r>
              <w:rPr>
                <w:rFonts w:eastAsia="標楷體"/>
                <w:b/>
                <w:color w:val="000080"/>
                <w:spacing w:val="4"/>
                <w:kern w:val="0"/>
                <w:sz w:val="29"/>
                <w:szCs w:val="29"/>
              </w:rPr>
              <w:t xml:space="preserve"> </w:t>
            </w:r>
            <w:r>
              <w:rPr>
                <w:rFonts w:eastAsia="標楷體"/>
                <w:b/>
                <w:color w:val="000080"/>
                <w:spacing w:val="4"/>
                <w:kern w:val="0"/>
                <w:sz w:val="29"/>
                <w:szCs w:val="29"/>
              </w:rPr>
              <w:t>廉能政府</w:t>
            </w:r>
          </w:p>
        </w:tc>
        <w:tc>
          <w:tcPr>
            <w:tcW w:w="3119" w:type="dxa"/>
            <w:shd w:val="clear" w:color="auto" w:fill="EDFAFF"/>
            <w:tcMar>
              <w:top w:w="0" w:type="dxa"/>
              <w:left w:w="28" w:type="dxa"/>
              <w:bottom w:w="0" w:type="dxa"/>
              <w:right w:w="28" w:type="dxa"/>
            </w:tcMar>
            <w:vAlign w:val="center"/>
          </w:tcPr>
          <w:p w14:paraId="2098B38F" w14:textId="77777777" w:rsidR="00052596" w:rsidRDefault="00052596">
            <w:pPr>
              <w:tabs>
                <w:tab w:val="left" w:pos="960"/>
                <w:tab w:val="left" w:pos="1920"/>
                <w:tab w:val="left" w:pos="2880"/>
                <w:tab w:val="left" w:pos="3840"/>
                <w:tab w:val="left" w:pos="4800"/>
                <w:tab w:val="left" w:pos="5760"/>
              </w:tabs>
              <w:autoSpaceDE w:val="0"/>
              <w:spacing w:line="240" w:lineRule="atLeast"/>
              <w:ind w:left="57"/>
              <w:jc w:val="center"/>
              <w:rPr>
                <w:rFonts w:ascii="標楷體" w:eastAsia="標楷體" w:hAnsi="標楷體"/>
                <w:color w:val="000080"/>
                <w:kern w:val="0"/>
                <w:sz w:val="22"/>
                <w:szCs w:val="22"/>
              </w:rPr>
            </w:pPr>
          </w:p>
        </w:tc>
        <w:tc>
          <w:tcPr>
            <w:tcW w:w="1086" w:type="dxa"/>
            <w:gridSpan w:val="2"/>
            <w:shd w:val="clear" w:color="auto" w:fill="EDFAFF"/>
            <w:tcMar>
              <w:top w:w="0" w:type="dxa"/>
              <w:left w:w="28" w:type="dxa"/>
              <w:bottom w:w="0" w:type="dxa"/>
              <w:right w:w="28" w:type="dxa"/>
            </w:tcMar>
            <w:vAlign w:val="center"/>
          </w:tcPr>
          <w:p w14:paraId="1D2D3D7B"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r>
              <w:rPr>
                <w:rFonts w:eastAsia="標楷體"/>
                <w:b/>
                <w:bCs/>
                <w:i/>
                <w:color w:val="000080"/>
                <w:kern w:val="0"/>
                <w:szCs w:val="24"/>
              </w:rPr>
              <w:t>151</w:t>
            </w:r>
          </w:p>
        </w:tc>
      </w:tr>
      <w:tr w:rsidR="00052596" w14:paraId="05BCB269" w14:textId="77777777">
        <w:tblPrEx>
          <w:tblCellMar>
            <w:top w:w="0" w:type="dxa"/>
            <w:bottom w:w="0" w:type="dxa"/>
          </w:tblCellMar>
        </w:tblPrEx>
        <w:trPr>
          <w:trHeight w:val="471"/>
          <w:jc w:val="center"/>
        </w:trPr>
        <w:tc>
          <w:tcPr>
            <w:tcW w:w="5056" w:type="dxa"/>
            <w:gridSpan w:val="2"/>
            <w:shd w:val="clear" w:color="auto" w:fill="auto"/>
            <w:tcMar>
              <w:top w:w="0" w:type="dxa"/>
              <w:left w:w="28" w:type="dxa"/>
              <w:bottom w:w="0" w:type="dxa"/>
              <w:right w:w="28" w:type="dxa"/>
            </w:tcMar>
            <w:vAlign w:val="center"/>
          </w:tcPr>
          <w:p w14:paraId="6ABEFEBB"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壹、廉政革新</w:t>
            </w:r>
          </w:p>
        </w:tc>
        <w:tc>
          <w:tcPr>
            <w:tcW w:w="3119" w:type="dxa"/>
            <w:shd w:val="clear" w:color="auto" w:fill="auto"/>
            <w:tcMar>
              <w:top w:w="0" w:type="dxa"/>
              <w:left w:w="28" w:type="dxa"/>
              <w:bottom w:w="0" w:type="dxa"/>
              <w:right w:w="28" w:type="dxa"/>
            </w:tcMar>
            <w:vAlign w:val="center"/>
          </w:tcPr>
          <w:p w14:paraId="3C3F36DB"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法務部(司法院)</w:t>
            </w:r>
          </w:p>
        </w:tc>
        <w:tc>
          <w:tcPr>
            <w:tcW w:w="1086" w:type="dxa"/>
            <w:gridSpan w:val="2"/>
            <w:shd w:val="clear" w:color="auto" w:fill="auto"/>
            <w:tcMar>
              <w:top w:w="0" w:type="dxa"/>
              <w:left w:w="28" w:type="dxa"/>
              <w:bottom w:w="0" w:type="dxa"/>
              <w:right w:w="28" w:type="dxa"/>
            </w:tcMar>
            <w:vAlign w:val="center"/>
          </w:tcPr>
          <w:p w14:paraId="6028511D"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151</w:t>
            </w:r>
          </w:p>
        </w:tc>
      </w:tr>
      <w:tr w:rsidR="00052596" w14:paraId="3ABC6331" w14:textId="77777777">
        <w:tblPrEx>
          <w:tblCellMar>
            <w:top w:w="0" w:type="dxa"/>
            <w:bottom w:w="0" w:type="dxa"/>
          </w:tblCellMar>
        </w:tblPrEx>
        <w:trPr>
          <w:trHeight w:hRule="exact" w:val="680"/>
          <w:jc w:val="center"/>
        </w:trPr>
        <w:tc>
          <w:tcPr>
            <w:tcW w:w="5056" w:type="dxa"/>
            <w:gridSpan w:val="2"/>
            <w:shd w:val="clear" w:color="auto" w:fill="auto"/>
            <w:tcMar>
              <w:top w:w="0" w:type="dxa"/>
              <w:left w:w="28" w:type="dxa"/>
              <w:bottom w:w="0" w:type="dxa"/>
              <w:right w:w="28" w:type="dxa"/>
            </w:tcMar>
            <w:vAlign w:val="center"/>
          </w:tcPr>
          <w:p w14:paraId="331516B3"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貳、效能躍升</w:t>
            </w:r>
          </w:p>
        </w:tc>
        <w:tc>
          <w:tcPr>
            <w:tcW w:w="3119" w:type="dxa"/>
            <w:shd w:val="clear" w:color="auto" w:fill="auto"/>
            <w:tcMar>
              <w:top w:w="0" w:type="dxa"/>
              <w:left w:w="28" w:type="dxa"/>
              <w:bottom w:w="0" w:type="dxa"/>
              <w:right w:w="28" w:type="dxa"/>
            </w:tcMar>
            <w:vAlign w:val="center"/>
          </w:tcPr>
          <w:p w14:paraId="4B149F7A" w14:textId="77777777" w:rsidR="00052596" w:rsidRDefault="00000000">
            <w:pPr>
              <w:tabs>
                <w:tab w:val="left" w:pos="960"/>
                <w:tab w:val="left" w:pos="1920"/>
                <w:tab w:val="left" w:pos="2880"/>
                <w:tab w:val="left" w:pos="3840"/>
                <w:tab w:val="left" w:pos="4800"/>
                <w:tab w:val="left" w:pos="5760"/>
              </w:tabs>
              <w:autoSpaceDE w:val="0"/>
              <w:spacing w:before="108" w:line="260" w:lineRule="exact"/>
              <w:ind w:left="57"/>
              <w:jc w:val="both"/>
              <w:rPr>
                <w:rFonts w:ascii="標楷體" w:eastAsia="標楷體" w:hAnsi="標楷體"/>
                <w:kern w:val="0"/>
                <w:sz w:val="22"/>
                <w:szCs w:val="22"/>
              </w:rPr>
            </w:pPr>
            <w:r>
              <w:rPr>
                <w:rFonts w:ascii="標楷體" w:eastAsia="標楷體" w:hAnsi="標楷體"/>
                <w:kern w:val="0"/>
                <w:sz w:val="22"/>
                <w:szCs w:val="22"/>
              </w:rPr>
              <w:t>研考會(主計總處、財政部、</w:t>
            </w:r>
          </w:p>
          <w:p w14:paraId="7136EBFA"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經建會)</w:t>
            </w:r>
          </w:p>
        </w:tc>
        <w:tc>
          <w:tcPr>
            <w:tcW w:w="1086" w:type="dxa"/>
            <w:gridSpan w:val="2"/>
            <w:shd w:val="clear" w:color="auto" w:fill="auto"/>
            <w:tcMar>
              <w:top w:w="0" w:type="dxa"/>
              <w:left w:w="28" w:type="dxa"/>
              <w:bottom w:w="0" w:type="dxa"/>
              <w:right w:w="28" w:type="dxa"/>
            </w:tcMar>
            <w:vAlign w:val="center"/>
          </w:tcPr>
          <w:p w14:paraId="6307BBCC"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154</w:t>
            </w:r>
          </w:p>
        </w:tc>
      </w:tr>
      <w:tr w:rsidR="00052596" w14:paraId="55AEDED3"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68361FB9" w14:textId="77777777" w:rsidR="00052596" w:rsidRDefault="00000000">
            <w:pPr>
              <w:tabs>
                <w:tab w:val="left" w:pos="960"/>
                <w:tab w:val="left" w:pos="1920"/>
                <w:tab w:val="left" w:pos="2880"/>
                <w:tab w:val="left" w:pos="3840"/>
                <w:tab w:val="left" w:pos="4800"/>
                <w:tab w:val="left" w:pos="5760"/>
              </w:tabs>
              <w:autoSpaceDE w:val="0"/>
              <w:spacing w:line="240" w:lineRule="atLeast"/>
              <w:ind w:left="720"/>
              <w:jc w:val="both"/>
            </w:pPr>
            <w:r>
              <w:rPr>
                <w:rFonts w:eastAsia="標楷體"/>
                <w:b/>
                <w:color w:val="000080"/>
                <w:spacing w:val="4"/>
                <w:kern w:val="0"/>
                <w:sz w:val="29"/>
                <w:szCs w:val="29"/>
              </w:rPr>
              <w:t>第四節</w:t>
            </w:r>
            <w:r>
              <w:rPr>
                <w:rFonts w:eastAsia="標楷體"/>
                <w:b/>
                <w:color w:val="000080"/>
                <w:spacing w:val="4"/>
                <w:kern w:val="0"/>
                <w:sz w:val="29"/>
                <w:szCs w:val="29"/>
              </w:rPr>
              <w:t xml:space="preserve"> </w:t>
            </w:r>
            <w:r>
              <w:rPr>
                <w:rFonts w:eastAsia="標楷體"/>
                <w:b/>
                <w:color w:val="000080"/>
                <w:spacing w:val="4"/>
                <w:kern w:val="0"/>
                <w:sz w:val="29"/>
                <w:szCs w:val="29"/>
              </w:rPr>
              <w:t>優質文教</w:t>
            </w:r>
          </w:p>
        </w:tc>
        <w:tc>
          <w:tcPr>
            <w:tcW w:w="3119" w:type="dxa"/>
            <w:shd w:val="clear" w:color="auto" w:fill="EDFAFF"/>
            <w:tcMar>
              <w:top w:w="0" w:type="dxa"/>
              <w:left w:w="28" w:type="dxa"/>
              <w:bottom w:w="0" w:type="dxa"/>
              <w:right w:w="28" w:type="dxa"/>
            </w:tcMar>
            <w:vAlign w:val="center"/>
          </w:tcPr>
          <w:p w14:paraId="7F6BDCA3" w14:textId="77777777" w:rsidR="00052596" w:rsidRDefault="00052596">
            <w:pPr>
              <w:tabs>
                <w:tab w:val="left" w:pos="960"/>
                <w:tab w:val="left" w:pos="1920"/>
                <w:tab w:val="left" w:pos="2880"/>
                <w:tab w:val="left" w:pos="3840"/>
                <w:tab w:val="left" w:pos="4800"/>
                <w:tab w:val="left" w:pos="5760"/>
              </w:tabs>
              <w:autoSpaceDE w:val="0"/>
              <w:spacing w:line="240" w:lineRule="atLeast"/>
              <w:ind w:left="57"/>
              <w:jc w:val="both"/>
              <w:rPr>
                <w:rFonts w:ascii="標楷體" w:eastAsia="標楷體" w:hAnsi="標楷體"/>
                <w:color w:val="000080"/>
                <w:kern w:val="0"/>
                <w:sz w:val="22"/>
                <w:szCs w:val="22"/>
              </w:rPr>
            </w:pPr>
          </w:p>
        </w:tc>
        <w:tc>
          <w:tcPr>
            <w:tcW w:w="1086" w:type="dxa"/>
            <w:gridSpan w:val="2"/>
            <w:shd w:val="clear" w:color="auto" w:fill="EDFAFF"/>
            <w:tcMar>
              <w:top w:w="0" w:type="dxa"/>
              <w:left w:w="28" w:type="dxa"/>
              <w:bottom w:w="0" w:type="dxa"/>
              <w:right w:w="28" w:type="dxa"/>
            </w:tcMar>
            <w:vAlign w:val="center"/>
          </w:tcPr>
          <w:p w14:paraId="67FC50A6"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r>
              <w:rPr>
                <w:rFonts w:eastAsia="標楷體"/>
                <w:b/>
                <w:bCs/>
                <w:i/>
                <w:color w:val="000080"/>
                <w:kern w:val="0"/>
                <w:szCs w:val="24"/>
              </w:rPr>
              <w:t>157</w:t>
            </w:r>
          </w:p>
        </w:tc>
      </w:tr>
      <w:tr w:rsidR="00052596" w14:paraId="5BE46BBF" w14:textId="77777777">
        <w:tblPrEx>
          <w:tblCellMar>
            <w:top w:w="0" w:type="dxa"/>
            <w:bottom w:w="0" w:type="dxa"/>
          </w:tblCellMar>
        </w:tblPrEx>
        <w:trPr>
          <w:trHeight w:val="471"/>
          <w:jc w:val="center"/>
        </w:trPr>
        <w:tc>
          <w:tcPr>
            <w:tcW w:w="5056" w:type="dxa"/>
            <w:gridSpan w:val="2"/>
            <w:shd w:val="clear" w:color="auto" w:fill="auto"/>
            <w:tcMar>
              <w:top w:w="0" w:type="dxa"/>
              <w:left w:w="28" w:type="dxa"/>
              <w:bottom w:w="0" w:type="dxa"/>
              <w:right w:w="28" w:type="dxa"/>
            </w:tcMar>
            <w:vAlign w:val="center"/>
          </w:tcPr>
          <w:p w14:paraId="30A71B6C"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壹、文化創意</w:t>
            </w:r>
          </w:p>
        </w:tc>
        <w:tc>
          <w:tcPr>
            <w:tcW w:w="3119" w:type="dxa"/>
            <w:shd w:val="clear" w:color="auto" w:fill="auto"/>
            <w:tcMar>
              <w:top w:w="0" w:type="dxa"/>
              <w:left w:w="28" w:type="dxa"/>
              <w:bottom w:w="0" w:type="dxa"/>
              <w:right w:w="28" w:type="dxa"/>
            </w:tcMar>
            <w:vAlign w:val="center"/>
          </w:tcPr>
          <w:p w14:paraId="15D3BEC0"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文化部(國立故宮博物院)</w:t>
            </w:r>
          </w:p>
        </w:tc>
        <w:tc>
          <w:tcPr>
            <w:tcW w:w="1086" w:type="dxa"/>
            <w:gridSpan w:val="2"/>
            <w:shd w:val="clear" w:color="auto" w:fill="auto"/>
            <w:tcMar>
              <w:top w:w="0" w:type="dxa"/>
              <w:left w:w="28" w:type="dxa"/>
              <w:bottom w:w="0" w:type="dxa"/>
              <w:right w:w="28" w:type="dxa"/>
            </w:tcMar>
            <w:vAlign w:val="center"/>
          </w:tcPr>
          <w:p w14:paraId="77498E49"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157</w:t>
            </w:r>
          </w:p>
        </w:tc>
      </w:tr>
      <w:tr w:rsidR="00052596" w14:paraId="54D82E19" w14:textId="77777777">
        <w:tblPrEx>
          <w:tblCellMar>
            <w:top w:w="0" w:type="dxa"/>
            <w:bottom w:w="0" w:type="dxa"/>
          </w:tblCellMar>
        </w:tblPrEx>
        <w:trPr>
          <w:trHeight w:val="485"/>
          <w:jc w:val="center"/>
        </w:trPr>
        <w:tc>
          <w:tcPr>
            <w:tcW w:w="5056" w:type="dxa"/>
            <w:gridSpan w:val="2"/>
            <w:shd w:val="clear" w:color="auto" w:fill="auto"/>
            <w:tcMar>
              <w:top w:w="0" w:type="dxa"/>
              <w:left w:w="28" w:type="dxa"/>
              <w:bottom w:w="0" w:type="dxa"/>
              <w:right w:w="28" w:type="dxa"/>
            </w:tcMar>
            <w:vAlign w:val="center"/>
          </w:tcPr>
          <w:p w14:paraId="65066782"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貳、教育革新</w:t>
            </w:r>
          </w:p>
        </w:tc>
        <w:tc>
          <w:tcPr>
            <w:tcW w:w="3119" w:type="dxa"/>
            <w:shd w:val="clear" w:color="auto" w:fill="auto"/>
            <w:tcMar>
              <w:top w:w="0" w:type="dxa"/>
              <w:left w:w="28" w:type="dxa"/>
              <w:bottom w:w="0" w:type="dxa"/>
              <w:right w:w="28" w:type="dxa"/>
            </w:tcMar>
            <w:vAlign w:val="center"/>
          </w:tcPr>
          <w:p w14:paraId="41BDE05C"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教育部(勞委會)</w:t>
            </w:r>
          </w:p>
        </w:tc>
        <w:tc>
          <w:tcPr>
            <w:tcW w:w="1086" w:type="dxa"/>
            <w:gridSpan w:val="2"/>
            <w:shd w:val="clear" w:color="auto" w:fill="auto"/>
            <w:tcMar>
              <w:top w:w="0" w:type="dxa"/>
              <w:left w:w="28" w:type="dxa"/>
              <w:bottom w:w="0" w:type="dxa"/>
              <w:right w:w="28" w:type="dxa"/>
            </w:tcMar>
            <w:vAlign w:val="center"/>
          </w:tcPr>
          <w:p w14:paraId="2C55061C"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160</w:t>
            </w:r>
          </w:p>
        </w:tc>
      </w:tr>
      <w:tr w:rsidR="00052596" w14:paraId="502D1C8D" w14:textId="77777777">
        <w:tblPrEx>
          <w:tblCellMar>
            <w:top w:w="0" w:type="dxa"/>
            <w:bottom w:w="0" w:type="dxa"/>
          </w:tblCellMar>
        </w:tblPrEx>
        <w:trPr>
          <w:trHeight w:hRule="exact" w:val="567"/>
          <w:jc w:val="center"/>
        </w:trPr>
        <w:tc>
          <w:tcPr>
            <w:tcW w:w="5056" w:type="dxa"/>
            <w:gridSpan w:val="2"/>
            <w:shd w:val="clear" w:color="auto" w:fill="EDFAFF"/>
            <w:tcMar>
              <w:top w:w="0" w:type="dxa"/>
              <w:left w:w="28" w:type="dxa"/>
              <w:bottom w:w="0" w:type="dxa"/>
              <w:right w:w="28" w:type="dxa"/>
            </w:tcMar>
            <w:vAlign w:val="center"/>
          </w:tcPr>
          <w:p w14:paraId="046D4B54" w14:textId="77777777" w:rsidR="00052596" w:rsidRDefault="00000000">
            <w:pPr>
              <w:tabs>
                <w:tab w:val="left" w:pos="960"/>
                <w:tab w:val="left" w:pos="1920"/>
                <w:tab w:val="left" w:pos="2880"/>
                <w:tab w:val="left" w:pos="3840"/>
                <w:tab w:val="left" w:pos="4800"/>
                <w:tab w:val="left" w:pos="5760"/>
              </w:tabs>
              <w:autoSpaceDE w:val="0"/>
              <w:spacing w:line="240" w:lineRule="atLeast"/>
              <w:ind w:left="720"/>
              <w:jc w:val="both"/>
            </w:pPr>
            <w:r>
              <w:rPr>
                <w:rFonts w:eastAsia="標楷體"/>
                <w:b/>
                <w:color w:val="000080"/>
                <w:spacing w:val="4"/>
                <w:kern w:val="0"/>
                <w:sz w:val="29"/>
                <w:szCs w:val="29"/>
              </w:rPr>
              <w:t>第五節</w:t>
            </w:r>
            <w:r>
              <w:rPr>
                <w:rFonts w:eastAsia="標楷體"/>
                <w:b/>
                <w:color w:val="000080"/>
                <w:spacing w:val="4"/>
                <w:kern w:val="0"/>
                <w:sz w:val="29"/>
                <w:szCs w:val="29"/>
              </w:rPr>
              <w:t xml:space="preserve"> </w:t>
            </w:r>
            <w:r>
              <w:rPr>
                <w:rFonts w:eastAsia="標楷體"/>
                <w:b/>
                <w:color w:val="000080"/>
                <w:spacing w:val="4"/>
                <w:kern w:val="0"/>
                <w:sz w:val="29"/>
                <w:szCs w:val="29"/>
              </w:rPr>
              <w:t>永續環境</w:t>
            </w:r>
          </w:p>
        </w:tc>
        <w:tc>
          <w:tcPr>
            <w:tcW w:w="3119" w:type="dxa"/>
            <w:shd w:val="clear" w:color="auto" w:fill="EDFAFF"/>
            <w:tcMar>
              <w:top w:w="0" w:type="dxa"/>
              <w:left w:w="28" w:type="dxa"/>
              <w:bottom w:w="0" w:type="dxa"/>
              <w:right w:w="28" w:type="dxa"/>
            </w:tcMar>
            <w:vAlign w:val="center"/>
          </w:tcPr>
          <w:p w14:paraId="6FEF8B9C" w14:textId="77777777" w:rsidR="00052596" w:rsidRDefault="00052596">
            <w:pPr>
              <w:tabs>
                <w:tab w:val="left" w:pos="960"/>
                <w:tab w:val="left" w:pos="1920"/>
                <w:tab w:val="left" w:pos="2880"/>
                <w:tab w:val="left" w:pos="3840"/>
                <w:tab w:val="left" w:pos="4800"/>
                <w:tab w:val="left" w:pos="5760"/>
              </w:tabs>
              <w:autoSpaceDE w:val="0"/>
              <w:spacing w:line="240" w:lineRule="atLeast"/>
              <w:ind w:left="57"/>
              <w:jc w:val="both"/>
              <w:rPr>
                <w:rFonts w:ascii="標楷體" w:eastAsia="標楷體" w:hAnsi="標楷體"/>
                <w:color w:val="000080"/>
                <w:kern w:val="0"/>
                <w:sz w:val="22"/>
                <w:szCs w:val="22"/>
              </w:rPr>
            </w:pPr>
          </w:p>
        </w:tc>
        <w:tc>
          <w:tcPr>
            <w:tcW w:w="1086" w:type="dxa"/>
            <w:gridSpan w:val="2"/>
            <w:shd w:val="clear" w:color="auto" w:fill="EDFAFF"/>
            <w:tcMar>
              <w:top w:w="0" w:type="dxa"/>
              <w:left w:w="28" w:type="dxa"/>
              <w:bottom w:w="0" w:type="dxa"/>
              <w:right w:w="28" w:type="dxa"/>
            </w:tcMar>
            <w:vAlign w:val="center"/>
          </w:tcPr>
          <w:p w14:paraId="53CBE56B"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r>
              <w:rPr>
                <w:rFonts w:eastAsia="標楷體"/>
                <w:b/>
                <w:bCs/>
                <w:i/>
                <w:color w:val="000080"/>
                <w:kern w:val="0"/>
                <w:szCs w:val="24"/>
              </w:rPr>
              <w:t>165</w:t>
            </w:r>
          </w:p>
        </w:tc>
      </w:tr>
      <w:tr w:rsidR="00052596" w14:paraId="1AAE1D5A" w14:textId="77777777">
        <w:tblPrEx>
          <w:tblCellMar>
            <w:top w:w="0" w:type="dxa"/>
            <w:bottom w:w="0" w:type="dxa"/>
          </w:tblCellMar>
        </w:tblPrEx>
        <w:trPr>
          <w:trHeight w:hRule="exact" w:val="680"/>
          <w:jc w:val="center"/>
        </w:trPr>
        <w:tc>
          <w:tcPr>
            <w:tcW w:w="5056" w:type="dxa"/>
            <w:gridSpan w:val="2"/>
            <w:shd w:val="clear" w:color="auto" w:fill="auto"/>
            <w:tcMar>
              <w:top w:w="0" w:type="dxa"/>
              <w:left w:w="28" w:type="dxa"/>
              <w:bottom w:w="0" w:type="dxa"/>
              <w:right w:w="28" w:type="dxa"/>
            </w:tcMar>
            <w:vAlign w:val="center"/>
          </w:tcPr>
          <w:p w14:paraId="6DAD2F87"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壹、綠能減碳</w:t>
            </w:r>
          </w:p>
        </w:tc>
        <w:tc>
          <w:tcPr>
            <w:tcW w:w="3119" w:type="dxa"/>
            <w:shd w:val="clear" w:color="auto" w:fill="auto"/>
            <w:tcMar>
              <w:top w:w="0" w:type="dxa"/>
              <w:left w:w="28" w:type="dxa"/>
              <w:bottom w:w="0" w:type="dxa"/>
              <w:right w:w="28" w:type="dxa"/>
            </w:tcMar>
            <w:vAlign w:val="center"/>
          </w:tcPr>
          <w:p w14:paraId="280533DF" w14:textId="77777777" w:rsidR="00052596" w:rsidRDefault="00000000">
            <w:pPr>
              <w:tabs>
                <w:tab w:val="left" w:pos="960"/>
                <w:tab w:val="left" w:pos="1920"/>
                <w:tab w:val="left" w:pos="2880"/>
                <w:tab w:val="left" w:pos="3840"/>
                <w:tab w:val="left" w:pos="4800"/>
                <w:tab w:val="left" w:pos="5760"/>
              </w:tabs>
              <w:autoSpaceDE w:val="0"/>
              <w:spacing w:before="108" w:line="260" w:lineRule="exact"/>
              <w:ind w:left="57"/>
              <w:jc w:val="both"/>
              <w:rPr>
                <w:rFonts w:ascii="標楷體" w:eastAsia="標楷體" w:hAnsi="標楷體"/>
                <w:kern w:val="0"/>
                <w:sz w:val="22"/>
                <w:szCs w:val="22"/>
              </w:rPr>
            </w:pPr>
            <w:r>
              <w:rPr>
                <w:rFonts w:ascii="標楷體" w:eastAsia="標楷體" w:hAnsi="標楷體"/>
                <w:kern w:val="0"/>
                <w:sz w:val="22"/>
                <w:szCs w:val="22"/>
              </w:rPr>
              <w:t>經濟部(環保署、財政部、</w:t>
            </w:r>
          </w:p>
          <w:p w14:paraId="6AA3C627"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交通部、內政部、農委會)</w:t>
            </w:r>
          </w:p>
        </w:tc>
        <w:tc>
          <w:tcPr>
            <w:tcW w:w="1086" w:type="dxa"/>
            <w:gridSpan w:val="2"/>
            <w:shd w:val="clear" w:color="auto" w:fill="auto"/>
            <w:tcMar>
              <w:top w:w="0" w:type="dxa"/>
              <w:left w:w="28" w:type="dxa"/>
              <w:bottom w:w="0" w:type="dxa"/>
              <w:right w:w="28" w:type="dxa"/>
            </w:tcMar>
            <w:vAlign w:val="center"/>
          </w:tcPr>
          <w:p w14:paraId="27F5C5B3"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165</w:t>
            </w:r>
          </w:p>
        </w:tc>
      </w:tr>
      <w:tr w:rsidR="00052596" w14:paraId="418C04F2" w14:textId="77777777">
        <w:tblPrEx>
          <w:tblCellMar>
            <w:top w:w="0" w:type="dxa"/>
            <w:bottom w:w="0" w:type="dxa"/>
          </w:tblCellMar>
        </w:tblPrEx>
        <w:trPr>
          <w:trHeight w:hRule="exact" w:val="907"/>
          <w:jc w:val="center"/>
        </w:trPr>
        <w:tc>
          <w:tcPr>
            <w:tcW w:w="5056" w:type="dxa"/>
            <w:gridSpan w:val="2"/>
            <w:shd w:val="clear" w:color="auto" w:fill="auto"/>
            <w:tcMar>
              <w:top w:w="0" w:type="dxa"/>
              <w:left w:w="28" w:type="dxa"/>
              <w:bottom w:w="0" w:type="dxa"/>
              <w:right w:w="28" w:type="dxa"/>
            </w:tcMar>
            <w:vAlign w:val="center"/>
          </w:tcPr>
          <w:p w14:paraId="24A8B773"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貳、生態家園</w:t>
            </w:r>
          </w:p>
        </w:tc>
        <w:tc>
          <w:tcPr>
            <w:tcW w:w="3119" w:type="dxa"/>
            <w:shd w:val="clear" w:color="auto" w:fill="auto"/>
            <w:tcMar>
              <w:top w:w="0" w:type="dxa"/>
              <w:left w:w="28" w:type="dxa"/>
              <w:bottom w:w="0" w:type="dxa"/>
              <w:right w:w="28" w:type="dxa"/>
            </w:tcMar>
            <w:vAlign w:val="center"/>
          </w:tcPr>
          <w:p w14:paraId="779281A1" w14:textId="77777777" w:rsidR="00052596" w:rsidRDefault="00000000">
            <w:pPr>
              <w:tabs>
                <w:tab w:val="left" w:pos="960"/>
                <w:tab w:val="left" w:pos="1920"/>
                <w:tab w:val="left" w:pos="2880"/>
                <w:tab w:val="left" w:pos="3840"/>
                <w:tab w:val="left" w:pos="4800"/>
                <w:tab w:val="left" w:pos="5760"/>
              </w:tabs>
              <w:autoSpaceDE w:val="0"/>
              <w:spacing w:before="108" w:after="108" w:line="260" w:lineRule="exact"/>
              <w:ind w:left="57"/>
              <w:jc w:val="both"/>
              <w:rPr>
                <w:rFonts w:ascii="標楷體" w:eastAsia="標楷體" w:hAnsi="標楷體"/>
                <w:kern w:val="0"/>
                <w:sz w:val="22"/>
                <w:szCs w:val="22"/>
              </w:rPr>
            </w:pPr>
            <w:r>
              <w:rPr>
                <w:rFonts w:ascii="標楷體" w:eastAsia="標楷體" w:hAnsi="標楷體"/>
                <w:kern w:val="0"/>
                <w:sz w:val="22"/>
                <w:szCs w:val="22"/>
              </w:rPr>
              <w:t>環保署(經濟部、內政部、文化部、農委會、國科會、研考會、原民會、經建會)</w:t>
            </w:r>
          </w:p>
        </w:tc>
        <w:tc>
          <w:tcPr>
            <w:tcW w:w="1086" w:type="dxa"/>
            <w:gridSpan w:val="2"/>
            <w:shd w:val="clear" w:color="auto" w:fill="auto"/>
            <w:tcMar>
              <w:top w:w="0" w:type="dxa"/>
              <w:left w:w="28" w:type="dxa"/>
              <w:bottom w:w="0" w:type="dxa"/>
              <w:right w:w="28" w:type="dxa"/>
            </w:tcMar>
            <w:vAlign w:val="center"/>
          </w:tcPr>
          <w:p w14:paraId="4A83E8EF"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169</w:t>
            </w:r>
          </w:p>
        </w:tc>
      </w:tr>
      <w:tr w:rsidR="00052596" w14:paraId="5DC51785" w14:textId="77777777">
        <w:tblPrEx>
          <w:tblCellMar>
            <w:top w:w="0" w:type="dxa"/>
            <w:bottom w:w="0" w:type="dxa"/>
          </w:tblCellMar>
        </w:tblPrEx>
        <w:trPr>
          <w:trHeight w:val="933"/>
          <w:jc w:val="center"/>
        </w:trPr>
        <w:tc>
          <w:tcPr>
            <w:tcW w:w="5056" w:type="dxa"/>
            <w:gridSpan w:val="2"/>
            <w:shd w:val="clear" w:color="auto" w:fill="auto"/>
            <w:tcMar>
              <w:top w:w="0" w:type="dxa"/>
              <w:left w:w="28" w:type="dxa"/>
              <w:bottom w:w="0" w:type="dxa"/>
              <w:right w:w="28" w:type="dxa"/>
            </w:tcMar>
            <w:vAlign w:val="center"/>
          </w:tcPr>
          <w:p w14:paraId="33A695E0"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參、災害防救</w:t>
            </w:r>
          </w:p>
        </w:tc>
        <w:tc>
          <w:tcPr>
            <w:tcW w:w="3119" w:type="dxa"/>
            <w:shd w:val="clear" w:color="auto" w:fill="auto"/>
            <w:tcMar>
              <w:top w:w="0" w:type="dxa"/>
              <w:left w:w="28" w:type="dxa"/>
              <w:bottom w:w="0" w:type="dxa"/>
              <w:right w:w="28" w:type="dxa"/>
            </w:tcMar>
            <w:vAlign w:val="center"/>
          </w:tcPr>
          <w:p w14:paraId="18D083AD" w14:textId="77777777" w:rsidR="00052596" w:rsidRDefault="00000000">
            <w:pPr>
              <w:tabs>
                <w:tab w:val="left" w:pos="960"/>
                <w:tab w:val="left" w:pos="1920"/>
                <w:tab w:val="left" w:pos="2880"/>
                <w:tab w:val="left" w:pos="3840"/>
                <w:tab w:val="left" w:pos="4800"/>
                <w:tab w:val="left" w:pos="5760"/>
              </w:tabs>
              <w:autoSpaceDE w:val="0"/>
              <w:spacing w:before="108" w:after="108" w:line="260" w:lineRule="exact"/>
              <w:ind w:left="57"/>
              <w:jc w:val="both"/>
              <w:rPr>
                <w:rFonts w:ascii="標楷體" w:eastAsia="標楷體" w:hAnsi="標楷體"/>
                <w:kern w:val="0"/>
                <w:sz w:val="22"/>
                <w:szCs w:val="22"/>
              </w:rPr>
            </w:pPr>
            <w:r>
              <w:rPr>
                <w:rFonts w:ascii="標楷體" w:eastAsia="標楷體" w:hAnsi="標楷體"/>
                <w:kern w:val="0"/>
                <w:sz w:val="22"/>
                <w:szCs w:val="22"/>
              </w:rPr>
              <w:t>內政部(經濟部、原能會、國防部、農委會、交通部、行政院災害防救辦公室、經建會)</w:t>
            </w:r>
          </w:p>
        </w:tc>
        <w:tc>
          <w:tcPr>
            <w:tcW w:w="1086" w:type="dxa"/>
            <w:gridSpan w:val="2"/>
            <w:shd w:val="clear" w:color="auto" w:fill="auto"/>
            <w:tcMar>
              <w:top w:w="0" w:type="dxa"/>
              <w:left w:w="28" w:type="dxa"/>
              <w:bottom w:w="0" w:type="dxa"/>
              <w:right w:w="28" w:type="dxa"/>
            </w:tcMar>
            <w:vAlign w:val="center"/>
          </w:tcPr>
          <w:p w14:paraId="12583A66"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174</w:t>
            </w:r>
          </w:p>
        </w:tc>
      </w:tr>
      <w:tr w:rsidR="00052596" w14:paraId="118E5645" w14:textId="77777777">
        <w:tblPrEx>
          <w:tblCellMar>
            <w:top w:w="0" w:type="dxa"/>
            <w:bottom w:w="0" w:type="dxa"/>
          </w:tblCellMar>
        </w:tblPrEx>
        <w:trPr>
          <w:trHeight w:hRule="exact" w:val="567"/>
          <w:jc w:val="center"/>
        </w:trPr>
        <w:tc>
          <w:tcPr>
            <w:tcW w:w="19" w:type="dxa"/>
          </w:tcPr>
          <w:p w14:paraId="6D24398E" w14:textId="77777777" w:rsidR="00052596" w:rsidRDefault="00052596">
            <w:pPr>
              <w:tabs>
                <w:tab w:val="left" w:pos="960"/>
                <w:tab w:val="left" w:pos="1920"/>
                <w:tab w:val="left" w:pos="2880"/>
                <w:tab w:val="left" w:pos="3840"/>
                <w:tab w:val="left" w:pos="4800"/>
                <w:tab w:val="left" w:pos="5760"/>
              </w:tabs>
              <w:autoSpaceDE w:val="0"/>
              <w:spacing w:line="240" w:lineRule="atLeast"/>
              <w:ind w:left="720"/>
              <w:jc w:val="both"/>
              <w:rPr>
                <w:rFonts w:eastAsia="標楷體"/>
                <w:b/>
                <w:color w:val="000080"/>
                <w:spacing w:val="4"/>
                <w:kern w:val="0"/>
                <w:sz w:val="29"/>
                <w:szCs w:val="29"/>
              </w:rPr>
            </w:pPr>
          </w:p>
        </w:tc>
        <w:tc>
          <w:tcPr>
            <w:tcW w:w="5037" w:type="dxa"/>
            <w:shd w:val="clear" w:color="auto" w:fill="EDFAFF"/>
            <w:tcMar>
              <w:top w:w="0" w:type="dxa"/>
              <w:left w:w="28" w:type="dxa"/>
              <w:bottom w:w="0" w:type="dxa"/>
              <w:right w:w="28" w:type="dxa"/>
            </w:tcMar>
            <w:vAlign w:val="center"/>
          </w:tcPr>
          <w:p w14:paraId="21C10089" w14:textId="77777777" w:rsidR="00052596" w:rsidRDefault="00000000">
            <w:pPr>
              <w:tabs>
                <w:tab w:val="left" w:pos="960"/>
                <w:tab w:val="left" w:pos="1920"/>
                <w:tab w:val="left" w:pos="2880"/>
                <w:tab w:val="left" w:pos="3840"/>
                <w:tab w:val="left" w:pos="4800"/>
                <w:tab w:val="left" w:pos="5760"/>
              </w:tabs>
              <w:autoSpaceDE w:val="0"/>
              <w:spacing w:line="240" w:lineRule="atLeast"/>
              <w:ind w:left="720"/>
              <w:jc w:val="both"/>
              <w:rPr>
                <w:rFonts w:eastAsia="標楷體"/>
                <w:b/>
                <w:color w:val="000080"/>
                <w:spacing w:val="4"/>
                <w:kern w:val="0"/>
                <w:sz w:val="29"/>
                <w:szCs w:val="29"/>
              </w:rPr>
            </w:pPr>
            <w:r>
              <w:rPr>
                <w:rFonts w:eastAsia="標楷體"/>
                <w:b/>
                <w:color w:val="000080"/>
                <w:spacing w:val="4"/>
                <w:kern w:val="0"/>
                <w:sz w:val="29"/>
                <w:szCs w:val="29"/>
              </w:rPr>
              <w:t>第六節</w:t>
            </w:r>
            <w:r>
              <w:rPr>
                <w:rFonts w:eastAsia="標楷體"/>
                <w:b/>
                <w:color w:val="000080"/>
                <w:spacing w:val="4"/>
                <w:kern w:val="0"/>
                <w:sz w:val="29"/>
                <w:szCs w:val="29"/>
              </w:rPr>
              <w:t xml:space="preserve"> </w:t>
            </w:r>
            <w:r>
              <w:rPr>
                <w:rFonts w:eastAsia="標楷體"/>
                <w:b/>
                <w:color w:val="000080"/>
                <w:spacing w:val="4"/>
                <w:kern w:val="0"/>
                <w:sz w:val="29"/>
                <w:szCs w:val="29"/>
              </w:rPr>
              <w:t>全面建設</w:t>
            </w:r>
          </w:p>
        </w:tc>
        <w:tc>
          <w:tcPr>
            <w:tcW w:w="3119" w:type="dxa"/>
            <w:shd w:val="clear" w:color="auto" w:fill="EDFAFF"/>
            <w:tcMar>
              <w:top w:w="0" w:type="dxa"/>
              <w:left w:w="28" w:type="dxa"/>
              <w:bottom w:w="0" w:type="dxa"/>
              <w:right w:w="28" w:type="dxa"/>
            </w:tcMar>
            <w:vAlign w:val="center"/>
          </w:tcPr>
          <w:p w14:paraId="043E5CAB" w14:textId="77777777" w:rsidR="00052596" w:rsidRDefault="00052596">
            <w:pPr>
              <w:tabs>
                <w:tab w:val="left" w:pos="960"/>
                <w:tab w:val="left" w:pos="1920"/>
                <w:tab w:val="left" w:pos="2880"/>
                <w:tab w:val="left" w:pos="3840"/>
                <w:tab w:val="left" w:pos="4800"/>
                <w:tab w:val="left" w:pos="5760"/>
              </w:tabs>
              <w:autoSpaceDE w:val="0"/>
              <w:spacing w:line="240" w:lineRule="atLeast"/>
              <w:ind w:left="57"/>
              <w:rPr>
                <w:rFonts w:ascii="標楷體" w:eastAsia="標楷體" w:hAnsi="標楷體"/>
                <w:color w:val="000080"/>
                <w:kern w:val="0"/>
                <w:sz w:val="22"/>
                <w:szCs w:val="22"/>
              </w:rPr>
            </w:pPr>
          </w:p>
        </w:tc>
        <w:tc>
          <w:tcPr>
            <w:tcW w:w="1067" w:type="dxa"/>
            <w:shd w:val="clear" w:color="auto" w:fill="EDFAFF"/>
            <w:tcMar>
              <w:top w:w="0" w:type="dxa"/>
              <w:left w:w="28" w:type="dxa"/>
              <w:bottom w:w="0" w:type="dxa"/>
              <w:right w:w="28" w:type="dxa"/>
            </w:tcMar>
            <w:vAlign w:val="center"/>
          </w:tcPr>
          <w:p w14:paraId="6775B7E1"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r>
              <w:rPr>
                <w:rFonts w:eastAsia="標楷體"/>
                <w:b/>
                <w:bCs/>
                <w:i/>
                <w:color w:val="000080"/>
                <w:kern w:val="0"/>
                <w:szCs w:val="24"/>
              </w:rPr>
              <w:t>178</w:t>
            </w:r>
          </w:p>
        </w:tc>
        <w:tc>
          <w:tcPr>
            <w:tcW w:w="19" w:type="dxa"/>
          </w:tcPr>
          <w:p w14:paraId="2A1C0F93" w14:textId="77777777" w:rsidR="00052596" w:rsidRDefault="00052596">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p>
        </w:tc>
      </w:tr>
      <w:tr w:rsidR="00052596" w14:paraId="2E91E679" w14:textId="77777777">
        <w:tblPrEx>
          <w:tblCellMar>
            <w:top w:w="0" w:type="dxa"/>
            <w:bottom w:w="0" w:type="dxa"/>
          </w:tblCellMar>
        </w:tblPrEx>
        <w:trPr>
          <w:trHeight w:val="471"/>
          <w:jc w:val="center"/>
        </w:trPr>
        <w:tc>
          <w:tcPr>
            <w:tcW w:w="19" w:type="dxa"/>
          </w:tcPr>
          <w:p w14:paraId="1C903CB5"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6475A299"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壹、基礎建設</w:t>
            </w:r>
          </w:p>
        </w:tc>
        <w:tc>
          <w:tcPr>
            <w:tcW w:w="3119" w:type="dxa"/>
            <w:shd w:val="clear" w:color="auto" w:fill="auto"/>
            <w:tcMar>
              <w:top w:w="0" w:type="dxa"/>
              <w:left w:w="28" w:type="dxa"/>
              <w:bottom w:w="0" w:type="dxa"/>
              <w:right w:w="28" w:type="dxa"/>
            </w:tcMar>
            <w:vAlign w:val="center"/>
          </w:tcPr>
          <w:p w14:paraId="0FEBC64A"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經濟部(內政部、教育部)</w:t>
            </w:r>
          </w:p>
        </w:tc>
        <w:tc>
          <w:tcPr>
            <w:tcW w:w="1067" w:type="dxa"/>
            <w:shd w:val="clear" w:color="auto" w:fill="auto"/>
            <w:tcMar>
              <w:top w:w="0" w:type="dxa"/>
              <w:left w:w="28" w:type="dxa"/>
              <w:bottom w:w="0" w:type="dxa"/>
              <w:right w:w="28" w:type="dxa"/>
            </w:tcMar>
            <w:vAlign w:val="center"/>
          </w:tcPr>
          <w:p w14:paraId="6322BE47"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178</w:t>
            </w:r>
          </w:p>
        </w:tc>
        <w:tc>
          <w:tcPr>
            <w:tcW w:w="19" w:type="dxa"/>
          </w:tcPr>
          <w:p w14:paraId="46EA88E0"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415BAA34" w14:textId="77777777">
        <w:tblPrEx>
          <w:tblCellMar>
            <w:top w:w="0" w:type="dxa"/>
            <w:bottom w:w="0" w:type="dxa"/>
          </w:tblCellMar>
        </w:tblPrEx>
        <w:trPr>
          <w:trHeight w:hRule="exact" w:val="510"/>
          <w:jc w:val="center"/>
        </w:trPr>
        <w:tc>
          <w:tcPr>
            <w:tcW w:w="19" w:type="dxa"/>
          </w:tcPr>
          <w:p w14:paraId="2E43756B"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6CFC4BF5"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貳、海空樞紐</w:t>
            </w:r>
          </w:p>
        </w:tc>
        <w:tc>
          <w:tcPr>
            <w:tcW w:w="3119" w:type="dxa"/>
            <w:shd w:val="clear" w:color="auto" w:fill="auto"/>
            <w:tcMar>
              <w:top w:w="0" w:type="dxa"/>
              <w:left w:w="28" w:type="dxa"/>
              <w:bottom w:w="0" w:type="dxa"/>
              <w:right w:w="28" w:type="dxa"/>
            </w:tcMar>
            <w:vAlign w:val="center"/>
          </w:tcPr>
          <w:p w14:paraId="25FAD7CA"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交通部(財政部)</w:t>
            </w:r>
          </w:p>
        </w:tc>
        <w:tc>
          <w:tcPr>
            <w:tcW w:w="1067" w:type="dxa"/>
            <w:shd w:val="clear" w:color="auto" w:fill="auto"/>
            <w:tcMar>
              <w:top w:w="0" w:type="dxa"/>
              <w:left w:w="28" w:type="dxa"/>
              <w:bottom w:w="0" w:type="dxa"/>
              <w:right w:w="28" w:type="dxa"/>
            </w:tcMar>
            <w:vAlign w:val="center"/>
          </w:tcPr>
          <w:p w14:paraId="23351582"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181</w:t>
            </w:r>
          </w:p>
        </w:tc>
        <w:tc>
          <w:tcPr>
            <w:tcW w:w="19" w:type="dxa"/>
          </w:tcPr>
          <w:p w14:paraId="4686EDC0"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39CEF0CC" w14:textId="77777777">
        <w:tblPrEx>
          <w:tblCellMar>
            <w:top w:w="0" w:type="dxa"/>
            <w:bottom w:w="0" w:type="dxa"/>
          </w:tblCellMar>
        </w:tblPrEx>
        <w:trPr>
          <w:trHeight w:hRule="exact" w:val="680"/>
          <w:jc w:val="center"/>
        </w:trPr>
        <w:tc>
          <w:tcPr>
            <w:tcW w:w="19" w:type="dxa"/>
          </w:tcPr>
          <w:p w14:paraId="749D635B"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54F98B6D"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參、便捷生活</w:t>
            </w:r>
          </w:p>
        </w:tc>
        <w:tc>
          <w:tcPr>
            <w:tcW w:w="3119" w:type="dxa"/>
            <w:shd w:val="clear" w:color="auto" w:fill="auto"/>
            <w:tcMar>
              <w:top w:w="0" w:type="dxa"/>
              <w:left w:w="28" w:type="dxa"/>
              <w:bottom w:w="0" w:type="dxa"/>
              <w:right w:w="28" w:type="dxa"/>
            </w:tcMar>
            <w:vAlign w:val="center"/>
          </w:tcPr>
          <w:p w14:paraId="0466A7B2" w14:textId="77777777" w:rsidR="00052596" w:rsidRDefault="00000000">
            <w:pPr>
              <w:tabs>
                <w:tab w:val="left" w:pos="960"/>
                <w:tab w:val="left" w:pos="1920"/>
                <w:tab w:val="left" w:pos="2880"/>
                <w:tab w:val="left" w:pos="3840"/>
                <w:tab w:val="left" w:pos="4800"/>
                <w:tab w:val="left" w:pos="5760"/>
              </w:tabs>
              <w:autoSpaceDE w:val="0"/>
              <w:spacing w:before="108" w:line="260" w:lineRule="exact"/>
              <w:ind w:left="57"/>
              <w:jc w:val="both"/>
              <w:rPr>
                <w:rFonts w:ascii="標楷體" w:eastAsia="標楷體" w:hAnsi="標楷體"/>
                <w:kern w:val="0"/>
                <w:sz w:val="22"/>
                <w:szCs w:val="22"/>
              </w:rPr>
            </w:pPr>
            <w:r>
              <w:rPr>
                <w:rFonts w:ascii="標楷體" w:eastAsia="標楷體" w:hAnsi="標楷體"/>
                <w:kern w:val="0"/>
                <w:sz w:val="22"/>
                <w:szCs w:val="22"/>
              </w:rPr>
              <w:t>交通部(內政部、經濟部、</w:t>
            </w:r>
          </w:p>
          <w:p w14:paraId="713C1BFF"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通傳會)</w:t>
            </w:r>
          </w:p>
        </w:tc>
        <w:tc>
          <w:tcPr>
            <w:tcW w:w="1067" w:type="dxa"/>
            <w:shd w:val="clear" w:color="auto" w:fill="auto"/>
            <w:tcMar>
              <w:top w:w="0" w:type="dxa"/>
              <w:left w:w="28" w:type="dxa"/>
              <w:bottom w:w="0" w:type="dxa"/>
              <w:right w:w="28" w:type="dxa"/>
            </w:tcMar>
            <w:vAlign w:val="center"/>
          </w:tcPr>
          <w:p w14:paraId="2A0AF8A7"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184</w:t>
            </w:r>
          </w:p>
        </w:tc>
        <w:tc>
          <w:tcPr>
            <w:tcW w:w="19" w:type="dxa"/>
          </w:tcPr>
          <w:p w14:paraId="01F1F19E"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3AB9CF6E" w14:textId="77777777">
        <w:tblPrEx>
          <w:tblCellMar>
            <w:top w:w="0" w:type="dxa"/>
            <w:bottom w:w="0" w:type="dxa"/>
          </w:tblCellMar>
        </w:tblPrEx>
        <w:trPr>
          <w:trHeight w:hRule="exact" w:val="510"/>
          <w:jc w:val="center"/>
        </w:trPr>
        <w:tc>
          <w:tcPr>
            <w:tcW w:w="19" w:type="dxa"/>
          </w:tcPr>
          <w:p w14:paraId="52F89701"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25C5EA7D"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肆、區域均衡</w:t>
            </w:r>
          </w:p>
        </w:tc>
        <w:tc>
          <w:tcPr>
            <w:tcW w:w="3119" w:type="dxa"/>
            <w:shd w:val="clear" w:color="auto" w:fill="auto"/>
            <w:tcMar>
              <w:top w:w="0" w:type="dxa"/>
              <w:left w:w="28" w:type="dxa"/>
              <w:bottom w:w="0" w:type="dxa"/>
              <w:right w:w="28" w:type="dxa"/>
            </w:tcMar>
            <w:vAlign w:val="center"/>
          </w:tcPr>
          <w:p w14:paraId="34C1912E"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經建會</w:t>
            </w:r>
          </w:p>
        </w:tc>
        <w:tc>
          <w:tcPr>
            <w:tcW w:w="1067" w:type="dxa"/>
            <w:shd w:val="clear" w:color="auto" w:fill="auto"/>
            <w:tcMar>
              <w:top w:w="0" w:type="dxa"/>
              <w:left w:w="28" w:type="dxa"/>
              <w:bottom w:w="0" w:type="dxa"/>
              <w:right w:w="28" w:type="dxa"/>
            </w:tcMar>
            <w:vAlign w:val="center"/>
          </w:tcPr>
          <w:p w14:paraId="00EB6E67"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187</w:t>
            </w:r>
          </w:p>
        </w:tc>
        <w:tc>
          <w:tcPr>
            <w:tcW w:w="19" w:type="dxa"/>
          </w:tcPr>
          <w:p w14:paraId="62F70CFA"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78C3C238" w14:textId="77777777">
        <w:tblPrEx>
          <w:tblCellMar>
            <w:top w:w="0" w:type="dxa"/>
            <w:bottom w:w="0" w:type="dxa"/>
          </w:tblCellMar>
        </w:tblPrEx>
        <w:trPr>
          <w:trHeight w:hRule="exact" w:val="680"/>
          <w:jc w:val="center"/>
        </w:trPr>
        <w:tc>
          <w:tcPr>
            <w:tcW w:w="19" w:type="dxa"/>
          </w:tcPr>
          <w:p w14:paraId="05577087"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06849C0D"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伍、健全財政</w:t>
            </w:r>
          </w:p>
        </w:tc>
        <w:tc>
          <w:tcPr>
            <w:tcW w:w="3119" w:type="dxa"/>
            <w:shd w:val="clear" w:color="auto" w:fill="auto"/>
            <w:tcMar>
              <w:top w:w="0" w:type="dxa"/>
              <w:left w:w="28" w:type="dxa"/>
              <w:bottom w:w="0" w:type="dxa"/>
              <w:right w:w="28" w:type="dxa"/>
            </w:tcMar>
            <w:vAlign w:val="center"/>
          </w:tcPr>
          <w:p w14:paraId="28634A42" w14:textId="77777777" w:rsidR="00052596" w:rsidRDefault="00000000">
            <w:pPr>
              <w:tabs>
                <w:tab w:val="left" w:pos="960"/>
                <w:tab w:val="left" w:pos="1920"/>
                <w:tab w:val="left" w:pos="2880"/>
                <w:tab w:val="left" w:pos="3840"/>
                <w:tab w:val="left" w:pos="4800"/>
                <w:tab w:val="left" w:pos="5760"/>
              </w:tabs>
              <w:autoSpaceDE w:val="0"/>
              <w:spacing w:before="108" w:line="260" w:lineRule="exact"/>
              <w:ind w:left="57"/>
              <w:jc w:val="both"/>
              <w:rPr>
                <w:rFonts w:ascii="標楷體" w:eastAsia="標楷體" w:hAnsi="標楷體"/>
                <w:kern w:val="0"/>
                <w:sz w:val="22"/>
                <w:szCs w:val="22"/>
              </w:rPr>
            </w:pPr>
            <w:r>
              <w:rPr>
                <w:rFonts w:ascii="標楷體" w:eastAsia="標楷體" w:hAnsi="標楷體"/>
                <w:kern w:val="0"/>
                <w:sz w:val="22"/>
                <w:szCs w:val="22"/>
              </w:rPr>
              <w:t>財政部(主計總處、經建會、</w:t>
            </w:r>
          </w:p>
          <w:p w14:paraId="04248DE9"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工程會、交通部、內政部)</w:t>
            </w:r>
          </w:p>
        </w:tc>
        <w:tc>
          <w:tcPr>
            <w:tcW w:w="1067" w:type="dxa"/>
            <w:shd w:val="clear" w:color="auto" w:fill="auto"/>
            <w:tcMar>
              <w:top w:w="0" w:type="dxa"/>
              <w:left w:w="28" w:type="dxa"/>
              <w:bottom w:w="0" w:type="dxa"/>
              <w:right w:w="28" w:type="dxa"/>
            </w:tcMar>
            <w:vAlign w:val="center"/>
          </w:tcPr>
          <w:p w14:paraId="0964E583"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190</w:t>
            </w:r>
          </w:p>
        </w:tc>
        <w:tc>
          <w:tcPr>
            <w:tcW w:w="19" w:type="dxa"/>
          </w:tcPr>
          <w:p w14:paraId="7EC57919"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0B758A41" w14:textId="77777777">
        <w:tblPrEx>
          <w:tblCellMar>
            <w:top w:w="0" w:type="dxa"/>
            <w:bottom w:w="0" w:type="dxa"/>
          </w:tblCellMar>
        </w:tblPrEx>
        <w:trPr>
          <w:trHeight w:hRule="exact" w:val="510"/>
          <w:jc w:val="center"/>
        </w:trPr>
        <w:tc>
          <w:tcPr>
            <w:tcW w:w="19" w:type="dxa"/>
          </w:tcPr>
          <w:p w14:paraId="08FECE37"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3239CECD"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陸、金融發展</w:t>
            </w:r>
          </w:p>
        </w:tc>
        <w:tc>
          <w:tcPr>
            <w:tcW w:w="3119" w:type="dxa"/>
            <w:shd w:val="clear" w:color="auto" w:fill="auto"/>
            <w:tcMar>
              <w:top w:w="0" w:type="dxa"/>
              <w:left w:w="28" w:type="dxa"/>
              <w:bottom w:w="0" w:type="dxa"/>
              <w:right w:w="28" w:type="dxa"/>
            </w:tcMar>
            <w:vAlign w:val="center"/>
          </w:tcPr>
          <w:p w14:paraId="6EBF5880"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金管會(中央銀行、陸委會)</w:t>
            </w:r>
          </w:p>
        </w:tc>
        <w:tc>
          <w:tcPr>
            <w:tcW w:w="1067" w:type="dxa"/>
            <w:shd w:val="clear" w:color="auto" w:fill="auto"/>
            <w:tcMar>
              <w:top w:w="0" w:type="dxa"/>
              <w:left w:w="28" w:type="dxa"/>
              <w:bottom w:w="0" w:type="dxa"/>
              <w:right w:w="28" w:type="dxa"/>
            </w:tcMar>
            <w:vAlign w:val="center"/>
          </w:tcPr>
          <w:p w14:paraId="3DB31206"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195</w:t>
            </w:r>
          </w:p>
        </w:tc>
        <w:tc>
          <w:tcPr>
            <w:tcW w:w="19" w:type="dxa"/>
          </w:tcPr>
          <w:p w14:paraId="19C73CD6"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2F4C04A3" w14:textId="77777777">
        <w:tblPrEx>
          <w:tblCellMar>
            <w:top w:w="0" w:type="dxa"/>
            <w:bottom w:w="0" w:type="dxa"/>
          </w:tblCellMar>
        </w:tblPrEx>
        <w:trPr>
          <w:trHeight w:hRule="exact" w:val="567"/>
          <w:jc w:val="center"/>
        </w:trPr>
        <w:tc>
          <w:tcPr>
            <w:tcW w:w="19" w:type="dxa"/>
          </w:tcPr>
          <w:p w14:paraId="37458F0B" w14:textId="77777777" w:rsidR="00052596" w:rsidRDefault="00052596">
            <w:pPr>
              <w:tabs>
                <w:tab w:val="left" w:pos="960"/>
                <w:tab w:val="left" w:pos="1920"/>
                <w:tab w:val="left" w:pos="2880"/>
                <w:tab w:val="left" w:pos="3840"/>
                <w:tab w:val="left" w:pos="4800"/>
                <w:tab w:val="left" w:pos="5760"/>
              </w:tabs>
              <w:autoSpaceDE w:val="0"/>
              <w:spacing w:line="240" w:lineRule="atLeast"/>
              <w:ind w:left="720"/>
              <w:jc w:val="both"/>
            </w:pPr>
          </w:p>
        </w:tc>
        <w:tc>
          <w:tcPr>
            <w:tcW w:w="5037" w:type="dxa"/>
            <w:shd w:val="clear" w:color="auto" w:fill="EDFAFF"/>
            <w:tcMar>
              <w:top w:w="0" w:type="dxa"/>
              <w:left w:w="28" w:type="dxa"/>
              <w:bottom w:w="0" w:type="dxa"/>
              <w:right w:w="28" w:type="dxa"/>
            </w:tcMar>
            <w:vAlign w:val="center"/>
          </w:tcPr>
          <w:p w14:paraId="028D7204" w14:textId="77777777" w:rsidR="00052596" w:rsidRDefault="00000000">
            <w:pPr>
              <w:tabs>
                <w:tab w:val="left" w:pos="960"/>
                <w:tab w:val="left" w:pos="1920"/>
                <w:tab w:val="left" w:pos="2880"/>
                <w:tab w:val="left" w:pos="3840"/>
                <w:tab w:val="left" w:pos="4800"/>
                <w:tab w:val="left" w:pos="5760"/>
              </w:tabs>
              <w:autoSpaceDE w:val="0"/>
              <w:spacing w:line="240" w:lineRule="atLeast"/>
              <w:ind w:left="720"/>
              <w:jc w:val="both"/>
            </w:pPr>
            <w:r>
              <w:rPr>
                <w:rFonts w:eastAsia="標楷體"/>
                <w:b/>
                <w:color w:val="000080"/>
                <w:spacing w:val="4"/>
                <w:kern w:val="0"/>
                <w:sz w:val="29"/>
                <w:szCs w:val="29"/>
              </w:rPr>
              <w:t>第七節</w:t>
            </w:r>
            <w:r>
              <w:rPr>
                <w:rFonts w:eastAsia="標楷體"/>
                <w:b/>
                <w:color w:val="000080"/>
                <w:spacing w:val="4"/>
                <w:kern w:val="0"/>
                <w:sz w:val="29"/>
                <w:szCs w:val="29"/>
              </w:rPr>
              <w:t xml:space="preserve"> </w:t>
            </w:r>
            <w:r>
              <w:rPr>
                <w:rFonts w:eastAsia="標楷體"/>
                <w:b/>
                <w:color w:val="000080"/>
                <w:spacing w:val="4"/>
                <w:kern w:val="0"/>
                <w:sz w:val="29"/>
                <w:szCs w:val="29"/>
              </w:rPr>
              <w:t>和平兩岸</w:t>
            </w:r>
          </w:p>
        </w:tc>
        <w:tc>
          <w:tcPr>
            <w:tcW w:w="3119" w:type="dxa"/>
            <w:shd w:val="clear" w:color="auto" w:fill="EDFAFF"/>
            <w:tcMar>
              <w:top w:w="0" w:type="dxa"/>
              <w:left w:w="28" w:type="dxa"/>
              <w:bottom w:w="0" w:type="dxa"/>
              <w:right w:w="28" w:type="dxa"/>
            </w:tcMar>
            <w:vAlign w:val="center"/>
          </w:tcPr>
          <w:p w14:paraId="075BAED7" w14:textId="77777777" w:rsidR="00052596" w:rsidRDefault="00052596">
            <w:pPr>
              <w:tabs>
                <w:tab w:val="left" w:pos="960"/>
                <w:tab w:val="left" w:pos="1920"/>
                <w:tab w:val="left" w:pos="2880"/>
                <w:tab w:val="left" w:pos="3840"/>
                <w:tab w:val="left" w:pos="4800"/>
                <w:tab w:val="left" w:pos="5760"/>
              </w:tabs>
              <w:autoSpaceDE w:val="0"/>
              <w:spacing w:line="240" w:lineRule="atLeast"/>
              <w:ind w:left="57"/>
              <w:rPr>
                <w:rFonts w:ascii="標楷體" w:eastAsia="標楷體" w:hAnsi="標楷體"/>
                <w:color w:val="000080"/>
                <w:kern w:val="0"/>
                <w:sz w:val="22"/>
                <w:szCs w:val="22"/>
              </w:rPr>
            </w:pPr>
          </w:p>
        </w:tc>
        <w:tc>
          <w:tcPr>
            <w:tcW w:w="1067" w:type="dxa"/>
            <w:shd w:val="clear" w:color="auto" w:fill="EDFAFF"/>
            <w:tcMar>
              <w:top w:w="0" w:type="dxa"/>
              <w:left w:w="28" w:type="dxa"/>
              <w:bottom w:w="0" w:type="dxa"/>
              <w:right w:w="28" w:type="dxa"/>
            </w:tcMar>
            <w:vAlign w:val="center"/>
          </w:tcPr>
          <w:p w14:paraId="634F281A"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r>
              <w:rPr>
                <w:rFonts w:eastAsia="標楷體"/>
                <w:b/>
                <w:bCs/>
                <w:i/>
                <w:color w:val="000080"/>
                <w:kern w:val="0"/>
                <w:szCs w:val="24"/>
              </w:rPr>
              <w:t>199</w:t>
            </w:r>
          </w:p>
        </w:tc>
        <w:tc>
          <w:tcPr>
            <w:tcW w:w="19" w:type="dxa"/>
          </w:tcPr>
          <w:p w14:paraId="6EC24E8A" w14:textId="77777777" w:rsidR="00052596" w:rsidRDefault="00052596">
            <w:pPr>
              <w:tabs>
                <w:tab w:val="left" w:pos="960"/>
                <w:tab w:val="left" w:pos="1920"/>
                <w:tab w:val="left" w:pos="2880"/>
                <w:tab w:val="left" w:pos="3840"/>
                <w:tab w:val="left" w:pos="4800"/>
                <w:tab w:val="left" w:pos="5760"/>
              </w:tabs>
              <w:autoSpaceDE w:val="0"/>
              <w:spacing w:line="240" w:lineRule="atLeast"/>
              <w:ind w:right="151"/>
              <w:jc w:val="right"/>
              <w:rPr>
                <w:rFonts w:eastAsia="標楷體"/>
                <w:b/>
                <w:bCs/>
                <w:i/>
                <w:color w:val="000080"/>
                <w:kern w:val="0"/>
                <w:szCs w:val="24"/>
              </w:rPr>
            </w:pPr>
          </w:p>
        </w:tc>
      </w:tr>
      <w:tr w:rsidR="00052596" w14:paraId="48D6864F" w14:textId="77777777">
        <w:tblPrEx>
          <w:tblCellMar>
            <w:top w:w="0" w:type="dxa"/>
            <w:bottom w:w="0" w:type="dxa"/>
          </w:tblCellMar>
        </w:tblPrEx>
        <w:trPr>
          <w:trHeight w:val="752"/>
          <w:jc w:val="center"/>
        </w:trPr>
        <w:tc>
          <w:tcPr>
            <w:tcW w:w="19" w:type="dxa"/>
          </w:tcPr>
          <w:p w14:paraId="125AA87A"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3AFDF9D5"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壹、兩岸關係</w:t>
            </w:r>
          </w:p>
        </w:tc>
        <w:tc>
          <w:tcPr>
            <w:tcW w:w="3119" w:type="dxa"/>
            <w:shd w:val="clear" w:color="auto" w:fill="auto"/>
            <w:tcMar>
              <w:top w:w="0" w:type="dxa"/>
              <w:left w:w="28" w:type="dxa"/>
              <w:bottom w:w="0" w:type="dxa"/>
              <w:right w:w="28" w:type="dxa"/>
            </w:tcMar>
            <w:vAlign w:val="center"/>
          </w:tcPr>
          <w:p w14:paraId="3C662BFB" w14:textId="77777777" w:rsidR="00052596" w:rsidRDefault="00000000">
            <w:pPr>
              <w:tabs>
                <w:tab w:val="left" w:pos="960"/>
                <w:tab w:val="left" w:pos="1920"/>
                <w:tab w:val="left" w:pos="2880"/>
                <w:tab w:val="left" w:pos="3840"/>
                <w:tab w:val="left" w:pos="4800"/>
                <w:tab w:val="left" w:pos="5760"/>
              </w:tabs>
              <w:autoSpaceDE w:val="0"/>
              <w:spacing w:before="108" w:line="260" w:lineRule="exact"/>
              <w:ind w:left="57"/>
              <w:jc w:val="both"/>
              <w:rPr>
                <w:rFonts w:ascii="標楷體" w:eastAsia="標楷體" w:hAnsi="標楷體"/>
                <w:kern w:val="0"/>
                <w:sz w:val="22"/>
                <w:szCs w:val="22"/>
              </w:rPr>
            </w:pPr>
            <w:r>
              <w:rPr>
                <w:rFonts w:ascii="標楷體" w:eastAsia="標楷體" w:hAnsi="標楷體"/>
                <w:kern w:val="0"/>
                <w:sz w:val="22"/>
                <w:szCs w:val="22"/>
              </w:rPr>
              <w:t>陸委會(經濟部、教育部、</w:t>
            </w:r>
          </w:p>
          <w:p w14:paraId="36B22097"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交通部、財政部、勞委會)</w:t>
            </w:r>
          </w:p>
        </w:tc>
        <w:tc>
          <w:tcPr>
            <w:tcW w:w="1067" w:type="dxa"/>
            <w:shd w:val="clear" w:color="auto" w:fill="auto"/>
            <w:tcMar>
              <w:top w:w="0" w:type="dxa"/>
              <w:left w:w="28" w:type="dxa"/>
              <w:bottom w:w="0" w:type="dxa"/>
              <w:right w:w="28" w:type="dxa"/>
            </w:tcMar>
            <w:vAlign w:val="center"/>
          </w:tcPr>
          <w:p w14:paraId="6A99039D"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199</w:t>
            </w:r>
          </w:p>
        </w:tc>
        <w:tc>
          <w:tcPr>
            <w:tcW w:w="19" w:type="dxa"/>
          </w:tcPr>
          <w:p w14:paraId="0B2C982C"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2CF844A4" w14:textId="77777777">
        <w:tblPrEx>
          <w:tblCellMar>
            <w:top w:w="0" w:type="dxa"/>
            <w:bottom w:w="0" w:type="dxa"/>
          </w:tblCellMar>
        </w:tblPrEx>
        <w:trPr>
          <w:trHeight w:hRule="exact" w:val="510"/>
          <w:jc w:val="center"/>
        </w:trPr>
        <w:tc>
          <w:tcPr>
            <w:tcW w:w="19" w:type="dxa"/>
          </w:tcPr>
          <w:p w14:paraId="68EB529F"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26CD9A5F"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貳、國防安全</w:t>
            </w:r>
          </w:p>
        </w:tc>
        <w:tc>
          <w:tcPr>
            <w:tcW w:w="3119" w:type="dxa"/>
            <w:shd w:val="clear" w:color="auto" w:fill="auto"/>
            <w:tcMar>
              <w:top w:w="0" w:type="dxa"/>
              <w:left w:w="28" w:type="dxa"/>
              <w:bottom w:w="0" w:type="dxa"/>
              <w:right w:w="28" w:type="dxa"/>
            </w:tcMar>
            <w:vAlign w:val="center"/>
          </w:tcPr>
          <w:p w14:paraId="38A7E49C" w14:textId="77777777" w:rsidR="00052596" w:rsidRDefault="00000000">
            <w:pPr>
              <w:tabs>
                <w:tab w:val="left" w:pos="960"/>
                <w:tab w:val="left" w:pos="1920"/>
                <w:tab w:val="left" w:pos="2880"/>
                <w:tab w:val="left" w:pos="3840"/>
                <w:tab w:val="left" w:pos="4800"/>
                <w:tab w:val="left" w:pos="5760"/>
              </w:tabs>
              <w:autoSpaceDE w:val="0"/>
              <w:spacing w:line="320" w:lineRule="exact"/>
              <w:ind w:left="57"/>
              <w:jc w:val="both"/>
              <w:rPr>
                <w:rFonts w:ascii="標楷體" w:eastAsia="標楷體" w:hAnsi="標楷體"/>
                <w:kern w:val="0"/>
                <w:sz w:val="22"/>
                <w:szCs w:val="22"/>
              </w:rPr>
            </w:pPr>
            <w:r>
              <w:rPr>
                <w:rFonts w:ascii="標楷體" w:eastAsia="標楷體" w:hAnsi="標楷體"/>
                <w:kern w:val="0"/>
                <w:sz w:val="22"/>
                <w:szCs w:val="22"/>
              </w:rPr>
              <w:t>國防部</w:t>
            </w:r>
          </w:p>
        </w:tc>
        <w:tc>
          <w:tcPr>
            <w:tcW w:w="1067" w:type="dxa"/>
            <w:shd w:val="clear" w:color="auto" w:fill="auto"/>
            <w:tcMar>
              <w:top w:w="0" w:type="dxa"/>
              <w:left w:w="28" w:type="dxa"/>
              <w:bottom w:w="0" w:type="dxa"/>
              <w:right w:w="28" w:type="dxa"/>
            </w:tcMar>
            <w:vAlign w:val="center"/>
          </w:tcPr>
          <w:p w14:paraId="1BFA140F"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203</w:t>
            </w:r>
          </w:p>
        </w:tc>
        <w:tc>
          <w:tcPr>
            <w:tcW w:w="19" w:type="dxa"/>
          </w:tcPr>
          <w:p w14:paraId="63E03FB1"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75F4B9B8" w14:textId="77777777">
        <w:tblPrEx>
          <w:tblCellMar>
            <w:top w:w="0" w:type="dxa"/>
            <w:bottom w:w="0" w:type="dxa"/>
          </w:tblCellMar>
        </w:tblPrEx>
        <w:trPr>
          <w:trHeight w:hRule="exact" w:val="567"/>
          <w:jc w:val="center"/>
        </w:trPr>
        <w:tc>
          <w:tcPr>
            <w:tcW w:w="19" w:type="dxa"/>
          </w:tcPr>
          <w:p w14:paraId="4B6E0B2A" w14:textId="77777777" w:rsidR="00052596" w:rsidRDefault="00052596">
            <w:pPr>
              <w:tabs>
                <w:tab w:val="left" w:pos="960"/>
                <w:tab w:val="left" w:pos="1920"/>
                <w:tab w:val="left" w:pos="2880"/>
                <w:tab w:val="left" w:pos="3840"/>
                <w:tab w:val="left" w:pos="4800"/>
                <w:tab w:val="left" w:pos="5760"/>
              </w:tabs>
              <w:autoSpaceDE w:val="0"/>
              <w:spacing w:line="320" w:lineRule="exact"/>
              <w:ind w:left="720"/>
              <w:jc w:val="both"/>
            </w:pPr>
          </w:p>
        </w:tc>
        <w:tc>
          <w:tcPr>
            <w:tcW w:w="5037" w:type="dxa"/>
            <w:shd w:val="clear" w:color="auto" w:fill="EDFAFF"/>
            <w:tcMar>
              <w:top w:w="0" w:type="dxa"/>
              <w:left w:w="28" w:type="dxa"/>
              <w:bottom w:w="0" w:type="dxa"/>
              <w:right w:w="28" w:type="dxa"/>
            </w:tcMar>
            <w:vAlign w:val="center"/>
          </w:tcPr>
          <w:p w14:paraId="57AF1DF4" w14:textId="77777777" w:rsidR="00052596" w:rsidRDefault="00000000">
            <w:pPr>
              <w:tabs>
                <w:tab w:val="left" w:pos="960"/>
                <w:tab w:val="left" w:pos="1920"/>
                <w:tab w:val="left" w:pos="2880"/>
                <w:tab w:val="left" w:pos="3840"/>
                <w:tab w:val="left" w:pos="4800"/>
                <w:tab w:val="left" w:pos="5760"/>
              </w:tabs>
              <w:autoSpaceDE w:val="0"/>
              <w:spacing w:line="320" w:lineRule="exact"/>
              <w:ind w:left="720"/>
              <w:jc w:val="both"/>
            </w:pPr>
            <w:r>
              <w:rPr>
                <w:rFonts w:eastAsia="標楷體"/>
                <w:b/>
                <w:color w:val="000080"/>
                <w:spacing w:val="4"/>
                <w:kern w:val="0"/>
                <w:sz w:val="29"/>
                <w:szCs w:val="29"/>
              </w:rPr>
              <w:t>第八節</w:t>
            </w:r>
            <w:r>
              <w:rPr>
                <w:rFonts w:eastAsia="標楷體"/>
                <w:b/>
                <w:color w:val="000080"/>
                <w:spacing w:val="4"/>
                <w:kern w:val="0"/>
                <w:sz w:val="29"/>
                <w:szCs w:val="29"/>
              </w:rPr>
              <w:t xml:space="preserve"> </w:t>
            </w:r>
            <w:r>
              <w:rPr>
                <w:rFonts w:eastAsia="標楷體"/>
                <w:b/>
                <w:color w:val="000080"/>
                <w:spacing w:val="4"/>
                <w:kern w:val="0"/>
                <w:sz w:val="29"/>
                <w:szCs w:val="29"/>
              </w:rPr>
              <w:t>友善國際</w:t>
            </w:r>
          </w:p>
        </w:tc>
        <w:tc>
          <w:tcPr>
            <w:tcW w:w="3119" w:type="dxa"/>
            <w:shd w:val="clear" w:color="auto" w:fill="EDFAFF"/>
            <w:tcMar>
              <w:top w:w="0" w:type="dxa"/>
              <w:left w:w="28" w:type="dxa"/>
              <w:bottom w:w="0" w:type="dxa"/>
              <w:right w:w="28" w:type="dxa"/>
            </w:tcMar>
            <w:vAlign w:val="center"/>
          </w:tcPr>
          <w:p w14:paraId="741CEF5B" w14:textId="77777777" w:rsidR="00052596" w:rsidRDefault="00052596">
            <w:pPr>
              <w:tabs>
                <w:tab w:val="left" w:pos="960"/>
                <w:tab w:val="left" w:pos="1920"/>
                <w:tab w:val="left" w:pos="2880"/>
                <w:tab w:val="left" w:pos="3840"/>
                <w:tab w:val="left" w:pos="4800"/>
                <w:tab w:val="left" w:pos="5760"/>
              </w:tabs>
              <w:autoSpaceDE w:val="0"/>
              <w:spacing w:line="320" w:lineRule="exact"/>
              <w:ind w:left="57"/>
              <w:jc w:val="right"/>
              <w:rPr>
                <w:rFonts w:ascii="標楷體" w:eastAsia="標楷體" w:hAnsi="標楷體"/>
                <w:color w:val="000080"/>
                <w:kern w:val="0"/>
                <w:sz w:val="22"/>
                <w:szCs w:val="22"/>
              </w:rPr>
            </w:pPr>
          </w:p>
        </w:tc>
        <w:tc>
          <w:tcPr>
            <w:tcW w:w="1067" w:type="dxa"/>
            <w:shd w:val="clear" w:color="auto" w:fill="EDFAFF"/>
            <w:tcMar>
              <w:top w:w="0" w:type="dxa"/>
              <w:left w:w="28" w:type="dxa"/>
              <w:bottom w:w="0" w:type="dxa"/>
              <w:right w:w="28" w:type="dxa"/>
            </w:tcMar>
            <w:vAlign w:val="center"/>
          </w:tcPr>
          <w:p w14:paraId="15176E79"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
                <w:bCs/>
                <w:i/>
                <w:color w:val="000080"/>
                <w:kern w:val="0"/>
                <w:szCs w:val="24"/>
              </w:rPr>
            </w:pPr>
            <w:r>
              <w:rPr>
                <w:rFonts w:eastAsia="標楷體"/>
                <w:b/>
                <w:bCs/>
                <w:i/>
                <w:color w:val="000080"/>
                <w:kern w:val="0"/>
                <w:szCs w:val="24"/>
              </w:rPr>
              <w:t>207</w:t>
            </w:r>
          </w:p>
        </w:tc>
        <w:tc>
          <w:tcPr>
            <w:tcW w:w="19" w:type="dxa"/>
          </w:tcPr>
          <w:p w14:paraId="3EF5C789"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
                <w:bCs/>
                <w:i/>
                <w:color w:val="000080"/>
                <w:kern w:val="0"/>
                <w:szCs w:val="24"/>
              </w:rPr>
            </w:pPr>
          </w:p>
        </w:tc>
      </w:tr>
      <w:tr w:rsidR="00052596" w14:paraId="6A63F2A6" w14:textId="77777777">
        <w:tblPrEx>
          <w:tblCellMar>
            <w:top w:w="0" w:type="dxa"/>
            <w:bottom w:w="0" w:type="dxa"/>
          </w:tblCellMar>
        </w:tblPrEx>
        <w:trPr>
          <w:trHeight w:val="667"/>
          <w:jc w:val="center"/>
        </w:trPr>
        <w:tc>
          <w:tcPr>
            <w:tcW w:w="19" w:type="dxa"/>
          </w:tcPr>
          <w:p w14:paraId="4885B7B6"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4CE5A24C"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壹、擴大參與</w:t>
            </w:r>
          </w:p>
        </w:tc>
        <w:tc>
          <w:tcPr>
            <w:tcW w:w="3119" w:type="dxa"/>
            <w:shd w:val="clear" w:color="auto" w:fill="auto"/>
            <w:tcMar>
              <w:top w:w="0" w:type="dxa"/>
              <w:left w:w="28" w:type="dxa"/>
              <w:bottom w:w="0" w:type="dxa"/>
              <w:right w:w="28" w:type="dxa"/>
            </w:tcMar>
            <w:vAlign w:val="center"/>
          </w:tcPr>
          <w:p w14:paraId="20902E01" w14:textId="77777777" w:rsidR="00052596" w:rsidRDefault="00000000">
            <w:pPr>
              <w:tabs>
                <w:tab w:val="left" w:pos="960"/>
                <w:tab w:val="left" w:pos="1920"/>
                <w:tab w:val="left" w:pos="2880"/>
                <w:tab w:val="left" w:pos="3840"/>
                <w:tab w:val="left" w:pos="4800"/>
                <w:tab w:val="left" w:pos="5760"/>
              </w:tabs>
              <w:autoSpaceDE w:val="0"/>
              <w:spacing w:before="108" w:line="260" w:lineRule="exact"/>
              <w:ind w:left="57"/>
              <w:jc w:val="both"/>
              <w:rPr>
                <w:rFonts w:ascii="標楷體" w:eastAsia="標楷體" w:hAnsi="標楷體"/>
                <w:kern w:val="0"/>
                <w:sz w:val="22"/>
                <w:szCs w:val="22"/>
              </w:rPr>
            </w:pPr>
            <w:r>
              <w:rPr>
                <w:rFonts w:ascii="標楷體" w:eastAsia="標楷體" w:hAnsi="標楷體"/>
                <w:kern w:val="0"/>
                <w:sz w:val="22"/>
                <w:szCs w:val="22"/>
              </w:rPr>
              <w:t>外交部(國防部、經濟部、</w:t>
            </w:r>
          </w:p>
          <w:p w14:paraId="5641A185"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陸委會)</w:t>
            </w:r>
          </w:p>
        </w:tc>
        <w:tc>
          <w:tcPr>
            <w:tcW w:w="1067" w:type="dxa"/>
            <w:shd w:val="clear" w:color="auto" w:fill="auto"/>
            <w:tcMar>
              <w:top w:w="0" w:type="dxa"/>
              <w:left w:w="28" w:type="dxa"/>
              <w:bottom w:w="0" w:type="dxa"/>
              <w:right w:w="28" w:type="dxa"/>
            </w:tcMar>
            <w:vAlign w:val="center"/>
          </w:tcPr>
          <w:p w14:paraId="2EDE5E42"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207</w:t>
            </w:r>
          </w:p>
        </w:tc>
        <w:tc>
          <w:tcPr>
            <w:tcW w:w="19" w:type="dxa"/>
          </w:tcPr>
          <w:p w14:paraId="23D2D5E2"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385ABCC0" w14:textId="77777777">
        <w:tblPrEx>
          <w:tblCellMar>
            <w:top w:w="0" w:type="dxa"/>
            <w:bottom w:w="0" w:type="dxa"/>
          </w:tblCellMar>
        </w:tblPrEx>
        <w:trPr>
          <w:trHeight w:val="695"/>
          <w:jc w:val="center"/>
        </w:trPr>
        <w:tc>
          <w:tcPr>
            <w:tcW w:w="19" w:type="dxa"/>
          </w:tcPr>
          <w:p w14:paraId="1760C950"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7717B0F7"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貳、人道援助</w:t>
            </w:r>
          </w:p>
        </w:tc>
        <w:tc>
          <w:tcPr>
            <w:tcW w:w="3119" w:type="dxa"/>
            <w:shd w:val="clear" w:color="auto" w:fill="auto"/>
            <w:tcMar>
              <w:top w:w="0" w:type="dxa"/>
              <w:left w:w="28" w:type="dxa"/>
              <w:bottom w:w="0" w:type="dxa"/>
              <w:right w:w="28" w:type="dxa"/>
            </w:tcMar>
            <w:vAlign w:val="center"/>
          </w:tcPr>
          <w:p w14:paraId="62ECE8B1" w14:textId="77777777" w:rsidR="00052596" w:rsidRDefault="00000000">
            <w:pPr>
              <w:tabs>
                <w:tab w:val="left" w:pos="960"/>
                <w:tab w:val="left" w:pos="1920"/>
                <w:tab w:val="left" w:pos="2880"/>
                <w:tab w:val="left" w:pos="3840"/>
                <w:tab w:val="left" w:pos="4800"/>
                <w:tab w:val="left" w:pos="5760"/>
              </w:tabs>
              <w:autoSpaceDE w:val="0"/>
              <w:spacing w:before="108" w:line="260" w:lineRule="exact"/>
              <w:ind w:left="57"/>
              <w:jc w:val="both"/>
              <w:rPr>
                <w:rFonts w:ascii="標楷體" w:eastAsia="標楷體" w:hAnsi="標楷體"/>
                <w:kern w:val="0"/>
                <w:sz w:val="22"/>
                <w:szCs w:val="22"/>
              </w:rPr>
            </w:pPr>
            <w:r>
              <w:rPr>
                <w:rFonts w:ascii="標楷體" w:eastAsia="標楷體" w:hAnsi="標楷體"/>
                <w:kern w:val="0"/>
                <w:sz w:val="22"/>
                <w:szCs w:val="22"/>
              </w:rPr>
              <w:t>外交部(國防部、經濟部、</w:t>
            </w:r>
          </w:p>
          <w:p w14:paraId="35A7BCF9"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內政部、衛生署)</w:t>
            </w:r>
          </w:p>
        </w:tc>
        <w:tc>
          <w:tcPr>
            <w:tcW w:w="1067" w:type="dxa"/>
            <w:shd w:val="clear" w:color="auto" w:fill="auto"/>
            <w:tcMar>
              <w:top w:w="0" w:type="dxa"/>
              <w:left w:w="28" w:type="dxa"/>
              <w:bottom w:w="0" w:type="dxa"/>
              <w:right w:w="28" w:type="dxa"/>
            </w:tcMar>
            <w:vAlign w:val="center"/>
          </w:tcPr>
          <w:p w14:paraId="7F095ACB"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209</w:t>
            </w:r>
          </w:p>
        </w:tc>
        <w:tc>
          <w:tcPr>
            <w:tcW w:w="19" w:type="dxa"/>
          </w:tcPr>
          <w:p w14:paraId="24ED22BF"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31219A93" w14:textId="77777777">
        <w:tblPrEx>
          <w:tblCellMar>
            <w:top w:w="0" w:type="dxa"/>
            <w:bottom w:w="0" w:type="dxa"/>
          </w:tblCellMar>
        </w:tblPrEx>
        <w:trPr>
          <w:trHeight w:hRule="exact" w:val="624"/>
          <w:jc w:val="center"/>
        </w:trPr>
        <w:tc>
          <w:tcPr>
            <w:tcW w:w="19" w:type="dxa"/>
          </w:tcPr>
          <w:p w14:paraId="0C07D08B"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22D82037"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參、文化交流</w:t>
            </w:r>
          </w:p>
        </w:tc>
        <w:tc>
          <w:tcPr>
            <w:tcW w:w="3119" w:type="dxa"/>
            <w:shd w:val="clear" w:color="auto" w:fill="auto"/>
            <w:tcMar>
              <w:top w:w="0" w:type="dxa"/>
              <w:left w:w="28" w:type="dxa"/>
              <w:bottom w:w="0" w:type="dxa"/>
              <w:right w:w="28" w:type="dxa"/>
            </w:tcMar>
            <w:vAlign w:val="center"/>
          </w:tcPr>
          <w:p w14:paraId="5858AEE7" w14:textId="77777777" w:rsidR="00052596" w:rsidRDefault="00000000">
            <w:pPr>
              <w:tabs>
                <w:tab w:val="left" w:pos="960"/>
                <w:tab w:val="left" w:pos="1920"/>
                <w:tab w:val="left" w:pos="2880"/>
                <w:tab w:val="left" w:pos="3840"/>
                <w:tab w:val="left" w:pos="4800"/>
                <w:tab w:val="left" w:pos="5760"/>
              </w:tabs>
              <w:autoSpaceDE w:val="0"/>
              <w:spacing w:before="108" w:after="108" w:line="260" w:lineRule="exact"/>
              <w:ind w:left="57"/>
              <w:jc w:val="both"/>
              <w:rPr>
                <w:rFonts w:ascii="標楷體" w:eastAsia="標楷體" w:hAnsi="標楷體"/>
                <w:kern w:val="0"/>
                <w:sz w:val="22"/>
                <w:szCs w:val="22"/>
              </w:rPr>
            </w:pPr>
            <w:r>
              <w:rPr>
                <w:rFonts w:ascii="標楷體" w:eastAsia="標楷體" w:hAnsi="標楷體"/>
                <w:kern w:val="0"/>
                <w:sz w:val="22"/>
                <w:szCs w:val="22"/>
              </w:rPr>
              <w:t>文化部(外交部、教育部)</w:t>
            </w:r>
          </w:p>
        </w:tc>
        <w:tc>
          <w:tcPr>
            <w:tcW w:w="1067" w:type="dxa"/>
            <w:shd w:val="clear" w:color="auto" w:fill="auto"/>
            <w:tcMar>
              <w:top w:w="0" w:type="dxa"/>
              <w:left w:w="28" w:type="dxa"/>
              <w:bottom w:w="0" w:type="dxa"/>
              <w:right w:w="28" w:type="dxa"/>
            </w:tcMar>
            <w:vAlign w:val="center"/>
          </w:tcPr>
          <w:p w14:paraId="5D3AB459"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211</w:t>
            </w:r>
          </w:p>
        </w:tc>
        <w:tc>
          <w:tcPr>
            <w:tcW w:w="19" w:type="dxa"/>
          </w:tcPr>
          <w:p w14:paraId="3025B1C5"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6367F5E7" w14:textId="77777777">
        <w:tblPrEx>
          <w:tblCellMar>
            <w:top w:w="0" w:type="dxa"/>
            <w:bottom w:w="0" w:type="dxa"/>
          </w:tblCellMar>
        </w:tblPrEx>
        <w:trPr>
          <w:trHeight w:hRule="exact" w:val="698"/>
          <w:jc w:val="center"/>
        </w:trPr>
        <w:tc>
          <w:tcPr>
            <w:tcW w:w="19" w:type="dxa"/>
          </w:tcPr>
          <w:p w14:paraId="7133C23B"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69AF408D"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肆、觀光升級</w:t>
            </w:r>
          </w:p>
        </w:tc>
        <w:tc>
          <w:tcPr>
            <w:tcW w:w="3119" w:type="dxa"/>
            <w:shd w:val="clear" w:color="auto" w:fill="auto"/>
            <w:tcMar>
              <w:top w:w="0" w:type="dxa"/>
              <w:left w:w="28" w:type="dxa"/>
              <w:bottom w:w="0" w:type="dxa"/>
              <w:right w:w="28" w:type="dxa"/>
            </w:tcMar>
            <w:vAlign w:val="center"/>
          </w:tcPr>
          <w:p w14:paraId="034C4974" w14:textId="77777777" w:rsidR="00052596" w:rsidRDefault="00000000">
            <w:pPr>
              <w:tabs>
                <w:tab w:val="left" w:pos="960"/>
                <w:tab w:val="left" w:pos="1920"/>
                <w:tab w:val="left" w:pos="2880"/>
                <w:tab w:val="left" w:pos="3840"/>
                <w:tab w:val="left" w:pos="4800"/>
                <w:tab w:val="left" w:pos="5760"/>
              </w:tabs>
              <w:autoSpaceDE w:val="0"/>
              <w:spacing w:before="108" w:line="260" w:lineRule="exact"/>
              <w:ind w:left="57"/>
              <w:jc w:val="both"/>
              <w:rPr>
                <w:rFonts w:ascii="標楷體" w:eastAsia="標楷體" w:hAnsi="標楷體"/>
                <w:kern w:val="0"/>
                <w:sz w:val="22"/>
                <w:szCs w:val="22"/>
              </w:rPr>
            </w:pPr>
            <w:r>
              <w:rPr>
                <w:rFonts w:ascii="標楷體" w:eastAsia="標楷體" w:hAnsi="標楷體"/>
                <w:kern w:val="0"/>
                <w:sz w:val="22"/>
                <w:szCs w:val="22"/>
              </w:rPr>
              <w:t>交通部(經濟部、文化部、</w:t>
            </w:r>
          </w:p>
          <w:p w14:paraId="20AA8DA8" w14:textId="77777777" w:rsidR="00052596" w:rsidRDefault="00000000">
            <w:pPr>
              <w:tabs>
                <w:tab w:val="left" w:pos="960"/>
                <w:tab w:val="left" w:pos="1920"/>
                <w:tab w:val="left" w:pos="2880"/>
                <w:tab w:val="left" w:pos="3840"/>
                <w:tab w:val="left" w:pos="4800"/>
                <w:tab w:val="left" w:pos="5760"/>
              </w:tabs>
              <w:autoSpaceDE w:val="0"/>
              <w:spacing w:line="260" w:lineRule="exact"/>
              <w:ind w:left="57"/>
              <w:jc w:val="both"/>
              <w:rPr>
                <w:rFonts w:ascii="標楷體" w:eastAsia="標楷體" w:hAnsi="標楷體"/>
                <w:kern w:val="0"/>
                <w:sz w:val="22"/>
                <w:szCs w:val="22"/>
              </w:rPr>
            </w:pPr>
            <w:r>
              <w:rPr>
                <w:rFonts w:ascii="標楷體" w:eastAsia="標楷體" w:hAnsi="標楷體"/>
                <w:kern w:val="0"/>
                <w:sz w:val="22"/>
                <w:szCs w:val="22"/>
              </w:rPr>
              <w:t>原民會、環保署)</w:t>
            </w:r>
          </w:p>
        </w:tc>
        <w:tc>
          <w:tcPr>
            <w:tcW w:w="1067" w:type="dxa"/>
            <w:shd w:val="clear" w:color="auto" w:fill="auto"/>
            <w:tcMar>
              <w:top w:w="0" w:type="dxa"/>
              <w:left w:w="28" w:type="dxa"/>
              <w:bottom w:w="0" w:type="dxa"/>
              <w:right w:w="28" w:type="dxa"/>
            </w:tcMar>
            <w:vAlign w:val="center"/>
          </w:tcPr>
          <w:p w14:paraId="4A092772"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214</w:t>
            </w:r>
          </w:p>
        </w:tc>
        <w:tc>
          <w:tcPr>
            <w:tcW w:w="19" w:type="dxa"/>
          </w:tcPr>
          <w:p w14:paraId="5C3B20D8"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71D47655" w14:textId="77777777">
        <w:tblPrEx>
          <w:tblCellMar>
            <w:top w:w="0" w:type="dxa"/>
            <w:bottom w:w="0" w:type="dxa"/>
          </w:tblCellMar>
        </w:tblPrEx>
        <w:trPr>
          <w:trHeight w:hRule="exact" w:val="680"/>
          <w:jc w:val="center"/>
        </w:trPr>
        <w:tc>
          <w:tcPr>
            <w:tcW w:w="19" w:type="dxa"/>
          </w:tcPr>
          <w:p w14:paraId="26518D4A" w14:textId="77777777" w:rsidR="00052596" w:rsidRDefault="00052596">
            <w:pPr>
              <w:tabs>
                <w:tab w:val="left" w:pos="960"/>
                <w:tab w:val="left" w:pos="1920"/>
                <w:tab w:val="left" w:pos="2880"/>
                <w:tab w:val="left" w:pos="3840"/>
                <w:tab w:val="left" w:pos="4800"/>
                <w:tab w:val="left" w:pos="5760"/>
              </w:tabs>
              <w:autoSpaceDE w:val="0"/>
              <w:spacing w:line="240" w:lineRule="atLeast"/>
              <w:ind w:left="264"/>
            </w:pPr>
          </w:p>
        </w:tc>
        <w:tc>
          <w:tcPr>
            <w:tcW w:w="8156" w:type="dxa"/>
            <w:gridSpan w:val="2"/>
            <w:shd w:val="clear" w:color="auto" w:fill="EFFFEF"/>
            <w:tcMar>
              <w:top w:w="0" w:type="dxa"/>
              <w:left w:w="28" w:type="dxa"/>
              <w:bottom w:w="0" w:type="dxa"/>
              <w:right w:w="28" w:type="dxa"/>
            </w:tcMar>
            <w:vAlign w:val="center"/>
          </w:tcPr>
          <w:p w14:paraId="21A618B7" w14:textId="77777777" w:rsidR="00052596" w:rsidRDefault="00000000">
            <w:pPr>
              <w:tabs>
                <w:tab w:val="left" w:pos="960"/>
                <w:tab w:val="left" w:pos="1920"/>
                <w:tab w:val="left" w:pos="2880"/>
                <w:tab w:val="left" w:pos="3840"/>
                <w:tab w:val="left" w:pos="4800"/>
                <w:tab w:val="left" w:pos="5760"/>
              </w:tabs>
              <w:autoSpaceDE w:val="0"/>
              <w:spacing w:line="240" w:lineRule="atLeast"/>
              <w:ind w:left="264"/>
            </w:pPr>
            <w:r>
              <w:rPr>
                <w:rFonts w:ascii="Wingdings" w:eastAsia="Wingdings" w:hAnsi="Wingdings" w:cs="Wingdings"/>
                <w:b/>
                <w:color w:val="000080"/>
                <w:kern w:val="0"/>
                <w:sz w:val="29"/>
                <w:szCs w:val="29"/>
              </w:rPr>
              <w:t></w:t>
            </w:r>
            <w:r>
              <w:rPr>
                <w:rFonts w:eastAsia="標楷體"/>
                <w:b/>
                <w:color w:val="000080"/>
                <w:kern w:val="0"/>
                <w:sz w:val="29"/>
                <w:szCs w:val="29"/>
              </w:rPr>
              <w:t xml:space="preserve"> </w:t>
            </w:r>
            <w:r>
              <w:rPr>
                <w:rFonts w:eastAsia="標楷體"/>
                <w:b/>
                <w:color w:val="000080"/>
                <w:kern w:val="0"/>
                <w:sz w:val="29"/>
                <w:szCs w:val="29"/>
              </w:rPr>
              <w:t>全力拚經濟－執行「經濟動能推升方案」</w:t>
            </w:r>
            <w:r>
              <w:rPr>
                <w:rFonts w:eastAsia="標楷體"/>
                <w:b/>
                <w:color w:val="000080"/>
                <w:kern w:val="0"/>
                <w:sz w:val="20"/>
              </w:rPr>
              <w:t xml:space="preserve">  </w:t>
            </w:r>
            <w:r>
              <w:rPr>
                <w:rFonts w:ascii="標楷體" w:eastAsia="標楷體" w:hAnsi="標楷體"/>
                <w:color w:val="000080"/>
                <w:kern w:val="0"/>
                <w:sz w:val="22"/>
                <w:szCs w:val="22"/>
              </w:rPr>
              <w:t>各相關機關</w:t>
            </w:r>
          </w:p>
        </w:tc>
        <w:tc>
          <w:tcPr>
            <w:tcW w:w="1067" w:type="dxa"/>
            <w:shd w:val="clear" w:color="auto" w:fill="EFFFEF"/>
            <w:tcMar>
              <w:top w:w="0" w:type="dxa"/>
              <w:left w:w="28" w:type="dxa"/>
              <w:bottom w:w="0" w:type="dxa"/>
              <w:right w:w="28" w:type="dxa"/>
            </w:tcMar>
            <w:vAlign w:val="center"/>
          </w:tcPr>
          <w:p w14:paraId="7C0EED3C" w14:textId="77777777" w:rsidR="00052596" w:rsidRDefault="00000000">
            <w:pPr>
              <w:tabs>
                <w:tab w:val="left" w:pos="960"/>
                <w:tab w:val="left" w:pos="1920"/>
                <w:tab w:val="left" w:pos="2880"/>
                <w:tab w:val="left" w:pos="3840"/>
                <w:tab w:val="left" w:pos="4800"/>
                <w:tab w:val="left" w:pos="5760"/>
              </w:tabs>
              <w:autoSpaceDE w:val="0"/>
              <w:spacing w:line="240" w:lineRule="atLeast"/>
              <w:ind w:right="151"/>
              <w:jc w:val="right"/>
              <w:rPr>
                <w:rFonts w:eastAsia="標楷體"/>
                <w:bCs/>
                <w:i/>
                <w:color w:val="000080"/>
                <w:kern w:val="0"/>
                <w:szCs w:val="24"/>
              </w:rPr>
            </w:pPr>
            <w:r>
              <w:rPr>
                <w:rFonts w:eastAsia="標楷體"/>
                <w:bCs/>
                <w:i/>
                <w:color w:val="000080"/>
                <w:kern w:val="0"/>
                <w:szCs w:val="24"/>
              </w:rPr>
              <w:t>217</w:t>
            </w:r>
          </w:p>
        </w:tc>
        <w:tc>
          <w:tcPr>
            <w:tcW w:w="19" w:type="dxa"/>
          </w:tcPr>
          <w:p w14:paraId="63AFFEF2" w14:textId="77777777" w:rsidR="00052596" w:rsidRDefault="00052596">
            <w:pPr>
              <w:tabs>
                <w:tab w:val="left" w:pos="960"/>
                <w:tab w:val="left" w:pos="1920"/>
                <w:tab w:val="left" w:pos="2880"/>
                <w:tab w:val="left" w:pos="3840"/>
                <w:tab w:val="left" w:pos="4800"/>
                <w:tab w:val="left" w:pos="5760"/>
              </w:tabs>
              <w:autoSpaceDE w:val="0"/>
              <w:spacing w:line="240" w:lineRule="atLeast"/>
              <w:ind w:right="151"/>
              <w:jc w:val="right"/>
              <w:rPr>
                <w:rFonts w:eastAsia="標楷體"/>
                <w:bCs/>
                <w:i/>
                <w:color w:val="000080"/>
                <w:kern w:val="0"/>
                <w:szCs w:val="24"/>
              </w:rPr>
            </w:pPr>
          </w:p>
        </w:tc>
      </w:tr>
      <w:tr w:rsidR="00052596" w14:paraId="46907B15" w14:textId="77777777">
        <w:tblPrEx>
          <w:tblCellMar>
            <w:top w:w="0" w:type="dxa"/>
            <w:bottom w:w="0" w:type="dxa"/>
          </w:tblCellMar>
        </w:tblPrEx>
        <w:trPr>
          <w:trHeight w:hRule="exact" w:val="624"/>
          <w:jc w:val="center"/>
        </w:trPr>
        <w:tc>
          <w:tcPr>
            <w:tcW w:w="19" w:type="dxa"/>
          </w:tcPr>
          <w:p w14:paraId="7ECC94B5"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0971F172"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壹、推動產業多元創新</w:t>
            </w:r>
          </w:p>
        </w:tc>
        <w:tc>
          <w:tcPr>
            <w:tcW w:w="3119" w:type="dxa"/>
            <w:shd w:val="clear" w:color="auto" w:fill="auto"/>
            <w:tcMar>
              <w:top w:w="0" w:type="dxa"/>
              <w:left w:w="28" w:type="dxa"/>
              <w:bottom w:w="0" w:type="dxa"/>
              <w:right w:w="28" w:type="dxa"/>
            </w:tcMar>
            <w:vAlign w:val="center"/>
          </w:tcPr>
          <w:p w14:paraId="73486878"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1067" w:type="dxa"/>
            <w:shd w:val="clear" w:color="auto" w:fill="auto"/>
            <w:tcMar>
              <w:top w:w="0" w:type="dxa"/>
              <w:left w:w="28" w:type="dxa"/>
              <w:bottom w:w="0" w:type="dxa"/>
              <w:right w:w="28" w:type="dxa"/>
            </w:tcMar>
            <w:vAlign w:val="center"/>
          </w:tcPr>
          <w:p w14:paraId="3BDCBD6E"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217</w:t>
            </w:r>
          </w:p>
        </w:tc>
        <w:tc>
          <w:tcPr>
            <w:tcW w:w="19" w:type="dxa"/>
          </w:tcPr>
          <w:p w14:paraId="1E5BE5ED"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1E4914C1" w14:textId="77777777">
        <w:tblPrEx>
          <w:tblCellMar>
            <w:top w:w="0" w:type="dxa"/>
            <w:bottom w:w="0" w:type="dxa"/>
          </w:tblCellMar>
        </w:tblPrEx>
        <w:trPr>
          <w:trHeight w:hRule="exact" w:val="624"/>
          <w:jc w:val="center"/>
        </w:trPr>
        <w:tc>
          <w:tcPr>
            <w:tcW w:w="19" w:type="dxa"/>
          </w:tcPr>
          <w:p w14:paraId="2FCEA122"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25085A4A"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貳、促進輸出拓展市場</w:t>
            </w:r>
          </w:p>
        </w:tc>
        <w:tc>
          <w:tcPr>
            <w:tcW w:w="3119" w:type="dxa"/>
            <w:shd w:val="clear" w:color="auto" w:fill="auto"/>
            <w:tcMar>
              <w:top w:w="0" w:type="dxa"/>
              <w:left w:w="28" w:type="dxa"/>
              <w:bottom w:w="0" w:type="dxa"/>
              <w:right w:w="28" w:type="dxa"/>
            </w:tcMar>
            <w:vAlign w:val="center"/>
          </w:tcPr>
          <w:p w14:paraId="4C7C808E"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1067" w:type="dxa"/>
            <w:shd w:val="clear" w:color="auto" w:fill="auto"/>
            <w:tcMar>
              <w:top w:w="0" w:type="dxa"/>
              <w:left w:w="28" w:type="dxa"/>
              <w:bottom w:w="0" w:type="dxa"/>
              <w:right w:w="28" w:type="dxa"/>
            </w:tcMar>
            <w:vAlign w:val="center"/>
          </w:tcPr>
          <w:p w14:paraId="5F5C9FDA"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218</w:t>
            </w:r>
          </w:p>
        </w:tc>
        <w:tc>
          <w:tcPr>
            <w:tcW w:w="19" w:type="dxa"/>
          </w:tcPr>
          <w:p w14:paraId="7F6D46FB"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685F08A0" w14:textId="77777777">
        <w:tblPrEx>
          <w:tblCellMar>
            <w:top w:w="0" w:type="dxa"/>
            <w:bottom w:w="0" w:type="dxa"/>
          </w:tblCellMar>
        </w:tblPrEx>
        <w:trPr>
          <w:trHeight w:hRule="exact" w:val="624"/>
          <w:jc w:val="center"/>
        </w:trPr>
        <w:tc>
          <w:tcPr>
            <w:tcW w:w="19" w:type="dxa"/>
          </w:tcPr>
          <w:p w14:paraId="74ADF678"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50D548F0"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參、強化產業人力培訓</w:t>
            </w:r>
          </w:p>
        </w:tc>
        <w:tc>
          <w:tcPr>
            <w:tcW w:w="3119" w:type="dxa"/>
            <w:shd w:val="clear" w:color="auto" w:fill="auto"/>
            <w:tcMar>
              <w:top w:w="0" w:type="dxa"/>
              <w:left w:w="28" w:type="dxa"/>
              <w:bottom w:w="0" w:type="dxa"/>
              <w:right w:w="28" w:type="dxa"/>
            </w:tcMar>
            <w:vAlign w:val="center"/>
          </w:tcPr>
          <w:p w14:paraId="215BF608"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1067" w:type="dxa"/>
            <w:shd w:val="clear" w:color="auto" w:fill="auto"/>
            <w:tcMar>
              <w:top w:w="0" w:type="dxa"/>
              <w:left w:w="28" w:type="dxa"/>
              <w:bottom w:w="0" w:type="dxa"/>
              <w:right w:w="28" w:type="dxa"/>
            </w:tcMar>
            <w:vAlign w:val="center"/>
          </w:tcPr>
          <w:p w14:paraId="5FFA5863"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219</w:t>
            </w:r>
          </w:p>
        </w:tc>
        <w:tc>
          <w:tcPr>
            <w:tcW w:w="19" w:type="dxa"/>
          </w:tcPr>
          <w:p w14:paraId="221DB2BF"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01182215" w14:textId="77777777">
        <w:tblPrEx>
          <w:tblCellMar>
            <w:top w:w="0" w:type="dxa"/>
            <w:bottom w:w="0" w:type="dxa"/>
          </w:tblCellMar>
        </w:tblPrEx>
        <w:trPr>
          <w:trHeight w:hRule="exact" w:val="624"/>
          <w:jc w:val="center"/>
        </w:trPr>
        <w:tc>
          <w:tcPr>
            <w:tcW w:w="19" w:type="dxa"/>
          </w:tcPr>
          <w:p w14:paraId="20DAC7A8"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042A303B"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肆、促進投資推動建設</w:t>
            </w:r>
          </w:p>
        </w:tc>
        <w:tc>
          <w:tcPr>
            <w:tcW w:w="3119" w:type="dxa"/>
            <w:shd w:val="clear" w:color="auto" w:fill="auto"/>
            <w:tcMar>
              <w:top w:w="0" w:type="dxa"/>
              <w:left w:w="28" w:type="dxa"/>
              <w:bottom w:w="0" w:type="dxa"/>
              <w:right w:w="28" w:type="dxa"/>
            </w:tcMar>
            <w:vAlign w:val="center"/>
          </w:tcPr>
          <w:p w14:paraId="618903C0"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1067" w:type="dxa"/>
            <w:shd w:val="clear" w:color="auto" w:fill="auto"/>
            <w:tcMar>
              <w:top w:w="0" w:type="dxa"/>
              <w:left w:w="28" w:type="dxa"/>
              <w:bottom w:w="0" w:type="dxa"/>
              <w:right w:w="28" w:type="dxa"/>
            </w:tcMar>
            <w:vAlign w:val="center"/>
          </w:tcPr>
          <w:p w14:paraId="6061BF0E"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220</w:t>
            </w:r>
          </w:p>
        </w:tc>
        <w:tc>
          <w:tcPr>
            <w:tcW w:w="19" w:type="dxa"/>
          </w:tcPr>
          <w:p w14:paraId="20EB61EA"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r w:rsidR="00052596" w14:paraId="7373BC9D" w14:textId="77777777">
        <w:tblPrEx>
          <w:tblCellMar>
            <w:top w:w="0" w:type="dxa"/>
            <w:bottom w:w="0" w:type="dxa"/>
          </w:tblCellMar>
        </w:tblPrEx>
        <w:trPr>
          <w:trHeight w:hRule="exact" w:val="624"/>
          <w:jc w:val="center"/>
        </w:trPr>
        <w:tc>
          <w:tcPr>
            <w:tcW w:w="19" w:type="dxa"/>
          </w:tcPr>
          <w:p w14:paraId="15E02B77"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5037" w:type="dxa"/>
            <w:shd w:val="clear" w:color="auto" w:fill="auto"/>
            <w:tcMar>
              <w:top w:w="0" w:type="dxa"/>
              <w:left w:w="28" w:type="dxa"/>
              <w:bottom w:w="0" w:type="dxa"/>
              <w:right w:w="28" w:type="dxa"/>
            </w:tcMar>
            <w:vAlign w:val="center"/>
          </w:tcPr>
          <w:p w14:paraId="53F031AC" w14:textId="77777777" w:rsidR="00052596" w:rsidRDefault="00000000">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r>
              <w:rPr>
                <w:rFonts w:eastAsia="標楷體"/>
                <w:spacing w:val="4"/>
                <w:kern w:val="0"/>
                <w:sz w:val="29"/>
                <w:szCs w:val="29"/>
              </w:rPr>
              <w:t>伍、精進各級政府效能</w:t>
            </w:r>
          </w:p>
        </w:tc>
        <w:tc>
          <w:tcPr>
            <w:tcW w:w="3119" w:type="dxa"/>
            <w:shd w:val="clear" w:color="auto" w:fill="auto"/>
            <w:tcMar>
              <w:top w:w="0" w:type="dxa"/>
              <w:left w:w="28" w:type="dxa"/>
              <w:bottom w:w="0" w:type="dxa"/>
              <w:right w:w="28" w:type="dxa"/>
            </w:tcMar>
            <w:vAlign w:val="center"/>
          </w:tcPr>
          <w:p w14:paraId="40AE76BA" w14:textId="77777777" w:rsidR="00052596" w:rsidRDefault="00052596">
            <w:pPr>
              <w:tabs>
                <w:tab w:val="left" w:pos="960"/>
                <w:tab w:val="left" w:pos="1920"/>
                <w:tab w:val="left" w:pos="2880"/>
                <w:tab w:val="left" w:pos="3840"/>
                <w:tab w:val="left" w:pos="4800"/>
                <w:tab w:val="left" w:pos="5760"/>
              </w:tabs>
              <w:autoSpaceDE w:val="0"/>
              <w:spacing w:line="320" w:lineRule="exact"/>
              <w:ind w:left="1974" w:hanging="894"/>
              <w:jc w:val="both"/>
              <w:rPr>
                <w:rFonts w:eastAsia="標楷體"/>
                <w:spacing w:val="4"/>
                <w:kern w:val="0"/>
                <w:sz w:val="29"/>
                <w:szCs w:val="29"/>
              </w:rPr>
            </w:pPr>
          </w:p>
        </w:tc>
        <w:tc>
          <w:tcPr>
            <w:tcW w:w="1067" w:type="dxa"/>
            <w:shd w:val="clear" w:color="auto" w:fill="auto"/>
            <w:tcMar>
              <w:top w:w="0" w:type="dxa"/>
              <w:left w:w="28" w:type="dxa"/>
              <w:bottom w:w="0" w:type="dxa"/>
              <w:right w:w="28" w:type="dxa"/>
            </w:tcMar>
            <w:vAlign w:val="center"/>
          </w:tcPr>
          <w:p w14:paraId="000D9AA3" w14:textId="77777777" w:rsidR="00052596" w:rsidRDefault="00000000">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r>
              <w:rPr>
                <w:rFonts w:eastAsia="標楷體"/>
                <w:bCs/>
                <w:i/>
                <w:kern w:val="0"/>
                <w:szCs w:val="24"/>
              </w:rPr>
              <w:t>221</w:t>
            </w:r>
          </w:p>
        </w:tc>
        <w:tc>
          <w:tcPr>
            <w:tcW w:w="19" w:type="dxa"/>
          </w:tcPr>
          <w:p w14:paraId="24F20342" w14:textId="77777777" w:rsidR="00052596" w:rsidRDefault="00052596">
            <w:pPr>
              <w:tabs>
                <w:tab w:val="left" w:pos="960"/>
                <w:tab w:val="left" w:pos="1920"/>
                <w:tab w:val="left" w:pos="2880"/>
                <w:tab w:val="left" w:pos="3840"/>
                <w:tab w:val="left" w:pos="4800"/>
                <w:tab w:val="left" w:pos="5760"/>
              </w:tabs>
              <w:autoSpaceDE w:val="0"/>
              <w:spacing w:before="108" w:line="320" w:lineRule="exact"/>
              <w:ind w:right="151"/>
              <w:jc w:val="right"/>
              <w:rPr>
                <w:rFonts w:eastAsia="標楷體"/>
                <w:bCs/>
                <w:i/>
                <w:kern w:val="0"/>
                <w:szCs w:val="24"/>
              </w:rPr>
            </w:pPr>
          </w:p>
        </w:tc>
      </w:tr>
    </w:tbl>
    <w:p w14:paraId="3A17BF02" w14:textId="77777777" w:rsidR="00052596" w:rsidRDefault="00000000">
      <w:pPr>
        <w:spacing w:before="540" w:line="420" w:lineRule="exact"/>
        <w:jc w:val="both"/>
      </w:pPr>
      <w:r>
        <w:rPr>
          <w:rFonts w:eastAsia="標楷體"/>
          <w:b/>
          <w:bCs/>
          <w:color w:val="0000FF"/>
          <w:kern w:val="0"/>
          <w:sz w:val="34"/>
          <w:szCs w:val="34"/>
        </w:rPr>
        <w:t>【</w:t>
      </w:r>
      <w:r>
        <w:rPr>
          <w:rFonts w:ascii="標楷體" w:eastAsia="標楷體" w:hAnsi="標楷體"/>
          <w:b/>
          <w:bCs/>
          <w:color w:val="0000FF"/>
          <w:spacing w:val="10"/>
          <w:kern w:val="0"/>
          <w:sz w:val="34"/>
          <w:szCs w:val="34"/>
        </w:rPr>
        <w:t>中程施政計畫篇】</w:t>
      </w:r>
    </w:p>
    <w:p w14:paraId="3C077FD3" w14:textId="77777777" w:rsidR="00052596" w:rsidRDefault="00000000">
      <w:pPr>
        <w:tabs>
          <w:tab w:val="left" w:pos="960"/>
          <w:tab w:val="left" w:pos="1920"/>
          <w:tab w:val="left" w:pos="2880"/>
          <w:tab w:val="left" w:pos="3840"/>
          <w:tab w:val="left" w:pos="4800"/>
          <w:tab w:val="left" w:pos="5760"/>
        </w:tabs>
        <w:overflowPunct w:val="0"/>
        <w:autoSpaceDE w:val="0"/>
        <w:spacing w:before="180" w:line="520" w:lineRule="exact"/>
        <w:ind w:firstLine="567"/>
        <w:jc w:val="both"/>
        <w:rPr>
          <w:rFonts w:eastAsia="標楷體"/>
          <w:kern w:val="0"/>
          <w:sz w:val="28"/>
        </w:rPr>
      </w:pPr>
      <w:r>
        <w:rPr>
          <w:rFonts w:eastAsia="標楷體"/>
          <w:kern w:val="0"/>
          <w:sz w:val="28"/>
        </w:rPr>
        <w:t>行政院研究發展考核委員會業於</w:t>
      </w:r>
      <w:r>
        <w:rPr>
          <w:rFonts w:eastAsia="標楷體"/>
          <w:kern w:val="0"/>
          <w:sz w:val="28"/>
        </w:rPr>
        <w:t>101</w:t>
      </w:r>
      <w:r>
        <w:rPr>
          <w:rFonts w:eastAsia="標楷體"/>
          <w:kern w:val="0"/>
          <w:sz w:val="28"/>
        </w:rPr>
        <w:t>年</w:t>
      </w:r>
      <w:r>
        <w:rPr>
          <w:rFonts w:eastAsia="標楷體"/>
          <w:kern w:val="0"/>
          <w:sz w:val="28"/>
        </w:rPr>
        <w:t>8</w:t>
      </w:r>
      <w:r>
        <w:rPr>
          <w:rFonts w:eastAsia="標楷體"/>
          <w:kern w:val="0"/>
          <w:sz w:val="28"/>
        </w:rPr>
        <w:t>月</w:t>
      </w:r>
      <w:r>
        <w:rPr>
          <w:rFonts w:eastAsia="標楷體"/>
          <w:kern w:val="0"/>
          <w:sz w:val="28"/>
        </w:rPr>
        <w:t>23</w:t>
      </w:r>
      <w:r>
        <w:rPr>
          <w:rFonts w:eastAsia="標楷體"/>
          <w:kern w:val="0"/>
          <w:sz w:val="28"/>
        </w:rPr>
        <w:t>日提報行政院</w:t>
      </w:r>
      <w:r>
        <w:rPr>
          <w:rFonts w:eastAsia="標楷體"/>
          <w:kern w:val="0"/>
          <w:sz w:val="28"/>
        </w:rPr>
        <w:t>3311</w:t>
      </w:r>
      <w:r>
        <w:rPr>
          <w:rFonts w:eastAsia="標楷體"/>
          <w:kern w:val="0"/>
          <w:sz w:val="28"/>
        </w:rPr>
        <w:t>次會議通過，已另行編印成冊，於</w:t>
      </w:r>
      <w:r>
        <w:rPr>
          <w:rFonts w:eastAsia="標楷體"/>
          <w:kern w:val="0"/>
          <w:sz w:val="28"/>
        </w:rPr>
        <w:t>9</w:t>
      </w:r>
      <w:r>
        <w:rPr>
          <w:rFonts w:eastAsia="標楷體"/>
          <w:kern w:val="0"/>
          <w:sz w:val="28"/>
        </w:rPr>
        <w:t>月</w:t>
      </w:r>
      <w:r>
        <w:rPr>
          <w:rFonts w:eastAsia="標楷體"/>
          <w:kern w:val="0"/>
          <w:sz w:val="28"/>
        </w:rPr>
        <w:t>6</w:t>
      </w:r>
      <w:r>
        <w:rPr>
          <w:rFonts w:eastAsia="標楷體"/>
          <w:kern w:val="0"/>
          <w:sz w:val="28"/>
        </w:rPr>
        <w:t>日由院分行各機關切實執行。</w:t>
      </w:r>
    </w:p>
    <w:p w14:paraId="06BFA22A" w14:textId="77777777" w:rsidR="00052596" w:rsidRDefault="00052596">
      <w:pPr>
        <w:tabs>
          <w:tab w:val="left" w:pos="960"/>
          <w:tab w:val="left" w:pos="1920"/>
          <w:tab w:val="left" w:pos="2880"/>
          <w:tab w:val="left" w:pos="3840"/>
          <w:tab w:val="left" w:pos="4800"/>
          <w:tab w:val="left" w:pos="5760"/>
        </w:tabs>
        <w:overflowPunct w:val="0"/>
        <w:autoSpaceDE w:val="0"/>
        <w:spacing w:before="180" w:line="520" w:lineRule="exact"/>
        <w:ind w:firstLine="567"/>
        <w:jc w:val="both"/>
        <w:rPr>
          <w:rFonts w:eastAsia="標楷體"/>
          <w:kern w:val="0"/>
          <w:sz w:val="28"/>
        </w:rPr>
        <w:sectPr w:rsidR="00052596">
          <w:headerReference w:type="even" r:id="rId7"/>
          <w:headerReference w:type="default" r:id="rId8"/>
          <w:footerReference w:type="even" r:id="rId9"/>
          <w:footerReference w:type="default" r:id="rId10"/>
          <w:pgSz w:w="11907" w:h="16839"/>
          <w:pgMar w:top="2268" w:right="1701" w:bottom="1701" w:left="1701" w:header="680" w:footer="851" w:gutter="0"/>
          <w:pgNumType w:start="1"/>
          <w:cols w:space="720"/>
          <w:docGrid w:type="lines" w:linePitch="437"/>
        </w:sectPr>
      </w:pPr>
    </w:p>
    <w:p w14:paraId="00BCD6F1" w14:textId="77777777" w:rsidR="00052596" w:rsidRDefault="00000000">
      <w:pPr>
        <w:pStyle w:val="k00t17"/>
        <w:spacing w:line="432" w:lineRule="exact"/>
        <w:outlineLvl w:val="9"/>
        <w:rPr>
          <w:color w:val="0000FF"/>
          <w:sz w:val="38"/>
          <w:szCs w:val="38"/>
        </w:rPr>
      </w:pPr>
      <w:r>
        <w:rPr>
          <w:color w:val="0000FF"/>
          <w:sz w:val="38"/>
          <w:szCs w:val="38"/>
        </w:rPr>
        <w:lastRenderedPageBreak/>
        <w:t>摘　要</w:t>
      </w:r>
    </w:p>
    <w:p w14:paraId="678E7912" w14:textId="77777777" w:rsidR="00052596" w:rsidRDefault="00052596">
      <w:pPr>
        <w:pStyle w:val="line"/>
        <w:spacing w:line="432" w:lineRule="exact"/>
        <w:rPr>
          <w:color w:val="0000FF"/>
        </w:rPr>
      </w:pPr>
    </w:p>
    <w:p w14:paraId="5FC7971B" w14:textId="77777777" w:rsidR="00052596" w:rsidRDefault="00000000">
      <w:pPr>
        <w:pStyle w:val="k00t16"/>
        <w:outlineLvl w:val="9"/>
        <w:rPr>
          <w:rFonts w:ascii="Times New Roman" w:eastAsia="標楷體" w:hAnsi="Times New Roman"/>
        </w:rPr>
      </w:pPr>
      <w:r>
        <w:rPr>
          <w:rFonts w:ascii="Times New Roman" w:eastAsia="標楷體" w:hAnsi="Times New Roman"/>
        </w:rPr>
        <w:t>壹、主客觀情勢分析</w:t>
      </w:r>
    </w:p>
    <w:p w14:paraId="06FCDDE0" w14:textId="77777777" w:rsidR="00052596" w:rsidRDefault="00052596">
      <w:pPr>
        <w:pStyle w:val="line"/>
        <w:spacing w:line="360" w:lineRule="exact"/>
        <w:rPr>
          <w:b/>
          <w:color w:val="0D0D0D"/>
        </w:rPr>
      </w:pPr>
    </w:p>
    <w:p w14:paraId="2DD87F8A" w14:textId="77777777" w:rsidR="00052596" w:rsidRDefault="00000000">
      <w:pPr>
        <w:pStyle w:val="k1a"/>
        <w:spacing w:before="0"/>
        <w:ind w:left="288" w:hanging="288"/>
        <w:outlineLvl w:val="9"/>
        <w:rPr>
          <w:rFonts w:ascii="Times New Roman" w:eastAsia="標楷體" w:hAnsi="Times New Roman"/>
        </w:rPr>
      </w:pPr>
      <w:r>
        <w:rPr>
          <w:rFonts w:ascii="Times New Roman" w:eastAsia="標楷體" w:hAnsi="Times New Roman"/>
        </w:rPr>
        <w:t>一、前瞻世界趨勢</w:t>
      </w:r>
    </w:p>
    <w:p w14:paraId="65A1AE91" w14:textId="77777777" w:rsidR="00052596" w:rsidRDefault="00000000">
      <w:pPr>
        <w:pStyle w:val="k12"/>
        <w:ind w:left="240" w:firstLine="576"/>
      </w:pPr>
      <w:r>
        <w:rPr>
          <w:rFonts w:ascii="Times New Roman" w:eastAsia="標楷體" w:hAnsi="Times New Roman"/>
          <w:color w:val="0D0D0D"/>
        </w:rPr>
        <w:t>依據環球透視機構</w:t>
      </w:r>
      <w:r>
        <w:rPr>
          <w:rFonts w:ascii="標楷體" w:eastAsia="標楷體" w:hAnsi="標楷體"/>
          <w:color w:val="0D0D0D"/>
        </w:rPr>
        <w:t>(</w:t>
      </w:r>
      <w:r>
        <w:rPr>
          <w:rFonts w:ascii="Times New Roman" w:eastAsia="標楷體" w:hAnsi="Times New Roman"/>
          <w:color w:val="0D0D0D"/>
        </w:rPr>
        <w:t>Global Insight Inc., GI</w:t>
      </w:r>
      <w:r>
        <w:rPr>
          <w:rFonts w:ascii="標楷體" w:eastAsia="標楷體" w:hAnsi="標楷體"/>
          <w:color w:val="0D0D0D"/>
        </w:rPr>
        <w:t>)</w:t>
      </w:r>
      <w:r>
        <w:rPr>
          <w:rFonts w:ascii="Times New Roman" w:eastAsia="標楷體" w:hAnsi="Times New Roman"/>
          <w:color w:val="0D0D0D"/>
        </w:rPr>
        <w:t>2012</w:t>
      </w:r>
      <w:r>
        <w:rPr>
          <w:rFonts w:ascii="Times New Roman" w:eastAsia="標楷體" w:hAnsi="Times New Roman"/>
          <w:color w:val="0D0D0D"/>
        </w:rPr>
        <w:t>年</w:t>
      </w:r>
      <w:r>
        <w:rPr>
          <w:rFonts w:ascii="Times New Roman" w:eastAsia="標楷體" w:hAnsi="Times New Roman"/>
          <w:color w:val="0D0D0D"/>
        </w:rPr>
        <w:t>12</w:t>
      </w:r>
      <w:r>
        <w:rPr>
          <w:rFonts w:ascii="Times New Roman" w:eastAsia="標楷體" w:hAnsi="Times New Roman"/>
          <w:color w:val="0D0D0D"/>
        </w:rPr>
        <w:t>月預測，</w:t>
      </w:r>
      <w:r>
        <w:rPr>
          <w:rFonts w:ascii="Times New Roman" w:eastAsia="標楷體" w:hAnsi="Times New Roman"/>
          <w:color w:val="0D0D0D"/>
        </w:rPr>
        <w:t>2013</w:t>
      </w:r>
      <w:r>
        <w:rPr>
          <w:rFonts w:ascii="Times New Roman" w:eastAsia="標楷體" w:hAnsi="Times New Roman"/>
          <w:color w:val="0D0D0D"/>
        </w:rPr>
        <w:t>至</w:t>
      </w:r>
      <w:r>
        <w:rPr>
          <w:rFonts w:ascii="Times New Roman" w:eastAsia="標楷體" w:hAnsi="Times New Roman"/>
          <w:color w:val="0D0D0D"/>
        </w:rPr>
        <w:t>2016</w:t>
      </w:r>
      <w:r>
        <w:rPr>
          <w:rFonts w:ascii="Times New Roman" w:eastAsia="標楷體" w:hAnsi="Times New Roman"/>
          <w:color w:val="0D0D0D"/>
        </w:rPr>
        <w:t>年世界經濟可望溫和成長，經濟成長率平均為</w:t>
      </w:r>
      <w:r>
        <w:rPr>
          <w:rFonts w:ascii="Times New Roman" w:eastAsia="標楷體" w:hAnsi="Times New Roman"/>
          <w:color w:val="0D0D0D"/>
        </w:rPr>
        <w:t>3.5%</w:t>
      </w:r>
      <w:r>
        <w:rPr>
          <w:rFonts w:ascii="Times New Roman" w:eastAsia="標楷體" w:hAnsi="Times New Roman"/>
          <w:color w:val="0D0D0D"/>
        </w:rPr>
        <w:t>，且續呈新興經濟體經濟擴張速度高於先進經濟體之雙軌成長</w:t>
      </w:r>
      <w:r>
        <w:rPr>
          <w:rFonts w:ascii="標楷體" w:eastAsia="標楷體" w:hAnsi="標楷體"/>
          <w:color w:val="0D0D0D"/>
        </w:rPr>
        <w:t>(</w:t>
      </w:r>
      <w:r>
        <w:rPr>
          <w:rFonts w:ascii="Times New Roman" w:eastAsia="標楷體" w:hAnsi="Times New Roman"/>
          <w:color w:val="0D0D0D"/>
        </w:rPr>
        <w:t>double-track growth</w:t>
      </w:r>
      <w:r>
        <w:rPr>
          <w:rFonts w:ascii="標楷體" w:eastAsia="標楷體" w:hAnsi="標楷體"/>
          <w:color w:val="0D0D0D"/>
        </w:rPr>
        <w:t>)</w:t>
      </w:r>
      <w:r>
        <w:rPr>
          <w:rFonts w:ascii="Times New Roman" w:eastAsia="標楷體" w:hAnsi="Times New Roman"/>
          <w:color w:val="0D0D0D"/>
        </w:rPr>
        <w:t>態勢。惟歐債危機遲未解決、先進經濟體高財政赤字及失業率問題、新興經濟體成長可能轉緩，以及國際能源市場波動等不確定因素，均使全球經濟面臨下行風險。此外，新興經濟體區域內貿易活絡與經貿結盟深化、全球人口結構高齡化、國際環保規範益趨嚴格，亦為影響世界經貿發展的重要課題。</w:t>
      </w:r>
    </w:p>
    <w:p w14:paraId="06B2DDED" w14:textId="77777777" w:rsidR="00052596" w:rsidRDefault="00000000">
      <w:pPr>
        <w:pStyle w:val="k2a"/>
        <w:ind w:left="817" w:hanging="577"/>
        <w:outlineLvl w:val="9"/>
      </w:pPr>
      <w:r>
        <w:rPr>
          <w:rFonts w:ascii="標楷體" w:eastAsia="標楷體" w:hAnsi="標楷體"/>
        </w:rPr>
        <w:t>(一)</w:t>
      </w:r>
      <w:r>
        <w:rPr>
          <w:rFonts w:ascii="Times New Roman" w:eastAsia="標楷體" w:hAnsi="Times New Roman"/>
        </w:rPr>
        <w:t>世界經濟可望溫和成長</w:t>
      </w:r>
    </w:p>
    <w:p w14:paraId="16F87A22" w14:textId="77777777" w:rsidR="00052596" w:rsidRDefault="00000000">
      <w:pPr>
        <w:pStyle w:val="k22"/>
        <w:spacing w:line="406" w:lineRule="exact"/>
        <w:ind w:left="840" w:firstLine="560"/>
        <w:rPr>
          <w:rFonts w:ascii="Times New Roman" w:eastAsia="標楷體" w:hAnsi="Times New Roman"/>
          <w:color w:val="0D0D0D"/>
        </w:rPr>
      </w:pPr>
      <w:r>
        <w:rPr>
          <w:rFonts w:ascii="Times New Roman" w:eastAsia="標楷體" w:hAnsi="Times New Roman"/>
          <w:color w:val="0D0D0D"/>
        </w:rPr>
        <w:t>GI</w:t>
      </w:r>
      <w:r>
        <w:rPr>
          <w:rFonts w:ascii="Times New Roman" w:eastAsia="標楷體" w:hAnsi="Times New Roman"/>
          <w:color w:val="0D0D0D"/>
        </w:rPr>
        <w:t>預測，</w:t>
      </w:r>
      <w:r>
        <w:rPr>
          <w:rFonts w:ascii="Times New Roman" w:eastAsia="標楷體" w:hAnsi="Times New Roman"/>
          <w:color w:val="0D0D0D"/>
        </w:rPr>
        <w:t>2013</w:t>
      </w:r>
      <w:r>
        <w:rPr>
          <w:rFonts w:ascii="Times New Roman" w:eastAsia="標楷體" w:hAnsi="Times New Roman"/>
          <w:color w:val="0D0D0D"/>
        </w:rPr>
        <w:t>至</w:t>
      </w:r>
      <w:r>
        <w:rPr>
          <w:rFonts w:ascii="Times New Roman" w:eastAsia="標楷體" w:hAnsi="Times New Roman"/>
          <w:color w:val="0D0D0D"/>
        </w:rPr>
        <w:t>2016</w:t>
      </w:r>
      <w:r>
        <w:rPr>
          <w:rFonts w:ascii="Times New Roman" w:eastAsia="標楷體" w:hAnsi="Times New Roman"/>
          <w:color w:val="0D0D0D"/>
        </w:rPr>
        <w:t>年世界經濟成長率分別為</w:t>
      </w:r>
      <w:r>
        <w:rPr>
          <w:rFonts w:ascii="Times New Roman" w:eastAsia="標楷體" w:hAnsi="Times New Roman"/>
          <w:color w:val="0D0D0D"/>
        </w:rPr>
        <w:t>2.6%</w:t>
      </w:r>
      <w:r>
        <w:rPr>
          <w:rFonts w:ascii="Times New Roman" w:eastAsia="標楷體" w:hAnsi="Times New Roman"/>
          <w:color w:val="0D0D0D"/>
        </w:rPr>
        <w:t>、</w:t>
      </w:r>
      <w:r>
        <w:rPr>
          <w:rFonts w:ascii="Times New Roman" w:eastAsia="標楷體" w:hAnsi="Times New Roman"/>
          <w:color w:val="0D0D0D"/>
        </w:rPr>
        <w:t>3.4%</w:t>
      </w:r>
      <w:r>
        <w:rPr>
          <w:rFonts w:ascii="Times New Roman" w:eastAsia="標楷體" w:hAnsi="Times New Roman"/>
          <w:color w:val="0D0D0D"/>
        </w:rPr>
        <w:t>、</w:t>
      </w:r>
      <w:r>
        <w:rPr>
          <w:rFonts w:ascii="Times New Roman" w:eastAsia="標楷體" w:hAnsi="Times New Roman"/>
          <w:color w:val="0D0D0D"/>
        </w:rPr>
        <w:t>4.0%</w:t>
      </w:r>
      <w:r>
        <w:rPr>
          <w:rFonts w:ascii="Times New Roman" w:eastAsia="標楷體" w:hAnsi="Times New Roman"/>
          <w:color w:val="0D0D0D"/>
        </w:rPr>
        <w:t>及</w:t>
      </w:r>
      <w:r>
        <w:rPr>
          <w:rFonts w:ascii="Times New Roman" w:eastAsia="標楷體" w:hAnsi="Times New Roman"/>
          <w:color w:val="0D0D0D"/>
        </w:rPr>
        <w:t>4.0%</w:t>
      </w:r>
      <w:r>
        <w:rPr>
          <w:rFonts w:ascii="Times New Roman" w:eastAsia="標楷體" w:hAnsi="Times New Roman"/>
          <w:color w:val="0D0D0D"/>
        </w:rPr>
        <w:t>，平均</w:t>
      </w:r>
      <w:r>
        <w:rPr>
          <w:rFonts w:ascii="Times New Roman" w:eastAsia="標楷體" w:hAnsi="Times New Roman"/>
          <w:color w:val="0D0D0D"/>
        </w:rPr>
        <w:t>3.5%</w:t>
      </w:r>
      <w:r>
        <w:rPr>
          <w:rFonts w:ascii="Times New Roman" w:eastAsia="標楷體" w:hAnsi="Times New Roman"/>
          <w:color w:val="0D0D0D"/>
        </w:rPr>
        <w:t>，較金融海嘯後</w:t>
      </w:r>
      <w:r>
        <w:rPr>
          <w:rFonts w:ascii="Times New Roman" w:eastAsia="標楷體" w:hAnsi="Times New Roman"/>
          <w:color w:val="0D0D0D"/>
        </w:rPr>
        <w:t>2010</w:t>
      </w:r>
      <w:r>
        <w:rPr>
          <w:rFonts w:ascii="Times New Roman" w:eastAsia="標楷體" w:hAnsi="Times New Roman"/>
          <w:color w:val="0D0D0D"/>
        </w:rPr>
        <w:t>至</w:t>
      </w:r>
      <w:r>
        <w:rPr>
          <w:rFonts w:ascii="Times New Roman" w:eastAsia="標楷體" w:hAnsi="Times New Roman"/>
          <w:color w:val="0D0D0D"/>
        </w:rPr>
        <w:t>2012</w:t>
      </w:r>
      <w:r>
        <w:rPr>
          <w:rFonts w:ascii="Times New Roman" w:eastAsia="標楷體" w:hAnsi="Times New Roman"/>
          <w:color w:val="0D0D0D"/>
        </w:rPr>
        <w:t>年平均的</w:t>
      </w:r>
      <w:r>
        <w:rPr>
          <w:rFonts w:ascii="Times New Roman" w:eastAsia="標楷體" w:hAnsi="Times New Roman"/>
          <w:color w:val="0D0D0D"/>
        </w:rPr>
        <w:t>3.3%</w:t>
      </w:r>
      <w:r>
        <w:rPr>
          <w:rFonts w:ascii="Times New Roman" w:eastAsia="標楷體" w:hAnsi="Times New Roman"/>
          <w:color w:val="0D0D0D"/>
        </w:rPr>
        <w:t>，略升</w:t>
      </w:r>
      <w:r>
        <w:rPr>
          <w:rFonts w:ascii="Times New Roman" w:eastAsia="標楷體" w:hAnsi="Times New Roman"/>
          <w:color w:val="0D0D0D"/>
        </w:rPr>
        <w:t>0.2</w:t>
      </w:r>
      <w:r>
        <w:rPr>
          <w:rFonts w:ascii="Times New Roman" w:eastAsia="標楷體" w:hAnsi="Times New Roman"/>
          <w:color w:val="0D0D0D"/>
        </w:rPr>
        <w:t>個百分點。其中，新興經濟體平均經濟成長率為</w:t>
      </w:r>
      <w:r>
        <w:rPr>
          <w:rFonts w:ascii="Times New Roman" w:eastAsia="標楷體" w:hAnsi="Times New Roman"/>
          <w:color w:val="0D0D0D"/>
        </w:rPr>
        <w:t>5.6%</w:t>
      </w:r>
      <w:r>
        <w:rPr>
          <w:rFonts w:ascii="Times New Roman" w:eastAsia="標楷體" w:hAnsi="Times New Roman"/>
          <w:color w:val="0D0D0D"/>
        </w:rPr>
        <w:t>，遠高於先進經濟體的</w:t>
      </w:r>
      <w:r>
        <w:rPr>
          <w:rFonts w:ascii="Times New Roman" w:eastAsia="標楷體" w:hAnsi="Times New Roman"/>
          <w:color w:val="0D0D0D"/>
        </w:rPr>
        <w:t>2.0%</w:t>
      </w:r>
      <w:r>
        <w:rPr>
          <w:rFonts w:ascii="Times New Roman" w:eastAsia="標楷體" w:hAnsi="Times New Roman"/>
          <w:color w:val="0D0D0D"/>
        </w:rPr>
        <w:t>，亦較全球經濟成長率</w:t>
      </w:r>
      <w:r>
        <w:rPr>
          <w:rFonts w:ascii="Times New Roman" w:eastAsia="標楷體" w:hAnsi="Times New Roman"/>
          <w:color w:val="0D0D0D"/>
        </w:rPr>
        <w:t>3.5%</w:t>
      </w:r>
      <w:r>
        <w:rPr>
          <w:rFonts w:ascii="Times New Roman" w:eastAsia="標楷體" w:hAnsi="Times New Roman"/>
          <w:color w:val="0D0D0D"/>
        </w:rPr>
        <w:t>為高，續為世界經濟成長主動能。</w:t>
      </w:r>
    </w:p>
    <w:p w14:paraId="55722432" w14:textId="77777777" w:rsidR="00052596" w:rsidRDefault="00000000">
      <w:pPr>
        <w:pStyle w:val="k3a"/>
        <w:spacing w:line="406" w:lineRule="exact"/>
        <w:ind w:left="1128" w:hanging="288"/>
        <w:outlineLvl w:val="9"/>
        <w:rPr>
          <w:rFonts w:ascii="Times New Roman" w:eastAsia="標楷體" w:hAnsi="Times New Roman"/>
          <w:color w:val="0D0D0D"/>
        </w:rPr>
      </w:pPr>
      <w:r>
        <w:rPr>
          <w:rFonts w:ascii="Times New Roman" w:eastAsia="標楷體" w:hAnsi="Times New Roman"/>
          <w:color w:val="0D0D0D"/>
        </w:rPr>
        <w:t>－</w:t>
      </w:r>
      <w:r>
        <w:rPr>
          <w:rFonts w:ascii="Times New Roman" w:eastAsia="標楷體" w:hAnsi="Times New Roman"/>
          <w:color w:val="0D0D0D"/>
        </w:rPr>
        <w:t>2013</w:t>
      </w:r>
      <w:r>
        <w:rPr>
          <w:rFonts w:ascii="Times New Roman" w:eastAsia="標楷體" w:hAnsi="Times New Roman"/>
          <w:color w:val="0D0D0D"/>
        </w:rPr>
        <w:t>至</w:t>
      </w:r>
      <w:r>
        <w:rPr>
          <w:rFonts w:ascii="Times New Roman" w:eastAsia="標楷體" w:hAnsi="Times New Roman"/>
          <w:color w:val="0D0D0D"/>
        </w:rPr>
        <w:t>2016</w:t>
      </w:r>
      <w:r>
        <w:rPr>
          <w:rFonts w:ascii="Times New Roman" w:eastAsia="標楷體" w:hAnsi="Times New Roman"/>
          <w:color w:val="0D0D0D"/>
        </w:rPr>
        <w:t>年，先進經濟體受制於財政赤字及政府債務壓力、就業情勢持續低迷等因素，整體成長動能仍弱，平均經濟成長率</w:t>
      </w:r>
      <w:r>
        <w:rPr>
          <w:rFonts w:ascii="Times New Roman" w:eastAsia="標楷體" w:hAnsi="Times New Roman"/>
          <w:color w:val="0D0D0D"/>
        </w:rPr>
        <w:t>2.0%</w:t>
      </w:r>
      <w:r>
        <w:rPr>
          <w:rFonts w:ascii="Times New Roman" w:eastAsia="標楷體" w:hAnsi="Times New Roman"/>
          <w:color w:val="0D0D0D"/>
        </w:rPr>
        <w:t>，略高於金融海嘯後</w:t>
      </w:r>
      <w:r>
        <w:rPr>
          <w:rFonts w:ascii="Times New Roman" w:eastAsia="標楷體" w:hAnsi="Times New Roman"/>
          <w:color w:val="0D0D0D"/>
        </w:rPr>
        <w:t>2010</w:t>
      </w:r>
      <w:r>
        <w:rPr>
          <w:rFonts w:ascii="Times New Roman" w:eastAsia="標楷體" w:hAnsi="Times New Roman"/>
          <w:color w:val="0D0D0D"/>
        </w:rPr>
        <w:t>至</w:t>
      </w:r>
      <w:r>
        <w:rPr>
          <w:rFonts w:ascii="Times New Roman" w:eastAsia="標楷體" w:hAnsi="Times New Roman"/>
          <w:color w:val="0D0D0D"/>
        </w:rPr>
        <w:t>2012</w:t>
      </w:r>
      <w:r>
        <w:rPr>
          <w:rFonts w:ascii="Times New Roman" w:eastAsia="標楷體" w:hAnsi="Times New Roman"/>
          <w:color w:val="0D0D0D"/>
        </w:rPr>
        <w:t>年平均的</w:t>
      </w:r>
      <w:r>
        <w:rPr>
          <w:rFonts w:ascii="Times New Roman" w:eastAsia="標楷體" w:hAnsi="Times New Roman"/>
          <w:color w:val="0D0D0D"/>
        </w:rPr>
        <w:t>1.9%</w:t>
      </w:r>
      <w:r>
        <w:rPr>
          <w:rFonts w:ascii="Times New Roman" w:eastAsia="標楷體" w:hAnsi="Times New Roman"/>
          <w:color w:val="0D0D0D"/>
        </w:rPr>
        <w:t>，對全球經濟成長貢獻率為</w:t>
      </w:r>
      <w:r>
        <w:rPr>
          <w:rFonts w:ascii="Times New Roman" w:eastAsia="標楷體" w:hAnsi="Times New Roman"/>
          <w:color w:val="0D0D0D"/>
        </w:rPr>
        <w:t>42.6%</w:t>
      </w:r>
      <w:r>
        <w:rPr>
          <w:rFonts w:ascii="Times New Roman" w:eastAsia="標楷體" w:hAnsi="Times New Roman"/>
          <w:color w:val="0D0D0D"/>
        </w:rPr>
        <w:t>；占全球實質</w:t>
      </w:r>
      <w:r>
        <w:rPr>
          <w:rFonts w:ascii="Times New Roman" w:eastAsia="標楷體" w:hAnsi="Times New Roman"/>
          <w:color w:val="0D0D0D"/>
        </w:rPr>
        <w:t>GDP</w:t>
      </w:r>
      <w:r>
        <w:rPr>
          <w:rFonts w:ascii="Times New Roman" w:eastAsia="標楷體" w:hAnsi="Times New Roman"/>
          <w:color w:val="0D0D0D"/>
        </w:rPr>
        <w:t>比率，則將由</w:t>
      </w:r>
      <w:r>
        <w:rPr>
          <w:rFonts w:ascii="Times New Roman" w:eastAsia="標楷體" w:hAnsi="Times New Roman"/>
          <w:color w:val="0D0D0D"/>
        </w:rPr>
        <w:t>2009</w:t>
      </w:r>
      <w:r>
        <w:rPr>
          <w:rFonts w:ascii="Times New Roman" w:eastAsia="標楷體" w:hAnsi="Times New Roman"/>
          <w:color w:val="0D0D0D"/>
        </w:rPr>
        <w:t>至</w:t>
      </w:r>
      <w:r>
        <w:rPr>
          <w:rFonts w:ascii="Times New Roman" w:eastAsia="標楷體" w:hAnsi="Times New Roman"/>
          <w:color w:val="0D0D0D"/>
        </w:rPr>
        <w:t>2012</w:t>
      </w:r>
      <w:r>
        <w:rPr>
          <w:rFonts w:ascii="Times New Roman" w:eastAsia="標楷體" w:hAnsi="Times New Roman"/>
          <w:color w:val="0D0D0D"/>
        </w:rPr>
        <w:t>年的</w:t>
      </w:r>
      <w:r>
        <w:rPr>
          <w:rFonts w:ascii="Times New Roman" w:eastAsia="標楷體" w:hAnsi="Times New Roman"/>
          <w:color w:val="0D0D0D"/>
        </w:rPr>
        <w:t>70.0%</w:t>
      </w:r>
      <w:r>
        <w:rPr>
          <w:rFonts w:ascii="Times New Roman" w:eastAsia="標楷體" w:hAnsi="Times New Roman"/>
          <w:color w:val="0D0D0D"/>
        </w:rPr>
        <w:t>減為</w:t>
      </w:r>
      <w:r>
        <w:rPr>
          <w:rFonts w:ascii="Times New Roman" w:eastAsia="標楷體" w:hAnsi="Times New Roman"/>
          <w:color w:val="0D0D0D"/>
        </w:rPr>
        <w:t>67.0%</w:t>
      </w:r>
      <w:r>
        <w:rPr>
          <w:rFonts w:ascii="Times New Roman" w:eastAsia="標楷體" w:hAnsi="Times New Roman"/>
          <w:color w:val="0D0D0D"/>
        </w:rPr>
        <w:t>。</w:t>
      </w:r>
    </w:p>
    <w:p w14:paraId="16E374B3" w14:textId="77777777" w:rsidR="00052596" w:rsidRDefault="00000000">
      <w:pPr>
        <w:pStyle w:val="k3a"/>
        <w:spacing w:line="406" w:lineRule="exact"/>
        <w:ind w:left="1128" w:hanging="288"/>
        <w:outlineLvl w:val="9"/>
        <w:rPr>
          <w:rFonts w:ascii="Times New Roman" w:eastAsia="標楷體" w:hAnsi="Times New Roman"/>
          <w:color w:val="0D0D0D"/>
        </w:rPr>
      </w:pPr>
      <w:r>
        <w:rPr>
          <w:rFonts w:ascii="Times New Roman" w:eastAsia="標楷體" w:hAnsi="Times New Roman"/>
          <w:color w:val="0D0D0D"/>
        </w:rPr>
        <w:t>－</w:t>
      </w:r>
      <w:r>
        <w:rPr>
          <w:rFonts w:ascii="Times New Roman" w:eastAsia="標楷體" w:hAnsi="Times New Roman"/>
          <w:color w:val="0D0D0D"/>
        </w:rPr>
        <w:t>2013</w:t>
      </w:r>
      <w:r>
        <w:rPr>
          <w:rFonts w:ascii="Times New Roman" w:eastAsia="標楷體" w:hAnsi="Times New Roman"/>
          <w:color w:val="0D0D0D"/>
        </w:rPr>
        <w:t>至</w:t>
      </w:r>
      <w:r>
        <w:rPr>
          <w:rFonts w:ascii="Times New Roman" w:eastAsia="標楷體" w:hAnsi="Times New Roman"/>
          <w:color w:val="0D0D0D"/>
        </w:rPr>
        <w:t>2016</w:t>
      </w:r>
      <w:r>
        <w:rPr>
          <w:rFonts w:ascii="Times New Roman" w:eastAsia="標楷體" w:hAnsi="Times New Roman"/>
          <w:color w:val="0D0D0D"/>
        </w:rPr>
        <w:t>年，新興經濟體受惠於人口結構相對年輕、天然資源豐沛、政府致力強化基礎建設及調整經濟結構等因素，經濟可望穩健成長，平均經濟成長率為</w:t>
      </w:r>
      <w:r>
        <w:rPr>
          <w:rFonts w:ascii="Times New Roman" w:eastAsia="標楷體" w:hAnsi="Times New Roman"/>
          <w:color w:val="0D0D0D"/>
        </w:rPr>
        <w:t>5.6%</w:t>
      </w:r>
      <w:r>
        <w:rPr>
          <w:rFonts w:ascii="Times New Roman" w:eastAsia="標楷體" w:hAnsi="Times New Roman"/>
          <w:color w:val="0D0D0D"/>
        </w:rPr>
        <w:t>，對全球經濟成長貢獻率</w:t>
      </w:r>
      <w:r>
        <w:rPr>
          <w:rFonts w:ascii="Times New Roman" w:eastAsia="標楷體" w:hAnsi="Times New Roman"/>
          <w:color w:val="0D0D0D"/>
        </w:rPr>
        <w:t>53.3%</w:t>
      </w:r>
      <w:r>
        <w:rPr>
          <w:rFonts w:ascii="Times New Roman" w:eastAsia="標楷體" w:hAnsi="Times New Roman"/>
          <w:color w:val="0D0D0D"/>
        </w:rPr>
        <w:t>，占全球實質</w:t>
      </w:r>
      <w:r>
        <w:rPr>
          <w:rFonts w:ascii="Times New Roman" w:eastAsia="標楷體" w:hAnsi="Times New Roman"/>
          <w:color w:val="0D0D0D"/>
        </w:rPr>
        <w:t>GDP</w:t>
      </w:r>
      <w:r>
        <w:rPr>
          <w:rFonts w:ascii="Times New Roman" w:eastAsia="標楷體" w:hAnsi="Times New Roman"/>
          <w:color w:val="0D0D0D"/>
        </w:rPr>
        <w:t>比率則將由</w:t>
      </w:r>
      <w:r>
        <w:rPr>
          <w:rFonts w:ascii="Times New Roman" w:eastAsia="標楷體" w:hAnsi="Times New Roman"/>
          <w:color w:val="0D0D0D"/>
        </w:rPr>
        <w:t>2009</w:t>
      </w:r>
      <w:r>
        <w:rPr>
          <w:rFonts w:ascii="Times New Roman" w:eastAsia="標楷體" w:hAnsi="Times New Roman"/>
          <w:color w:val="0D0D0D"/>
        </w:rPr>
        <w:t>至</w:t>
      </w:r>
      <w:r>
        <w:rPr>
          <w:rFonts w:ascii="Times New Roman" w:eastAsia="標楷體" w:hAnsi="Times New Roman"/>
          <w:color w:val="0D0D0D"/>
        </w:rPr>
        <w:t>2012</w:t>
      </w:r>
      <w:r>
        <w:rPr>
          <w:rFonts w:ascii="Times New Roman" w:eastAsia="標楷體" w:hAnsi="Times New Roman"/>
          <w:color w:val="0D0D0D"/>
        </w:rPr>
        <w:t>年的</w:t>
      </w:r>
      <w:r>
        <w:rPr>
          <w:rFonts w:ascii="Times New Roman" w:eastAsia="標楷體" w:hAnsi="Times New Roman"/>
          <w:color w:val="0D0D0D"/>
        </w:rPr>
        <w:t>27.4%</w:t>
      </w:r>
      <w:r>
        <w:rPr>
          <w:rFonts w:ascii="Times New Roman" w:eastAsia="標楷體" w:hAnsi="Times New Roman"/>
          <w:color w:val="0D0D0D"/>
        </w:rPr>
        <w:t>，提高為</w:t>
      </w:r>
      <w:r>
        <w:rPr>
          <w:rFonts w:ascii="Times New Roman" w:eastAsia="標楷體" w:hAnsi="Times New Roman"/>
          <w:color w:val="0D0D0D"/>
        </w:rPr>
        <w:t>30.3%</w:t>
      </w:r>
      <w:r>
        <w:rPr>
          <w:rFonts w:ascii="Times New Roman" w:eastAsia="標楷體" w:hAnsi="Times New Roman"/>
          <w:color w:val="0D0D0D"/>
        </w:rPr>
        <w:t>。其中，亞太新興經濟體在區域內貿易活絡，以及中國大陸、印度內需強勁的帶動下，經濟表現尤為亮麗。</w:t>
      </w:r>
    </w:p>
    <w:p w14:paraId="2F00A509" w14:textId="77777777" w:rsidR="00052596" w:rsidRDefault="00000000">
      <w:pPr>
        <w:pStyle w:val="k2a"/>
        <w:ind w:left="817" w:hanging="577"/>
        <w:outlineLvl w:val="9"/>
      </w:pPr>
      <w:r>
        <w:rPr>
          <w:rFonts w:ascii="標楷體" w:eastAsia="標楷體" w:hAnsi="標楷體"/>
        </w:rPr>
        <w:lastRenderedPageBreak/>
        <w:t>(二)</w:t>
      </w:r>
      <w:r>
        <w:rPr>
          <w:rFonts w:ascii="Times New Roman" w:eastAsia="標楷體" w:hAnsi="Times New Roman"/>
        </w:rPr>
        <w:t>新興經濟體成長、結盟與布局</w:t>
      </w:r>
    </w:p>
    <w:p w14:paraId="46C811FA" w14:textId="77777777" w:rsidR="00052596" w:rsidRDefault="00000000">
      <w:pPr>
        <w:pStyle w:val="k22"/>
        <w:ind w:left="840" w:firstLine="560"/>
        <w:rPr>
          <w:rFonts w:ascii="Times New Roman" w:eastAsia="標楷體" w:hAnsi="Times New Roman"/>
          <w:color w:val="0D0D0D"/>
        </w:rPr>
      </w:pPr>
      <w:r>
        <w:rPr>
          <w:rFonts w:ascii="Times New Roman" w:eastAsia="標楷體" w:hAnsi="Times New Roman"/>
          <w:color w:val="0D0D0D"/>
        </w:rPr>
        <w:t>21</w:t>
      </w:r>
      <w:r>
        <w:rPr>
          <w:rFonts w:ascii="Times New Roman" w:eastAsia="標楷體" w:hAnsi="Times New Roman"/>
          <w:color w:val="0D0D0D"/>
        </w:rPr>
        <w:t>世紀以來，新興經濟體在國際經貿舞臺表現亮麗，特別是亞洲新興經濟體，被譽為全球經濟發展的成功典範。未來，隨著新興經濟體朝城市化與工業化轉型發展，其城市經濟版圖可望持續擴大，加以消費階層崛起，以及經濟整合深化等關鍵驅動力牽引下，內需市場可望蓬勃活絡。另新興經濟體跨國企業已逐漸躋身世界級企業，對全球經貿影響日趨深遠。</w:t>
      </w:r>
    </w:p>
    <w:p w14:paraId="04667725" w14:textId="77777777" w:rsidR="00052596" w:rsidRDefault="00000000">
      <w:pPr>
        <w:pStyle w:val="k3a"/>
        <w:ind w:left="1128" w:hanging="288"/>
        <w:outlineLvl w:val="9"/>
      </w:pPr>
      <w:r>
        <w:rPr>
          <w:rFonts w:ascii="Times New Roman" w:eastAsia="標楷體" w:hAnsi="Times New Roman"/>
          <w:color w:val="0D0D0D"/>
        </w:rPr>
        <w:t>－依據「麥肯錫國際機構」</w:t>
      </w:r>
      <w:r>
        <w:rPr>
          <w:rFonts w:ascii="標楷體" w:eastAsia="標楷體" w:hAnsi="標楷體"/>
          <w:color w:val="0D0D0D"/>
        </w:rPr>
        <w:t>(</w:t>
      </w:r>
      <w:r>
        <w:rPr>
          <w:rFonts w:ascii="Times New Roman" w:eastAsia="標楷體" w:hAnsi="Times New Roman"/>
          <w:color w:val="0D0D0D"/>
        </w:rPr>
        <w:t>Mckinsey Global Institute</w:t>
      </w:r>
      <w:r>
        <w:rPr>
          <w:rFonts w:ascii="標楷體" w:eastAsia="標楷體" w:hAnsi="標楷體"/>
          <w:color w:val="0D0D0D"/>
        </w:rPr>
        <w:t>)</w:t>
      </w:r>
      <w:r>
        <w:rPr>
          <w:rFonts w:ascii="Times New Roman" w:eastAsia="標楷體" w:hAnsi="Times New Roman"/>
          <w:color w:val="0D0D0D"/>
        </w:rPr>
        <w:t>研究，</w:t>
      </w:r>
      <w:r>
        <w:rPr>
          <w:rFonts w:ascii="Times New Roman" w:eastAsia="標楷體" w:hAnsi="Times New Roman"/>
          <w:color w:val="0D0D0D"/>
        </w:rPr>
        <w:t>2010</w:t>
      </w:r>
      <w:r>
        <w:rPr>
          <w:rFonts w:ascii="Times New Roman" w:eastAsia="標楷體" w:hAnsi="Times New Roman"/>
          <w:color w:val="0D0D0D"/>
        </w:rPr>
        <w:t>至</w:t>
      </w:r>
      <w:r>
        <w:rPr>
          <w:rFonts w:ascii="Times New Roman" w:eastAsia="標楷體" w:hAnsi="Times New Roman"/>
          <w:color w:val="0D0D0D"/>
        </w:rPr>
        <w:t>2025</w:t>
      </w:r>
      <w:r>
        <w:rPr>
          <w:rFonts w:ascii="Times New Roman" w:eastAsia="標楷體" w:hAnsi="Times New Roman"/>
          <w:color w:val="0D0D0D"/>
        </w:rPr>
        <w:t>年，在全球最具活力的</w:t>
      </w:r>
      <w:r>
        <w:rPr>
          <w:rFonts w:ascii="Times New Roman" w:eastAsia="標楷體" w:hAnsi="Times New Roman"/>
          <w:color w:val="0D0D0D"/>
        </w:rPr>
        <w:t>600</w:t>
      </w:r>
      <w:r>
        <w:rPr>
          <w:rFonts w:ascii="Times New Roman" w:eastAsia="標楷體" w:hAnsi="Times New Roman"/>
          <w:color w:val="0D0D0D"/>
        </w:rPr>
        <w:t>大城市中，預估新興經濟體城市將高占</w:t>
      </w:r>
      <w:r>
        <w:rPr>
          <w:rFonts w:ascii="Times New Roman" w:eastAsia="標楷體" w:hAnsi="Times New Roman"/>
          <w:color w:val="0D0D0D"/>
        </w:rPr>
        <w:t>443</w:t>
      </w:r>
      <w:r>
        <w:rPr>
          <w:rFonts w:ascii="Times New Roman" w:eastAsia="標楷體" w:hAnsi="Times New Roman"/>
          <w:color w:val="0D0D0D"/>
        </w:rPr>
        <w:t>個，占全球</w:t>
      </w:r>
      <w:r>
        <w:rPr>
          <w:rFonts w:ascii="Times New Roman" w:eastAsia="標楷體" w:hAnsi="Times New Roman"/>
          <w:color w:val="0D0D0D"/>
        </w:rPr>
        <w:t>GDP</w:t>
      </w:r>
      <w:r>
        <w:rPr>
          <w:rFonts w:ascii="Times New Roman" w:eastAsia="標楷體" w:hAnsi="Times New Roman"/>
          <w:color w:val="0D0D0D"/>
        </w:rPr>
        <w:t>增量</w:t>
      </w:r>
      <w:r>
        <w:rPr>
          <w:rFonts w:ascii="Times New Roman" w:eastAsia="標楷體" w:hAnsi="Times New Roman"/>
          <w:color w:val="0D0D0D"/>
        </w:rPr>
        <w:t>47%</w:t>
      </w:r>
      <w:r>
        <w:rPr>
          <w:rFonts w:ascii="標楷體" w:eastAsia="標楷體" w:hAnsi="標楷體"/>
          <w:color w:val="0D0D0D"/>
        </w:rPr>
        <w:t>(</w:t>
      </w:r>
      <w:r>
        <w:rPr>
          <w:rFonts w:ascii="Times New Roman" w:eastAsia="標楷體" w:hAnsi="Times New Roman"/>
          <w:color w:val="0D0D0D"/>
        </w:rPr>
        <w:t>加計其他城市與農村地區則比重增為</w:t>
      </w:r>
      <w:r>
        <w:rPr>
          <w:rFonts w:ascii="Times New Roman" w:eastAsia="標楷體" w:hAnsi="Times New Roman"/>
          <w:color w:val="0D0D0D"/>
        </w:rPr>
        <w:t>74%</w:t>
      </w:r>
      <w:r>
        <w:rPr>
          <w:rFonts w:ascii="標楷體" w:eastAsia="標楷體" w:hAnsi="標楷體"/>
          <w:color w:val="0D0D0D"/>
        </w:rPr>
        <w:t>)</w:t>
      </w:r>
      <w:r>
        <w:rPr>
          <w:rFonts w:ascii="Times New Roman" w:eastAsia="標楷體" w:hAnsi="Times New Roman"/>
          <w:color w:val="0D0D0D"/>
        </w:rPr>
        <w:t>；同期間，預估城市消費階層人數增加逾</w:t>
      </w:r>
      <w:r>
        <w:rPr>
          <w:rFonts w:ascii="Times New Roman" w:eastAsia="標楷體" w:hAnsi="Times New Roman"/>
          <w:color w:val="0D0D0D"/>
        </w:rPr>
        <w:t>10</w:t>
      </w:r>
      <w:r>
        <w:rPr>
          <w:rFonts w:ascii="Times New Roman" w:eastAsia="標楷體" w:hAnsi="Times New Roman"/>
          <w:color w:val="0D0D0D"/>
        </w:rPr>
        <w:t>億人，其中新興經濟體所占比重高達</w:t>
      </w:r>
      <w:r>
        <w:rPr>
          <w:rFonts w:ascii="Times New Roman" w:eastAsia="標楷體" w:hAnsi="Times New Roman"/>
          <w:color w:val="0D0D0D"/>
        </w:rPr>
        <w:t>95%</w:t>
      </w:r>
      <w:r>
        <w:rPr>
          <w:rFonts w:ascii="Times New Roman" w:eastAsia="標楷體" w:hAnsi="Times New Roman"/>
          <w:color w:val="0D0D0D"/>
        </w:rPr>
        <w:t>，將主宰未來全球消費市場。</w:t>
      </w:r>
    </w:p>
    <w:p w14:paraId="69F57951" w14:textId="77777777" w:rsidR="00052596" w:rsidRDefault="00000000">
      <w:pPr>
        <w:pStyle w:val="k3a"/>
        <w:ind w:left="1128" w:hanging="288"/>
        <w:outlineLvl w:val="9"/>
      </w:pPr>
      <w:r>
        <w:rPr>
          <w:rFonts w:ascii="Times New Roman" w:eastAsia="標楷體" w:hAnsi="Times New Roman"/>
          <w:color w:val="0D0D0D"/>
        </w:rPr>
        <w:t>－亞洲國家簽訂</w:t>
      </w:r>
      <w:r>
        <w:rPr>
          <w:rFonts w:ascii="Times New Roman" w:eastAsia="標楷體" w:hAnsi="Times New Roman"/>
          <w:color w:val="0D0D0D"/>
        </w:rPr>
        <w:t>FTA</w:t>
      </w:r>
      <w:r>
        <w:rPr>
          <w:rFonts w:ascii="Times New Roman" w:eastAsia="標楷體" w:hAnsi="Times New Roman"/>
          <w:color w:val="0D0D0D"/>
        </w:rPr>
        <w:t>風潮日趨活絡，迄</w:t>
      </w:r>
      <w:r>
        <w:rPr>
          <w:rFonts w:ascii="Times New Roman" w:eastAsia="標楷體" w:hAnsi="Times New Roman"/>
          <w:color w:val="0D0D0D"/>
        </w:rPr>
        <w:t>2012</w:t>
      </w:r>
      <w:r>
        <w:rPr>
          <w:rFonts w:ascii="Times New Roman" w:eastAsia="標楷體" w:hAnsi="Times New Roman"/>
          <w:color w:val="0D0D0D"/>
        </w:rPr>
        <w:t>年</w:t>
      </w:r>
      <w:r>
        <w:rPr>
          <w:rFonts w:ascii="Times New Roman" w:eastAsia="標楷體" w:hAnsi="Times New Roman"/>
          <w:color w:val="0D0D0D"/>
        </w:rPr>
        <w:t>9</w:t>
      </w:r>
      <w:r>
        <w:rPr>
          <w:rFonts w:ascii="Times New Roman" w:eastAsia="標楷體" w:hAnsi="Times New Roman"/>
          <w:color w:val="0D0D0D"/>
        </w:rPr>
        <w:t>月止，</w:t>
      </w:r>
      <w:r>
        <w:rPr>
          <w:rFonts w:ascii="Times New Roman" w:eastAsia="標楷體" w:hAnsi="Times New Roman"/>
          <w:color w:val="0D0D0D"/>
        </w:rPr>
        <w:t>FTA</w:t>
      </w:r>
      <w:r>
        <w:rPr>
          <w:rFonts w:ascii="Times New Roman" w:eastAsia="標楷體" w:hAnsi="Times New Roman"/>
          <w:color w:val="0D0D0D"/>
        </w:rPr>
        <w:t>洽簽數量已達</w:t>
      </w:r>
      <w:r>
        <w:rPr>
          <w:rFonts w:ascii="Times New Roman" w:eastAsia="標楷體" w:hAnsi="Times New Roman"/>
          <w:color w:val="0D0D0D"/>
        </w:rPr>
        <w:t>199</w:t>
      </w:r>
      <w:r>
        <w:rPr>
          <w:rFonts w:ascii="Times New Roman" w:eastAsia="標楷體" w:hAnsi="Times New Roman"/>
          <w:color w:val="0D0D0D"/>
        </w:rPr>
        <w:t>個。另亞太區域經濟整合呈現二大趨勢，「東協區域全面經濟夥伴關係架構」</w:t>
      </w:r>
      <w:r>
        <w:rPr>
          <w:rFonts w:ascii="標楷體" w:eastAsia="標楷體" w:hAnsi="標楷體"/>
          <w:color w:val="0D0D0D"/>
        </w:rPr>
        <w:t>(</w:t>
      </w:r>
      <w:r>
        <w:rPr>
          <w:rFonts w:ascii="Times New Roman" w:eastAsia="標楷體" w:hAnsi="Times New Roman"/>
          <w:color w:val="0D0D0D"/>
        </w:rPr>
        <w:t>RCEP</w:t>
      </w:r>
      <w:r>
        <w:rPr>
          <w:rFonts w:ascii="標楷體" w:eastAsia="標楷體" w:hAnsi="標楷體"/>
          <w:color w:val="0D0D0D"/>
        </w:rPr>
        <w:t>)</w:t>
      </w:r>
      <w:r>
        <w:rPr>
          <w:rFonts w:ascii="Times New Roman" w:eastAsia="標楷體" w:hAnsi="Times New Roman"/>
          <w:color w:val="0D0D0D"/>
        </w:rPr>
        <w:t>已於</w:t>
      </w:r>
      <w:r>
        <w:rPr>
          <w:rFonts w:ascii="Times New Roman" w:eastAsia="標楷體" w:hAnsi="Times New Roman"/>
          <w:color w:val="0D0D0D"/>
        </w:rPr>
        <w:t>2012</w:t>
      </w:r>
      <w:r>
        <w:rPr>
          <w:rFonts w:ascii="Times New Roman" w:eastAsia="標楷體" w:hAnsi="Times New Roman"/>
          <w:color w:val="0D0D0D"/>
        </w:rPr>
        <w:t>年</w:t>
      </w:r>
      <w:r>
        <w:rPr>
          <w:rFonts w:ascii="Times New Roman" w:eastAsia="標楷體" w:hAnsi="Times New Roman"/>
          <w:color w:val="0D0D0D"/>
        </w:rPr>
        <w:t>11</w:t>
      </w:r>
      <w:r>
        <w:rPr>
          <w:rFonts w:ascii="Times New Roman" w:eastAsia="標楷體" w:hAnsi="Times New Roman"/>
          <w:color w:val="0D0D0D"/>
        </w:rPr>
        <w:t>月第</w:t>
      </w:r>
      <w:r>
        <w:rPr>
          <w:rFonts w:ascii="Times New Roman" w:eastAsia="標楷體" w:hAnsi="Times New Roman"/>
          <w:color w:val="0D0D0D"/>
        </w:rPr>
        <w:t>7</w:t>
      </w:r>
      <w:r>
        <w:rPr>
          <w:rFonts w:ascii="Times New Roman" w:eastAsia="標楷體" w:hAnsi="Times New Roman"/>
          <w:color w:val="0D0D0D"/>
        </w:rPr>
        <w:t>屆「東亞峰會」</w:t>
      </w:r>
      <w:r>
        <w:rPr>
          <w:rFonts w:ascii="標楷體" w:eastAsia="標楷體" w:hAnsi="標楷體"/>
          <w:color w:val="0D0D0D"/>
        </w:rPr>
        <w:t>(</w:t>
      </w:r>
      <w:r>
        <w:rPr>
          <w:rFonts w:ascii="Times New Roman" w:eastAsia="標楷體" w:hAnsi="Times New Roman"/>
          <w:color w:val="0D0D0D"/>
        </w:rPr>
        <w:t>EAS</w:t>
      </w:r>
      <w:r>
        <w:rPr>
          <w:rFonts w:ascii="標楷體" w:eastAsia="標楷體" w:hAnsi="標楷體"/>
          <w:color w:val="0D0D0D"/>
        </w:rPr>
        <w:t>)</w:t>
      </w:r>
      <w:r>
        <w:rPr>
          <w:rFonts w:ascii="Times New Roman" w:eastAsia="標楷體" w:hAnsi="Times New Roman"/>
          <w:color w:val="0D0D0D"/>
        </w:rPr>
        <w:t>宣布啟動談判；由美國主導的「跨太平洋夥伴協定」</w:t>
      </w:r>
      <w:r>
        <w:rPr>
          <w:rFonts w:ascii="標楷體" w:eastAsia="標楷體" w:hAnsi="標楷體"/>
          <w:color w:val="0D0D0D"/>
        </w:rPr>
        <w:t>(</w:t>
      </w:r>
      <w:r>
        <w:rPr>
          <w:rFonts w:ascii="Times New Roman" w:eastAsia="標楷體" w:hAnsi="Times New Roman"/>
          <w:color w:val="0D0D0D"/>
        </w:rPr>
        <w:t>TPP</w:t>
      </w:r>
      <w:r>
        <w:rPr>
          <w:rFonts w:ascii="標楷體" w:eastAsia="標楷體" w:hAnsi="標楷體"/>
          <w:color w:val="0D0D0D"/>
        </w:rPr>
        <w:t>)</w:t>
      </w:r>
      <w:r>
        <w:rPr>
          <w:rFonts w:ascii="Times New Roman" w:eastAsia="標楷體" w:hAnsi="Times New Roman"/>
          <w:color w:val="0D0D0D"/>
        </w:rPr>
        <w:t>則持續擴大成員，迄</w:t>
      </w:r>
      <w:r>
        <w:rPr>
          <w:rFonts w:ascii="Times New Roman" w:eastAsia="標楷體" w:hAnsi="Times New Roman"/>
          <w:color w:val="0D0D0D"/>
        </w:rPr>
        <w:t>2012</w:t>
      </w:r>
      <w:r>
        <w:rPr>
          <w:rFonts w:ascii="Times New Roman" w:eastAsia="標楷體" w:hAnsi="Times New Roman"/>
          <w:color w:val="0D0D0D"/>
        </w:rPr>
        <w:t>年</w:t>
      </w:r>
      <w:r>
        <w:rPr>
          <w:rFonts w:ascii="Times New Roman" w:eastAsia="標楷體" w:hAnsi="Times New Roman"/>
          <w:color w:val="0D0D0D"/>
        </w:rPr>
        <w:t>12</w:t>
      </w:r>
      <w:r>
        <w:rPr>
          <w:rFonts w:ascii="Times New Roman" w:eastAsia="標楷體" w:hAnsi="Times New Roman"/>
          <w:color w:val="0D0D0D"/>
        </w:rPr>
        <w:t>月已有</w:t>
      </w:r>
      <w:r>
        <w:rPr>
          <w:rFonts w:ascii="Times New Roman" w:eastAsia="標楷體" w:hAnsi="Times New Roman"/>
          <w:color w:val="0D0D0D"/>
        </w:rPr>
        <w:t>11</w:t>
      </w:r>
      <w:r>
        <w:rPr>
          <w:rFonts w:ascii="Times New Roman" w:eastAsia="標楷體" w:hAnsi="Times New Roman"/>
          <w:color w:val="0D0D0D"/>
        </w:rPr>
        <w:t>國正式參與談判。另中國大陸、日本、南韓亦於第</w:t>
      </w:r>
      <w:r>
        <w:rPr>
          <w:rFonts w:ascii="Times New Roman" w:eastAsia="標楷體" w:hAnsi="Times New Roman"/>
          <w:color w:val="0D0D0D"/>
        </w:rPr>
        <w:t>7</w:t>
      </w:r>
      <w:r>
        <w:rPr>
          <w:rFonts w:ascii="Times New Roman" w:eastAsia="標楷體" w:hAnsi="Times New Roman"/>
          <w:color w:val="0D0D0D"/>
        </w:rPr>
        <w:t>屆</w:t>
      </w:r>
      <w:r>
        <w:rPr>
          <w:rFonts w:ascii="Times New Roman" w:eastAsia="標楷體" w:hAnsi="Times New Roman"/>
          <w:color w:val="0D0D0D"/>
        </w:rPr>
        <w:t>EAS</w:t>
      </w:r>
      <w:r>
        <w:rPr>
          <w:rFonts w:ascii="Times New Roman" w:eastAsia="標楷體" w:hAnsi="Times New Roman"/>
          <w:color w:val="0D0D0D"/>
        </w:rPr>
        <w:t>宣布預定</w:t>
      </w:r>
      <w:r>
        <w:rPr>
          <w:rFonts w:ascii="Times New Roman" w:eastAsia="標楷體" w:hAnsi="Times New Roman"/>
          <w:color w:val="0D0D0D"/>
        </w:rPr>
        <w:t>2013</w:t>
      </w:r>
      <w:r>
        <w:rPr>
          <w:rFonts w:ascii="Times New Roman" w:eastAsia="標楷體" w:hAnsi="Times New Roman"/>
          <w:color w:val="0D0D0D"/>
        </w:rPr>
        <w:t>年初展開首輪</w:t>
      </w:r>
      <w:r>
        <w:rPr>
          <w:rFonts w:ascii="Times New Roman" w:eastAsia="標楷體" w:hAnsi="Times New Roman"/>
          <w:color w:val="0D0D0D"/>
        </w:rPr>
        <w:t>FTA</w:t>
      </w:r>
      <w:r>
        <w:rPr>
          <w:rFonts w:ascii="Times New Roman" w:eastAsia="標楷體" w:hAnsi="Times New Roman"/>
          <w:color w:val="0D0D0D"/>
        </w:rPr>
        <w:t>談判。</w:t>
      </w:r>
    </w:p>
    <w:p w14:paraId="093BFF15" w14:textId="77777777" w:rsidR="00052596" w:rsidRDefault="00000000">
      <w:pPr>
        <w:pStyle w:val="k2a"/>
        <w:ind w:left="817" w:hanging="577"/>
        <w:outlineLvl w:val="9"/>
      </w:pPr>
      <w:r>
        <w:rPr>
          <w:rFonts w:ascii="標楷體" w:eastAsia="標楷體" w:hAnsi="標楷體"/>
        </w:rPr>
        <w:t>(三)</w:t>
      </w:r>
      <w:r>
        <w:rPr>
          <w:rFonts w:ascii="Times New Roman" w:eastAsia="標楷體" w:hAnsi="Times New Roman"/>
        </w:rPr>
        <w:t>人口高齡化衝擊與因應</w:t>
      </w:r>
    </w:p>
    <w:p w14:paraId="5DB57642" w14:textId="77777777" w:rsidR="00052596" w:rsidRDefault="00000000">
      <w:pPr>
        <w:pStyle w:val="k22"/>
        <w:ind w:left="840" w:firstLine="560"/>
      </w:pPr>
      <w:r>
        <w:rPr>
          <w:rFonts w:ascii="Times New Roman" w:eastAsia="標楷體" w:hAnsi="Times New Roman"/>
          <w:color w:val="0D0D0D"/>
        </w:rPr>
        <w:t>由於人類預期壽命延長、婦女生育率降低，全球人口結構高齡化現象日益普遍。聯合國</w:t>
      </w:r>
      <w:r>
        <w:rPr>
          <w:rFonts w:ascii="標楷體" w:eastAsia="標楷體" w:hAnsi="標楷體"/>
          <w:color w:val="0D0D0D"/>
        </w:rPr>
        <w:t>(</w:t>
      </w:r>
      <w:r>
        <w:rPr>
          <w:rFonts w:ascii="Times New Roman" w:eastAsia="標楷體" w:hAnsi="Times New Roman"/>
          <w:color w:val="0D0D0D"/>
        </w:rPr>
        <w:t>UN</w:t>
      </w:r>
      <w:r>
        <w:rPr>
          <w:rFonts w:ascii="標楷體" w:eastAsia="標楷體" w:hAnsi="標楷體"/>
          <w:color w:val="0D0D0D"/>
        </w:rPr>
        <w:t>)</w:t>
      </w:r>
      <w:r>
        <w:rPr>
          <w:rFonts w:ascii="Times New Roman" w:eastAsia="標楷體" w:hAnsi="Times New Roman"/>
          <w:color w:val="0D0D0D"/>
        </w:rPr>
        <w:t>預估，</w:t>
      </w:r>
      <w:r>
        <w:rPr>
          <w:rFonts w:ascii="Times New Roman" w:eastAsia="標楷體" w:hAnsi="Times New Roman"/>
          <w:color w:val="0D0D0D"/>
        </w:rPr>
        <w:t>2050</w:t>
      </w:r>
      <w:r>
        <w:rPr>
          <w:rFonts w:ascii="Times New Roman" w:eastAsia="標楷體" w:hAnsi="Times New Roman"/>
          <w:color w:val="0D0D0D"/>
        </w:rPr>
        <w:t>年全球高齡人口</w:t>
      </w:r>
      <w:r>
        <w:rPr>
          <w:rFonts w:ascii="標楷體" w:eastAsia="標楷體" w:hAnsi="標楷體"/>
          <w:color w:val="0D0D0D"/>
        </w:rPr>
        <w:t>(</w:t>
      </w:r>
      <w:r>
        <w:rPr>
          <w:rFonts w:ascii="Times New Roman" w:eastAsia="標楷體" w:hAnsi="Times New Roman"/>
          <w:color w:val="0D0D0D"/>
        </w:rPr>
        <w:t>60</w:t>
      </w:r>
      <w:r>
        <w:rPr>
          <w:rFonts w:ascii="Times New Roman" w:eastAsia="標楷體" w:hAnsi="Times New Roman"/>
          <w:color w:val="0D0D0D"/>
        </w:rPr>
        <w:t>歲以上</w:t>
      </w:r>
      <w:r>
        <w:rPr>
          <w:rFonts w:ascii="標楷體" w:eastAsia="標楷體" w:hAnsi="標楷體"/>
          <w:color w:val="0D0D0D"/>
        </w:rPr>
        <w:t>)</w:t>
      </w:r>
      <w:r>
        <w:rPr>
          <w:rFonts w:ascii="Times New Roman" w:eastAsia="標楷體" w:hAnsi="Times New Roman"/>
          <w:color w:val="0D0D0D"/>
        </w:rPr>
        <w:t>占總人口比率，將由</w:t>
      </w:r>
      <w:r>
        <w:rPr>
          <w:rFonts w:ascii="Times New Roman" w:eastAsia="標楷體" w:hAnsi="Times New Roman"/>
          <w:color w:val="0D0D0D"/>
        </w:rPr>
        <w:t>2012</w:t>
      </w:r>
      <w:r>
        <w:rPr>
          <w:rFonts w:ascii="Times New Roman" w:eastAsia="標楷體" w:hAnsi="Times New Roman"/>
          <w:color w:val="0D0D0D"/>
        </w:rPr>
        <w:t>年的</w:t>
      </w:r>
      <w:r>
        <w:rPr>
          <w:rFonts w:ascii="Times New Roman" w:eastAsia="標楷體" w:hAnsi="Times New Roman"/>
          <w:color w:val="0D0D0D"/>
        </w:rPr>
        <w:t>11%</w:t>
      </w:r>
      <w:r>
        <w:rPr>
          <w:rFonts w:ascii="Times New Roman" w:eastAsia="標楷體" w:hAnsi="Times New Roman"/>
          <w:color w:val="0D0D0D"/>
        </w:rPr>
        <w:t>倍增至</w:t>
      </w:r>
      <w:r>
        <w:rPr>
          <w:rFonts w:ascii="Times New Roman" w:eastAsia="標楷體" w:hAnsi="Times New Roman"/>
          <w:color w:val="0D0D0D"/>
        </w:rPr>
        <w:t>22%</w:t>
      </w:r>
      <w:r>
        <w:rPr>
          <w:rFonts w:ascii="Times New Roman" w:eastAsia="標楷體" w:hAnsi="Times New Roman"/>
          <w:color w:val="0D0D0D"/>
        </w:rPr>
        <w:t>；</w:t>
      </w:r>
      <w:r>
        <w:rPr>
          <w:rFonts w:ascii="Times New Roman" w:eastAsia="標楷體" w:hAnsi="Times New Roman"/>
          <w:color w:val="0D0D0D"/>
        </w:rPr>
        <w:t>UN</w:t>
      </w:r>
      <w:r>
        <w:rPr>
          <w:rFonts w:ascii="Times New Roman" w:eastAsia="標楷體" w:hAnsi="Times New Roman"/>
          <w:color w:val="0D0D0D"/>
        </w:rPr>
        <w:t>並呼籲各國將高齡化納入全球發展主流議題，以減輕人口高齡化的衝擊，各國政府亦分別由高齡者的生活面、財務面、醫療面，採行相關因應對策。</w:t>
      </w:r>
    </w:p>
    <w:p w14:paraId="1586B392"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w:t>
      </w:r>
      <w:r>
        <w:rPr>
          <w:rFonts w:ascii="Times New Roman" w:eastAsia="標楷體" w:hAnsi="Times New Roman"/>
          <w:color w:val="0D0D0D"/>
        </w:rPr>
        <w:t>UN</w:t>
      </w:r>
      <w:r>
        <w:rPr>
          <w:rFonts w:ascii="Times New Roman" w:eastAsia="標楷體" w:hAnsi="Times New Roman"/>
          <w:color w:val="0D0D0D"/>
        </w:rPr>
        <w:t>預估，</w:t>
      </w:r>
      <w:r>
        <w:rPr>
          <w:rFonts w:ascii="Times New Roman" w:eastAsia="標楷體" w:hAnsi="Times New Roman"/>
          <w:color w:val="0D0D0D"/>
        </w:rPr>
        <w:t>2012</w:t>
      </w:r>
      <w:r>
        <w:rPr>
          <w:rFonts w:ascii="Times New Roman" w:eastAsia="標楷體" w:hAnsi="Times New Roman"/>
          <w:color w:val="0D0D0D"/>
        </w:rPr>
        <w:t>至</w:t>
      </w:r>
      <w:r>
        <w:rPr>
          <w:rFonts w:ascii="Times New Roman" w:eastAsia="標楷體" w:hAnsi="Times New Roman"/>
          <w:color w:val="0D0D0D"/>
        </w:rPr>
        <w:t>2050</w:t>
      </w:r>
      <w:r>
        <w:rPr>
          <w:rFonts w:ascii="Times New Roman" w:eastAsia="標楷體" w:hAnsi="Times New Roman"/>
          <w:color w:val="0D0D0D"/>
        </w:rPr>
        <w:t>年全球人口將持續高齡化，</w:t>
      </w:r>
      <w:r>
        <w:rPr>
          <w:rFonts w:ascii="Times New Roman" w:eastAsia="標楷體" w:hAnsi="Times New Roman"/>
          <w:color w:val="0D0D0D"/>
        </w:rPr>
        <w:t>60</w:t>
      </w:r>
      <w:r>
        <w:rPr>
          <w:rFonts w:ascii="Times New Roman" w:eastAsia="標楷體" w:hAnsi="Times New Roman"/>
          <w:color w:val="0D0D0D"/>
        </w:rPr>
        <w:t>歲以上人口占總人口比重超過</w:t>
      </w:r>
      <w:r>
        <w:rPr>
          <w:rFonts w:ascii="Times New Roman" w:eastAsia="標楷體" w:hAnsi="Times New Roman"/>
          <w:color w:val="0D0D0D"/>
        </w:rPr>
        <w:t>3</w:t>
      </w:r>
      <w:r>
        <w:rPr>
          <w:rFonts w:ascii="Times New Roman" w:eastAsia="標楷體" w:hAnsi="Times New Roman"/>
          <w:color w:val="0D0D0D"/>
        </w:rPr>
        <w:t>成的國家將大幅增加。其中，開發中經濟體人口高齡化速度將超過已開發經濟體，另已開發經濟體</w:t>
      </w:r>
      <w:r>
        <w:rPr>
          <w:rFonts w:ascii="Times New Roman" w:eastAsia="標楷體" w:hAnsi="Times New Roman"/>
          <w:color w:val="0D0D0D"/>
        </w:rPr>
        <w:t>15</w:t>
      </w:r>
      <w:r>
        <w:rPr>
          <w:rFonts w:ascii="Times New Roman" w:eastAsia="標楷體" w:hAnsi="Times New Roman"/>
          <w:color w:val="0D0D0D"/>
        </w:rPr>
        <w:t>至</w:t>
      </w:r>
      <w:r>
        <w:rPr>
          <w:rFonts w:ascii="Times New Roman" w:eastAsia="標楷體" w:hAnsi="Times New Roman"/>
          <w:color w:val="0D0D0D"/>
        </w:rPr>
        <w:t>64</w:t>
      </w:r>
      <w:r>
        <w:rPr>
          <w:rFonts w:ascii="Times New Roman" w:eastAsia="標楷體" w:hAnsi="Times New Roman"/>
          <w:color w:val="0D0D0D"/>
        </w:rPr>
        <w:t>歲勞動人口數量將下降。</w:t>
      </w:r>
    </w:p>
    <w:p w14:paraId="6BA3A999" w14:textId="77777777" w:rsidR="00052596" w:rsidRDefault="00000000">
      <w:pPr>
        <w:pStyle w:val="k3a"/>
        <w:ind w:left="1128" w:hanging="288"/>
        <w:outlineLvl w:val="9"/>
      </w:pPr>
      <w:r>
        <w:rPr>
          <w:rFonts w:ascii="Times New Roman" w:eastAsia="標楷體" w:hAnsi="Times New Roman"/>
          <w:color w:val="0D0D0D"/>
        </w:rPr>
        <w:lastRenderedPageBreak/>
        <w:t>－</w:t>
      </w:r>
      <w:r>
        <w:rPr>
          <w:rFonts w:ascii="Times New Roman" w:eastAsia="標楷體" w:hAnsi="Times New Roman"/>
          <w:color w:val="0D0D0D"/>
          <w:spacing w:val="2"/>
        </w:rPr>
        <w:t>為因應</w:t>
      </w:r>
      <w:r>
        <w:rPr>
          <w:rFonts w:ascii="Times New Roman" w:eastAsia="標楷體" w:hAnsi="Times New Roman"/>
          <w:color w:val="0D0D0D"/>
          <w:spacing w:val="2"/>
        </w:rPr>
        <w:t>21</w:t>
      </w:r>
      <w:r>
        <w:rPr>
          <w:rFonts w:ascii="Times New Roman" w:eastAsia="標楷體" w:hAnsi="Times New Roman"/>
          <w:color w:val="0D0D0D"/>
          <w:spacing w:val="2"/>
        </w:rPr>
        <w:t>世紀人口結構高齡化問題，</w:t>
      </w:r>
      <w:r>
        <w:rPr>
          <w:rFonts w:ascii="Times New Roman" w:eastAsia="標楷體" w:hAnsi="Times New Roman"/>
          <w:color w:val="0D0D0D"/>
          <w:spacing w:val="2"/>
        </w:rPr>
        <w:t>UN</w:t>
      </w:r>
      <w:r>
        <w:rPr>
          <w:rFonts w:ascii="Times New Roman" w:eastAsia="標楷體" w:hAnsi="Times New Roman"/>
          <w:color w:val="0D0D0D"/>
          <w:spacing w:val="2"/>
        </w:rPr>
        <w:t>呼籲各國創備支持性的完善環境，增進高齡者的健康與福祉。此外，各國政府亦紛紛採行提高高齡者生活品質、改善退休金制度、降低社會醫療成本、提升企業因應能力、鼓勵生育及移民等因應對策。</w:t>
      </w:r>
    </w:p>
    <w:p w14:paraId="00AE5051" w14:textId="77777777" w:rsidR="00052596" w:rsidRDefault="00000000">
      <w:pPr>
        <w:pStyle w:val="k2a"/>
        <w:ind w:left="817" w:hanging="577"/>
        <w:outlineLvl w:val="9"/>
      </w:pPr>
      <w:r>
        <w:rPr>
          <w:rFonts w:ascii="標楷體" w:eastAsia="標楷體" w:hAnsi="標楷體"/>
        </w:rPr>
        <w:t>(四)</w:t>
      </w:r>
      <w:r>
        <w:rPr>
          <w:rFonts w:ascii="Times New Roman" w:eastAsia="標楷體" w:hAnsi="Times New Roman"/>
        </w:rPr>
        <w:t>綠色經濟挑戰與商機</w:t>
      </w:r>
    </w:p>
    <w:p w14:paraId="3A4BDF1C" w14:textId="77777777" w:rsidR="00052596" w:rsidRDefault="00000000">
      <w:pPr>
        <w:pStyle w:val="k22"/>
        <w:ind w:left="840" w:firstLine="560"/>
      </w:pPr>
      <w:r>
        <w:rPr>
          <w:rFonts w:ascii="Times New Roman" w:eastAsia="標楷體" w:hAnsi="Times New Roman"/>
          <w:color w:val="0D0D0D"/>
        </w:rPr>
        <w:t>為減緩全球暖化及降低氣候變遷的衝擊，</w:t>
      </w:r>
      <w:r>
        <w:rPr>
          <w:rFonts w:ascii="Times New Roman" w:eastAsia="標楷體" w:hAnsi="Times New Roman"/>
          <w:color w:val="0D0D0D"/>
        </w:rPr>
        <w:t>UN</w:t>
      </w:r>
      <w:r>
        <w:rPr>
          <w:rFonts w:ascii="Times New Roman" w:eastAsia="標楷體" w:hAnsi="Times New Roman"/>
          <w:color w:val="0D0D0D"/>
        </w:rPr>
        <w:t>積極主導後京都時期國際溫室氣體減量之協商，</w:t>
      </w:r>
      <w:r>
        <w:rPr>
          <w:rFonts w:ascii="Times New Roman" w:eastAsia="標楷體" w:hAnsi="Times New Roman"/>
          <w:color w:val="0D0D0D"/>
        </w:rPr>
        <w:t>20</w:t>
      </w:r>
      <w:r>
        <w:rPr>
          <w:rFonts w:ascii="Times New Roman" w:eastAsia="標楷體" w:hAnsi="Times New Roman"/>
          <w:color w:val="0D0D0D"/>
        </w:rPr>
        <w:t>國集團</w:t>
      </w:r>
      <w:r>
        <w:rPr>
          <w:rFonts w:ascii="標楷體" w:eastAsia="標楷體" w:hAnsi="標楷體"/>
          <w:color w:val="0D0D0D"/>
        </w:rPr>
        <w:t>(</w:t>
      </w:r>
      <w:r>
        <w:rPr>
          <w:rFonts w:ascii="Times New Roman" w:eastAsia="標楷體" w:hAnsi="Times New Roman"/>
          <w:color w:val="0D0D0D"/>
        </w:rPr>
        <w:t>G20</w:t>
      </w:r>
      <w:r>
        <w:rPr>
          <w:rFonts w:ascii="標楷體" w:eastAsia="標楷體" w:hAnsi="標楷體"/>
          <w:color w:val="0D0D0D"/>
        </w:rPr>
        <w:t>)</w:t>
      </w:r>
      <w:r>
        <w:rPr>
          <w:rFonts w:ascii="Times New Roman" w:eastAsia="標楷體" w:hAnsi="Times New Roman"/>
          <w:color w:val="0D0D0D"/>
        </w:rPr>
        <w:t>、亞太經濟合作會議</w:t>
      </w:r>
      <w:r>
        <w:rPr>
          <w:rFonts w:ascii="標楷體" w:eastAsia="標楷體" w:hAnsi="標楷體"/>
          <w:color w:val="0D0D0D"/>
        </w:rPr>
        <w:t>(</w:t>
      </w:r>
      <w:r>
        <w:rPr>
          <w:rFonts w:ascii="Times New Roman" w:eastAsia="標楷體" w:hAnsi="Times New Roman"/>
          <w:color w:val="0D0D0D"/>
        </w:rPr>
        <w:t>APEC</w:t>
      </w:r>
      <w:r>
        <w:rPr>
          <w:rFonts w:ascii="標楷體" w:eastAsia="標楷體" w:hAnsi="標楷體"/>
          <w:color w:val="0D0D0D"/>
        </w:rPr>
        <w:t>)</w:t>
      </w:r>
      <w:r>
        <w:rPr>
          <w:rFonts w:ascii="Times New Roman" w:eastAsia="標楷體" w:hAnsi="Times New Roman"/>
          <w:color w:val="0D0D0D"/>
        </w:rPr>
        <w:t>等國際組織與各主要國家協力推動綠色成長，國際環保規範亦日漸嚴格。另隨著環保節能、再生能源等綠色科技持續發展，綠色產業潛存龐大商機。</w:t>
      </w:r>
    </w:p>
    <w:p w14:paraId="0BBB0B0B" w14:textId="77777777" w:rsidR="00052596" w:rsidRDefault="00000000">
      <w:pPr>
        <w:pStyle w:val="k3a"/>
        <w:ind w:left="1128" w:hanging="288"/>
        <w:outlineLvl w:val="9"/>
      </w:pPr>
      <w:r>
        <w:rPr>
          <w:rFonts w:ascii="Times New Roman" w:eastAsia="標楷體" w:hAnsi="Times New Roman"/>
          <w:color w:val="0D0D0D"/>
        </w:rPr>
        <w:t>－</w:t>
      </w:r>
      <w:r>
        <w:rPr>
          <w:rFonts w:ascii="Times New Roman" w:eastAsia="標楷體" w:hAnsi="Times New Roman"/>
          <w:color w:val="0D0D0D"/>
        </w:rPr>
        <w:t>2012</w:t>
      </w:r>
      <w:r>
        <w:rPr>
          <w:rFonts w:ascii="Times New Roman" w:eastAsia="標楷體" w:hAnsi="Times New Roman"/>
          <w:color w:val="0D0D0D"/>
        </w:rPr>
        <w:t>年</w:t>
      </w:r>
      <w:r>
        <w:rPr>
          <w:rFonts w:ascii="Times New Roman" w:eastAsia="標楷體" w:hAnsi="Times New Roman"/>
          <w:color w:val="0D0D0D"/>
        </w:rPr>
        <w:t>12</w:t>
      </w:r>
      <w:r>
        <w:rPr>
          <w:rFonts w:ascii="Times New Roman" w:eastAsia="標楷體" w:hAnsi="Times New Roman"/>
          <w:color w:val="0D0D0D"/>
        </w:rPr>
        <w:t>月聯合國氣候變化綱要公約第</w:t>
      </w:r>
      <w:r>
        <w:rPr>
          <w:rFonts w:ascii="Times New Roman" w:eastAsia="標楷體" w:hAnsi="Times New Roman"/>
          <w:color w:val="0D0D0D"/>
        </w:rPr>
        <w:t>18</w:t>
      </w:r>
      <w:r>
        <w:rPr>
          <w:rFonts w:ascii="Times New Roman" w:eastAsia="標楷體" w:hAnsi="Times New Roman"/>
          <w:color w:val="0D0D0D"/>
        </w:rPr>
        <w:t>次會議暨京都議定書第</w:t>
      </w:r>
      <w:r>
        <w:rPr>
          <w:rFonts w:ascii="Times New Roman" w:eastAsia="標楷體" w:hAnsi="Times New Roman"/>
          <w:color w:val="0D0D0D"/>
        </w:rPr>
        <w:t>8</w:t>
      </w:r>
      <w:r>
        <w:rPr>
          <w:rFonts w:ascii="Times New Roman" w:eastAsia="標楷體" w:hAnsi="Times New Roman"/>
          <w:color w:val="0D0D0D"/>
        </w:rPr>
        <w:t>次締約國會議</w:t>
      </w:r>
      <w:r>
        <w:rPr>
          <w:rFonts w:ascii="標楷體" w:eastAsia="標楷體" w:hAnsi="標楷體"/>
          <w:color w:val="0D0D0D"/>
        </w:rPr>
        <w:t>(</w:t>
      </w:r>
      <w:r>
        <w:rPr>
          <w:rFonts w:ascii="Times New Roman" w:eastAsia="標楷體" w:hAnsi="Times New Roman"/>
          <w:color w:val="0D0D0D"/>
        </w:rPr>
        <w:t>COP18/CMP8</w:t>
      </w:r>
      <w:r>
        <w:rPr>
          <w:rFonts w:ascii="標楷體" w:eastAsia="標楷體" w:hAnsi="標楷體"/>
          <w:color w:val="0D0D0D"/>
        </w:rPr>
        <w:t>)</w:t>
      </w:r>
      <w:r>
        <w:rPr>
          <w:rFonts w:ascii="Times New Roman" w:eastAsia="標楷體" w:hAnsi="Times New Roman"/>
          <w:color w:val="0D0D0D"/>
        </w:rPr>
        <w:t>決議，將京都議定書溫室氣體減排協議期限由</w:t>
      </w:r>
      <w:r>
        <w:rPr>
          <w:rFonts w:ascii="Times New Roman" w:eastAsia="標楷體" w:hAnsi="Times New Roman"/>
          <w:color w:val="0D0D0D"/>
        </w:rPr>
        <w:t>2012</w:t>
      </w:r>
      <w:r>
        <w:rPr>
          <w:rFonts w:ascii="Times New Roman" w:eastAsia="標楷體" w:hAnsi="Times New Roman"/>
          <w:color w:val="0D0D0D"/>
        </w:rPr>
        <w:t>年延至</w:t>
      </w:r>
      <w:r>
        <w:rPr>
          <w:rFonts w:ascii="Times New Roman" w:eastAsia="標楷體" w:hAnsi="Times New Roman"/>
          <w:color w:val="0D0D0D"/>
        </w:rPr>
        <w:t>2020</w:t>
      </w:r>
      <w:r>
        <w:rPr>
          <w:rFonts w:ascii="Times New Roman" w:eastAsia="標楷體" w:hAnsi="Times New Roman"/>
          <w:color w:val="0D0D0D"/>
        </w:rPr>
        <w:t>年，惟美國、加拿大、紐西蘭、日本、俄羅斯並未承諾減排義務。</w:t>
      </w:r>
    </w:p>
    <w:p w14:paraId="21A36A15" w14:textId="77777777" w:rsidR="00052596" w:rsidRDefault="00000000">
      <w:pPr>
        <w:pStyle w:val="k3a"/>
        <w:ind w:left="1128" w:hanging="288"/>
        <w:outlineLvl w:val="9"/>
      </w:pPr>
      <w:r>
        <w:rPr>
          <w:rFonts w:ascii="Times New Roman" w:eastAsia="標楷體" w:hAnsi="Times New Roman"/>
          <w:color w:val="0D0D0D"/>
        </w:rPr>
        <w:t>－歐盟自</w:t>
      </w:r>
      <w:r>
        <w:rPr>
          <w:rFonts w:ascii="Times New Roman" w:eastAsia="標楷體" w:hAnsi="Times New Roman"/>
          <w:color w:val="0D0D0D"/>
        </w:rPr>
        <w:t>1992</w:t>
      </w:r>
      <w:r>
        <w:rPr>
          <w:rFonts w:ascii="Times New Roman" w:eastAsia="標楷體" w:hAnsi="Times New Roman"/>
          <w:color w:val="0D0D0D"/>
        </w:rPr>
        <w:t>年提出「整合性產品政策」</w:t>
      </w:r>
      <w:r>
        <w:rPr>
          <w:rFonts w:ascii="標楷體" w:eastAsia="標楷體" w:hAnsi="標楷體"/>
          <w:color w:val="0D0D0D"/>
        </w:rPr>
        <w:t>(</w:t>
      </w:r>
      <w:r>
        <w:rPr>
          <w:rFonts w:ascii="Times New Roman" w:eastAsia="標楷體" w:hAnsi="Times New Roman"/>
          <w:color w:val="0D0D0D"/>
        </w:rPr>
        <w:t>Integrated Product Policy</w:t>
      </w:r>
      <w:r>
        <w:rPr>
          <w:rFonts w:ascii="標楷體" w:eastAsia="標楷體" w:hAnsi="標楷體"/>
          <w:color w:val="0D0D0D"/>
        </w:rPr>
        <w:t>)</w:t>
      </w:r>
      <w:r>
        <w:rPr>
          <w:rFonts w:ascii="Times New Roman" w:eastAsia="標楷體" w:hAnsi="Times New Roman"/>
          <w:color w:val="0D0D0D"/>
        </w:rPr>
        <w:t>後，先後實施有關限制使用有害物質、資源回收利用、能源效率標準、環境資訊揭露等一系列環保指令；美國、中國大陸、日本、南韓等亦相繼訂定環保相關法規命令。由於環保規範與貿易的結合，國際環保規範儼然成為新型態技術性貿易障礙之一，惟亦帶動綠色產業商機。</w:t>
      </w:r>
    </w:p>
    <w:p w14:paraId="15296D3D" w14:textId="77777777" w:rsidR="00052596" w:rsidRDefault="00000000">
      <w:pPr>
        <w:pStyle w:val="k1a"/>
        <w:ind w:left="288" w:hanging="288"/>
        <w:outlineLvl w:val="9"/>
        <w:rPr>
          <w:rFonts w:ascii="Times New Roman" w:eastAsia="標楷體" w:hAnsi="Times New Roman"/>
        </w:rPr>
      </w:pPr>
      <w:r>
        <w:rPr>
          <w:rFonts w:ascii="Times New Roman" w:eastAsia="標楷體" w:hAnsi="Times New Roman"/>
        </w:rPr>
        <w:t>二、掌握內在課題</w:t>
      </w:r>
    </w:p>
    <w:p w14:paraId="71508D2E" w14:textId="77777777" w:rsidR="00052596" w:rsidRDefault="00000000">
      <w:pPr>
        <w:pStyle w:val="k12"/>
        <w:ind w:left="240" w:firstLine="576"/>
        <w:rPr>
          <w:rFonts w:ascii="Times New Roman" w:eastAsia="標楷體" w:hAnsi="Times New Roman"/>
          <w:color w:val="0D0D0D"/>
        </w:rPr>
      </w:pPr>
      <w:r>
        <w:rPr>
          <w:rFonts w:ascii="Times New Roman" w:eastAsia="標楷體" w:hAnsi="Times New Roman"/>
          <w:color w:val="0D0D0D"/>
        </w:rPr>
        <w:t>98</w:t>
      </w:r>
      <w:r>
        <w:rPr>
          <w:rFonts w:ascii="Times New Roman" w:eastAsia="標楷體" w:hAnsi="Times New Roman"/>
          <w:color w:val="0D0D0D"/>
        </w:rPr>
        <w:t>至</w:t>
      </w:r>
      <w:r>
        <w:rPr>
          <w:rFonts w:ascii="Times New Roman" w:eastAsia="標楷體" w:hAnsi="Times New Roman"/>
          <w:color w:val="0D0D0D"/>
        </w:rPr>
        <w:t>101</w:t>
      </w:r>
      <w:r>
        <w:rPr>
          <w:rFonts w:ascii="Times New Roman" w:eastAsia="標楷體" w:hAnsi="Times New Roman"/>
          <w:color w:val="0D0D0D"/>
        </w:rPr>
        <w:t>年間，臺灣連續遭逢全球金融風暴及歐債危機引發全球經濟成長減緩的不利因素衝擊，幸賴政府積極因應縮小景氣波動程度，經濟成長率平均</w:t>
      </w:r>
      <w:r>
        <w:rPr>
          <w:rFonts w:ascii="Times New Roman" w:eastAsia="標楷體" w:hAnsi="Times New Roman"/>
          <w:color w:val="0D0D0D"/>
        </w:rPr>
        <w:t>3.54%</w:t>
      </w:r>
      <w:r>
        <w:rPr>
          <w:rFonts w:ascii="Times New Roman" w:eastAsia="標楷體" w:hAnsi="Times New Roman"/>
          <w:color w:val="0D0D0D"/>
        </w:rPr>
        <w:t>，較</w:t>
      </w:r>
      <w:r>
        <w:rPr>
          <w:rFonts w:ascii="Times New Roman" w:eastAsia="標楷體" w:hAnsi="Times New Roman"/>
          <w:color w:val="0D0D0D"/>
        </w:rPr>
        <w:t>94</w:t>
      </w:r>
      <w:r>
        <w:rPr>
          <w:rFonts w:ascii="Times New Roman" w:eastAsia="標楷體" w:hAnsi="Times New Roman"/>
          <w:color w:val="0D0D0D"/>
        </w:rPr>
        <w:t>至</w:t>
      </w:r>
      <w:r>
        <w:rPr>
          <w:rFonts w:ascii="Times New Roman" w:eastAsia="標楷體" w:hAnsi="Times New Roman"/>
          <w:color w:val="0D0D0D"/>
        </w:rPr>
        <w:t>97</w:t>
      </w:r>
      <w:r>
        <w:rPr>
          <w:rFonts w:ascii="Times New Roman" w:eastAsia="標楷體" w:hAnsi="Times New Roman"/>
          <w:color w:val="0D0D0D"/>
        </w:rPr>
        <w:t>年平均的</w:t>
      </w:r>
      <w:r>
        <w:rPr>
          <w:rFonts w:ascii="Times New Roman" w:eastAsia="標楷體" w:hAnsi="Times New Roman"/>
          <w:color w:val="0D0D0D"/>
        </w:rPr>
        <w:t>4.21%</w:t>
      </w:r>
      <w:r>
        <w:rPr>
          <w:rFonts w:ascii="Times New Roman" w:eastAsia="標楷體" w:hAnsi="Times New Roman"/>
          <w:color w:val="0D0D0D"/>
        </w:rPr>
        <w:t>僅下降</w:t>
      </w:r>
      <w:r>
        <w:rPr>
          <w:rFonts w:ascii="Times New Roman" w:eastAsia="標楷體" w:hAnsi="Times New Roman"/>
          <w:color w:val="0D0D0D"/>
        </w:rPr>
        <w:t>0.67</w:t>
      </w:r>
      <w:r>
        <w:rPr>
          <w:rFonts w:ascii="Times New Roman" w:eastAsia="標楷體" w:hAnsi="Times New Roman"/>
          <w:color w:val="0D0D0D"/>
        </w:rPr>
        <w:t>個百分點。近年臺灣經濟成長率趨降，除來自國際經濟變動因素外，亦與國內總體經濟結構失衡，削弱經濟成長動能有關。茲將臺灣經濟面臨的內在課題與挑戰分述如次：</w:t>
      </w:r>
    </w:p>
    <w:p w14:paraId="3A451D9D" w14:textId="77777777" w:rsidR="00052596" w:rsidRDefault="00000000">
      <w:pPr>
        <w:pStyle w:val="k2a"/>
        <w:ind w:left="817" w:hanging="577"/>
        <w:outlineLvl w:val="9"/>
      </w:pPr>
      <w:r>
        <w:rPr>
          <w:rFonts w:ascii="標楷體" w:eastAsia="標楷體" w:hAnsi="標楷體"/>
        </w:rPr>
        <w:t>(一)</w:t>
      </w:r>
      <w:r>
        <w:rPr>
          <w:rFonts w:ascii="Times New Roman" w:eastAsia="標楷體" w:hAnsi="Times New Roman"/>
        </w:rPr>
        <w:t>經濟創新與開放</w:t>
      </w:r>
    </w:p>
    <w:p w14:paraId="088DEC47" w14:textId="77777777" w:rsidR="00052596" w:rsidRDefault="00000000">
      <w:pPr>
        <w:pStyle w:val="k22"/>
        <w:ind w:left="840" w:firstLine="584"/>
        <w:rPr>
          <w:rFonts w:ascii="Times New Roman" w:eastAsia="標楷體" w:hAnsi="Times New Roman"/>
          <w:color w:val="0D0D0D"/>
          <w:spacing w:val="6"/>
        </w:rPr>
      </w:pPr>
      <w:r>
        <w:rPr>
          <w:rFonts w:ascii="Times New Roman" w:eastAsia="標楷體" w:hAnsi="Times New Roman"/>
          <w:color w:val="0D0D0D"/>
          <w:spacing w:val="6"/>
        </w:rPr>
        <w:t>我國成長動力以出口為主，消費及投資動能相對不足；</w:t>
      </w:r>
      <w:r>
        <w:rPr>
          <w:rFonts w:ascii="Times New Roman" w:eastAsia="標楷體" w:hAnsi="Times New Roman"/>
          <w:color w:val="0D0D0D"/>
          <w:spacing w:val="6"/>
        </w:rPr>
        <w:lastRenderedPageBreak/>
        <w:t>另出口市場過度集中在中國大陸，且出口產品過度集中在中間財。此外，貿易條件惡化，亦係導致實質國民所得成長低於經濟成長的主因之一。未來政府將加速推動經濟自由化，積極進行法規鬆綁，促進民間投資與創新發展，帶動總要素生產力成長。</w:t>
      </w:r>
    </w:p>
    <w:p w14:paraId="47AE03E9" w14:textId="77777777" w:rsidR="00052596" w:rsidRDefault="00000000">
      <w:pPr>
        <w:pStyle w:val="k2a"/>
        <w:ind w:left="817" w:hanging="577"/>
        <w:outlineLvl w:val="9"/>
      </w:pPr>
      <w:r>
        <w:rPr>
          <w:rFonts w:ascii="標楷體" w:eastAsia="標楷體" w:hAnsi="標楷體"/>
        </w:rPr>
        <w:t>(二)</w:t>
      </w:r>
      <w:r>
        <w:rPr>
          <w:rFonts w:ascii="Times New Roman" w:eastAsia="標楷體" w:hAnsi="Times New Roman"/>
        </w:rPr>
        <w:t>產業結構調整與升級</w:t>
      </w:r>
    </w:p>
    <w:p w14:paraId="79D8CA3F" w14:textId="77777777" w:rsidR="00052596" w:rsidRDefault="00000000">
      <w:pPr>
        <w:pStyle w:val="k22"/>
        <w:ind w:left="840" w:firstLine="568"/>
        <w:rPr>
          <w:rFonts w:ascii="Times New Roman" w:eastAsia="標楷體" w:hAnsi="Times New Roman"/>
          <w:color w:val="0D0D0D"/>
          <w:spacing w:val="2"/>
        </w:rPr>
      </w:pPr>
      <w:r>
        <w:rPr>
          <w:rFonts w:ascii="Times New Roman" w:eastAsia="標楷體" w:hAnsi="Times New Roman"/>
          <w:color w:val="0D0D0D"/>
          <w:spacing w:val="2"/>
        </w:rPr>
        <w:t>服務業研發投資偏低，創新程度不足，對經濟成長貢獻與其占</w:t>
      </w:r>
      <w:r>
        <w:rPr>
          <w:rFonts w:ascii="Times New Roman" w:eastAsia="標楷體" w:hAnsi="Times New Roman"/>
          <w:color w:val="0D0D0D"/>
          <w:spacing w:val="2"/>
        </w:rPr>
        <w:t>GDP</w:t>
      </w:r>
      <w:r>
        <w:rPr>
          <w:rFonts w:ascii="Times New Roman" w:eastAsia="標楷體" w:hAnsi="Times New Roman"/>
          <w:color w:val="0D0D0D"/>
          <w:spacing w:val="2"/>
        </w:rPr>
        <w:t>比重不對稱；另製造業過度集中</w:t>
      </w:r>
      <w:r>
        <w:rPr>
          <w:rFonts w:ascii="Times New Roman" w:eastAsia="標楷體" w:hAnsi="Times New Roman"/>
          <w:color w:val="0D0D0D"/>
          <w:spacing w:val="2"/>
        </w:rPr>
        <w:t>ICT</w:t>
      </w:r>
      <w:r>
        <w:rPr>
          <w:rFonts w:ascii="Times New Roman" w:eastAsia="標楷體" w:hAnsi="Times New Roman"/>
          <w:color w:val="0D0D0D"/>
          <w:spacing w:val="2"/>
        </w:rPr>
        <w:t>領域，且附加價值率偏低。未來政府將積極推動產業創新營運模式，提升服務業在生產、輸出與研發的比率，透過創新與開放優化產業結構。</w:t>
      </w:r>
    </w:p>
    <w:p w14:paraId="0CD3D378" w14:textId="77777777" w:rsidR="00052596" w:rsidRDefault="00000000">
      <w:pPr>
        <w:pStyle w:val="k2a"/>
        <w:ind w:left="817" w:hanging="577"/>
        <w:outlineLvl w:val="9"/>
      </w:pPr>
      <w:r>
        <w:rPr>
          <w:rFonts w:ascii="標楷體" w:eastAsia="標楷體" w:hAnsi="標楷體"/>
        </w:rPr>
        <w:t>(三)</w:t>
      </w:r>
      <w:r>
        <w:rPr>
          <w:rFonts w:ascii="Times New Roman" w:eastAsia="標楷體" w:hAnsi="Times New Roman"/>
        </w:rPr>
        <w:t>經濟成長與就業創造</w:t>
      </w:r>
    </w:p>
    <w:p w14:paraId="35644A62" w14:textId="77777777" w:rsidR="00052596" w:rsidRDefault="00000000">
      <w:pPr>
        <w:pStyle w:val="k22"/>
        <w:ind w:left="840" w:firstLine="568"/>
      </w:pPr>
      <w:r>
        <w:rPr>
          <w:rFonts w:ascii="Times New Roman" w:eastAsia="標楷體" w:hAnsi="Times New Roman"/>
          <w:color w:val="0D0D0D"/>
          <w:spacing w:val="2"/>
        </w:rPr>
        <w:t>近年因產業結構朝資本、技術密集或勞動節省型方向調整，加以在全球化及國際專業分工趨勢下，「臺灣接單，海外生產」的三角貿易比重偏高，致經濟成長與就業、薪資的關聯性減弱。未來政府將積極推動產業結構調整，擴大創造優質工作機會，並</w:t>
      </w:r>
      <w:r>
        <w:rPr>
          <w:rStyle w:val="k121"/>
          <w:rFonts w:ascii="Times New Roman" w:eastAsia="標楷體" w:hAnsi="Times New Roman"/>
          <w:color w:val="0D0D0D"/>
          <w:spacing w:val="2"/>
        </w:rPr>
        <w:t>推動各項促進就業方案，強化勞動市場媒合機制</w:t>
      </w:r>
      <w:r>
        <w:rPr>
          <w:rFonts w:ascii="Times New Roman" w:eastAsia="標楷體" w:hAnsi="Times New Roman"/>
          <w:color w:val="0D0D0D"/>
          <w:spacing w:val="2"/>
        </w:rPr>
        <w:t>，以改善勞動市場供需失衡現象，兼顧經濟成長與就業創造。</w:t>
      </w:r>
    </w:p>
    <w:p w14:paraId="63865662" w14:textId="77777777" w:rsidR="00052596" w:rsidRDefault="00000000">
      <w:pPr>
        <w:pStyle w:val="k2a"/>
        <w:ind w:left="817" w:hanging="577"/>
        <w:outlineLvl w:val="9"/>
      </w:pPr>
      <w:r>
        <w:rPr>
          <w:rFonts w:ascii="標楷體" w:eastAsia="標楷體" w:hAnsi="標楷體"/>
        </w:rPr>
        <w:t>(四)</w:t>
      </w:r>
      <w:r>
        <w:rPr>
          <w:rFonts w:ascii="Times New Roman" w:eastAsia="標楷體" w:hAnsi="Times New Roman"/>
        </w:rPr>
        <w:t>經濟成長與所得分配</w:t>
      </w:r>
    </w:p>
    <w:p w14:paraId="33ACE410" w14:textId="77777777" w:rsidR="00052596" w:rsidRDefault="00000000">
      <w:pPr>
        <w:pStyle w:val="k22"/>
        <w:ind w:left="840" w:firstLine="568"/>
      </w:pPr>
      <w:r>
        <w:rPr>
          <w:rFonts w:ascii="Times New Roman" w:eastAsia="標楷體" w:hAnsi="Times New Roman"/>
          <w:color w:val="0D0D0D"/>
          <w:spacing w:val="2"/>
        </w:rPr>
        <w:t>隨著科技創新、全球化以及專業分工的趨勢，所得分配差距擴大已成為全球大多數國家共同面臨的課題，我國也不例外。長期以來，我國受僱人員報酬份額趨降</w:t>
      </w:r>
      <w:r>
        <w:rPr>
          <w:rFonts w:ascii="標楷體" w:eastAsia="標楷體" w:hAnsi="標楷體"/>
          <w:color w:val="0D0D0D"/>
          <w:spacing w:val="2"/>
        </w:rPr>
        <w:t>(</w:t>
      </w:r>
      <w:r>
        <w:rPr>
          <w:rFonts w:ascii="Times New Roman" w:eastAsia="標楷體" w:hAnsi="Times New Roman"/>
          <w:color w:val="0D0D0D"/>
          <w:spacing w:val="2"/>
        </w:rPr>
        <w:t>自</w:t>
      </w:r>
      <w:r>
        <w:rPr>
          <w:rFonts w:ascii="Times New Roman" w:eastAsia="標楷體" w:hAnsi="Times New Roman"/>
          <w:color w:val="0D0D0D"/>
          <w:spacing w:val="2"/>
        </w:rPr>
        <w:t>79</w:t>
      </w:r>
      <w:r>
        <w:rPr>
          <w:rFonts w:ascii="Times New Roman" w:eastAsia="標楷體" w:hAnsi="Times New Roman"/>
          <w:color w:val="0D0D0D"/>
          <w:spacing w:val="2"/>
        </w:rPr>
        <w:t>年之高點</w:t>
      </w:r>
      <w:r>
        <w:rPr>
          <w:rFonts w:ascii="Times New Roman" w:eastAsia="標楷體" w:hAnsi="Times New Roman"/>
          <w:color w:val="0D0D0D"/>
          <w:spacing w:val="2"/>
        </w:rPr>
        <w:t>51.71%</w:t>
      </w:r>
      <w:r>
        <w:rPr>
          <w:rFonts w:ascii="Times New Roman" w:eastAsia="標楷體" w:hAnsi="Times New Roman"/>
          <w:color w:val="0D0D0D"/>
          <w:spacing w:val="2"/>
        </w:rPr>
        <w:t>遞降，</w:t>
      </w:r>
      <w:r>
        <w:rPr>
          <w:rFonts w:ascii="Times New Roman" w:eastAsia="標楷體" w:hAnsi="Times New Roman"/>
          <w:color w:val="0D0D0D"/>
          <w:spacing w:val="2"/>
        </w:rPr>
        <w:t>99</w:t>
      </w:r>
      <w:r>
        <w:rPr>
          <w:rFonts w:ascii="Times New Roman" w:eastAsia="標楷體" w:hAnsi="Times New Roman"/>
          <w:color w:val="0D0D0D"/>
          <w:spacing w:val="2"/>
        </w:rPr>
        <w:t>年為</w:t>
      </w:r>
      <w:r>
        <w:rPr>
          <w:rFonts w:ascii="Times New Roman" w:eastAsia="標楷體" w:hAnsi="Times New Roman"/>
          <w:color w:val="0D0D0D"/>
          <w:spacing w:val="2"/>
        </w:rPr>
        <w:t>44.55%</w:t>
      </w:r>
      <w:r>
        <w:rPr>
          <w:rFonts w:ascii="Times New Roman" w:eastAsia="標楷體" w:hAnsi="Times New Roman"/>
          <w:color w:val="0D0D0D"/>
          <w:spacing w:val="2"/>
        </w:rPr>
        <w:t>，</w:t>
      </w:r>
      <w:r>
        <w:rPr>
          <w:rFonts w:ascii="Times New Roman" w:eastAsia="標楷體" w:hAnsi="Times New Roman"/>
          <w:color w:val="0D0D0D"/>
          <w:spacing w:val="2"/>
        </w:rPr>
        <w:t>100</w:t>
      </w:r>
      <w:r>
        <w:rPr>
          <w:rFonts w:ascii="Times New Roman" w:eastAsia="標楷體" w:hAnsi="Times New Roman"/>
          <w:color w:val="0D0D0D"/>
          <w:spacing w:val="2"/>
        </w:rPr>
        <w:t>年略回升至</w:t>
      </w:r>
      <w:r>
        <w:rPr>
          <w:rFonts w:ascii="Times New Roman" w:eastAsia="標楷體" w:hAnsi="Times New Roman"/>
          <w:color w:val="0D0D0D"/>
          <w:spacing w:val="2"/>
        </w:rPr>
        <w:t>45.72%</w:t>
      </w:r>
      <w:r>
        <w:rPr>
          <w:rFonts w:ascii="標楷體" w:eastAsia="標楷體" w:hAnsi="標楷體"/>
          <w:color w:val="0D0D0D"/>
          <w:spacing w:val="2"/>
        </w:rPr>
        <w:t>)</w:t>
      </w:r>
      <w:r>
        <w:rPr>
          <w:rFonts w:ascii="Times New Roman" w:eastAsia="標楷體" w:hAnsi="Times New Roman"/>
          <w:color w:val="0D0D0D"/>
          <w:spacing w:val="2"/>
        </w:rPr>
        <w:t>，所得分配差距擴大。未來政府將積極活絡經濟、創造在地化就業，並建立完善的社會安全機制，落實經濟成長果實全民共享。</w:t>
      </w:r>
    </w:p>
    <w:p w14:paraId="0AB61A53" w14:textId="77777777" w:rsidR="00052596" w:rsidRDefault="00000000">
      <w:pPr>
        <w:pStyle w:val="k2a"/>
        <w:ind w:left="817" w:hanging="577"/>
        <w:outlineLvl w:val="9"/>
      </w:pPr>
      <w:r>
        <w:rPr>
          <w:rFonts w:ascii="標楷體" w:eastAsia="標楷體" w:hAnsi="標楷體"/>
        </w:rPr>
        <w:t>(五)</w:t>
      </w:r>
      <w:r>
        <w:rPr>
          <w:rFonts w:ascii="Times New Roman" w:eastAsia="標楷體" w:hAnsi="Times New Roman"/>
        </w:rPr>
        <w:t>綠色成長與社會包容</w:t>
      </w:r>
    </w:p>
    <w:p w14:paraId="071C93D5" w14:textId="77777777" w:rsidR="00052596" w:rsidRDefault="00000000">
      <w:pPr>
        <w:pStyle w:val="k22"/>
        <w:ind w:left="840" w:firstLine="584"/>
      </w:pPr>
      <w:r>
        <w:rPr>
          <w:rFonts w:ascii="Times New Roman" w:eastAsia="標楷體" w:hAnsi="Times New Roman"/>
          <w:color w:val="0D0D0D"/>
          <w:spacing w:val="6"/>
        </w:rPr>
        <w:t>我國節能減碳績效雖漸趨改善，惟每人</w:t>
      </w:r>
      <w:r>
        <w:rPr>
          <w:rFonts w:ascii="Times New Roman" w:eastAsia="標楷體" w:hAnsi="Times New Roman"/>
          <w:color w:val="0D0D0D"/>
          <w:spacing w:val="6"/>
        </w:rPr>
        <w:t>CO</w:t>
      </w:r>
      <w:r>
        <w:rPr>
          <w:rFonts w:ascii="Times New Roman" w:eastAsia="標楷體" w:hAnsi="Times New Roman"/>
          <w:color w:val="0D0D0D"/>
          <w:spacing w:val="6"/>
          <w:sz w:val="36"/>
          <w:szCs w:val="36"/>
          <w:vertAlign w:val="subscript"/>
        </w:rPr>
        <w:t>2</w:t>
      </w:r>
      <w:r>
        <w:rPr>
          <w:rFonts w:ascii="Times New Roman" w:eastAsia="標楷體" w:hAnsi="Times New Roman"/>
          <w:color w:val="0D0D0D"/>
          <w:spacing w:val="6"/>
        </w:rPr>
        <w:t>排放量仍高於多數</w:t>
      </w:r>
      <w:r>
        <w:rPr>
          <w:rFonts w:ascii="Times New Roman" w:eastAsia="標楷體" w:hAnsi="Times New Roman"/>
          <w:color w:val="0D0D0D"/>
          <w:spacing w:val="6"/>
        </w:rPr>
        <w:t>OECD</w:t>
      </w:r>
      <w:r>
        <w:rPr>
          <w:rFonts w:ascii="Times New Roman" w:eastAsia="標楷體" w:hAnsi="Times New Roman"/>
          <w:color w:val="0D0D0D"/>
          <w:spacing w:val="6"/>
        </w:rPr>
        <w:t>國家水準，顯示節能減碳及生態環境治理仍待增強。未來政府將開拓綠色商機，創造綠色就業機會，提升綠色競爭力。</w:t>
      </w:r>
    </w:p>
    <w:p w14:paraId="6E601643" w14:textId="77777777" w:rsidR="00052596" w:rsidRDefault="00052596">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color w:val="0D0D0D"/>
        </w:rPr>
      </w:pPr>
    </w:p>
    <w:p w14:paraId="7742F7E8" w14:textId="77777777" w:rsidR="00052596" w:rsidRDefault="00052596">
      <w:pPr>
        <w:pStyle w:val="k00t16"/>
        <w:outlineLvl w:val="9"/>
        <w:rPr>
          <w:rFonts w:ascii="Times New Roman" w:eastAsia="標楷體" w:hAnsi="Times New Roman"/>
          <w:color w:val="0D0D0D"/>
        </w:rPr>
      </w:pPr>
    </w:p>
    <w:p w14:paraId="5F2D6AF4" w14:textId="77777777" w:rsidR="00052596" w:rsidRDefault="00000000">
      <w:pPr>
        <w:pStyle w:val="k00t16"/>
        <w:outlineLvl w:val="9"/>
        <w:rPr>
          <w:rFonts w:ascii="Times New Roman" w:eastAsia="標楷體" w:hAnsi="Times New Roman"/>
        </w:rPr>
      </w:pPr>
      <w:r>
        <w:rPr>
          <w:rFonts w:ascii="Times New Roman" w:eastAsia="標楷體" w:hAnsi="Times New Roman"/>
        </w:rPr>
        <w:t>貳、國家發展願景與目標</w:t>
      </w:r>
    </w:p>
    <w:p w14:paraId="6C6CED3A" w14:textId="77777777" w:rsidR="00052596" w:rsidRDefault="00052596">
      <w:pPr>
        <w:pStyle w:val="line"/>
        <w:rPr>
          <w:color w:val="0000FF"/>
        </w:rPr>
      </w:pPr>
    </w:p>
    <w:p w14:paraId="29D5BB10" w14:textId="77777777" w:rsidR="00052596" w:rsidRDefault="00000000">
      <w:pPr>
        <w:pStyle w:val="k1a"/>
        <w:spacing w:before="0"/>
        <w:ind w:left="288" w:hanging="288"/>
        <w:outlineLvl w:val="9"/>
        <w:rPr>
          <w:rFonts w:ascii="Times New Roman" w:eastAsia="標楷體" w:hAnsi="Times New Roman"/>
        </w:rPr>
      </w:pPr>
      <w:r>
        <w:rPr>
          <w:rFonts w:ascii="Times New Roman" w:eastAsia="標楷體" w:hAnsi="Times New Roman"/>
        </w:rPr>
        <w:t>一、國家發展願景</w:t>
      </w:r>
    </w:p>
    <w:p w14:paraId="07762B5C" w14:textId="77777777" w:rsidR="00052596" w:rsidRDefault="00000000">
      <w:pPr>
        <w:pStyle w:val="k12"/>
        <w:ind w:left="240" w:firstLine="576"/>
      </w:pPr>
      <w:r>
        <w:rPr>
          <w:rFonts w:ascii="Times New Roman" w:eastAsia="標楷體" w:hAnsi="Times New Roman"/>
          <w:color w:val="0D0D0D"/>
        </w:rPr>
        <w:t>面對後金融海嘯時期全球經貿新局、國人對幸福有感的殷切期盼，以及全球綠色環保風潮的挑戰，「國家發展計畫</w:t>
      </w:r>
      <w:r>
        <w:rPr>
          <w:rFonts w:ascii="標楷體" w:eastAsia="標楷體" w:hAnsi="標楷體"/>
          <w:color w:val="0D0D0D"/>
        </w:rPr>
        <w:t>(</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w:t>
      </w:r>
      <w:r>
        <w:rPr>
          <w:rFonts w:ascii="標楷體" w:eastAsia="標楷體" w:hAnsi="標楷體"/>
          <w:color w:val="0D0D0D"/>
        </w:rPr>
        <w:t>)</w:t>
      </w:r>
      <w:r>
        <w:rPr>
          <w:rFonts w:ascii="Times New Roman" w:eastAsia="標楷體" w:hAnsi="Times New Roman"/>
          <w:color w:val="0D0D0D"/>
        </w:rPr>
        <w:t>」將具體實踐「黃金十年　國家願景」計畫所揭示「繁榮、和諧、永續的幸福臺灣」之總目標，使國家發展再創新局。</w:t>
      </w:r>
    </w:p>
    <w:p w14:paraId="5B6A1407" w14:textId="77777777" w:rsidR="00052596" w:rsidRDefault="00000000">
      <w:pPr>
        <w:pStyle w:val="k2a"/>
        <w:ind w:left="817" w:hanging="577"/>
        <w:outlineLvl w:val="9"/>
      </w:pPr>
      <w:r>
        <w:rPr>
          <w:rFonts w:ascii="標楷體" w:eastAsia="標楷體" w:hAnsi="標楷體"/>
        </w:rPr>
        <w:t>(一)</w:t>
      </w:r>
      <w:r>
        <w:rPr>
          <w:rFonts w:ascii="Times New Roman" w:eastAsia="標楷體" w:hAnsi="Times New Roman"/>
        </w:rPr>
        <w:t>繁榮：</w:t>
      </w:r>
      <w:r>
        <w:rPr>
          <w:rFonts w:ascii="Times New Roman" w:eastAsia="標楷體" w:hAnsi="Times New Roman"/>
          <w:b w:val="0"/>
          <w:color w:val="0D0D0D"/>
        </w:rPr>
        <w:t>政府將由「活力經濟」、「全面建設」與「廉能政府」等三大面向，打造「繁榮臺灣」，具體實現「富民經濟」，使人民享有所得財富、生活品質、文化水準及心靈發展的全面富足；產業結構轉型升級，法規制度接軌國際，成為全球的創新中心與運籌樞紐。</w:t>
      </w:r>
    </w:p>
    <w:p w14:paraId="0F8F45CF" w14:textId="77777777" w:rsidR="00052596" w:rsidRDefault="00000000">
      <w:pPr>
        <w:pStyle w:val="k2a"/>
        <w:ind w:left="817" w:hanging="577"/>
        <w:outlineLvl w:val="9"/>
      </w:pPr>
      <w:r>
        <w:rPr>
          <w:rFonts w:ascii="標楷體" w:eastAsia="標楷體" w:hAnsi="標楷體"/>
        </w:rPr>
        <w:t>(二)</w:t>
      </w:r>
      <w:r>
        <w:rPr>
          <w:rFonts w:ascii="Times New Roman" w:eastAsia="標楷體" w:hAnsi="Times New Roman"/>
        </w:rPr>
        <w:t>和諧：</w:t>
      </w:r>
      <w:r>
        <w:rPr>
          <w:rFonts w:ascii="Times New Roman" w:eastAsia="標楷體" w:hAnsi="Times New Roman"/>
          <w:b w:val="0"/>
          <w:color w:val="0D0D0D"/>
        </w:rPr>
        <w:t>政府將由「公義社會」、「和平兩岸」與「友善國際」等三大面向，建構「和諧臺灣」，致力追求族群和諧、世代和諧、環境和諧、區域和諧、兩岸和諧與國際和諧，展現包容、關懷、公義的核心價值，實現經濟成果為全民所共享。</w:t>
      </w:r>
    </w:p>
    <w:p w14:paraId="0675D3F2" w14:textId="77777777" w:rsidR="00052596" w:rsidRDefault="00000000">
      <w:pPr>
        <w:pStyle w:val="k2a"/>
        <w:ind w:left="817" w:hanging="577"/>
        <w:outlineLvl w:val="9"/>
      </w:pPr>
      <w:r>
        <w:rPr>
          <w:rFonts w:ascii="標楷體" w:eastAsia="標楷體" w:hAnsi="標楷體"/>
        </w:rPr>
        <w:t>(三)</w:t>
      </w:r>
      <w:r>
        <w:rPr>
          <w:rFonts w:ascii="Times New Roman" w:eastAsia="標楷體" w:hAnsi="Times New Roman"/>
        </w:rPr>
        <w:t>永續：</w:t>
      </w:r>
      <w:r>
        <w:rPr>
          <w:rFonts w:ascii="Times New Roman" w:eastAsia="標楷體" w:hAnsi="Times New Roman"/>
          <w:b w:val="0"/>
          <w:color w:val="0D0D0D"/>
        </w:rPr>
        <w:t>政府將由「優質文教」、「永續環境」等面向，營造「永續臺灣」，以永續支持成長，成長延伸永續，讓國家發展生生不息，經濟與環境共存共榮，文化與知識水準持續深化、累積，國家發展永續綿延。</w:t>
      </w:r>
    </w:p>
    <w:p w14:paraId="715091CD" w14:textId="77777777" w:rsidR="00052596" w:rsidRDefault="00000000">
      <w:pPr>
        <w:pStyle w:val="k1a"/>
        <w:ind w:left="288" w:hanging="288"/>
        <w:outlineLvl w:val="9"/>
        <w:rPr>
          <w:rFonts w:ascii="Times New Roman" w:eastAsia="標楷體" w:hAnsi="Times New Roman"/>
        </w:rPr>
      </w:pPr>
      <w:r>
        <w:rPr>
          <w:rFonts w:ascii="Times New Roman" w:eastAsia="標楷體" w:hAnsi="Times New Roman"/>
        </w:rPr>
        <w:t>二、政策規劃構想</w:t>
      </w:r>
    </w:p>
    <w:p w14:paraId="3AF649BA" w14:textId="77777777" w:rsidR="00052596" w:rsidRDefault="00000000">
      <w:pPr>
        <w:pStyle w:val="k2a"/>
        <w:ind w:left="817" w:hanging="577"/>
        <w:outlineLvl w:val="9"/>
      </w:pPr>
      <w:r>
        <w:rPr>
          <w:rFonts w:ascii="標楷體" w:eastAsia="標楷體" w:hAnsi="標楷體"/>
        </w:rPr>
        <w:t>(一)</w:t>
      </w:r>
      <w:r>
        <w:rPr>
          <w:rFonts w:ascii="Times New Roman" w:eastAsia="標楷體" w:hAnsi="Times New Roman"/>
        </w:rPr>
        <w:t>規劃理念</w:t>
      </w:r>
    </w:p>
    <w:p w14:paraId="15773FE9" w14:textId="77777777" w:rsidR="00052596" w:rsidRDefault="00000000">
      <w:pPr>
        <w:pStyle w:val="k22"/>
        <w:ind w:left="840" w:firstLine="560"/>
      </w:pPr>
      <w:r>
        <w:rPr>
          <w:rFonts w:ascii="Times New Roman" w:eastAsia="標楷體" w:hAnsi="Times New Roman"/>
          <w:color w:val="0D0D0D"/>
        </w:rPr>
        <w:t>面對國際經濟情勢的高度不確定，且潛存下行風險，「國家發展計畫</w:t>
      </w:r>
      <w:r>
        <w:rPr>
          <w:rFonts w:ascii="標楷體" w:eastAsia="標楷體" w:hAnsi="標楷體"/>
          <w:color w:val="0D0D0D"/>
        </w:rPr>
        <w:t>(</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w:t>
      </w:r>
      <w:r>
        <w:rPr>
          <w:rFonts w:ascii="標楷體" w:eastAsia="標楷體" w:hAnsi="標楷體"/>
          <w:color w:val="0D0D0D"/>
        </w:rPr>
        <w:t>)</w:t>
      </w:r>
      <w:r>
        <w:rPr>
          <w:rFonts w:ascii="Times New Roman" w:eastAsia="標楷體" w:hAnsi="Times New Roman"/>
          <w:color w:val="0D0D0D"/>
        </w:rPr>
        <w:t>」除追求「量」的成長外，亦特別強調「質」的提升。未來四年政府將加速經濟結構調整，並致力經濟建設與社會、環境建設的同步開展，使經濟成長兼具均衡性、包容性與永續性。</w:t>
      </w:r>
    </w:p>
    <w:p w14:paraId="1ADB913C"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－均衡成長：內需、外貿齊進，製造、服務並重，新興、傳</w:t>
      </w:r>
      <w:r>
        <w:rPr>
          <w:rFonts w:ascii="Times New Roman" w:eastAsia="標楷體" w:hAnsi="Times New Roman"/>
          <w:color w:val="0D0D0D"/>
        </w:rPr>
        <w:lastRenderedPageBreak/>
        <w:t>統兼顧，力求成長結構與產業結構的均衡發展；同時，透過法規鬆綁，促進投資，進而創造就業、提升薪資水準。</w:t>
      </w:r>
    </w:p>
    <w:p w14:paraId="745F5820"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－包容成長：落實租稅負擔正義化，持續強化社會福利體制，改善所得差距，使經濟成長果實為全民共享。</w:t>
      </w:r>
    </w:p>
    <w:p w14:paraId="08C4BFB6"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－綠色成長：完善綠色法制，促進外部成本內部化，加速綠色產業發展，並強化環境基礎建設，使經濟發展與環境保護兼容並蓄。</w:t>
      </w:r>
    </w:p>
    <w:p w14:paraId="7EFB54CC" w14:textId="77777777" w:rsidR="00052596" w:rsidRDefault="00000000">
      <w:pPr>
        <w:pStyle w:val="k2a"/>
        <w:ind w:left="817" w:hanging="577"/>
        <w:outlineLvl w:val="9"/>
      </w:pPr>
      <w:r>
        <w:rPr>
          <w:rFonts w:ascii="標楷體" w:eastAsia="標楷體" w:hAnsi="標楷體"/>
        </w:rPr>
        <w:t>(二)</w:t>
      </w:r>
      <w:r>
        <w:rPr>
          <w:rFonts w:ascii="Times New Roman" w:eastAsia="標楷體" w:hAnsi="Times New Roman"/>
        </w:rPr>
        <w:t>積極政策作為</w:t>
      </w:r>
    </w:p>
    <w:p w14:paraId="0AF11258" w14:textId="77777777" w:rsidR="00052596" w:rsidRDefault="00000000">
      <w:pPr>
        <w:pStyle w:val="k22"/>
        <w:ind w:left="840" w:firstLine="560"/>
        <w:rPr>
          <w:rFonts w:ascii="Times New Roman" w:eastAsia="標楷體" w:hAnsi="Times New Roman"/>
          <w:color w:val="0D0D0D"/>
        </w:rPr>
      </w:pPr>
      <w:r>
        <w:rPr>
          <w:rFonts w:ascii="Times New Roman" w:eastAsia="標楷體" w:hAnsi="Times New Roman"/>
          <w:color w:val="0D0D0D"/>
        </w:rPr>
        <w:t>本計畫將執行「經濟動能推升方案」全力拼經濟，力求經濟早日回歸正常成長途徑，並厚植長期經濟成長潛能；同時，在經濟推升過程中，也將全力開展「黃金十年　國家願景」計畫，全面推升國力，並特別著重所得分配的改善與環境永續的保護，以提升國民整體幸福感。</w:t>
      </w:r>
    </w:p>
    <w:p w14:paraId="5D5973BD" w14:textId="77777777" w:rsidR="00052596" w:rsidRDefault="00000000">
      <w:pPr>
        <w:pStyle w:val="k22"/>
        <w:spacing w:line="430" w:lineRule="exact"/>
        <w:ind w:left="840" w:firstLine="0"/>
        <w:rPr>
          <w:rFonts w:ascii="Times New Roman" w:eastAsia="標楷體" w:hAnsi="Times New Roman"/>
          <w:color w:val="0D0D0D"/>
        </w:rPr>
      </w:pPr>
      <w:r>
        <w:rPr>
          <w:rFonts w:ascii="Times New Roman" w:eastAsia="標楷體" w:hAnsi="Times New Roman"/>
          <w:color w:val="0D0D0D"/>
        </w:rPr>
        <w:t>1.</w:t>
      </w:r>
      <w:r>
        <w:rPr>
          <w:rFonts w:ascii="Times New Roman" w:eastAsia="標楷體" w:hAnsi="Times New Roman"/>
          <w:color w:val="0D0D0D"/>
        </w:rPr>
        <w:t>加速結構調整，促進均衡成長</w:t>
      </w:r>
    </w:p>
    <w:p w14:paraId="4BB9F539"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－執行「經濟動能推升方案」，由產業、輸出、人力、投資、政府五大構面著手，透過體制調整與法規鬆綁，促進投資並帶動就業與薪資增加。</w:t>
      </w:r>
    </w:p>
    <w:p w14:paraId="38016433"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－除持續推動六大新興產業、四項新興智慧型產業，以及十項重點服務業外，更加速產業的多元創新，促進產業結構朝多元、高值與低碳轉型、升級。</w:t>
      </w:r>
    </w:p>
    <w:p w14:paraId="286DBFDC"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－在「愛臺</w:t>
      </w:r>
      <w:r>
        <w:rPr>
          <w:rFonts w:ascii="Times New Roman" w:eastAsia="標楷體" w:hAnsi="Times New Roman"/>
          <w:color w:val="0D0D0D"/>
        </w:rPr>
        <w:t>12</w:t>
      </w:r>
      <w:r>
        <w:rPr>
          <w:rFonts w:ascii="Times New Roman" w:eastAsia="標楷體" w:hAnsi="Times New Roman"/>
          <w:color w:val="0D0D0D"/>
        </w:rPr>
        <w:t>建設」的基礎上推動新世代策略性公共建設，加強知識性、公義性及永續性的公共投資，厚植資本存量。</w:t>
      </w:r>
    </w:p>
    <w:p w14:paraId="156631C4"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－加強創新人力培育，強化教育與職訓，並吸引國際人才來臺，充實人力資本，提升國家軟實力。</w:t>
      </w:r>
    </w:p>
    <w:p w14:paraId="0C8FF3B0"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－推動「加強推動臺商回臺投資方案」及「自由經濟示範區」，擴大</w:t>
      </w:r>
      <w:r>
        <w:rPr>
          <w:rFonts w:ascii="Times New Roman" w:eastAsia="標楷體" w:hAnsi="Times New Roman"/>
          <w:color w:val="0D0D0D"/>
        </w:rPr>
        <w:t>ECFA</w:t>
      </w:r>
      <w:r>
        <w:rPr>
          <w:rFonts w:ascii="Times New Roman" w:eastAsia="標楷體" w:hAnsi="Times New Roman"/>
          <w:color w:val="0D0D0D"/>
        </w:rPr>
        <w:t>效益，並積極參與區域經濟整合，拓展經貿發展縱深。</w:t>
      </w:r>
    </w:p>
    <w:p w14:paraId="0984655B" w14:textId="77777777" w:rsidR="00052596" w:rsidRDefault="00000000">
      <w:pPr>
        <w:pStyle w:val="k22"/>
        <w:spacing w:line="430" w:lineRule="exact"/>
        <w:ind w:left="840" w:firstLine="0"/>
        <w:rPr>
          <w:rFonts w:ascii="Times New Roman" w:eastAsia="標楷體" w:hAnsi="Times New Roman"/>
          <w:color w:val="0D0D0D"/>
        </w:rPr>
      </w:pPr>
      <w:r>
        <w:rPr>
          <w:rFonts w:ascii="Times New Roman" w:eastAsia="標楷體" w:hAnsi="Times New Roman"/>
          <w:color w:val="0D0D0D"/>
        </w:rPr>
        <w:t>2.</w:t>
      </w:r>
      <w:r>
        <w:rPr>
          <w:rFonts w:ascii="Times New Roman" w:eastAsia="標楷體" w:hAnsi="Times New Roman"/>
          <w:color w:val="0D0D0D"/>
        </w:rPr>
        <w:t>體現公義關懷，實現包容成長</w:t>
      </w:r>
    </w:p>
    <w:p w14:paraId="3731134D"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－持續推動租稅改革，強化社會安全體系，落實社會救助</w:t>
      </w:r>
      <w:r>
        <w:rPr>
          <w:rFonts w:ascii="Times New Roman" w:eastAsia="標楷體" w:hAnsi="Times New Roman"/>
          <w:color w:val="0D0D0D"/>
        </w:rPr>
        <w:lastRenderedPageBreak/>
        <w:t>新制與居住正義，縮小貧富差距。</w:t>
      </w:r>
    </w:p>
    <w:p w14:paraId="70BE3022"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－建構優質養育環境，改善健保及各項年金制度，完善長照服務網絡，健全安養體系。</w:t>
      </w:r>
    </w:p>
    <w:p w14:paraId="4B498D46"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－健全防貪、肅貪機制，強化司法改革，增進人權保障，並拓展創新與整合服務，打造公義、效能、具競爭力的政府。</w:t>
      </w:r>
    </w:p>
    <w:p w14:paraId="5FBD9942" w14:textId="77777777" w:rsidR="00052596" w:rsidRDefault="00000000">
      <w:pPr>
        <w:pStyle w:val="k22"/>
        <w:spacing w:line="430" w:lineRule="exact"/>
        <w:ind w:left="840" w:firstLine="0"/>
        <w:rPr>
          <w:rFonts w:ascii="Times New Roman" w:eastAsia="標楷體" w:hAnsi="Times New Roman"/>
          <w:color w:val="0D0D0D"/>
        </w:rPr>
      </w:pPr>
      <w:r>
        <w:rPr>
          <w:rFonts w:ascii="Times New Roman" w:eastAsia="標楷體" w:hAnsi="Times New Roman"/>
          <w:color w:val="0D0D0D"/>
        </w:rPr>
        <w:t>3.</w:t>
      </w:r>
      <w:r>
        <w:rPr>
          <w:rFonts w:ascii="Times New Roman" w:eastAsia="標楷體" w:hAnsi="Times New Roman"/>
          <w:color w:val="0D0D0D"/>
        </w:rPr>
        <w:t>落實節能減碳，推動綠色成長</w:t>
      </w:r>
    </w:p>
    <w:p w14:paraId="07AD6939"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－全力推動再生能源，完善「溫室氣體減量法」等綠色法規制度，加速產業低碳化，打造低碳樂活家園。</w:t>
      </w:r>
    </w:p>
    <w:p w14:paraId="22AA66EE"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－健全國土規劃制度，建構潔淨寧適環境，強化水資源運用與管理，加強植樹造林，營造自然美麗的生態環境。</w:t>
      </w:r>
    </w:p>
    <w:p w14:paraId="7E3B8D47" w14:textId="77777777" w:rsidR="00052596" w:rsidRDefault="00000000">
      <w:pPr>
        <w:pStyle w:val="k3a"/>
        <w:spacing w:line="430" w:lineRule="exact"/>
        <w:ind w:left="1415" w:hanging="282"/>
        <w:outlineLvl w:val="9"/>
        <w:rPr>
          <w:rFonts w:ascii="Times New Roman" w:eastAsia="標楷體" w:hAnsi="Times New Roman"/>
          <w:color w:val="0D0D0D"/>
        </w:rPr>
      </w:pPr>
      <w:r>
        <w:rPr>
          <w:rFonts w:ascii="Times New Roman" w:eastAsia="標楷體" w:hAnsi="Times New Roman"/>
          <w:color w:val="0D0D0D"/>
        </w:rPr>
        <w:t>－落實「國家氣候變遷調適政策綱領」，提升核能安全防護，推動整體性防災計畫，建構讓民眾安心的安全生活環境。</w:t>
      </w:r>
    </w:p>
    <w:p w14:paraId="4DA7CE4F" w14:textId="77777777" w:rsidR="00052596" w:rsidRDefault="00000000">
      <w:pPr>
        <w:pStyle w:val="k1a"/>
        <w:ind w:left="288" w:hanging="288"/>
        <w:outlineLvl w:val="9"/>
        <w:rPr>
          <w:rFonts w:ascii="Times New Roman" w:eastAsia="標楷體" w:hAnsi="Times New Roman"/>
        </w:rPr>
      </w:pPr>
      <w:r>
        <w:rPr>
          <w:rFonts w:ascii="Times New Roman" w:eastAsia="標楷體" w:hAnsi="Times New Roman"/>
        </w:rPr>
        <w:t>三、目標設訂</w:t>
      </w:r>
    </w:p>
    <w:p w14:paraId="39A28DBB" w14:textId="77777777" w:rsidR="00052596" w:rsidRDefault="00000000">
      <w:pPr>
        <w:pStyle w:val="k12"/>
        <w:ind w:left="240" w:firstLine="576"/>
        <w:rPr>
          <w:rFonts w:ascii="Times New Roman" w:eastAsia="標楷體" w:hAnsi="Times New Roman"/>
          <w:color w:val="0D0D0D"/>
        </w:rPr>
      </w:pP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年總體經濟目標設定如次：</w:t>
      </w:r>
    </w:p>
    <w:p w14:paraId="2C242164" w14:textId="77777777" w:rsidR="00052596" w:rsidRDefault="00000000">
      <w:pPr>
        <w:pStyle w:val="k2a"/>
        <w:ind w:left="540" w:hanging="300"/>
        <w:outlineLvl w:val="9"/>
        <w:rPr>
          <w:rFonts w:ascii="Times New Roman" w:eastAsia="標楷體" w:hAnsi="Times New Roman"/>
          <w:b w:val="0"/>
          <w:color w:val="0D0D0D"/>
        </w:rPr>
      </w:pPr>
      <w:r>
        <w:rPr>
          <w:rFonts w:ascii="Times New Roman" w:eastAsia="標楷體" w:hAnsi="Times New Roman"/>
          <w:b w:val="0"/>
          <w:color w:val="0D0D0D"/>
        </w:rPr>
        <w:t>－經濟成長率平均</w:t>
      </w:r>
      <w:r>
        <w:rPr>
          <w:rFonts w:ascii="Times New Roman" w:eastAsia="標楷體" w:hAnsi="Times New Roman"/>
          <w:b w:val="0"/>
          <w:color w:val="0D0D0D"/>
        </w:rPr>
        <w:t>4.5%</w:t>
      </w:r>
      <w:r>
        <w:rPr>
          <w:rFonts w:ascii="Times New Roman" w:eastAsia="標楷體" w:hAnsi="Times New Roman"/>
          <w:b w:val="0"/>
          <w:color w:val="0D0D0D"/>
        </w:rPr>
        <w:t>。</w:t>
      </w:r>
    </w:p>
    <w:p w14:paraId="0121C6BC" w14:textId="77777777" w:rsidR="00052596" w:rsidRDefault="00000000">
      <w:pPr>
        <w:pStyle w:val="k2a"/>
        <w:ind w:left="571" w:hanging="43"/>
        <w:outlineLvl w:val="9"/>
        <w:rPr>
          <w:rFonts w:ascii="Times New Roman" w:eastAsia="標楷體" w:hAnsi="Times New Roman"/>
          <w:b w:val="0"/>
          <w:color w:val="0D0D0D"/>
        </w:rPr>
      </w:pPr>
      <w:r>
        <w:rPr>
          <w:rFonts w:ascii="Times New Roman" w:eastAsia="標楷體" w:hAnsi="Times New Roman"/>
          <w:b w:val="0"/>
          <w:color w:val="0D0D0D"/>
        </w:rPr>
        <w:t>就投入要素貢獻來源觀察，勞動投入對經濟成長率平均</w:t>
      </w:r>
      <w:r>
        <w:rPr>
          <w:rFonts w:ascii="Times New Roman" w:eastAsia="標楷體" w:hAnsi="Times New Roman"/>
          <w:b w:val="0"/>
          <w:color w:val="0D0D0D"/>
        </w:rPr>
        <w:t>4.5%</w:t>
      </w:r>
      <w:r>
        <w:rPr>
          <w:rFonts w:ascii="Times New Roman" w:eastAsia="標楷體" w:hAnsi="Times New Roman"/>
          <w:b w:val="0"/>
          <w:color w:val="0D0D0D"/>
        </w:rPr>
        <w:t>之貢獻占</w:t>
      </w:r>
      <w:r>
        <w:rPr>
          <w:rFonts w:ascii="Times New Roman" w:eastAsia="標楷體" w:hAnsi="Times New Roman"/>
          <w:b w:val="0"/>
          <w:color w:val="0D0D0D"/>
        </w:rPr>
        <w:t>12.67%</w:t>
      </w:r>
      <w:r>
        <w:rPr>
          <w:rFonts w:ascii="Times New Roman" w:eastAsia="標楷體" w:hAnsi="Times New Roman"/>
          <w:b w:val="0"/>
          <w:color w:val="0D0D0D"/>
        </w:rPr>
        <w:t>，資本投入貢獻占</w:t>
      </w:r>
      <w:r>
        <w:rPr>
          <w:rFonts w:ascii="Times New Roman" w:eastAsia="標楷體" w:hAnsi="Times New Roman"/>
          <w:b w:val="0"/>
          <w:color w:val="0D0D0D"/>
        </w:rPr>
        <w:t>26.89%</w:t>
      </w:r>
      <w:r>
        <w:rPr>
          <w:rFonts w:ascii="Times New Roman" w:eastAsia="標楷體" w:hAnsi="Times New Roman"/>
          <w:b w:val="0"/>
          <w:color w:val="0D0D0D"/>
        </w:rPr>
        <w:t>，總要素生產力貢獻占</w:t>
      </w:r>
      <w:r>
        <w:rPr>
          <w:rFonts w:ascii="Times New Roman" w:eastAsia="標楷體" w:hAnsi="Times New Roman"/>
          <w:b w:val="0"/>
          <w:color w:val="0D0D0D"/>
        </w:rPr>
        <w:t>60.44%</w:t>
      </w:r>
      <w:r>
        <w:rPr>
          <w:rFonts w:ascii="Times New Roman" w:eastAsia="標楷體" w:hAnsi="Times New Roman"/>
          <w:b w:val="0"/>
          <w:color w:val="0D0D0D"/>
        </w:rPr>
        <w:t>，顯示以科研創新為基礎的生產力持續增加，為支持經濟成長最重要的動力。</w:t>
      </w:r>
    </w:p>
    <w:p w14:paraId="07D1BFC4" w14:textId="77777777" w:rsidR="00052596" w:rsidRDefault="00000000">
      <w:pPr>
        <w:pStyle w:val="k2a"/>
        <w:ind w:left="540" w:hanging="300"/>
        <w:outlineLvl w:val="9"/>
      </w:pPr>
      <w:r>
        <w:rPr>
          <w:rFonts w:ascii="Times New Roman" w:eastAsia="標楷體" w:hAnsi="Times New Roman"/>
          <w:b w:val="0"/>
          <w:color w:val="0D0D0D"/>
        </w:rPr>
        <w:t>－</w:t>
      </w:r>
      <w:r>
        <w:rPr>
          <w:rFonts w:ascii="Times New Roman" w:eastAsia="標楷體" w:hAnsi="Times New Roman"/>
          <w:b w:val="0"/>
          <w:color w:val="0D0D0D"/>
        </w:rPr>
        <w:t>105</w:t>
      </w:r>
      <w:r>
        <w:rPr>
          <w:rFonts w:ascii="Times New Roman" w:eastAsia="標楷體" w:hAnsi="Times New Roman"/>
          <w:b w:val="0"/>
          <w:color w:val="0D0D0D"/>
        </w:rPr>
        <w:t>年失業率</w:t>
      </w:r>
      <w:r>
        <w:rPr>
          <w:rFonts w:ascii="Times New Roman" w:eastAsia="標楷體" w:hAnsi="Times New Roman"/>
          <w:b w:val="0"/>
          <w:color w:val="0D0D0D"/>
        </w:rPr>
        <w:t>3.9%</w:t>
      </w:r>
      <w:r>
        <w:rPr>
          <w:rFonts w:ascii="標楷體" w:eastAsia="標楷體" w:hAnsi="標楷體"/>
          <w:b w:val="0"/>
          <w:color w:val="0D0D0D"/>
        </w:rPr>
        <w:t>(</w:t>
      </w:r>
      <w:r>
        <w:rPr>
          <w:rFonts w:ascii="Times New Roman" w:eastAsia="標楷體" w:hAnsi="Times New Roman"/>
          <w:b w:val="0"/>
          <w:color w:val="0D0D0D"/>
        </w:rPr>
        <w:t>105</w:t>
      </w:r>
      <w:r>
        <w:rPr>
          <w:rFonts w:ascii="Times New Roman" w:eastAsia="標楷體" w:hAnsi="Times New Roman"/>
          <w:b w:val="0"/>
          <w:color w:val="0D0D0D"/>
        </w:rPr>
        <w:t>年就業增加率</w:t>
      </w:r>
      <w:r>
        <w:rPr>
          <w:rFonts w:ascii="Times New Roman" w:eastAsia="標楷體" w:hAnsi="Times New Roman"/>
          <w:b w:val="0"/>
          <w:color w:val="0D0D0D"/>
        </w:rPr>
        <w:t>1.0%</w:t>
      </w:r>
      <w:r>
        <w:rPr>
          <w:rFonts w:ascii="Times New Roman" w:eastAsia="標楷體" w:hAnsi="Times New Roman"/>
          <w:b w:val="0"/>
          <w:color w:val="0D0D0D"/>
        </w:rPr>
        <w:t>，</w:t>
      </w:r>
      <w:r>
        <w:rPr>
          <w:rFonts w:ascii="Times New Roman" w:eastAsia="標楷體" w:hAnsi="Times New Roman"/>
          <w:b w:val="0"/>
          <w:color w:val="0D0D0D"/>
        </w:rPr>
        <w:t>105</w:t>
      </w:r>
      <w:r>
        <w:rPr>
          <w:rFonts w:ascii="Times New Roman" w:eastAsia="標楷體" w:hAnsi="Times New Roman"/>
          <w:b w:val="0"/>
          <w:color w:val="0D0D0D"/>
        </w:rPr>
        <w:t>年勞動力參與率</w:t>
      </w:r>
      <w:r>
        <w:rPr>
          <w:rFonts w:ascii="Times New Roman" w:eastAsia="標楷體" w:hAnsi="Times New Roman"/>
          <w:b w:val="0"/>
          <w:color w:val="0D0D0D"/>
        </w:rPr>
        <w:t>58.7%</w:t>
      </w:r>
      <w:r>
        <w:rPr>
          <w:rFonts w:ascii="標楷體" w:eastAsia="標楷體" w:hAnsi="標楷體"/>
          <w:b w:val="0"/>
          <w:color w:val="0D0D0D"/>
        </w:rPr>
        <w:t>)</w:t>
      </w:r>
      <w:r>
        <w:rPr>
          <w:rFonts w:ascii="Times New Roman" w:eastAsia="標楷體" w:hAnsi="Times New Roman"/>
          <w:b w:val="0"/>
          <w:color w:val="0D0D0D"/>
        </w:rPr>
        <w:t>。</w:t>
      </w:r>
    </w:p>
    <w:p w14:paraId="14B66ECA" w14:textId="77777777" w:rsidR="00052596" w:rsidRDefault="00000000">
      <w:pPr>
        <w:pStyle w:val="k2a"/>
        <w:ind w:left="540" w:hanging="300"/>
        <w:outlineLvl w:val="9"/>
        <w:rPr>
          <w:rFonts w:ascii="Times New Roman" w:eastAsia="標楷體" w:hAnsi="Times New Roman"/>
          <w:b w:val="0"/>
          <w:color w:val="0D0D0D"/>
        </w:rPr>
      </w:pPr>
      <w:r>
        <w:rPr>
          <w:rFonts w:ascii="Times New Roman" w:eastAsia="標楷體" w:hAnsi="Times New Roman"/>
          <w:b w:val="0"/>
          <w:color w:val="0D0D0D"/>
        </w:rPr>
        <w:t>－消費者物價指數上漲率以不超過</w:t>
      </w:r>
      <w:r>
        <w:rPr>
          <w:rFonts w:ascii="Times New Roman" w:eastAsia="標楷體" w:hAnsi="Times New Roman"/>
          <w:b w:val="0"/>
          <w:color w:val="0D0D0D"/>
        </w:rPr>
        <w:t>2.0%</w:t>
      </w:r>
      <w:r>
        <w:rPr>
          <w:rFonts w:ascii="Times New Roman" w:eastAsia="標楷體" w:hAnsi="Times New Roman"/>
          <w:b w:val="0"/>
          <w:color w:val="0D0D0D"/>
        </w:rPr>
        <w:t>為努力目標。</w:t>
      </w:r>
    </w:p>
    <w:p w14:paraId="35C4FD48" w14:textId="77777777" w:rsidR="00052596" w:rsidRDefault="00052596">
      <w:pPr>
        <w:pStyle w:val="line"/>
        <w:rPr>
          <w:color w:val="0D0D0D"/>
        </w:rPr>
      </w:pPr>
    </w:p>
    <w:p w14:paraId="613596B2" w14:textId="77777777" w:rsidR="00052596" w:rsidRDefault="00000000">
      <w:pPr>
        <w:pStyle w:val="k00t16"/>
        <w:outlineLvl w:val="9"/>
        <w:rPr>
          <w:rFonts w:ascii="Times New Roman" w:eastAsia="標楷體" w:hAnsi="Times New Roman"/>
        </w:rPr>
      </w:pPr>
      <w:r>
        <w:rPr>
          <w:rFonts w:ascii="Times New Roman" w:eastAsia="標楷體" w:hAnsi="Times New Roman"/>
        </w:rPr>
        <w:t>參、國家發展政策主軸</w:t>
      </w:r>
    </w:p>
    <w:p w14:paraId="5FE32399" w14:textId="77777777" w:rsidR="00052596" w:rsidRDefault="00052596">
      <w:pPr>
        <w:pStyle w:val="line"/>
        <w:rPr>
          <w:color w:val="0D0D0D"/>
        </w:rPr>
      </w:pPr>
    </w:p>
    <w:p w14:paraId="27D984DE" w14:textId="77777777" w:rsidR="00052596" w:rsidRDefault="00000000">
      <w:pPr>
        <w:pStyle w:val="k02"/>
        <w:ind w:firstLine="576"/>
        <w:rPr>
          <w:rFonts w:ascii="Times New Roman" w:eastAsia="標楷體" w:hAnsi="Times New Roman"/>
          <w:color w:val="0D0D0D"/>
        </w:rPr>
      </w:pPr>
      <w:r>
        <w:rPr>
          <w:rFonts w:ascii="Times New Roman" w:eastAsia="標楷體" w:hAnsi="Times New Roman"/>
          <w:color w:val="0D0D0D"/>
        </w:rPr>
        <w:t>因應國內、外主客觀情勢與挑戰，未來四年政府將秉持「黃金十年　國家願景」揭示之「繁榮、和諧、永續」施政理念，落實推</w:t>
      </w:r>
      <w:r>
        <w:rPr>
          <w:rFonts w:ascii="Times New Roman" w:eastAsia="標楷體" w:hAnsi="Times New Roman"/>
          <w:color w:val="0D0D0D"/>
        </w:rPr>
        <w:lastRenderedPageBreak/>
        <w:t>動「經濟動能推升方案」、「加強推動臺商回臺投資方案」等計畫，全力開展全方位國家建設，加速體制調整與法規鬆綁，提升經濟成長潛力，並使經濟成長更具包容性與永續性，逐步達成黃金十年幸福臺灣之國家願景。</w:t>
      </w:r>
    </w:p>
    <w:p w14:paraId="5ECAFBC8" w14:textId="77777777" w:rsidR="00052596" w:rsidRDefault="00000000">
      <w:pPr>
        <w:pStyle w:val="k1a"/>
        <w:ind w:left="288" w:hanging="288"/>
        <w:outlineLvl w:val="9"/>
        <w:rPr>
          <w:rFonts w:ascii="Times New Roman" w:eastAsia="標楷體" w:hAnsi="Times New Roman"/>
        </w:rPr>
      </w:pPr>
      <w:r>
        <w:rPr>
          <w:rFonts w:ascii="Times New Roman" w:eastAsia="標楷體" w:hAnsi="Times New Roman"/>
        </w:rPr>
        <w:t>一、全方位建設－落實「黃金十年</w:t>
      </w:r>
      <w:r>
        <w:rPr>
          <w:rFonts w:ascii="Times New Roman" w:eastAsia="標楷體" w:hAnsi="Times New Roman"/>
        </w:rPr>
        <w:t xml:space="preserve"> </w:t>
      </w:r>
      <w:r>
        <w:rPr>
          <w:rFonts w:ascii="Times New Roman" w:eastAsia="標楷體" w:hAnsi="Times New Roman"/>
        </w:rPr>
        <w:t>國家願景」</w:t>
      </w:r>
    </w:p>
    <w:p w14:paraId="2C2A1E45" w14:textId="77777777" w:rsidR="00052596" w:rsidRDefault="00000000">
      <w:pPr>
        <w:pStyle w:val="k2a"/>
        <w:ind w:left="817" w:hanging="577"/>
        <w:outlineLvl w:val="9"/>
      </w:pPr>
      <w:r>
        <w:rPr>
          <w:rFonts w:ascii="標楷體" w:eastAsia="標楷體" w:hAnsi="標楷體"/>
        </w:rPr>
        <w:t>(一)</w:t>
      </w:r>
      <w:r>
        <w:rPr>
          <w:rFonts w:ascii="Times New Roman" w:eastAsia="標楷體" w:hAnsi="Times New Roman"/>
        </w:rPr>
        <w:t>活力經濟</w:t>
      </w:r>
    </w:p>
    <w:p w14:paraId="66D80525"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1.</w:t>
      </w:r>
      <w:r>
        <w:rPr>
          <w:rFonts w:ascii="Times New Roman" w:eastAsia="標楷體" w:hAnsi="Times New Roman"/>
          <w:b/>
          <w:color w:val="800000"/>
        </w:rPr>
        <w:t>開放布局</w:t>
      </w:r>
    </w:p>
    <w:p w14:paraId="084A529B"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積極洽簽經貿協議：推展對外洽簽自由貿易協定</w:t>
      </w:r>
      <w:r>
        <w:rPr>
          <w:rFonts w:ascii="標楷體" w:eastAsia="標楷體" w:hAnsi="標楷體"/>
          <w:color w:val="0D0D0D"/>
        </w:rPr>
        <w:t>(</w:t>
      </w:r>
      <w:r>
        <w:rPr>
          <w:rFonts w:ascii="Times New Roman" w:eastAsia="標楷體" w:hAnsi="Times New Roman"/>
          <w:color w:val="0D0D0D"/>
        </w:rPr>
        <w:t>FTA</w:t>
      </w:r>
      <w:r>
        <w:rPr>
          <w:rFonts w:ascii="標楷體" w:eastAsia="標楷體" w:hAnsi="標楷體"/>
          <w:color w:val="0D0D0D"/>
        </w:rPr>
        <w:t>)</w:t>
      </w:r>
      <w:r>
        <w:rPr>
          <w:rFonts w:ascii="Times New Roman" w:eastAsia="標楷體" w:hAnsi="Times New Roman"/>
          <w:color w:val="0D0D0D"/>
        </w:rPr>
        <w:t>/</w:t>
      </w:r>
      <w:r>
        <w:rPr>
          <w:rFonts w:ascii="Times New Roman" w:eastAsia="標楷體" w:hAnsi="Times New Roman"/>
          <w:color w:val="0D0D0D"/>
        </w:rPr>
        <w:t>經濟合作協定</w:t>
      </w:r>
      <w:r>
        <w:rPr>
          <w:rFonts w:ascii="標楷體" w:eastAsia="標楷體" w:hAnsi="標楷體"/>
          <w:color w:val="0D0D0D"/>
        </w:rPr>
        <w:t>(</w:t>
      </w:r>
      <w:r>
        <w:rPr>
          <w:rFonts w:ascii="Times New Roman" w:eastAsia="標楷體" w:hAnsi="Times New Roman"/>
          <w:color w:val="0D0D0D"/>
        </w:rPr>
        <w:t>ECA</w:t>
      </w:r>
      <w:r>
        <w:rPr>
          <w:rFonts w:ascii="標楷體" w:eastAsia="標楷體" w:hAnsi="標楷體"/>
          <w:color w:val="0D0D0D"/>
        </w:rPr>
        <w:t>)</w:t>
      </w:r>
      <w:r>
        <w:rPr>
          <w:rFonts w:ascii="Times New Roman" w:eastAsia="標楷體" w:hAnsi="Times New Roman"/>
          <w:color w:val="0D0D0D"/>
        </w:rPr>
        <w:t>，落實「壯大臺灣、連結亞太、布局全球」策略，期於</w:t>
      </w:r>
      <w:r>
        <w:rPr>
          <w:rFonts w:ascii="Times New Roman" w:eastAsia="標楷體" w:hAnsi="Times New Roman"/>
          <w:color w:val="0D0D0D"/>
        </w:rPr>
        <w:t>105</w:t>
      </w:r>
      <w:r>
        <w:rPr>
          <w:rFonts w:ascii="Times New Roman" w:eastAsia="標楷體" w:hAnsi="Times New Roman"/>
          <w:color w:val="0D0D0D"/>
        </w:rPr>
        <w:t>年達成我與</w:t>
      </w:r>
      <w:r>
        <w:rPr>
          <w:rFonts w:ascii="Times New Roman" w:eastAsia="標楷體" w:hAnsi="Times New Roman"/>
          <w:color w:val="0D0D0D"/>
        </w:rPr>
        <w:t>FTA/ECA</w:t>
      </w:r>
      <w:r>
        <w:rPr>
          <w:rFonts w:ascii="Times New Roman" w:eastAsia="標楷體" w:hAnsi="Times New Roman"/>
          <w:color w:val="0D0D0D"/>
        </w:rPr>
        <w:t>簽署國的貿易額占我對外貿易總額</w:t>
      </w:r>
      <w:r>
        <w:rPr>
          <w:rFonts w:ascii="Times New Roman" w:eastAsia="標楷體" w:hAnsi="Times New Roman"/>
          <w:color w:val="0D0D0D"/>
        </w:rPr>
        <w:t>5</w:t>
      </w:r>
      <w:r>
        <w:rPr>
          <w:rFonts w:ascii="Times New Roman" w:eastAsia="標楷體" w:hAnsi="Times New Roman"/>
          <w:color w:val="0D0D0D"/>
        </w:rPr>
        <w:t>成。</w:t>
      </w:r>
    </w:p>
    <w:p w14:paraId="264FC8F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推動加入跨太平洋夥伴協定</w:t>
      </w:r>
      <w:r>
        <w:rPr>
          <w:rFonts w:ascii="標楷體" w:eastAsia="標楷體" w:hAnsi="標楷體"/>
          <w:color w:val="0D0D0D"/>
        </w:rPr>
        <w:t>(</w:t>
      </w:r>
      <w:r>
        <w:rPr>
          <w:rFonts w:ascii="Times New Roman" w:eastAsia="標楷體" w:hAnsi="Times New Roman"/>
          <w:color w:val="0D0D0D"/>
        </w:rPr>
        <w:t>TPP</w:t>
      </w:r>
      <w:r>
        <w:rPr>
          <w:rFonts w:ascii="標楷體" w:eastAsia="標楷體" w:hAnsi="標楷體"/>
          <w:color w:val="0D0D0D"/>
        </w:rPr>
        <w:t>)</w:t>
      </w:r>
      <w:r>
        <w:rPr>
          <w:rFonts w:ascii="Times New Roman" w:eastAsia="標楷體" w:hAnsi="Times New Roman"/>
          <w:color w:val="0D0D0D"/>
        </w:rPr>
        <w:t>：規劃產業因應市場開放之中、長期調整方案，推動「自由經濟示範區」，逐步創造加入</w:t>
      </w:r>
      <w:r>
        <w:rPr>
          <w:rFonts w:ascii="Times New Roman" w:eastAsia="標楷體" w:hAnsi="Times New Roman"/>
          <w:color w:val="0D0D0D"/>
        </w:rPr>
        <w:t>TPP</w:t>
      </w:r>
      <w:r>
        <w:rPr>
          <w:rFonts w:ascii="Times New Roman" w:eastAsia="標楷體" w:hAnsi="Times New Roman"/>
          <w:color w:val="0D0D0D"/>
        </w:rPr>
        <w:t>的有利條件。</w:t>
      </w:r>
    </w:p>
    <w:p w14:paraId="5DDCAE13"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全力爭取後</w:t>
      </w:r>
      <w:r>
        <w:rPr>
          <w:rFonts w:ascii="Times New Roman" w:eastAsia="標楷體" w:hAnsi="Times New Roman"/>
          <w:color w:val="0D0D0D"/>
        </w:rPr>
        <w:t>ECFA</w:t>
      </w:r>
      <w:r>
        <w:rPr>
          <w:rFonts w:ascii="Times New Roman" w:eastAsia="標楷體" w:hAnsi="Times New Roman"/>
          <w:color w:val="0D0D0D"/>
        </w:rPr>
        <w:t>商機：輔導物流業朝規模化與利基型發展；積極推動與國際標準串接；發展兩岸航線網絡，並打造海峽兩岸快捷走廊，俾利兩岸產業跨境合作。</w:t>
      </w:r>
    </w:p>
    <w:p w14:paraId="760EF7A6"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加強吸引外資及人才：檢討放寬外人投資法規、完成「僑外投資負面表列項目」檢討及修正「外國人投資條例」，由現行事前許可制改為一定範圍得採事後申報制；檢討、修正相關規定，吸引優秀外籍專業人士來臺工作及長駐。</w:t>
      </w:r>
    </w:p>
    <w:p w14:paraId="373F98F6"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2.</w:t>
      </w:r>
      <w:r>
        <w:rPr>
          <w:rFonts w:ascii="Times New Roman" w:eastAsia="標楷體" w:hAnsi="Times New Roman"/>
          <w:b/>
          <w:color w:val="800000"/>
        </w:rPr>
        <w:t>科技創新</w:t>
      </w:r>
    </w:p>
    <w:p w14:paraId="1DDBE05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強化科技決策治理機制：發揮全國科技會議與國家科學技術發展</w:t>
      </w:r>
      <w:r>
        <w:rPr>
          <w:rFonts w:ascii="Times New Roman" w:eastAsia="標楷體" w:hAnsi="Times New Roman"/>
          <w:color w:val="0D0D0D"/>
        </w:rPr>
        <w:t>4</w:t>
      </w:r>
      <w:r>
        <w:rPr>
          <w:rFonts w:ascii="Times New Roman" w:eastAsia="標楷體" w:hAnsi="Times New Roman"/>
          <w:color w:val="0D0D0D"/>
        </w:rPr>
        <w:t>年計畫功能，提升科技預算分配之透明性、公平性，並強化與政策之有效連結。</w:t>
      </w:r>
    </w:p>
    <w:p w14:paraId="173B6F89"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提升研發價值效能：推動產學合資型創新研發中心，強化國家型科技計畫效能，並由中央與地方共同推動「科技研發創新與價值創造之運作機制」，增進研發成果產業化效益。</w:t>
      </w:r>
    </w:p>
    <w:p w14:paraId="5E329822" w14:textId="77777777" w:rsidR="00052596" w:rsidRDefault="00000000">
      <w:pPr>
        <w:pStyle w:val="k4a"/>
        <w:ind w:left="1536" w:hanging="432"/>
        <w:outlineLvl w:val="9"/>
      </w:pPr>
      <w:r>
        <w:rPr>
          <w:rFonts w:ascii="標楷體" w:eastAsia="標楷體" w:hAnsi="標楷體"/>
          <w:color w:val="0D0D0D"/>
        </w:rPr>
        <w:lastRenderedPageBreak/>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深化關鍵技術研發：推動「深耕工業基礎技術專案計畫」，發展智慧科技與服務創新；篩選高附加價值關鍵產品，鼓勵發展終端產品市場應用及系統整合。</w:t>
      </w:r>
    </w:p>
    <w:p w14:paraId="5603477D"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3.</w:t>
      </w:r>
      <w:r>
        <w:rPr>
          <w:rFonts w:ascii="Times New Roman" w:eastAsia="標楷體" w:hAnsi="Times New Roman"/>
          <w:b/>
          <w:color w:val="800000"/>
        </w:rPr>
        <w:t>樂活農業</w:t>
      </w:r>
    </w:p>
    <w:p w14:paraId="56DA58E8"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提升農業競爭力：推動農業資訊雲端服務，結合綠能、環控與資訊等現代化科技，發展跨域整合及友善環境生產模式，設立農業科技研究院，推動農業科技創新研發。</w:t>
      </w:r>
    </w:p>
    <w:p w14:paraId="11919599"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推動整合性加值發展：調整農業結構，鼓勵老年農民退休，實施離農獎勵；推動小地主大佃農，加速引進青年農民，促進農業勞力結構年輕化，推動農村再生跨域合作，強化資源整合。</w:t>
      </w:r>
    </w:p>
    <w:p w14:paraId="1924D5D7"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確保糧食安全：調整農田耕作制度，建構多元糧食安全體系，調整耕作制度活化農地，提高國產糧食自給率；強化農產品安全管理，建立國產牛肉追溯制度。</w:t>
      </w:r>
    </w:p>
    <w:p w14:paraId="352C68FB"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活化農業資源利用：於高鐵沿線地層下陷較為嚴重區域，透過「新技術、新農民、新產業」，打造「節水、節能」的農業黃金廊道。</w:t>
      </w:r>
    </w:p>
    <w:p w14:paraId="03C430CA"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4.</w:t>
      </w:r>
      <w:r>
        <w:rPr>
          <w:rFonts w:ascii="Times New Roman" w:eastAsia="標楷體" w:hAnsi="Times New Roman"/>
          <w:b/>
          <w:color w:val="800000"/>
        </w:rPr>
        <w:t>結構調整</w:t>
      </w:r>
    </w:p>
    <w:p w14:paraId="1890736D"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落實產業再造：積極推動「臺灣產業結構優化－三業四化</w:t>
      </w:r>
      <w:r>
        <w:rPr>
          <w:rFonts w:ascii="標楷體" w:eastAsia="標楷體" w:hAnsi="標楷體"/>
          <w:color w:val="0D0D0D"/>
        </w:rPr>
        <w:t>(</w:t>
      </w:r>
      <w:r>
        <w:rPr>
          <w:rFonts w:ascii="Times New Roman" w:eastAsia="標楷體" w:hAnsi="Times New Roman"/>
          <w:color w:val="0D0D0D"/>
        </w:rPr>
        <w:t>製造業服務化、服務業科技化及國際化、傳統產業特色化</w:t>
      </w:r>
      <w:r>
        <w:rPr>
          <w:rFonts w:ascii="標楷體" w:eastAsia="標楷體" w:hAnsi="標楷體"/>
          <w:color w:val="0D0D0D"/>
        </w:rPr>
        <w:t>)</w:t>
      </w:r>
      <w:r>
        <w:rPr>
          <w:rFonts w:ascii="Times New Roman" w:eastAsia="標楷體" w:hAnsi="Times New Roman"/>
          <w:color w:val="0D0D0D"/>
        </w:rPr>
        <w:t>行動計畫」，強化產業技術創新能力，提升產品附加價值。</w:t>
      </w:r>
    </w:p>
    <w:p w14:paraId="78A8DF5B"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優化中小企業發展環境：積極落實「推動中堅企業躍升計畫」；整合中小企業財務融通機制，全方位輔導中小企業，強化其經營能力；建構中小企業創業育成平臺，提升中小企業科技資訊應用能力，促進中小企業升級轉型。</w:t>
      </w:r>
    </w:p>
    <w:p w14:paraId="018DA03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促進投資、擴大內需：塑造優質之投資經營環境，吸引民間投資加碼；持續推動全球招商計畫，提供來臺投資</w:t>
      </w:r>
      <w:r>
        <w:rPr>
          <w:rFonts w:ascii="Times New Roman" w:eastAsia="標楷體" w:hAnsi="Times New Roman"/>
          <w:color w:val="0D0D0D"/>
        </w:rPr>
        <w:lastRenderedPageBreak/>
        <w:t>各階段所需之全方位投資服務；落實「加強推動臺商回臺投資方案」，吸引臺商回臺投資。</w:t>
      </w:r>
    </w:p>
    <w:p w14:paraId="314754A3"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加速貿易多元化：積極推動洽簽自由貿易協定或經濟合作協定，加速融入區域整合；維護我國經貿地位及利益；協助企業開拓新興市場商機及布局全球，促使臺灣成為全球企業進出亞太市場最佳門戶。</w:t>
      </w:r>
    </w:p>
    <w:p w14:paraId="1886CD15" w14:textId="77777777" w:rsidR="00052596" w:rsidRDefault="00000000">
      <w:pPr>
        <w:pStyle w:val="k3a"/>
        <w:ind w:left="1128" w:hanging="288"/>
        <w:outlineLvl w:val="9"/>
      </w:pPr>
      <w:r>
        <w:rPr>
          <w:rFonts w:ascii="Times New Roman" w:eastAsia="標楷體" w:hAnsi="Times New Roman"/>
          <w:b/>
          <w:color w:val="800000"/>
        </w:rPr>
        <w:t>5.</w:t>
      </w:r>
      <w:r>
        <w:rPr>
          <w:rFonts w:ascii="Times New Roman" w:eastAsia="標楷體" w:hAnsi="Times New Roman"/>
          <w:b/>
          <w:color w:val="800000"/>
        </w:rPr>
        <w:t>促進就業</w:t>
      </w:r>
    </w:p>
    <w:p w14:paraId="067651C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促進人力資源有效運用：強化關鍵人才培訓，培育產業需求人才；加強產學合作，推動「縮短學訓考用落差方案」，強化產學訓之銜接；整合推動職能基準與能力鑑定，建構優良人才培訓環境。</w:t>
      </w:r>
    </w:p>
    <w:p w14:paraId="042BB811"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創造及穩定勞工就業：促進民間投資，帶動區域產業發展，增加在地就業機會；加強就業媒合服務、辦理多元職訓課程，強化專業職能，提升就業競爭力；推動就業融合計畫與運用多元就業開發方案，提升身心障礙者及特定對象就業機會。</w:t>
      </w:r>
    </w:p>
    <w:p w14:paraId="1C411691"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維護勞工權益：定期檢討基本工資、保障勞工基本生活；縮短法定工時，推動週休二日制；落實工作平等權、營造友善職場，強化勞資協商與工作場所合作制度。</w:t>
      </w:r>
    </w:p>
    <w:p w14:paraId="080B8538"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6.</w:t>
      </w:r>
      <w:r>
        <w:rPr>
          <w:rFonts w:ascii="Times New Roman" w:eastAsia="標楷體" w:hAnsi="Times New Roman"/>
          <w:b/>
          <w:color w:val="800000"/>
        </w:rPr>
        <w:t>穩定物價</w:t>
      </w:r>
    </w:p>
    <w:p w14:paraId="3D026A9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適時採行妥適的貨幣、信用及外匯政策：靈活採行公開市場操作、貼放利率政策、準備金政策及其他的貨幣政策工具，維持銀行體系準備部位及市場利率於適當水準，俾達成物價與金融穩定。</w:t>
      </w:r>
    </w:p>
    <w:p w14:paraId="20BF9EED"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建構糧食、原油及重要原物料之安全供應機制：活化利用每年兩期作休耕農地，鼓勵種植進口替代、產銷無虞作物，確保糧食潛在供應能力。掌握國際糧食與大宗物資資訊，分散大宗物資進口來源，降低進口成本。有效掌握油源並維持合理安全存量。</w:t>
      </w:r>
    </w:p>
    <w:p w14:paraId="72409C26" w14:textId="77777777" w:rsidR="00052596" w:rsidRDefault="00000000">
      <w:pPr>
        <w:pStyle w:val="k4a"/>
        <w:ind w:left="1536" w:hanging="432"/>
        <w:outlineLvl w:val="9"/>
      </w:pPr>
      <w:r>
        <w:rPr>
          <w:rFonts w:ascii="標楷體" w:eastAsia="標楷體" w:hAnsi="標楷體"/>
          <w:color w:val="0D0D0D"/>
        </w:rPr>
        <w:lastRenderedPageBreak/>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加強查緝囤積、哄抬：強化基層跨機關合作查緝囤積商品、哄抬物價之機制；關注國內重要民生物資市況，適時辦理公平交易法各項宣傳活動，以收預先防範違法之功效，維護交易秩序。</w:t>
      </w:r>
    </w:p>
    <w:p w14:paraId="33B34488" w14:textId="77777777" w:rsidR="00052596" w:rsidRDefault="00000000">
      <w:pPr>
        <w:pStyle w:val="k2a"/>
        <w:ind w:left="817" w:hanging="577"/>
        <w:outlineLvl w:val="9"/>
      </w:pPr>
      <w:r>
        <w:rPr>
          <w:rFonts w:ascii="標楷體" w:eastAsia="標楷體" w:hAnsi="標楷體"/>
        </w:rPr>
        <w:t>(</w:t>
      </w:r>
      <w:r>
        <w:rPr>
          <w:rFonts w:ascii="Times New Roman" w:eastAsia="標楷體" w:hAnsi="Times New Roman"/>
        </w:rPr>
        <w:t>二</w:t>
      </w:r>
      <w:r>
        <w:rPr>
          <w:rFonts w:ascii="標楷體" w:eastAsia="標楷體" w:hAnsi="標楷體"/>
        </w:rPr>
        <w:t>)</w:t>
      </w:r>
      <w:r>
        <w:rPr>
          <w:rFonts w:ascii="Times New Roman" w:eastAsia="標楷體" w:hAnsi="Times New Roman"/>
        </w:rPr>
        <w:t>公義社會</w:t>
      </w:r>
    </w:p>
    <w:p w14:paraId="7F58F071"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1.</w:t>
      </w:r>
      <w:r>
        <w:rPr>
          <w:rFonts w:ascii="Times New Roman" w:eastAsia="標楷體" w:hAnsi="Times New Roman"/>
          <w:b/>
          <w:color w:val="800000"/>
        </w:rPr>
        <w:t>均富共享</w:t>
      </w:r>
    </w:p>
    <w:p w14:paraId="120D137E"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帶動民間薪資成長：加速全球招商，吸引投資，並擴大就業機會；落實區域均衡，推動七大區域生活圈計畫、「都市更新產業行動計畫」，期於</w:t>
      </w:r>
      <w:r>
        <w:rPr>
          <w:rFonts w:ascii="Times New Roman" w:eastAsia="標楷體" w:hAnsi="Times New Roman"/>
          <w:color w:val="0D0D0D"/>
        </w:rPr>
        <w:t>4</w:t>
      </w:r>
      <w:r>
        <w:rPr>
          <w:rFonts w:ascii="Times New Roman" w:eastAsia="標楷體" w:hAnsi="Times New Roman"/>
          <w:color w:val="0D0D0D"/>
        </w:rPr>
        <w:t>年內推動形塑都市更新產業鏈；透過加強農業人力培育、原住民就業服務、發展地方特色產業，促進在地就業。</w:t>
      </w:r>
    </w:p>
    <w:p w14:paraId="1AB186BE"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擴大弱勢照顧：落實社會救助新制，協助弱勢民眾自立脫貧，並透過加強社會救助通報機制，完善社會安全網；修訂「特殊境遇家庭扶助條例」，擴大扶助特殊境遇家庭；辦理「低收入戶及中低收入戶就業促進實施計畫」，提供多元化職業訓練，提高弱勢家庭工作機會。</w:t>
      </w:r>
    </w:p>
    <w:p w14:paraId="278AE2D1"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縮小所得差距：積極推動租稅改革，減輕中低所得者及薪資所得者租稅負擔，並提升高所得者租稅負擔，以強化租稅移轉效果。</w:t>
      </w:r>
    </w:p>
    <w:p w14:paraId="162C43D2" w14:textId="77777777" w:rsidR="00052596" w:rsidRDefault="00000000">
      <w:pPr>
        <w:pStyle w:val="k4a"/>
        <w:ind w:left="1536" w:hanging="432"/>
        <w:outlineLvl w:val="9"/>
      </w:pPr>
      <w:r>
        <w:rPr>
          <w:rFonts w:ascii="標楷體" w:eastAsia="標楷體" w:hAnsi="標楷體"/>
        </w:rPr>
        <w:t>(</w:t>
      </w:r>
      <w:r>
        <w:rPr>
          <w:rFonts w:ascii="Times New Roman" w:eastAsia="標楷體" w:hAnsi="Times New Roman"/>
        </w:rPr>
        <w:t>4</w:t>
      </w:r>
      <w:r>
        <w:rPr>
          <w:rFonts w:ascii="標楷體" w:eastAsia="標楷體" w:hAnsi="標楷體"/>
        </w:rPr>
        <w:t>)</w:t>
      </w:r>
      <w:r>
        <w:rPr>
          <w:rFonts w:ascii="Times New Roman" w:eastAsia="標楷體" w:hAnsi="Times New Roman"/>
        </w:rPr>
        <w:t>規劃推動年金制度改革：建立永續年金財務制度，以支應未來高齡化社會所需。</w:t>
      </w:r>
    </w:p>
    <w:p w14:paraId="3B32853D"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2.</w:t>
      </w:r>
      <w:r>
        <w:rPr>
          <w:rFonts w:ascii="Times New Roman" w:eastAsia="標楷體" w:hAnsi="Times New Roman"/>
          <w:b/>
          <w:color w:val="800000"/>
        </w:rPr>
        <w:t>平安健康</w:t>
      </w:r>
    </w:p>
    <w:p w14:paraId="1C2E469C"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保障民眾就醫：落實健保改革，加強財務及支付制度改革，建立永續健保制度；合理配置醫療資源，強化偏遠地區及弱勢群體健康照護；精進醫療照護體系，減緩專科醫生科別失衡問題，提供人民完善之醫療照護服務。</w:t>
      </w:r>
    </w:p>
    <w:p w14:paraId="36579328"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推動健康生活：建置多元化友善運動休閒環境，普及全民運動；推動菸害防制、癌症防治等工作；落實生育及婦幼保健，辦理生育風險救濟試辦計畫。</w:t>
      </w:r>
    </w:p>
    <w:p w14:paraId="58B5401E"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打造安康環境：建置完善國家防疫網及食品藥物管理機</w:t>
      </w:r>
      <w:r>
        <w:rPr>
          <w:rFonts w:ascii="Times New Roman" w:eastAsia="標楷體" w:hAnsi="Times New Roman"/>
          <w:color w:val="0D0D0D"/>
        </w:rPr>
        <w:lastRenderedPageBreak/>
        <w:t>制，確保食品、藥物及防疫安全。</w:t>
      </w:r>
    </w:p>
    <w:p w14:paraId="3C69AFE4"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spacing w:val="0"/>
        </w:rPr>
        <w:t>強化社會治安：持續推動多元預防犯罪方案，加強檢肅竊盜及防制詐騙犯罪，提升肅槍緝毒及掃蕩黑道幫派成效。</w:t>
      </w:r>
    </w:p>
    <w:p w14:paraId="3D8D945F"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3.</w:t>
      </w:r>
      <w:r>
        <w:rPr>
          <w:rFonts w:ascii="Times New Roman" w:eastAsia="標楷體" w:hAnsi="Times New Roman"/>
          <w:b/>
          <w:color w:val="800000"/>
        </w:rPr>
        <w:t>扶幼護老</w:t>
      </w:r>
    </w:p>
    <w:p w14:paraId="7B81D27B" w14:textId="77777777" w:rsidR="00052596" w:rsidRDefault="00000000">
      <w:pPr>
        <w:pStyle w:val="k4a"/>
        <w:ind w:left="1542" w:hanging="438"/>
        <w:outlineLvl w:val="9"/>
      </w:pPr>
      <w:r>
        <w:rPr>
          <w:rFonts w:ascii="標楷體" w:eastAsia="標楷體" w:hAnsi="標楷體"/>
          <w:color w:val="0D0D0D"/>
          <w:spacing w:val="6"/>
        </w:rPr>
        <w:t>(</w:t>
      </w:r>
      <w:r>
        <w:rPr>
          <w:rFonts w:ascii="Times New Roman" w:eastAsia="標楷體" w:hAnsi="Times New Roman"/>
          <w:color w:val="0D0D0D"/>
          <w:spacing w:val="6"/>
        </w:rPr>
        <w:t>1</w:t>
      </w:r>
      <w:r>
        <w:rPr>
          <w:rFonts w:ascii="標楷體" w:eastAsia="標楷體" w:hAnsi="標楷體"/>
          <w:color w:val="0D0D0D"/>
          <w:spacing w:val="6"/>
        </w:rPr>
        <w:t>)</w:t>
      </w:r>
      <w:r>
        <w:rPr>
          <w:rFonts w:ascii="Times New Roman" w:eastAsia="標楷體" w:hAnsi="Times New Roman"/>
          <w:color w:val="0D0D0D"/>
          <w:spacing w:val="6"/>
        </w:rPr>
        <w:t>建置幼兒教保服務體系：提供多元化且普及性之兒童照顧服務方案，賡續擴大社區保母系統專業服務，推動保母職業登記與管理制度，提升托育品質與功能；研擬</w:t>
      </w:r>
      <w:r>
        <w:rPr>
          <w:rFonts w:ascii="Times New Roman" w:eastAsia="標楷體" w:hAnsi="Times New Roman"/>
          <w:color w:val="0D0D0D"/>
          <w:spacing w:val="6"/>
        </w:rPr>
        <w:t>2</w:t>
      </w:r>
      <w:r>
        <w:rPr>
          <w:rFonts w:ascii="Times New Roman" w:eastAsia="標楷體" w:hAnsi="Times New Roman"/>
          <w:color w:val="0D0D0D"/>
          <w:spacing w:val="6"/>
        </w:rPr>
        <w:t>至</w:t>
      </w:r>
      <w:r>
        <w:rPr>
          <w:rFonts w:ascii="Times New Roman" w:eastAsia="標楷體" w:hAnsi="Times New Roman"/>
          <w:color w:val="0D0D0D"/>
          <w:spacing w:val="6"/>
        </w:rPr>
        <w:t>6</w:t>
      </w:r>
      <w:r>
        <w:rPr>
          <w:rFonts w:ascii="Times New Roman" w:eastAsia="標楷體" w:hAnsi="Times New Roman"/>
          <w:color w:val="0D0D0D"/>
          <w:spacing w:val="6"/>
        </w:rPr>
        <w:t>歲幼兒優質教保服務發展計畫，強化學前教保服務品質。</w:t>
      </w:r>
    </w:p>
    <w:p w14:paraId="3E74ADF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落實長期照護服務：規劃推動長照保險制度，賡續推動長照服務法制化，研訂「長期照護保險法」及相關子法規；建構完善長照服務網絡，將現行長照十年計畫轉銜為長照服務網計畫，建置在地化與可近性的長照服務資源網絡。</w:t>
      </w:r>
    </w:p>
    <w:p w14:paraId="1D420118"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健全身心障礙服務體系：配合「身心障礙者權益保障法」修正，推動無障礙生活環境，提供身心障礙者生活補助、安置服務及各項福利措施。</w:t>
      </w:r>
      <w:r>
        <w:rPr>
          <w:rFonts w:ascii="Times New Roman" w:eastAsia="標楷體" w:hAnsi="Times New Roman"/>
          <w:color w:val="0D0D0D"/>
        </w:rPr>
        <w:t xml:space="preserve"> </w:t>
      </w:r>
    </w:p>
    <w:p w14:paraId="0830C9F1"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4.</w:t>
      </w:r>
      <w:r>
        <w:rPr>
          <w:rFonts w:ascii="Times New Roman" w:eastAsia="標楷體" w:hAnsi="Times New Roman"/>
          <w:b/>
          <w:color w:val="800000"/>
        </w:rPr>
        <w:t>族群和諧</w:t>
      </w:r>
    </w:p>
    <w:p w14:paraId="52BFDC5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保障原住民族自主權：加速推動「原住民族自治法」立法，賡續輔導部落執行「原住民族部落活力計畫」；積極推動「原住民族土地及海域法」立法，並補辦「增劃編原住民保留地」及「原住民保留地權利賦予」等中長程實施計畫。</w:t>
      </w:r>
    </w:p>
    <w:p w14:paraId="2574115A"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尊重各族群多元文化：逐年開辦原住民族「部落學校」</w:t>
      </w:r>
      <w:r>
        <w:rPr>
          <w:rFonts w:ascii="Times New Roman" w:eastAsia="標楷體" w:hAnsi="Times New Roman"/>
          <w:color w:val="0D0D0D"/>
        </w:rPr>
        <w:t>2</w:t>
      </w:r>
      <w:r>
        <w:rPr>
          <w:rFonts w:ascii="Times New Roman" w:eastAsia="標楷體" w:hAnsi="Times New Roman"/>
          <w:color w:val="0D0D0D"/>
        </w:rPr>
        <w:t>至</w:t>
      </w:r>
      <w:r>
        <w:rPr>
          <w:rFonts w:ascii="Times New Roman" w:eastAsia="標楷體" w:hAnsi="Times New Roman"/>
          <w:color w:val="0D0D0D"/>
        </w:rPr>
        <w:t>4</w:t>
      </w:r>
      <w:r>
        <w:rPr>
          <w:rFonts w:ascii="Times New Roman" w:eastAsia="標楷體" w:hAnsi="Times New Roman"/>
          <w:color w:val="0D0D0D"/>
        </w:rPr>
        <w:t>所，落實族群文化教育；推動「客家文化重點發展區」，強化族群文化推廣；辦理原住民族語教材編輯、字詞典數位化，推動客語認證普及化、數位化，振興族群語言發展。</w:t>
      </w:r>
    </w:p>
    <w:p w14:paraId="70CA822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扶植族群特色產業：打造原住民族產業亮點，輔導客家</w:t>
      </w:r>
      <w:r>
        <w:rPr>
          <w:rFonts w:ascii="Times New Roman" w:eastAsia="標楷體" w:hAnsi="Times New Roman"/>
          <w:color w:val="0D0D0D"/>
        </w:rPr>
        <w:lastRenderedPageBreak/>
        <w:t>文化業者通過「</w:t>
      </w:r>
      <w:r>
        <w:rPr>
          <w:rFonts w:ascii="Times New Roman" w:eastAsia="標楷體" w:hAnsi="Times New Roman"/>
          <w:color w:val="0D0D0D"/>
        </w:rPr>
        <w:t>Hakka TAIWAN</w:t>
      </w:r>
      <w:r>
        <w:rPr>
          <w:rFonts w:ascii="Times New Roman" w:eastAsia="標楷體" w:hAnsi="Times New Roman"/>
          <w:color w:val="0D0D0D"/>
        </w:rPr>
        <w:t>」商標認證每年至少達</w:t>
      </w:r>
      <w:r>
        <w:rPr>
          <w:rFonts w:ascii="Times New Roman" w:eastAsia="標楷體" w:hAnsi="Times New Roman"/>
          <w:color w:val="0D0D0D"/>
        </w:rPr>
        <w:t>250</w:t>
      </w:r>
      <w:r>
        <w:rPr>
          <w:rFonts w:ascii="Times New Roman" w:eastAsia="標楷體" w:hAnsi="Times New Roman"/>
          <w:color w:val="0D0D0D"/>
        </w:rPr>
        <w:t>件，推動族群產業文化加值；建置產業資訊平臺，強化產業行銷推廣。</w:t>
      </w:r>
      <w:r>
        <w:rPr>
          <w:rFonts w:ascii="Times New Roman" w:eastAsia="標楷體" w:hAnsi="Times New Roman"/>
          <w:color w:val="0D0D0D"/>
        </w:rPr>
        <w:t xml:space="preserve"> </w:t>
      </w:r>
    </w:p>
    <w:p w14:paraId="23F132C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強化新移民適境照顧：辦理新移民親職教育、外籍配偶成人基本教育、華語補救與母語傳承等課程；全方位建構新移民服務輸送網絡，</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年累積服務達</w:t>
      </w:r>
      <w:r>
        <w:rPr>
          <w:rFonts w:ascii="Times New Roman" w:eastAsia="標楷體" w:hAnsi="Times New Roman"/>
          <w:color w:val="0D0D0D"/>
        </w:rPr>
        <w:t>8</w:t>
      </w:r>
      <w:r>
        <w:rPr>
          <w:rFonts w:ascii="Times New Roman" w:eastAsia="標楷體" w:hAnsi="Times New Roman"/>
          <w:color w:val="0D0D0D"/>
        </w:rPr>
        <w:t>萬人次以上。</w:t>
      </w:r>
    </w:p>
    <w:p w14:paraId="77358668"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5.</w:t>
      </w:r>
      <w:r>
        <w:rPr>
          <w:rFonts w:ascii="Times New Roman" w:eastAsia="標楷體" w:hAnsi="Times New Roman"/>
          <w:b/>
          <w:color w:val="800000"/>
        </w:rPr>
        <w:t>居住正義</w:t>
      </w:r>
    </w:p>
    <w:p w14:paraId="5B7231A0"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提供住宅補貼：推動落實「住宅法」及相關子法；賡續辦理「整合住宅補貼資源實施方案」，以及「青年安心成家方案」</w:t>
      </w:r>
      <w:r>
        <w:rPr>
          <w:rFonts w:ascii="標楷體" w:eastAsia="標楷體" w:hAnsi="標楷體"/>
          <w:color w:val="0D0D0D"/>
        </w:rPr>
        <w:t>(</w:t>
      </w:r>
      <w:r>
        <w:rPr>
          <w:rFonts w:ascii="Times New Roman" w:eastAsia="標楷體" w:hAnsi="Times New Roman"/>
          <w:color w:val="0D0D0D"/>
        </w:rPr>
        <w:t>行政院審議中</w:t>
      </w:r>
      <w:r>
        <w:rPr>
          <w:rFonts w:ascii="標楷體" w:eastAsia="標楷體" w:hAnsi="標楷體"/>
          <w:color w:val="0D0D0D"/>
        </w:rPr>
        <w:t>)</w:t>
      </w:r>
      <w:r>
        <w:rPr>
          <w:rFonts w:ascii="Times New Roman" w:eastAsia="標楷體" w:hAnsi="Times New Roman"/>
          <w:color w:val="0D0D0D"/>
        </w:rPr>
        <w:t>；檢討不動產相關稅制，落實漲價歸公，合理調整公告現值、公告地價及房屋評定現值。</w:t>
      </w:r>
    </w:p>
    <w:p w14:paraId="46E6AC0E"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平衡都會地區住宅供需：興建機場捷運</w:t>
      </w:r>
      <w:r>
        <w:rPr>
          <w:rFonts w:ascii="Times New Roman" w:eastAsia="標楷體" w:hAnsi="Times New Roman"/>
          <w:color w:val="0D0D0D"/>
        </w:rPr>
        <w:t>A7</w:t>
      </w:r>
      <w:r>
        <w:rPr>
          <w:rFonts w:ascii="Times New Roman" w:eastAsia="標楷體" w:hAnsi="Times New Roman"/>
          <w:color w:val="0D0D0D"/>
        </w:rPr>
        <w:t>站合宜住宅及板橋浮洲合宜住宅；推動興辦臺北市、新北市社會住宅</w:t>
      </w:r>
      <w:r>
        <w:rPr>
          <w:rFonts w:ascii="Times New Roman" w:eastAsia="標楷體" w:hAnsi="Times New Roman"/>
          <w:color w:val="0D0D0D"/>
        </w:rPr>
        <w:t>5</w:t>
      </w:r>
      <w:r>
        <w:rPr>
          <w:rFonts w:ascii="Times New Roman" w:eastAsia="標楷體" w:hAnsi="Times New Roman"/>
          <w:color w:val="0D0D0D"/>
        </w:rPr>
        <w:t>處；針對房價偏高地區可建而未建之閒置或囤積土地，推動限期建築及課徵空地稅。</w:t>
      </w:r>
    </w:p>
    <w:p w14:paraId="1A636244"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健全不動產交易資訊：賡續推動不動產交易實價登錄制度；規劃制定不動產租賃服務產業經營管理制度及建置不動產租賃知識庫；補助有急迫需求之直轄市或縣</w:t>
      </w:r>
      <w:r>
        <w:rPr>
          <w:rFonts w:ascii="標楷體" w:eastAsia="標楷體" w:hAnsi="標楷體"/>
          <w:color w:val="0D0D0D"/>
        </w:rPr>
        <w:t>(市)</w:t>
      </w:r>
      <w:r>
        <w:rPr>
          <w:rFonts w:ascii="Times New Roman" w:eastAsia="標楷體" w:hAnsi="Times New Roman"/>
          <w:color w:val="0D0D0D"/>
        </w:rPr>
        <w:t>政府推動示範性租屋服務平臺，獎勵民間公司或非營利組織成立租屋服務平臺。</w:t>
      </w:r>
    </w:p>
    <w:p w14:paraId="71BD819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實現土地徵收市價補償：每</w:t>
      </w:r>
      <w:r>
        <w:rPr>
          <w:rFonts w:ascii="Times New Roman" w:eastAsia="標楷體" w:hAnsi="Times New Roman"/>
          <w:color w:val="0D0D0D"/>
        </w:rPr>
        <w:t>6</w:t>
      </w:r>
      <w:r>
        <w:rPr>
          <w:rFonts w:ascii="Times New Roman" w:eastAsia="標楷體" w:hAnsi="Times New Roman"/>
          <w:color w:val="0D0D0D"/>
        </w:rPr>
        <w:t>個月評定一次被徵收地區之正常交易價格，確保土地徵收符合公益性及必要性，並加強優良農地保護。</w:t>
      </w:r>
    </w:p>
    <w:p w14:paraId="0E22B670" w14:textId="77777777" w:rsidR="00052596" w:rsidRDefault="00000000">
      <w:pPr>
        <w:pStyle w:val="k4a"/>
        <w:ind w:left="1551" w:hanging="447"/>
        <w:outlineLvl w:val="9"/>
      </w:pPr>
      <w:r>
        <w:rPr>
          <w:rFonts w:ascii="標楷體" w:eastAsia="標楷體" w:hAnsi="標楷體"/>
          <w:color w:val="0D0D0D"/>
          <w:spacing w:val="9"/>
        </w:rPr>
        <w:t>(</w:t>
      </w:r>
      <w:r>
        <w:rPr>
          <w:rFonts w:ascii="Times New Roman" w:eastAsia="標楷體" w:hAnsi="Times New Roman"/>
          <w:color w:val="0D0D0D"/>
          <w:spacing w:val="9"/>
        </w:rPr>
        <w:t>5</w:t>
      </w:r>
      <w:r>
        <w:rPr>
          <w:rFonts w:ascii="標楷體" w:eastAsia="標楷體" w:hAnsi="標楷體"/>
          <w:color w:val="0D0D0D"/>
          <w:spacing w:val="9"/>
        </w:rPr>
        <w:t>)</w:t>
      </w:r>
      <w:r>
        <w:rPr>
          <w:rFonts w:ascii="Times New Roman" w:eastAsia="標楷體" w:hAnsi="Times New Roman"/>
          <w:color w:val="0D0D0D"/>
          <w:spacing w:val="9"/>
        </w:rPr>
        <w:t>營造城鎮新風貌：推動跨域整合及主題型縫補串連等計畫，推動「景觀法」立法，加速開發淡海新市鎮；持續推動都市更新；補助地方政府辦理部落文化語彙及部落文化風貌計畫，推動原住民族部落遷建；協助地方政府充實及活化文化設施，輔導村落發掘在地生活美學空</w:t>
      </w:r>
      <w:r>
        <w:rPr>
          <w:rFonts w:ascii="Times New Roman" w:eastAsia="標楷體" w:hAnsi="Times New Roman"/>
          <w:color w:val="0D0D0D"/>
          <w:spacing w:val="9"/>
        </w:rPr>
        <w:lastRenderedPageBreak/>
        <w:t>間。</w:t>
      </w:r>
    </w:p>
    <w:p w14:paraId="64BD9BF6"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6.</w:t>
      </w:r>
      <w:r>
        <w:rPr>
          <w:rFonts w:ascii="Times New Roman" w:eastAsia="標楷體" w:hAnsi="Times New Roman"/>
          <w:b/>
          <w:color w:val="800000"/>
        </w:rPr>
        <w:t>性別平等</w:t>
      </w:r>
    </w:p>
    <w:p w14:paraId="59150BD3"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引領施政融入性別平等價值：推動「性別平等政策綱領」各項具體行動措施，並依「消除對婦女一切形式歧視公約</w:t>
      </w:r>
      <w:r>
        <w:rPr>
          <w:rFonts w:ascii="標楷體" w:eastAsia="標楷體" w:hAnsi="標楷體"/>
          <w:color w:val="0D0D0D"/>
        </w:rPr>
        <w:t>(</w:t>
      </w:r>
      <w:r>
        <w:rPr>
          <w:rFonts w:ascii="Times New Roman" w:eastAsia="標楷體" w:hAnsi="Times New Roman"/>
          <w:color w:val="0D0D0D"/>
        </w:rPr>
        <w:t>CEDAW</w:t>
      </w:r>
      <w:r>
        <w:rPr>
          <w:rFonts w:ascii="標楷體" w:eastAsia="標楷體" w:hAnsi="標楷體"/>
          <w:color w:val="0D0D0D"/>
        </w:rPr>
        <w:t>)</w:t>
      </w:r>
      <w:r>
        <w:rPr>
          <w:rFonts w:ascii="Times New Roman" w:eastAsia="標楷體" w:hAnsi="Times New Roman"/>
          <w:color w:val="0D0D0D"/>
        </w:rPr>
        <w:t>施行法」規定，完成全國法規檢視及編纂國家報告，以及研發性別主流化之各項工具；培力婦女及性別團體等非政府組織參與公共事務及國際活動。</w:t>
      </w:r>
    </w:p>
    <w:p w14:paraId="1773873B"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營造女性幸福環境：強化女性科技運用能力，加強宣導「性別工作平等法」，打造平等友善工作環境及強化企業社會責任，加速建立整合性門診服務。</w:t>
      </w:r>
    </w:p>
    <w:p w14:paraId="46179349"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防範性別暴力：充實性暴力防治工作之本土化知識體系，強化「反性別暴力資源網」，凝聚社會大眾反性別暴力之力量，並建構整合性、可近性、以受害人為中心之保護服務體系，以及推動企業參與反性別暴力。</w:t>
      </w:r>
    </w:p>
    <w:p w14:paraId="117A41D9"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建構性別友善社會：研議推動保障多元性別認同者權益之相關政策措施，獎</w:t>
      </w:r>
      <w:r>
        <w:rPr>
          <w:rFonts w:ascii="標楷體" w:eastAsia="標楷體" w:hAnsi="標楷體"/>
          <w:color w:val="0D0D0D"/>
        </w:rPr>
        <w:t>(</w:t>
      </w:r>
      <w:r>
        <w:rPr>
          <w:rFonts w:ascii="Times New Roman" w:eastAsia="標楷體" w:hAnsi="Times New Roman"/>
          <w:color w:val="0D0D0D"/>
        </w:rPr>
        <w:t>補</w:t>
      </w:r>
      <w:r>
        <w:rPr>
          <w:rFonts w:ascii="標楷體" w:eastAsia="標楷體" w:hAnsi="標楷體"/>
          <w:color w:val="0D0D0D"/>
        </w:rPr>
        <w:t>)</w:t>
      </w:r>
      <w:r>
        <w:rPr>
          <w:rFonts w:ascii="Times New Roman" w:eastAsia="標楷體" w:hAnsi="Times New Roman"/>
          <w:color w:val="0D0D0D"/>
        </w:rPr>
        <w:t>助民間團體、社區開設相關教育課程及活動，並鼓勵媒體製作具性別友善精神的廣電節目。</w:t>
      </w:r>
    </w:p>
    <w:p w14:paraId="1A3CCBA5" w14:textId="77777777" w:rsidR="00052596" w:rsidRDefault="00000000">
      <w:pPr>
        <w:pStyle w:val="k2a"/>
        <w:ind w:left="817" w:hanging="577"/>
        <w:outlineLvl w:val="9"/>
      </w:pPr>
      <w:r>
        <w:rPr>
          <w:rFonts w:ascii="標楷體" w:eastAsia="標楷體" w:hAnsi="標楷體"/>
        </w:rPr>
        <w:t>(三)</w:t>
      </w:r>
      <w:r>
        <w:rPr>
          <w:rFonts w:ascii="Times New Roman" w:eastAsia="標楷體" w:hAnsi="Times New Roman"/>
        </w:rPr>
        <w:t>廉能政府</w:t>
      </w:r>
    </w:p>
    <w:p w14:paraId="295D3A0E"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1.</w:t>
      </w:r>
      <w:r>
        <w:rPr>
          <w:rFonts w:ascii="Times New Roman" w:eastAsia="標楷體" w:hAnsi="Times New Roman"/>
          <w:b/>
          <w:color w:val="800000"/>
        </w:rPr>
        <w:t>廉政革新</w:t>
      </w:r>
    </w:p>
    <w:p w14:paraId="7888FF01"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健全防貪、肅貪機制：執行聯合國反貪腐公約，持續推動「國家廉政建設行動方案」，強化防貪網絡，營造透明課責之公務環境，以提升清廉度與透明度；建立監測貪腐程度及變化的指標工具，落實執行陽光法案，型塑廉政倫理，以確立乾淨政府。</w:t>
      </w:r>
    </w:p>
    <w:p w14:paraId="3AABB3FD"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增進人權保障：定期提出國家人權報告，排除各項人權保障障礙，積極推動人權教育，促使人權保障標準與國際接軌。</w:t>
      </w:r>
    </w:p>
    <w:p w14:paraId="6824B6AB"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落實司法保護：推動「人民觀審制度」，落實司法官評</w:t>
      </w:r>
      <w:r>
        <w:rPr>
          <w:rFonts w:ascii="Times New Roman" w:eastAsia="標楷體" w:hAnsi="Times New Roman"/>
          <w:color w:val="0D0D0D"/>
        </w:rPr>
        <w:lastRenderedPageBreak/>
        <w:t>鑑及淘汰機制，於各地檢署全面建置司法保護中心，健全國際互助法制，建構公正友善司法環境。</w:t>
      </w:r>
    </w:p>
    <w:p w14:paraId="63809C14"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提升檢察效能：研訂防止企業賄賂相關法制，研修犯罪所得沒收規定，加強查緝重大貪瀆案件及查扣不法所得，落實精緻偵查，提升偵查品質及檢察效能，持續推動「檢察機關排怨計畫」，完善刑事補償機制，積極打擊犯罪。</w:t>
      </w:r>
    </w:p>
    <w:p w14:paraId="57F0A2ED"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2.</w:t>
      </w:r>
      <w:r>
        <w:rPr>
          <w:rFonts w:ascii="Times New Roman" w:eastAsia="標楷體" w:hAnsi="Times New Roman"/>
          <w:b/>
          <w:color w:val="800000"/>
        </w:rPr>
        <w:t>效能躍升</w:t>
      </w:r>
    </w:p>
    <w:p w14:paraId="45A73B0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加速行政流程改造：推動組織改造，期於</w:t>
      </w:r>
      <w:r>
        <w:rPr>
          <w:rFonts w:ascii="Times New Roman" w:eastAsia="標楷體" w:hAnsi="Times New Roman"/>
          <w:color w:val="0D0D0D"/>
        </w:rPr>
        <w:t>103</w:t>
      </w:r>
      <w:r>
        <w:rPr>
          <w:rFonts w:ascii="Times New Roman" w:eastAsia="標楷體" w:hAnsi="Times New Roman"/>
          <w:color w:val="0D0D0D"/>
        </w:rPr>
        <w:t>年</w:t>
      </w:r>
      <w:r>
        <w:rPr>
          <w:rFonts w:ascii="Times New Roman" w:eastAsia="標楷體" w:hAnsi="Times New Roman"/>
          <w:color w:val="0D0D0D"/>
        </w:rPr>
        <w:t>12</w:t>
      </w:r>
      <w:r>
        <w:rPr>
          <w:rFonts w:ascii="Times New Roman" w:eastAsia="標楷體" w:hAnsi="Times New Roman"/>
          <w:color w:val="0D0D0D"/>
        </w:rPr>
        <w:t>月</w:t>
      </w:r>
      <w:r>
        <w:rPr>
          <w:rFonts w:ascii="Times New Roman" w:eastAsia="標楷體" w:hAnsi="Times New Roman"/>
          <w:color w:val="0D0D0D"/>
        </w:rPr>
        <w:t>31</w:t>
      </w:r>
      <w:r>
        <w:rPr>
          <w:rFonts w:ascii="Times New Roman" w:eastAsia="標楷體" w:hAnsi="Times New Roman"/>
          <w:color w:val="0D0D0D"/>
        </w:rPr>
        <w:t>日前完成改造作業，以建立靈活、機動的組織體系；推動「健全內部控制實施方案」，落實「依限完成、明確賞罰」原則，督促重大施政依限完成。</w:t>
      </w:r>
    </w:p>
    <w:p w14:paraId="3B8F9E8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落實服務評價機制：推動單一窗口全功能服務及跨機關業務整合；改善業務流程，建立服務評價機制，提供優質服務。</w:t>
      </w:r>
    </w:p>
    <w:p w14:paraId="0FC29DD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深化政府服務效能：持續執行「第四階段電子化政府計畫」</w:t>
      </w:r>
      <w:r>
        <w:rPr>
          <w:rFonts w:ascii="標楷體" w:eastAsia="標楷體" w:hAnsi="標楷體"/>
          <w:color w:val="0D0D0D"/>
        </w:rPr>
        <w:t>(</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w:t>
      </w:r>
      <w:r>
        <w:rPr>
          <w:rFonts w:ascii="標楷體" w:eastAsia="標楷體" w:hAnsi="標楷體"/>
          <w:color w:val="0D0D0D"/>
        </w:rPr>
        <w:t>)</w:t>
      </w:r>
      <w:r>
        <w:rPr>
          <w:rFonts w:ascii="Times New Roman" w:eastAsia="標楷體" w:hAnsi="Times New Roman"/>
          <w:color w:val="0D0D0D"/>
        </w:rPr>
        <w:t>，深化電子化政府便民服務；推動「黃金十年『效能躍升』施政主軸實施計畫」，推動服務品質創新，定期檢視機關執行成效，落實效能躍升目標。</w:t>
      </w:r>
    </w:p>
    <w:p w14:paraId="382DAB9A"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加強法規鬆綁與調適：強化法規檢討平臺功能，持續精進法規品質，建置與國際接軌並具競爭力之法規體制；檢討調適國內財經法規，確保整體經貿利益。</w:t>
      </w:r>
    </w:p>
    <w:p w14:paraId="4B1D07C4" w14:textId="77777777" w:rsidR="00052596" w:rsidRDefault="00000000">
      <w:pPr>
        <w:pStyle w:val="k2a"/>
        <w:ind w:left="817" w:hanging="577"/>
        <w:outlineLvl w:val="9"/>
      </w:pPr>
      <w:r>
        <w:rPr>
          <w:rFonts w:ascii="標楷體" w:eastAsia="標楷體" w:hAnsi="標楷體"/>
        </w:rPr>
        <w:t>(四)</w:t>
      </w:r>
      <w:r>
        <w:rPr>
          <w:rFonts w:ascii="Times New Roman" w:eastAsia="標楷體" w:hAnsi="Times New Roman"/>
        </w:rPr>
        <w:t>優質文教</w:t>
      </w:r>
    </w:p>
    <w:p w14:paraId="33BFB55B"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1.</w:t>
      </w:r>
      <w:r>
        <w:rPr>
          <w:rFonts w:ascii="Times New Roman" w:eastAsia="標楷體" w:hAnsi="Times New Roman"/>
          <w:b/>
          <w:color w:val="800000"/>
        </w:rPr>
        <w:t>文化創意</w:t>
      </w:r>
    </w:p>
    <w:p w14:paraId="5C9D4504"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加強文化傳承及創新：推動專業藝文團體駐鄉服務，舉辦各種藝術展演、行動博物館及文學館列車巡迴村落活動；透過多元活動拓展村落文化服務範圍，加強輔導村落發掘在地美學，提升文化觀光潛力。</w:t>
      </w:r>
    </w:p>
    <w:p w14:paraId="186D85F1"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興建重要藝文空間：完成興建衛武營藝術文化中心、屏</w:t>
      </w:r>
      <w:r>
        <w:rPr>
          <w:rFonts w:ascii="Times New Roman" w:eastAsia="標楷體" w:hAnsi="Times New Roman"/>
          <w:color w:val="0D0D0D"/>
        </w:rPr>
        <w:lastRenderedPageBreak/>
        <w:t>東縣演藝廳、臺中大都會歌劇院、海洋文化及流行音樂中心與北部流行音樂中心、臺灣電影文化中心；推動大故宮計畫，</w:t>
      </w:r>
      <w:r>
        <w:rPr>
          <w:rFonts w:ascii="Times New Roman" w:eastAsia="標楷體" w:hAnsi="Times New Roman"/>
          <w:color w:val="0D0D0D"/>
        </w:rPr>
        <w:t>104</w:t>
      </w:r>
      <w:r>
        <w:rPr>
          <w:rFonts w:ascii="Times New Roman" w:eastAsia="標楷體" w:hAnsi="Times New Roman"/>
          <w:color w:val="0D0D0D"/>
        </w:rPr>
        <w:t>年完成故宮南部院區建設與開館試營運。</w:t>
      </w:r>
    </w:p>
    <w:p w14:paraId="3CB84013"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均衡城鄉文化資源：推廣數位展覽至城、鄉、原鄉、離島舉辦行動巡展；服務弱勢團體，賡續辦理「跨越障礙</w:t>
      </w:r>
      <w:r>
        <w:rPr>
          <w:rFonts w:ascii="新細明體" w:eastAsia="新細明體" w:hAnsi="新細明體" w:cs="新細明體"/>
          <w:color w:val="0D0D0D"/>
        </w:rPr>
        <w:t>‧</w:t>
      </w:r>
      <w:r>
        <w:rPr>
          <w:rFonts w:ascii="Times New Roman" w:eastAsia="標楷體" w:hAnsi="Times New Roman"/>
          <w:color w:val="0D0D0D"/>
        </w:rPr>
        <w:t>欣賞美麗」活動，提供視障者觸接式導覽服務。</w:t>
      </w:r>
    </w:p>
    <w:p w14:paraId="037EE45C"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健全文創產業環境與人才整備：成立文化創意產業發展研究院，強化產業輔導，提升研發及創新能量；強化產業群聚連結，推動核心創作者進駐文創聚落；建置產官學研究合作網絡，育成原創與跨域文創人才。</w:t>
      </w:r>
    </w:p>
    <w:p w14:paraId="360B4D87"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促進文創產業價值產值化：推動文化內容開放</w:t>
      </w:r>
      <w:r>
        <w:rPr>
          <w:rFonts w:ascii="標楷體" w:eastAsia="標楷體" w:hAnsi="標楷體"/>
          <w:color w:val="0D0D0D"/>
        </w:rPr>
        <w:t>(</w:t>
      </w:r>
      <w:r>
        <w:rPr>
          <w:rFonts w:ascii="Times New Roman" w:eastAsia="標楷體" w:hAnsi="Times New Roman"/>
          <w:color w:val="0D0D0D"/>
        </w:rPr>
        <w:t>Open Data</w:t>
      </w:r>
      <w:r>
        <w:rPr>
          <w:rFonts w:ascii="標楷體" w:eastAsia="標楷體" w:hAnsi="標楷體"/>
          <w:color w:val="0D0D0D"/>
        </w:rPr>
        <w:t>)</w:t>
      </w:r>
      <w:r>
        <w:rPr>
          <w:rFonts w:ascii="Times New Roman" w:eastAsia="標楷體" w:hAnsi="Times New Roman"/>
          <w:color w:val="0D0D0D"/>
        </w:rPr>
        <w:t>與加值應用；發展中介服務體系，促進文創內容流通，健全產業鏈發展。</w:t>
      </w:r>
    </w:p>
    <w:p w14:paraId="6AA9FF0B"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2.</w:t>
      </w:r>
      <w:r>
        <w:rPr>
          <w:rFonts w:ascii="Times New Roman" w:eastAsia="標楷體" w:hAnsi="Times New Roman"/>
          <w:b/>
          <w:color w:val="800000"/>
        </w:rPr>
        <w:t>教育革新</w:t>
      </w:r>
    </w:p>
    <w:p w14:paraId="16AA426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實施十二年國民基本教育：逐年擴大免試入學名額比率，分階段實施高中職免學費，推動高中職學校評鑑及優質學校認證；逐年就入學方式進行專業評估，並自</w:t>
      </w:r>
      <w:r>
        <w:rPr>
          <w:rFonts w:ascii="Times New Roman" w:eastAsia="標楷體" w:hAnsi="Times New Roman"/>
          <w:color w:val="0D0D0D"/>
        </w:rPr>
        <w:t>105</w:t>
      </w:r>
      <w:r>
        <w:rPr>
          <w:rFonts w:ascii="Times New Roman" w:eastAsia="標楷體" w:hAnsi="Times New Roman"/>
          <w:color w:val="0D0D0D"/>
        </w:rPr>
        <w:t>年起每</w:t>
      </w:r>
      <w:r>
        <w:rPr>
          <w:rFonts w:ascii="Times New Roman" w:eastAsia="標楷體" w:hAnsi="Times New Roman"/>
          <w:color w:val="0D0D0D"/>
        </w:rPr>
        <w:t>3</w:t>
      </w:r>
      <w:r>
        <w:rPr>
          <w:rFonts w:ascii="Times New Roman" w:eastAsia="標楷體" w:hAnsi="Times New Roman"/>
          <w:color w:val="0D0D0D"/>
        </w:rPr>
        <w:t>年進行一次總檢討。</w:t>
      </w:r>
    </w:p>
    <w:p w14:paraId="1CC166F8"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推動高等教育輸出：執行「高等教育輸出－擴大招收境外學生行動計畫」，精進在臺留學友善環境，強化高等教育優勢行銷，推動全球華語文教育與邁向頂尖大學計畫；鼓勵出國留學，並放寬優秀人才來臺任教，厚植高等教育國際競爭力。</w:t>
      </w:r>
    </w:p>
    <w:p w14:paraId="429808DE"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強化技專校院創新研發：推動第</w:t>
      </w:r>
      <w:r>
        <w:rPr>
          <w:rFonts w:ascii="Times New Roman" w:eastAsia="標楷體" w:hAnsi="Times New Roman"/>
          <w:color w:val="0D0D0D"/>
        </w:rPr>
        <w:t>2</w:t>
      </w:r>
      <w:r>
        <w:rPr>
          <w:rFonts w:ascii="Times New Roman" w:eastAsia="標楷體" w:hAnsi="Times New Roman"/>
          <w:color w:val="0D0D0D"/>
        </w:rPr>
        <w:t>期技職教育再造工程及「發展典範科技大學計畫」，並辦理大專校院就業學程計畫及補助共通核心職能課程；強化學校智財管理機制，提升創新研發競爭力。</w:t>
      </w:r>
    </w:p>
    <w:p w14:paraId="5D98FF2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深耕生涯發展教育：落實國中教學正常化，推動「技藝教育抽離式班級」及「</w:t>
      </w:r>
      <w:r>
        <w:rPr>
          <w:rFonts w:ascii="Times New Roman" w:eastAsia="標楷體" w:hAnsi="Times New Roman"/>
          <w:color w:val="0D0D0D"/>
        </w:rPr>
        <w:t>8</w:t>
      </w:r>
      <w:r>
        <w:rPr>
          <w:rFonts w:ascii="Times New Roman" w:eastAsia="標楷體" w:hAnsi="Times New Roman"/>
          <w:color w:val="0D0D0D"/>
        </w:rPr>
        <w:t>年級社區高職參訪」，提高教師輔導知能，促進學生能力多元發展。</w:t>
      </w:r>
    </w:p>
    <w:p w14:paraId="518107C1" w14:textId="77777777" w:rsidR="00052596" w:rsidRDefault="00000000">
      <w:pPr>
        <w:pStyle w:val="k2a"/>
        <w:ind w:left="817" w:hanging="577"/>
        <w:outlineLvl w:val="9"/>
      </w:pPr>
      <w:r>
        <w:rPr>
          <w:rFonts w:ascii="標楷體" w:eastAsia="標楷體" w:hAnsi="標楷體"/>
        </w:rPr>
        <w:lastRenderedPageBreak/>
        <w:t>(</w:t>
      </w:r>
      <w:r>
        <w:rPr>
          <w:rFonts w:ascii="Times New Roman" w:eastAsia="標楷體" w:hAnsi="Times New Roman"/>
        </w:rPr>
        <w:t>五</w:t>
      </w:r>
      <w:r>
        <w:rPr>
          <w:rFonts w:ascii="標楷體" w:eastAsia="標楷體" w:hAnsi="標楷體"/>
        </w:rPr>
        <w:t>)</w:t>
      </w:r>
      <w:r>
        <w:rPr>
          <w:rFonts w:ascii="Times New Roman" w:eastAsia="標楷體" w:hAnsi="Times New Roman"/>
        </w:rPr>
        <w:t>永續環境</w:t>
      </w:r>
    </w:p>
    <w:p w14:paraId="5E1364BB"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1.</w:t>
      </w:r>
      <w:r>
        <w:rPr>
          <w:rFonts w:ascii="Times New Roman" w:eastAsia="標楷體" w:hAnsi="Times New Roman"/>
          <w:b/>
          <w:color w:val="800000"/>
        </w:rPr>
        <w:t>綠能減碳</w:t>
      </w:r>
    </w:p>
    <w:p w14:paraId="290C502C"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spacing w:val="3"/>
        </w:rPr>
        <w:t>全力發展再生能源：推動整合型示範計畫，加速綠能產業發展，</w:t>
      </w:r>
      <w:r>
        <w:rPr>
          <w:rFonts w:ascii="Times New Roman" w:eastAsia="標楷體" w:hAnsi="Times New Roman"/>
          <w:color w:val="0D0D0D"/>
          <w:spacing w:val="3"/>
        </w:rPr>
        <w:t>105</w:t>
      </w:r>
      <w:r>
        <w:rPr>
          <w:rFonts w:ascii="Times New Roman" w:eastAsia="標楷體" w:hAnsi="Times New Roman"/>
          <w:color w:val="0D0D0D"/>
          <w:spacing w:val="3"/>
        </w:rPr>
        <w:t>年綠色能源產業產值達</w:t>
      </w:r>
      <w:r>
        <w:rPr>
          <w:rFonts w:ascii="Times New Roman" w:eastAsia="標楷體" w:hAnsi="Times New Roman"/>
          <w:color w:val="0D0D0D"/>
          <w:spacing w:val="3"/>
        </w:rPr>
        <w:t>6,580</w:t>
      </w:r>
      <w:r>
        <w:rPr>
          <w:rFonts w:ascii="Times New Roman" w:eastAsia="標楷體" w:hAnsi="Times New Roman"/>
          <w:color w:val="0D0D0D"/>
          <w:spacing w:val="3"/>
        </w:rPr>
        <w:t>億元，創造就業機會</w:t>
      </w:r>
      <w:r>
        <w:rPr>
          <w:rFonts w:ascii="Times New Roman" w:eastAsia="標楷體" w:hAnsi="Times New Roman"/>
          <w:color w:val="0D0D0D"/>
          <w:spacing w:val="3"/>
        </w:rPr>
        <w:t>7.9</w:t>
      </w:r>
      <w:r>
        <w:rPr>
          <w:rFonts w:ascii="Times New Roman" w:eastAsia="標楷體" w:hAnsi="Times New Roman"/>
          <w:color w:val="0D0D0D"/>
          <w:spacing w:val="3"/>
        </w:rPr>
        <w:t>萬個；再生能源總設置容量達</w:t>
      </w:r>
      <w:r>
        <w:rPr>
          <w:rFonts w:ascii="Times New Roman" w:eastAsia="標楷體" w:hAnsi="Times New Roman"/>
          <w:color w:val="0D0D0D"/>
          <w:spacing w:val="3"/>
        </w:rPr>
        <w:t>458</w:t>
      </w:r>
      <w:r>
        <w:rPr>
          <w:rFonts w:ascii="Times New Roman" w:eastAsia="標楷體" w:hAnsi="Times New Roman"/>
          <w:color w:val="0D0D0D"/>
          <w:spacing w:val="3"/>
        </w:rPr>
        <w:t>萬瓩，每年提高能源效率</w:t>
      </w:r>
      <w:r>
        <w:rPr>
          <w:rFonts w:ascii="Times New Roman" w:eastAsia="標楷體" w:hAnsi="Times New Roman"/>
          <w:color w:val="0D0D0D"/>
          <w:spacing w:val="3"/>
        </w:rPr>
        <w:t>2%</w:t>
      </w:r>
      <w:r>
        <w:rPr>
          <w:rFonts w:ascii="Times New Roman" w:eastAsia="標楷體" w:hAnsi="Times New Roman"/>
          <w:color w:val="0D0D0D"/>
          <w:spacing w:val="3"/>
        </w:rPr>
        <w:t>以上，</w:t>
      </w:r>
      <w:r>
        <w:rPr>
          <w:rFonts w:ascii="Times New Roman" w:eastAsia="標楷體" w:hAnsi="Times New Roman"/>
          <w:color w:val="0D0D0D"/>
          <w:spacing w:val="3"/>
        </w:rPr>
        <w:t>105</w:t>
      </w:r>
      <w:r>
        <w:rPr>
          <w:rFonts w:ascii="Times New Roman" w:eastAsia="標楷體" w:hAnsi="Times New Roman"/>
          <w:color w:val="0D0D0D"/>
          <w:spacing w:val="3"/>
        </w:rPr>
        <w:t>年能源密集度較</w:t>
      </w:r>
      <w:r>
        <w:rPr>
          <w:rFonts w:ascii="Times New Roman" w:eastAsia="標楷體" w:hAnsi="Times New Roman"/>
          <w:color w:val="0D0D0D"/>
          <w:spacing w:val="3"/>
        </w:rPr>
        <w:t>99</w:t>
      </w:r>
      <w:r>
        <w:rPr>
          <w:rFonts w:ascii="Times New Roman" w:eastAsia="標楷體" w:hAnsi="Times New Roman"/>
          <w:color w:val="0D0D0D"/>
          <w:spacing w:val="3"/>
        </w:rPr>
        <w:t>年下降</w:t>
      </w:r>
      <w:r>
        <w:rPr>
          <w:rFonts w:ascii="Times New Roman" w:eastAsia="標楷體" w:hAnsi="Times New Roman"/>
          <w:color w:val="0D0D0D"/>
          <w:spacing w:val="3"/>
        </w:rPr>
        <w:t>12%</w:t>
      </w:r>
      <w:r>
        <w:rPr>
          <w:rFonts w:ascii="Times New Roman" w:eastAsia="標楷體" w:hAnsi="Times New Roman"/>
          <w:color w:val="0D0D0D"/>
          <w:spacing w:val="3"/>
        </w:rPr>
        <w:t>。</w:t>
      </w:r>
    </w:p>
    <w:p w14:paraId="586C7396"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完善節能減碳法規制度：推動「溫室氣體減量法」草案立法，完備減碳法制體系，確立中央及地方權責分工，分階段要求大型碳排放源逐年減少排碳總量；建構能源稅之法制基礎，使能源外部成本內部化。</w:t>
      </w:r>
    </w:p>
    <w:p w14:paraId="539B25E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加速產業低碳化：輔導能源大用戶建立能源查核制度，訂定節約能源目標及執行計畫；強化能源密集產業效率管理，制訂鋼鐵、造紙、石化、紡織與電子業能源使用設備之效率規定。</w:t>
      </w:r>
    </w:p>
    <w:p w14:paraId="0209AB5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擴張新能源科技研發能量：發展前瞻能源、儲能、能源轉換、碳捕捉、封存技術；鼓勵綠色能源產業發展；透過綠能產業在地化、服務化及國際化及創新技術、創意設計、創投資金及創業行銷等三化四創新策略，落實「綠能產業躍升方案」。</w:t>
      </w:r>
    </w:p>
    <w:p w14:paraId="47FE163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打造低碳樂活家園：強化能源效率管理與節能規範；辦理低碳永續家園推動方案，打造低碳島；推動既有建築物進行智慧綠建築改善；建立公部門分層管理制度，優先採購符合節能標章等設備產品。</w:t>
      </w:r>
    </w:p>
    <w:p w14:paraId="79A658D9"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2.</w:t>
      </w:r>
      <w:r>
        <w:rPr>
          <w:rFonts w:ascii="Times New Roman" w:eastAsia="標楷體" w:hAnsi="Times New Roman"/>
          <w:b/>
          <w:color w:val="800000"/>
        </w:rPr>
        <w:t>生態家園</w:t>
      </w:r>
    </w:p>
    <w:p w14:paraId="7DAB881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健全國土規劃制度：宏觀國土規劃，推動「國土計畫法」立法；研修「區域計畫法」，研訂各類型土地利用基本原則。</w:t>
      </w:r>
    </w:p>
    <w:p w14:paraId="389200E0"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建構潔淨寧適環境：提升室內外空氣品質管制，加強管制細懸浮微粒</w:t>
      </w:r>
      <w:r>
        <w:rPr>
          <w:rFonts w:ascii="標楷體" w:eastAsia="標楷體" w:hAnsi="標楷體"/>
          <w:color w:val="0D0D0D"/>
        </w:rPr>
        <w:t>(</w:t>
      </w:r>
      <w:r>
        <w:rPr>
          <w:rFonts w:ascii="Times New Roman" w:eastAsia="標楷體" w:hAnsi="Times New Roman"/>
          <w:color w:val="0D0D0D"/>
        </w:rPr>
        <w:t>PM</w:t>
      </w:r>
      <w:r>
        <w:rPr>
          <w:rFonts w:ascii="Times New Roman" w:eastAsia="標楷體" w:hAnsi="Times New Roman"/>
          <w:color w:val="0D0D0D"/>
          <w:sz w:val="40"/>
          <w:vertAlign w:val="subscript"/>
        </w:rPr>
        <w:t>2.5</w:t>
      </w:r>
      <w:r>
        <w:rPr>
          <w:rFonts w:ascii="標楷體" w:eastAsia="標楷體" w:hAnsi="標楷體"/>
          <w:color w:val="0D0D0D"/>
        </w:rPr>
        <w:t>)</w:t>
      </w:r>
      <w:r>
        <w:rPr>
          <w:rFonts w:ascii="Times New Roman" w:eastAsia="標楷體" w:hAnsi="Times New Roman"/>
          <w:color w:val="0D0D0D"/>
        </w:rPr>
        <w:t>，</w:t>
      </w:r>
      <w:r>
        <w:rPr>
          <w:rFonts w:ascii="Times New Roman" w:eastAsia="標楷體" w:hAnsi="Times New Roman"/>
          <w:color w:val="0D0D0D"/>
        </w:rPr>
        <w:t>105</w:t>
      </w:r>
      <w:r>
        <w:rPr>
          <w:rFonts w:ascii="Times New Roman" w:eastAsia="標楷體" w:hAnsi="Times New Roman"/>
          <w:color w:val="0D0D0D"/>
        </w:rPr>
        <w:t>年達成</w:t>
      </w:r>
      <w:r>
        <w:rPr>
          <w:rFonts w:ascii="Times New Roman" w:eastAsia="標楷體" w:hAnsi="Times New Roman"/>
          <w:color w:val="0D0D0D"/>
        </w:rPr>
        <w:t>PM</w:t>
      </w:r>
      <w:r>
        <w:rPr>
          <w:rFonts w:ascii="Times New Roman" w:eastAsia="標楷體" w:hAnsi="Times New Roman"/>
          <w:color w:val="0D0D0D"/>
          <w:sz w:val="40"/>
          <w:vertAlign w:val="subscript"/>
        </w:rPr>
        <w:t>2.5</w:t>
      </w:r>
      <w:r>
        <w:rPr>
          <w:rFonts w:ascii="Times New Roman" w:eastAsia="標楷體" w:hAnsi="Times New Roman"/>
          <w:color w:val="0D0D0D"/>
        </w:rPr>
        <w:t>年平均濃度為</w:t>
      </w:r>
      <w:r>
        <w:rPr>
          <w:rFonts w:ascii="Times New Roman" w:eastAsia="標楷體" w:hAnsi="Times New Roman"/>
          <w:color w:val="0D0D0D"/>
        </w:rPr>
        <w:lastRenderedPageBreak/>
        <w:t>20μg/m</w:t>
      </w:r>
      <w:r>
        <w:rPr>
          <w:rFonts w:ascii="Times New Roman" w:eastAsia="標楷體" w:hAnsi="Times New Roman"/>
          <w:color w:val="0D0D0D"/>
          <w:vertAlign w:val="superscript"/>
        </w:rPr>
        <w:t>3</w:t>
      </w:r>
      <w:r>
        <w:rPr>
          <w:rFonts w:ascii="Times New Roman" w:eastAsia="標楷體" w:hAnsi="Times New Roman"/>
          <w:color w:val="0D0D0D"/>
        </w:rPr>
        <w:t>以下；改善水體水質，執行淡水河流域等</w:t>
      </w:r>
      <w:r>
        <w:rPr>
          <w:rFonts w:ascii="Times New Roman" w:eastAsia="標楷體" w:hAnsi="Times New Roman"/>
          <w:color w:val="0D0D0D"/>
        </w:rPr>
        <w:t>11</w:t>
      </w:r>
      <w:r>
        <w:rPr>
          <w:rFonts w:ascii="Times New Roman" w:eastAsia="標楷體" w:hAnsi="Times New Roman"/>
          <w:color w:val="0D0D0D"/>
        </w:rPr>
        <w:t>條中度及嚴重污染長度達</w:t>
      </w:r>
      <w:r>
        <w:rPr>
          <w:rFonts w:ascii="Times New Roman" w:eastAsia="標楷體" w:hAnsi="Times New Roman"/>
          <w:color w:val="0D0D0D"/>
        </w:rPr>
        <w:t>50%</w:t>
      </w:r>
      <w:r>
        <w:rPr>
          <w:rFonts w:ascii="Times New Roman" w:eastAsia="標楷體" w:hAnsi="Times New Roman"/>
          <w:color w:val="0D0D0D"/>
        </w:rPr>
        <w:t>以上之重點河川污染整治。</w:t>
      </w:r>
    </w:p>
    <w:p w14:paraId="543875B4"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強化水資源運用與管理：推動人工湖、伏流水、海水淡化及再生水等多元水源開發；辦理雲彰地區地層下陷具體解決方案暨行動計畫，</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年推動彰雲地區年地下水減抽量達</w:t>
      </w:r>
      <w:r>
        <w:rPr>
          <w:rFonts w:ascii="Times New Roman" w:eastAsia="標楷體" w:hAnsi="Times New Roman"/>
          <w:color w:val="0D0D0D"/>
        </w:rPr>
        <w:t>0.47</w:t>
      </w:r>
      <w:r>
        <w:rPr>
          <w:rFonts w:ascii="Times New Roman" w:eastAsia="標楷體" w:hAnsi="Times New Roman"/>
          <w:color w:val="0D0D0D"/>
        </w:rPr>
        <w:t>億噸。</w:t>
      </w:r>
      <w:r>
        <w:rPr>
          <w:rFonts w:ascii="Times New Roman" w:eastAsia="標楷體" w:hAnsi="Times New Roman"/>
          <w:color w:val="0D0D0D"/>
        </w:rPr>
        <w:t xml:space="preserve"> </w:t>
      </w:r>
    </w:p>
    <w:p w14:paraId="15085C8D"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加強植樹造林：以自然或人為方式，加強崩塌地復育，儘速回復森林與綠地覆蓋；</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年辦理劣化地復育、短期經濟林造林等新植造林綠化面積累計共</w:t>
      </w:r>
      <w:r>
        <w:rPr>
          <w:rFonts w:ascii="Times New Roman" w:eastAsia="標楷體" w:hAnsi="Times New Roman"/>
          <w:color w:val="0D0D0D"/>
        </w:rPr>
        <w:t>1</w:t>
      </w:r>
      <w:r>
        <w:rPr>
          <w:rFonts w:ascii="Times New Roman" w:eastAsia="標楷體" w:hAnsi="Times New Roman"/>
          <w:color w:val="0D0D0D"/>
        </w:rPr>
        <w:t>萬</w:t>
      </w:r>
      <w:r>
        <w:rPr>
          <w:rFonts w:ascii="Times New Roman" w:eastAsia="標楷體" w:hAnsi="Times New Roman"/>
          <w:color w:val="0D0D0D"/>
        </w:rPr>
        <w:t>2,050</w:t>
      </w:r>
      <w:r>
        <w:rPr>
          <w:rFonts w:ascii="Times New Roman" w:eastAsia="標楷體" w:hAnsi="Times New Roman"/>
          <w:color w:val="0D0D0D"/>
        </w:rPr>
        <w:t>公頃。</w:t>
      </w:r>
    </w:p>
    <w:p w14:paraId="7CD33EB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強化生態保育：維護物種及棲地多樣性，並持續推動珍稀動</w:t>
      </w:r>
      <w:r>
        <w:rPr>
          <w:rFonts w:ascii="標楷體" w:eastAsia="標楷體" w:hAnsi="標楷體"/>
          <w:color w:val="0D0D0D"/>
        </w:rPr>
        <w:t>(</w:t>
      </w:r>
      <w:r>
        <w:rPr>
          <w:rFonts w:ascii="Times New Roman" w:eastAsia="標楷體" w:hAnsi="Times New Roman"/>
          <w:color w:val="0D0D0D"/>
        </w:rPr>
        <w:t>植</w:t>
      </w:r>
      <w:r>
        <w:rPr>
          <w:rFonts w:ascii="標楷體" w:eastAsia="標楷體" w:hAnsi="標楷體"/>
          <w:color w:val="0D0D0D"/>
        </w:rPr>
        <w:t>)</w:t>
      </w:r>
      <w:r>
        <w:rPr>
          <w:rFonts w:ascii="Times New Roman" w:eastAsia="標楷體" w:hAnsi="Times New Roman"/>
          <w:color w:val="0D0D0D"/>
        </w:rPr>
        <w:t>物之調查、研究、保育及復育等工作，</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年新增劃設自然保護區域</w:t>
      </w:r>
      <w:r>
        <w:rPr>
          <w:rFonts w:ascii="Times New Roman" w:eastAsia="標楷體" w:hAnsi="Times New Roman"/>
          <w:color w:val="0D0D0D"/>
        </w:rPr>
        <w:t>5</w:t>
      </w:r>
      <w:r>
        <w:rPr>
          <w:rFonts w:ascii="Times New Roman" w:eastAsia="標楷體" w:hAnsi="Times New Roman"/>
          <w:color w:val="0D0D0D"/>
        </w:rPr>
        <w:t>處；推動國家</w:t>
      </w:r>
      <w:r>
        <w:rPr>
          <w:rFonts w:ascii="標楷體" w:eastAsia="標楷體" w:hAnsi="標楷體"/>
          <w:color w:val="0D0D0D"/>
        </w:rPr>
        <w:t>(</w:t>
      </w:r>
      <w:r>
        <w:rPr>
          <w:rFonts w:ascii="Times New Roman" w:eastAsia="標楷體" w:hAnsi="Times New Roman"/>
          <w:color w:val="0D0D0D"/>
        </w:rPr>
        <w:t>自</w:t>
      </w:r>
      <w:r>
        <w:rPr>
          <w:rFonts w:ascii="標楷體" w:eastAsia="標楷體" w:hAnsi="標楷體"/>
          <w:color w:val="0D0D0D"/>
        </w:rPr>
        <w:t>然)</w:t>
      </w:r>
      <w:r>
        <w:rPr>
          <w:rFonts w:ascii="Times New Roman" w:eastAsia="標楷體" w:hAnsi="Times New Roman"/>
          <w:color w:val="0D0D0D"/>
        </w:rPr>
        <w:t>公園設立</w:t>
      </w:r>
      <w:r>
        <w:rPr>
          <w:rFonts w:ascii="Times New Roman" w:eastAsia="標楷體" w:hAnsi="Times New Roman"/>
          <w:color w:val="0D0D0D"/>
        </w:rPr>
        <w:t>2</w:t>
      </w:r>
      <w:r>
        <w:rPr>
          <w:rFonts w:ascii="Times New Roman" w:eastAsia="標楷體" w:hAnsi="Times New Roman"/>
          <w:color w:val="0D0D0D"/>
        </w:rPr>
        <w:t>處，擴大國</w:t>
      </w:r>
      <w:r>
        <w:rPr>
          <w:rFonts w:ascii="標楷體" w:eastAsia="標楷體" w:hAnsi="標楷體"/>
          <w:color w:val="0D0D0D"/>
        </w:rPr>
        <w:t>家(</w:t>
      </w:r>
      <w:r>
        <w:rPr>
          <w:rFonts w:ascii="Times New Roman" w:eastAsia="標楷體" w:hAnsi="Times New Roman"/>
          <w:color w:val="0D0D0D"/>
        </w:rPr>
        <w:t>自然</w:t>
      </w:r>
      <w:r>
        <w:rPr>
          <w:rFonts w:ascii="標楷體" w:eastAsia="標楷體" w:hAnsi="標楷體"/>
          <w:color w:val="0D0D0D"/>
        </w:rPr>
        <w:t>)</w:t>
      </w:r>
      <w:r>
        <w:rPr>
          <w:rFonts w:ascii="Times New Roman" w:eastAsia="標楷體" w:hAnsi="Times New Roman"/>
          <w:color w:val="0D0D0D"/>
        </w:rPr>
        <w:t>公園範圍，提升中央山脈生態廊道及海洋國家公園保護管理機制。</w:t>
      </w:r>
    </w:p>
    <w:p w14:paraId="4F1B2810"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3.</w:t>
      </w:r>
      <w:r>
        <w:rPr>
          <w:rFonts w:ascii="Times New Roman" w:eastAsia="標楷體" w:hAnsi="Times New Roman"/>
          <w:b/>
          <w:color w:val="800000"/>
        </w:rPr>
        <w:t>災害防救</w:t>
      </w:r>
    </w:p>
    <w:p w14:paraId="5FDCBF4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推動氣候變遷調適：配合「國家氣候變遷調適政策綱領」，研擬土地使用、海岸及災害領域調適行動計畫，落實國土保育；推動研訂地方調適計畫，遴選臺北市及屏東縣辦理示範計畫。</w:t>
      </w:r>
    </w:p>
    <w:p w14:paraId="32A231D3"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提升核電安全：完成二階段核能電廠安全總體檢與個廠壓力測試，落實執行安全防護與緊急應變強化方案；加強核四施工與測試品質查核，確保如質安全運轉。</w:t>
      </w:r>
    </w:p>
    <w:p w14:paraId="135E463E"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推動整體性防災計畫：整合防災研究與機制，以集水區健康管理為導向，推動整體性治山防災；健全坡地防災體系，強化防災應變能力；持續辦理易淹水地區水患治理，</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年持續補助地方政府每年處置水井</w:t>
      </w:r>
      <w:r>
        <w:rPr>
          <w:rFonts w:ascii="Times New Roman" w:eastAsia="標楷體" w:hAnsi="Times New Roman"/>
          <w:color w:val="0D0D0D"/>
        </w:rPr>
        <w:t>800</w:t>
      </w:r>
      <w:r>
        <w:rPr>
          <w:rFonts w:ascii="Times New Roman" w:eastAsia="標楷體" w:hAnsi="Times New Roman"/>
          <w:color w:val="0D0D0D"/>
        </w:rPr>
        <w:t>至</w:t>
      </w:r>
      <w:r>
        <w:rPr>
          <w:rFonts w:ascii="Times New Roman" w:eastAsia="標楷體" w:hAnsi="Times New Roman"/>
          <w:color w:val="0D0D0D"/>
        </w:rPr>
        <w:t>1,000</w:t>
      </w:r>
      <w:r>
        <w:rPr>
          <w:rFonts w:ascii="Times New Roman" w:eastAsia="標楷體" w:hAnsi="Times New Roman"/>
          <w:color w:val="0D0D0D"/>
        </w:rPr>
        <w:t>口。</w:t>
      </w:r>
    </w:p>
    <w:p w14:paraId="22B98327"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強化災害潛勢監測運用及預警疏散能量：建構區域降雨雷達網，精進降雨及淹水預警能力；執行災害性天氣監</w:t>
      </w:r>
      <w:r>
        <w:rPr>
          <w:rFonts w:ascii="Times New Roman" w:eastAsia="標楷體" w:hAnsi="Times New Roman"/>
          <w:color w:val="0D0D0D"/>
        </w:rPr>
        <w:lastRenderedPageBreak/>
        <w:t>測與預報作業建置計畫，落實防災氣象整合資訊實作及強化災害性即時天氣預報計畫；推動地震與海嘯測報效能提升整合計畫。</w:t>
      </w:r>
    </w:p>
    <w:p w14:paraId="41E945B6"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深化基層災害防救及社區自主防災能力：整合防災資訊展示，提供即時水情、淹水警戒、河川水位警戒及水庫洩洪警戒等防災資訊；定期更新「防救災資源管理系統」，落實救災資源調度制度，提升資源調度效率。</w:t>
      </w:r>
    </w:p>
    <w:p w14:paraId="2D242917" w14:textId="77777777" w:rsidR="00052596" w:rsidRDefault="00000000">
      <w:pPr>
        <w:pStyle w:val="k2a"/>
        <w:ind w:left="817" w:hanging="577"/>
        <w:outlineLvl w:val="9"/>
      </w:pPr>
      <w:r>
        <w:rPr>
          <w:rFonts w:ascii="標楷體" w:eastAsia="標楷體" w:hAnsi="標楷體"/>
        </w:rPr>
        <w:t>(六)</w:t>
      </w:r>
      <w:r>
        <w:rPr>
          <w:rFonts w:ascii="Times New Roman" w:eastAsia="標楷體" w:hAnsi="Times New Roman"/>
        </w:rPr>
        <w:t>全面建設</w:t>
      </w:r>
    </w:p>
    <w:p w14:paraId="5F492641"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1.</w:t>
      </w:r>
      <w:r>
        <w:rPr>
          <w:rFonts w:ascii="Times New Roman" w:eastAsia="標楷體" w:hAnsi="Times New Roman"/>
          <w:b/>
          <w:color w:val="800000"/>
        </w:rPr>
        <w:t>基礎建設</w:t>
      </w:r>
    </w:p>
    <w:p w14:paraId="144D6FB8"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穩定水電供應：推動智慧電網及輸變電改善計畫，開發多元電源；完成湖山水庫工程、石門水庫及其集水區更新改善計畫，辦理自來水延管工程，推動自來水配水管網、供水管網改善，以及降低漏水率等計畫，確保水源充分及穩定供應。</w:t>
      </w:r>
    </w:p>
    <w:p w14:paraId="79C3B317"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推動產業園區智慧、低碳及高值化：加強產業園區效率化資產管理、資訊化設施管理；推動園區節能、減碳、省水，以及能資源整合；並鏈結研究機構及學界資源，推動工業區轉型智慧化、低碳化之高值創新產業園區。</w:t>
      </w:r>
    </w:p>
    <w:p w14:paraId="63BA83F9"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加強老舊校舍補強整建：辦理國中小及高中職校舍耐震能力評估及結構補強，並推動逾建齡且有安全疑慮之國中小及高中職老舊校舍拆除整建。</w:t>
      </w:r>
    </w:p>
    <w:p w14:paraId="0565C2CC"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強化產業與地區基礎建設：持續推動產業與地區發展所需之基礎建設，加強地方聯外交通系統建設，佈建污水處理設施，構築共同管道建設。</w:t>
      </w:r>
    </w:p>
    <w:p w14:paraId="2BEECFB2"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2.</w:t>
      </w:r>
      <w:r>
        <w:rPr>
          <w:rFonts w:ascii="Times New Roman" w:eastAsia="標楷體" w:hAnsi="Times New Roman"/>
          <w:b/>
          <w:color w:val="800000"/>
        </w:rPr>
        <w:t>海空樞紐</w:t>
      </w:r>
    </w:p>
    <w:p w14:paraId="03A2B35D"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推動自由貿易港區多元發展：擴大自由貿易港區營運面積，建立單一服務窗口功能，鬆綁法規制度，提升服務效能，加速自由貿易港區多元發展。</w:t>
      </w:r>
    </w:p>
    <w:p w14:paraId="13C7A62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提升桃園國際機場服務品質：持續推動桃園國際機場第一航廈改善，辦理機場聯外捷運系統及道路建設，規劃</w:t>
      </w:r>
      <w:r>
        <w:rPr>
          <w:rFonts w:ascii="Times New Roman" w:eastAsia="標楷體" w:hAnsi="Times New Roman"/>
          <w:color w:val="0D0D0D"/>
        </w:rPr>
        <w:lastRenderedPageBreak/>
        <w:t>建設第三航廈，提升桃園國際機場服務品質。</w:t>
      </w:r>
    </w:p>
    <w:p w14:paraId="6D3D851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推動松山機場開發：因應松山機場未來運量成長需求，強化商務機場機能，推動松山機場「民航關聯產業廊帶」開發，提升大臺北都會區之競爭力。</w:t>
      </w:r>
    </w:p>
    <w:p w14:paraId="6C28F27E"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加強高雄港營運競爭力：以高雄港為核心，推動高雄海空經貿城整體發展綱要計畫、洲際貨櫃中心第</w:t>
      </w:r>
      <w:r>
        <w:rPr>
          <w:rFonts w:ascii="Times New Roman" w:eastAsia="標楷體" w:hAnsi="Times New Roman"/>
          <w:color w:val="0D0D0D"/>
        </w:rPr>
        <w:t>2</w:t>
      </w:r>
      <w:r>
        <w:rPr>
          <w:rFonts w:ascii="Times New Roman" w:eastAsia="標楷體" w:hAnsi="Times New Roman"/>
          <w:color w:val="0D0D0D"/>
        </w:rPr>
        <w:t>期計畫，並規劃國道</w:t>
      </w:r>
      <w:r>
        <w:rPr>
          <w:rFonts w:ascii="Times New Roman" w:eastAsia="標楷體" w:hAnsi="Times New Roman"/>
          <w:color w:val="0D0D0D"/>
        </w:rPr>
        <w:t>7</w:t>
      </w:r>
      <w:r>
        <w:rPr>
          <w:rFonts w:ascii="Times New Roman" w:eastAsia="標楷體" w:hAnsi="Times New Roman"/>
          <w:color w:val="0D0D0D"/>
        </w:rPr>
        <w:t>號建設計畫；另鼓勵航商增闢大陸二線港口及其他國家航線，開發潛在貨源，推動高雄港為亞太樞紐港。</w:t>
      </w:r>
    </w:p>
    <w:p w14:paraId="79EBABE7"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強化國際商港客運設施現代化：推動高雄港客運專區建設計畫、臺中港優質港區及綠色港埠發展計畫，以及臺北商港物流倉儲區填海造地計畫，興建基隆港西岸客運專區港務大樓，強化國際商港現代化客運設施。</w:t>
      </w:r>
    </w:p>
    <w:p w14:paraId="612EBEEB"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3.</w:t>
      </w:r>
      <w:r>
        <w:rPr>
          <w:rFonts w:ascii="Times New Roman" w:eastAsia="標楷體" w:hAnsi="Times New Roman"/>
          <w:b/>
          <w:color w:val="800000"/>
        </w:rPr>
        <w:t>便捷生活</w:t>
      </w:r>
    </w:p>
    <w:p w14:paraId="595F1CE7"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強化都會區捷運網：加速構建北、中、南三大都會區捷運網，提供無縫優質軌道運輸系統服務。</w:t>
      </w:r>
    </w:p>
    <w:p w14:paraId="30E4BA76"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改善鐵路運輸服務品質：推動臺鐵捷運化後續建設計畫</w:t>
      </w:r>
      <w:r>
        <w:rPr>
          <w:rFonts w:ascii="標楷體" w:eastAsia="標楷體" w:hAnsi="標楷體"/>
          <w:color w:val="0D0D0D"/>
        </w:rPr>
        <w:t>(</w:t>
      </w:r>
      <w:r>
        <w:rPr>
          <w:rFonts w:ascii="Times New Roman" w:eastAsia="標楷體" w:hAnsi="Times New Roman"/>
          <w:color w:val="0D0D0D"/>
        </w:rPr>
        <w:t>基隆－苗栗段</w:t>
      </w:r>
      <w:r>
        <w:rPr>
          <w:rFonts w:ascii="標楷體" w:eastAsia="標楷體" w:hAnsi="標楷體"/>
          <w:color w:val="0D0D0D"/>
        </w:rPr>
        <w:t>)</w:t>
      </w:r>
      <w:r>
        <w:rPr>
          <w:rFonts w:ascii="Times New Roman" w:eastAsia="標楷體" w:hAnsi="Times New Roman"/>
          <w:color w:val="0D0D0D"/>
        </w:rPr>
        <w:t>、高雄－屏東潮州捷運化等計畫；推動屏東潮州段、花東線全線電氣化，完成環島鐵路電氣化目標；推動臺鐵南港至花蓮提速改善計畫，減少旅行時間。</w:t>
      </w:r>
    </w:p>
    <w:p w14:paraId="51D213F6"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提升公路運輸效能：推動臺</w:t>
      </w:r>
      <w:r>
        <w:rPr>
          <w:rFonts w:ascii="Times New Roman" w:eastAsia="標楷體" w:hAnsi="Times New Roman"/>
          <w:color w:val="0D0D0D"/>
        </w:rPr>
        <w:t>9</w:t>
      </w:r>
      <w:r>
        <w:rPr>
          <w:rFonts w:ascii="Times New Roman" w:eastAsia="標楷體" w:hAnsi="Times New Roman"/>
          <w:color w:val="0D0D0D"/>
        </w:rPr>
        <w:t>線蘇花公路山區路段改善、花東三期建設及後續四期建設，以及南迴公路後續改善，強化東部公路運輸功能；貫通西濱快速公路，形成第</w:t>
      </w:r>
      <w:r>
        <w:rPr>
          <w:rFonts w:ascii="Times New Roman" w:eastAsia="標楷體" w:hAnsi="Times New Roman"/>
          <w:color w:val="0D0D0D"/>
        </w:rPr>
        <w:t>3</w:t>
      </w:r>
      <w:r>
        <w:rPr>
          <w:rFonts w:ascii="Times New Roman" w:eastAsia="標楷體" w:hAnsi="Times New Roman"/>
          <w:color w:val="0D0D0D"/>
        </w:rPr>
        <w:t>條縱貫南北快速公路。</w:t>
      </w:r>
    </w:p>
    <w:p w14:paraId="0354AF1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加速有線電視數位化：賡續推動「數位匯流發展方案</w:t>
      </w:r>
      <w:r>
        <w:rPr>
          <w:rFonts w:ascii="標楷體" w:eastAsia="標楷體" w:hAnsi="標楷體"/>
          <w:color w:val="0D0D0D"/>
        </w:rPr>
        <w:t>(</w:t>
      </w:r>
      <w:r>
        <w:rPr>
          <w:rFonts w:ascii="Times New Roman" w:eastAsia="標楷體" w:hAnsi="Times New Roman"/>
          <w:color w:val="0D0D0D"/>
        </w:rPr>
        <w:t>2010-2015</w:t>
      </w:r>
      <w:r>
        <w:rPr>
          <w:rFonts w:ascii="Times New Roman" w:eastAsia="標楷體" w:hAnsi="Times New Roman"/>
          <w:color w:val="0D0D0D"/>
        </w:rPr>
        <w:t>年</w:t>
      </w:r>
      <w:r>
        <w:rPr>
          <w:rFonts w:ascii="標楷體" w:eastAsia="標楷體" w:hAnsi="標楷體"/>
          <w:color w:val="0D0D0D"/>
        </w:rPr>
        <w:t>)</w:t>
      </w:r>
      <w:r>
        <w:rPr>
          <w:rFonts w:ascii="Times New Roman" w:eastAsia="標楷體" w:hAnsi="Times New Roman"/>
          <w:color w:val="0D0D0D"/>
        </w:rPr>
        <w:t>」，加速完成有線電視全面數位化。</w:t>
      </w:r>
    </w:p>
    <w:p w14:paraId="62CCEBD3"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落實寬頻網路建設：賡續推動寬頻管道建置計畫，優化無線寬頻基礎建設，輔導建築物導入光纖網路，加速建築物光纖佈纜，並推動創新數位匯流應用，促使數位生</w:t>
      </w:r>
      <w:r>
        <w:rPr>
          <w:rFonts w:ascii="Times New Roman" w:eastAsia="標楷體" w:hAnsi="Times New Roman"/>
          <w:color w:val="0D0D0D"/>
        </w:rPr>
        <w:lastRenderedPageBreak/>
        <w:t>活成為國民的基本權利。</w:t>
      </w:r>
    </w:p>
    <w:p w14:paraId="6A7FF6E3"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4.</w:t>
      </w:r>
      <w:r>
        <w:rPr>
          <w:rFonts w:ascii="Times New Roman" w:eastAsia="標楷體" w:hAnsi="Times New Roman"/>
          <w:b/>
          <w:color w:val="800000"/>
        </w:rPr>
        <w:t>區域均衡</w:t>
      </w:r>
    </w:p>
    <w:p w14:paraId="4A2F4F43"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建構產業空間分布圖：持續推動「產業有家，家有產業」計畫，務實規劃區域產業發展方向，建構未來十年臺灣產業空間分布圖。</w:t>
      </w:r>
    </w:p>
    <w:p w14:paraId="14008D4B"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發展區域優勢產業：以五都為基礎，建立北、中、南、東及離島等各區域之核心都市，發展各區域具國際競爭力之優勢產業，以「政府民間合作夥伴模式」設置「區域品牌創意館」，藉由「全球招商、投資臺灣」計畫，共同行銷國際。</w:t>
      </w:r>
    </w:p>
    <w:p w14:paraId="74392273"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充實區域產業人力及基礎設施：整合產業資源分析及教育體系，進行各區域人力供需評估與配套整合，因應產業需求；加強各區域發展優勢產業所需之公共建設，強化核心都市基礎建設，並引進民間投資，優先選擇需要性、前瞻性高的項目或區位落實執行。</w:t>
      </w:r>
    </w:p>
    <w:p w14:paraId="4EEB9C6C"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推動跨域合作：鼓勵縣市政府共同提出合作型計畫，透過合作或異業結盟方式，整合發展區域性產業；建立跨域補助原則，鼓勵跨域示範性計畫，提升區域合作意願。</w:t>
      </w:r>
    </w:p>
    <w:p w14:paraId="3FDCC4C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加速離島及花東地區發展：通盤檢討離島綜合建設實施方案，發展離島地區成為新能源、觀光旅遊等重要基地；擬定花東地區永續發展策略計畫，並由地方政府制定四年綜合發展實施方案，推動花東地區成為優質生活環境與國際級觀光景點的區域典範。</w:t>
      </w:r>
    </w:p>
    <w:p w14:paraId="1377106B"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5.</w:t>
      </w:r>
      <w:r>
        <w:rPr>
          <w:rFonts w:ascii="Times New Roman" w:eastAsia="標楷體" w:hAnsi="Times New Roman"/>
          <w:b/>
          <w:color w:val="800000"/>
        </w:rPr>
        <w:t>健全財政</w:t>
      </w:r>
    </w:p>
    <w:p w14:paraId="59BD9CD4"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多方運用財力資源：訂定合理獎勵措施，擴大民間參與公共建設；創新財務策略，推動「跨域加值公共建設財務規劃方案」；推動公私合作機制</w:t>
      </w:r>
      <w:r>
        <w:rPr>
          <w:rFonts w:ascii="標楷體" w:eastAsia="標楷體" w:hAnsi="標楷體"/>
          <w:color w:val="0D0D0D"/>
        </w:rPr>
        <w:t>(</w:t>
      </w:r>
      <w:r>
        <w:rPr>
          <w:rFonts w:ascii="Times New Roman" w:eastAsia="標楷體" w:hAnsi="Times New Roman"/>
          <w:color w:val="0D0D0D"/>
        </w:rPr>
        <w:t>PPPs</w:t>
      </w:r>
      <w:r>
        <w:rPr>
          <w:rFonts w:ascii="標楷體" w:eastAsia="標楷體" w:hAnsi="標楷體"/>
          <w:color w:val="0D0D0D"/>
        </w:rPr>
        <w:t>)</w:t>
      </w:r>
      <w:r>
        <w:rPr>
          <w:rFonts w:ascii="Times New Roman" w:eastAsia="標楷體" w:hAnsi="Times New Roman"/>
          <w:color w:val="0D0D0D"/>
        </w:rPr>
        <w:t>運用民間資金、落實租稅增額財源機制</w:t>
      </w:r>
      <w:r>
        <w:rPr>
          <w:rFonts w:ascii="標楷體" w:eastAsia="標楷體" w:hAnsi="標楷體"/>
          <w:color w:val="0D0D0D"/>
        </w:rPr>
        <w:t>(</w:t>
      </w:r>
      <w:r>
        <w:rPr>
          <w:rFonts w:ascii="Times New Roman" w:eastAsia="標楷體" w:hAnsi="Times New Roman"/>
          <w:color w:val="0D0D0D"/>
        </w:rPr>
        <w:t>TIF</w:t>
      </w:r>
      <w:r>
        <w:rPr>
          <w:rFonts w:ascii="標楷體" w:eastAsia="標楷體" w:hAnsi="標楷體"/>
          <w:color w:val="0D0D0D"/>
        </w:rPr>
        <w:t>)</w:t>
      </w:r>
      <w:r>
        <w:rPr>
          <w:rFonts w:ascii="Times New Roman" w:eastAsia="標楷體" w:hAnsi="Times New Roman"/>
          <w:color w:val="0D0D0D"/>
        </w:rPr>
        <w:t>及異業結盟等策略，以提高計畫自償率；積極啟發促參案源，吸引國內資金及</w:t>
      </w:r>
      <w:r>
        <w:rPr>
          <w:rFonts w:ascii="Times New Roman" w:eastAsia="標楷體" w:hAnsi="Times New Roman"/>
          <w:color w:val="0D0D0D"/>
        </w:rPr>
        <w:lastRenderedPageBreak/>
        <w:t>陸</w:t>
      </w:r>
      <w:r>
        <w:rPr>
          <w:rFonts w:ascii="標楷體" w:eastAsia="標楷體" w:hAnsi="標楷體"/>
          <w:color w:val="0D0D0D"/>
        </w:rPr>
        <w:t>(</w:t>
      </w:r>
      <w:r>
        <w:rPr>
          <w:rFonts w:ascii="Times New Roman" w:eastAsia="標楷體" w:hAnsi="Times New Roman"/>
          <w:color w:val="0D0D0D"/>
        </w:rPr>
        <w:t>外</w:t>
      </w:r>
      <w:r>
        <w:rPr>
          <w:rFonts w:ascii="標楷體" w:eastAsia="標楷體" w:hAnsi="標楷體"/>
          <w:color w:val="0D0D0D"/>
        </w:rPr>
        <w:t>)</w:t>
      </w:r>
      <w:r>
        <w:rPr>
          <w:rFonts w:ascii="Times New Roman" w:eastAsia="標楷體" w:hAnsi="Times New Roman"/>
          <w:color w:val="0D0D0D"/>
        </w:rPr>
        <w:t>資投入公共建設；研議放寬相關法令，促進中長期資金投入公共建設。</w:t>
      </w:r>
      <w:r>
        <w:rPr>
          <w:rFonts w:ascii="Times New Roman" w:eastAsia="標楷體" w:hAnsi="Times New Roman"/>
          <w:color w:val="0D0D0D"/>
        </w:rPr>
        <w:t xml:space="preserve"> </w:t>
      </w:r>
    </w:p>
    <w:p w14:paraId="5A36678D"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提升政府理財效率：核實歲出預算之必要性及可行性，並強化經費支用稽核；落實「預算編製作業落實零基預算精神實施方案」；落實公股事業機構企業化管理；篩選閒置國有建築用地及低度利用國有建築用地，辦理活化作業；創新引進民間資源，重點開發國有土地。</w:t>
      </w:r>
    </w:p>
    <w:p w14:paraId="742F73B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增進租稅負擔公平：加強宣導證券交易所得課稅制度；消弭婚姻造成所得稅負擔差別待遇，適時檢討薪資所得特別扣除額，持續推動建置反避稅制度；配合不動產實價登錄制度之建置，逐步落實不動產交易實價課稅。</w:t>
      </w:r>
    </w:p>
    <w:p w14:paraId="5B766DF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強化地方財政自主：健全財政劃分法制，強化地方財政自主程度；賡續推動地方政府財政業務輔導，協助地方政府開闢自治財源；運用中央統籌分配稅款及補助款制度，強化中央與地方夥伴關係。</w:t>
      </w:r>
    </w:p>
    <w:p w14:paraId="6964C789"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加強公共債務管理：持續推動強化債務管理方案，逐步縮減收支差短，減少債務舉借；加強債務資訊揭露，落實全民監督；透過中央政府債務基金財務運作，暨公債及國庫券買回機制，調整債務結構；適時辦理提前償還債務，節省債息負擔。</w:t>
      </w:r>
    </w:p>
    <w:p w14:paraId="5A47BED1"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6.</w:t>
      </w:r>
      <w:r>
        <w:rPr>
          <w:rFonts w:ascii="Times New Roman" w:eastAsia="標楷體" w:hAnsi="Times New Roman"/>
          <w:b/>
          <w:color w:val="800000"/>
        </w:rPr>
        <w:t>金融發展</w:t>
      </w:r>
    </w:p>
    <w:p w14:paraId="0D702EEC"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擴大金融機構經營範疇：積極擴大金融機構業務範圍，提高經營彈性；發展以臺灣為主之國人理財平臺，鼓勵金融業者發展多元化商品；檢討放寬資產管理機構投資規範，提升國內資產管理業競爭力；積極推動本國及外國優質企業在臺上市</w:t>
      </w:r>
      <w:r>
        <w:rPr>
          <w:rFonts w:ascii="標楷體" w:eastAsia="標楷體" w:hAnsi="標楷體"/>
          <w:color w:val="0D0D0D"/>
        </w:rPr>
        <w:t>(櫃)</w:t>
      </w:r>
      <w:r>
        <w:rPr>
          <w:rFonts w:ascii="Times New Roman" w:eastAsia="標楷體" w:hAnsi="Times New Roman"/>
          <w:color w:val="0D0D0D"/>
        </w:rPr>
        <w:t>，發展我國成為高科技及創新產業籌資平臺。</w:t>
      </w:r>
    </w:p>
    <w:p w14:paraId="23C4C2CB"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推動金融市場與國際接軌：推動金融機構國際化及全球布局，鼓勵金融機構赴海外設立分支機構；加強國際交流及合作，積極爭取主</w:t>
      </w:r>
      <w:r>
        <w:rPr>
          <w:rFonts w:ascii="標楷體" w:eastAsia="標楷體" w:hAnsi="標楷體"/>
          <w:color w:val="0D0D0D"/>
        </w:rPr>
        <w:t>(協)辦</w:t>
      </w:r>
      <w:r>
        <w:rPr>
          <w:rFonts w:ascii="Times New Roman" w:eastAsia="標楷體" w:hAnsi="Times New Roman"/>
          <w:color w:val="0D0D0D"/>
        </w:rPr>
        <w:t>國際會議、持續與各國金</w:t>
      </w:r>
      <w:r>
        <w:rPr>
          <w:rFonts w:ascii="Times New Roman" w:eastAsia="標楷體" w:hAnsi="Times New Roman"/>
          <w:color w:val="0D0D0D"/>
        </w:rPr>
        <w:lastRenderedPageBreak/>
        <w:t>融監理機關交流互動。</w:t>
      </w:r>
    </w:p>
    <w:p w14:paraId="4E719BEB"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發展具兩岸特色金融業務：開放本國銀行辦理人民幣存、放、匯等相關業務，並發展人民幣衍生性商品；促使國內銀行發行之提款卡及轉帳卡在大陸地區提款及消費使用，開放企業於國內發行人民幣計價債券及其他籌資工具，發展大中華區資產管理及理財業務；協助金融業者在大陸地區布局及業務經營。</w:t>
      </w:r>
    </w:p>
    <w:p w14:paraId="77776CB8"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強化金融監理：加強金融機構資本適足性管理機制、強化金融機構流動性及系統性風險之控管；持續督導本國銀行降低逾放比率及提升備抵呆帳覆蓋率，健全資產品質；賡續辦理風險導向檢查作業，完善檢查制度；強化國內支付清算系統備援作業及緊急應變機制，確保金融支付系統順暢運作。</w:t>
      </w:r>
    </w:p>
    <w:p w14:paraId="3B92D3B1"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加強消費者權益保護：持續督導金融消費評議中心積極處理各項消費爭議；透過「金融教育推動小組」整合平臺，提升國人金融知識、風險意識及自身權益之保護。</w:t>
      </w:r>
    </w:p>
    <w:p w14:paraId="0AD00917" w14:textId="77777777" w:rsidR="00052596" w:rsidRDefault="00000000">
      <w:pPr>
        <w:pStyle w:val="k2a"/>
        <w:ind w:left="817" w:hanging="577"/>
        <w:outlineLvl w:val="9"/>
      </w:pPr>
      <w:r>
        <w:rPr>
          <w:rFonts w:ascii="標楷體" w:eastAsia="標楷體" w:hAnsi="標楷體"/>
        </w:rPr>
        <w:t>(</w:t>
      </w:r>
      <w:r>
        <w:rPr>
          <w:rFonts w:ascii="Times New Roman" w:eastAsia="標楷體" w:hAnsi="Times New Roman"/>
        </w:rPr>
        <w:t>七</w:t>
      </w:r>
      <w:r>
        <w:rPr>
          <w:rFonts w:ascii="標楷體" w:eastAsia="標楷體" w:hAnsi="標楷體"/>
        </w:rPr>
        <w:t>)</w:t>
      </w:r>
      <w:r>
        <w:rPr>
          <w:rFonts w:ascii="Times New Roman" w:eastAsia="標楷體" w:hAnsi="Times New Roman"/>
        </w:rPr>
        <w:t>和平兩岸</w:t>
      </w:r>
    </w:p>
    <w:p w14:paraId="69F97E63"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1.</w:t>
      </w:r>
      <w:r>
        <w:rPr>
          <w:rFonts w:ascii="Times New Roman" w:eastAsia="標楷體" w:hAnsi="Times New Roman"/>
          <w:b/>
          <w:color w:val="800000"/>
        </w:rPr>
        <w:t>兩岸關係</w:t>
      </w:r>
    </w:p>
    <w:p w14:paraId="23727D4C"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持續制度化協商：積極落實並擴大兩岸已簽署協議之執行成效，有序推動</w:t>
      </w:r>
      <w:r>
        <w:rPr>
          <w:rFonts w:ascii="Times New Roman" w:eastAsia="標楷體" w:hAnsi="Times New Roman"/>
          <w:color w:val="0D0D0D"/>
        </w:rPr>
        <w:t>ECFA</w:t>
      </w:r>
      <w:r>
        <w:rPr>
          <w:rFonts w:ascii="Times New Roman" w:eastAsia="標楷體" w:hAnsi="Times New Roman"/>
          <w:color w:val="0D0D0D"/>
        </w:rPr>
        <w:t>後續其他議題之協商，建構兩岸穩定、機制化互動模式。</w:t>
      </w:r>
    </w:p>
    <w:p w14:paraId="7A3DA492"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強化交流機制：配合兩岸關係整體發展，完備兩岸經貿、人員往來等相關安全管理機制；循序漸進推動兩岸經貿制度化之交流與合作，動態調整兩岸經貿政策及措施；逐步建構並完善安全管理與風險管理機制，健全兩岸交流法制制度，保障人民權益。</w:t>
      </w:r>
    </w:p>
    <w:p w14:paraId="29DF7EAF"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2.</w:t>
      </w:r>
      <w:r>
        <w:rPr>
          <w:rFonts w:ascii="Times New Roman" w:eastAsia="標楷體" w:hAnsi="Times New Roman"/>
          <w:b/>
          <w:color w:val="800000"/>
        </w:rPr>
        <w:t>國防安全</w:t>
      </w:r>
    </w:p>
    <w:p w14:paraId="7E0BCCF9"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推動募兵制度：循序推動兵役制度轉型，於</w:t>
      </w:r>
      <w:r>
        <w:rPr>
          <w:rFonts w:ascii="Times New Roman" w:eastAsia="標楷體" w:hAnsi="Times New Roman"/>
          <w:color w:val="0D0D0D"/>
        </w:rPr>
        <w:t>103</w:t>
      </w:r>
      <w:r>
        <w:rPr>
          <w:rFonts w:ascii="Times New Roman" w:eastAsia="標楷體" w:hAnsi="Times New Roman"/>
          <w:color w:val="0D0D0D"/>
        </w:rPr>
        <w:t>年底完成志願役現員</w:t>
      </w:r>
      <w:r>
        <w:rPr>
          <w:rFonts w:ascii="Times New Roman" w:eastAsia="標楷體" w:hAnsi="Times New Roman"/>
          <w:color w:val="0D0D0D"/>
        </w:rPr>
        <w:t>17.6</w:t>
      </w:r>
      <w:r>
        <w:rPr>
          <w:rFonts w:ascii="Times New Roman" w:eastAsia="標楷體" w:hAnsi="Times New Roman"/>
          <w:color w:val="0D0D0D"/>
        </w:rPr>
        <w:t>萬人目標，建構「小而精、小而強、小而巧」勁旅，奠定可長可久國防武力。</w:t>
      </w:r>
    </w:p>
    <w:p w14:paraId="25C35EA6" w14:textId="77777777" w:rsidR="00052596" w:rsidRDefault="00000000">
      <w:pPr>
        <w:pStyle w:val="k4a"/>
        <w:ind w:left="1536" w:hanging="432"/>
        <w:outlineLvl w:val="9"/>
      </w:pPr>
      <w:r>
        <w:rPr>
          <w:rFonts w:ascii="標楷體" w:eastAsia="標楷體" w:hAnsi="標楷體"/>
          <w:color w:val="0D0D0D"/>
        </w:rPr>
        <w:lastRenderedPageBreak/>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強化災害防救：加強災防整備，更新國軍災防地形地貌圖資資料庫及發展「救災資源管理系統」，貫徹「平時能救災、戰時能作戰」訓練目標，兼顧降低人民災損及守護國土安全。</w:t>
      </w:r>
    </w:p>
    <w:p w14:paraId="5312D940"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建構可恃戰力：積極兵力整建，精進組織效能；籌獲必要武器裝備，提升國防科技水準，有效運用技術移轉與工業互惠，建構自主國防。</w:t>
      </w:r>
    </w:p>
    <w:p w14:paraId="15254904"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重塑精神戰力：深植武德內涵，精進軍紀整飭，展現國軍「巧實力」，發揮有形與無形戰力相乘效果；優化官兵照顧，落實眷屬服務，凝聚徵屬向心力。</w:t>
      </w:r>
    </w:p>
    <w:p w14:paraId="526ECCFC"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5</w:t>
      </w:r>
      <w:r>
        <w:rPr>
          <w:rFonts w:ascii="標楷體" w:eastAsia="標楷體" w:hAnsi="標楷體"/>
          <w:color w:val="0D0D0D"/>
        </w:rPr>
        <w:t>)</w:t>
      </w:r>
      <w:r>
        <w:rPr>
          <w:rFonts w:ascii="Times New Roman" w:eastAsia="標楷體" w:hAnsi="Times New Roman"/>
          <w:color w:val="0D0D0D"/>
        </w:rPr>
        <w:t>維護區域穩定：擴大軍事交流合作管道，爭取友盟合作；廣拓情報來源，掌握區域安全情勢。</w:t>
      </w:r>
    </w:p>
    <w:p w14:paraId="7FBAB1AA" w14:textId="77777777" w:rsidR="00052596" w:rsidRDefault="00000000">
      <w:pPr>
        <w:pStyle w:val="k2a"/>
        <w:ind w:left="817" w:hanging="577"/>
        <w:outlineLvl w:val="9"/>
      </w:pPr>
      <w:r>
        <w:rPr>
          <w:rFonts w:ascii="標楷體" w:eastAsia="標楷體" w:hAnsi="標楷體"/>
        </w:rPr>
        <w:t>(八)</w:t>
      </w:r>
      <w:r>
        <w:rPr>
          <w:rFonts w:ascii="Times New Roman" w:eastAsia="標楷體" w:hAnsi="Times New Roman"/>
        </w:rPr>
        <w:t>友善國際</w:t>
      </w:r>
    </w:p>
    <w:p w14:paraId="383EC9F5"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1.</w:t>
      </w:r>
      <w:r>
        <w:rPr>
          <w:rFonts w:ascii="Times New Roman" w:eastAsia="標楷體" w:hAnsi="Times New Roman"/>
          <w:b/>
          <w:color w:val="800000"/>
        </w:rPr>
        <w:t>擴大參與</w:t>
      </w:r>
    </w:p>
    <w:p w14:paraId="5BD697F1"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增進對外關係：深化與美、日、歐盟及周邊國家關係，確保我國主權與安全；鞏固與邦交國關係，提升與無邦交國家實質關係，並深化與落實主要國家或地區予我國人免簽證或落地簽證之施行與宣導。</w:t>
      </w:r>
    </w:p>
    <w:p w14:paraId="528FCD8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拓展國際空間：維護我國在已加入之國際組織會籍與權益，建立我國與尚未能參與之國際組織的實質聯繫，並協助非政府組織參與國際事務。</w:t>
      </w:r>
    </w:p>
    <w:p w14:paraId="71CC4067"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spacing w:val="1"/>
        </w:rPr>
        <w:t>積極參與區域經濟整合：配合「亞太自由貿易區」</w:t>
      </w:r>
      <w:r>
        <w:rPr>
          <w:rFonts w:ascii="標楷體" w:eastAsia="標楷體" w:hAnsi="標楷體"/>
          <w:color w:val="0D0D0D"/>
          <w:spacing w:val="1"/>
        </w:rPr>
        <w:t>(</w:t>
      </w:r>
      <w:r>
        <w:rPr>
          <w:rFonts w:ascii="Times New Roman" w:eastAsia="標楷體" w:hAnsi="Times New Roman"/>
          <w:color w:val="0D0D0D"/>
          <w:spacing w:val="1"/>
        </w:rPr>
        <w:t>FTAAP</w:t>
      </w:r>
      <w:r>
        <w:rPr>
          <w:rFonts w:ascii="標楷體" w:eastAsia="標楷體" w:hAnsi="標楷體"/>
          <w:color w:val="0D0D0D"/>
          <w:spacing w:val="1"/>
        </w:rPr>
        <w:t>)</w:t>
      </w:r>
      <w:r>
        <w:rPr>
          <w:rFonts w:ascii="Times New Roman" w:eastAsia="標楷體" w:hAnsi="Times New Roman"/>
          <w:color w:val="0D0D0D"/>
          <w:spacing w:val="1"/>
        </w:rPr>
        <w:t>發展，爭取加入「跨太平洋夥伴協定</w:t>
      </w:r>
      <w:r>
        <w:rPr>
          <w:rFonts w:ascii="標楷體" w:eastAsia="標楷體" w:hAnsi="標楷體"/>
          <w:color w:val="0D0D0D"/>
          <w:spacing w:val="1"/>
        </w:rPr>
        <w:t>」(</w:t>
      </w:r>
      <w:r>
        <w:rPr>
          <w:rFonts w:ascii="Times New Roman" w:eastAsia="標楷體" w:hAnsi="Times New Roman"/>
          <w:color w:val="0D0D0D"/>
          <w:spacing w:val="1"/>
        </w:rPr>
        <w:t>TPP</w:t>
      </w:r>
      <w:r>
        <w:rPr>
          <w:rFonts w:ascii="標楷體" w:eastAsia="標楷體" w:hAnsi="標楷體"/>
          <w:color w:val="0D0D0D"/>
          <w:spacing w:val="1"/>
        </w:rPr>
        <w:t>)</w:t>
      </w:r>
      <w:r>
        <w:rPr>
          <w:rFonts w:ascii="Times New Roman" w:eastAsia="標楷體" w:hAnsi="Times New Roman"/>
          <w:color w:val="0D0D0D"/>
          <w:spacing w:val="1"/>
        </w:rPr>
        <w:t>，與美國重啟「貿易暨投資架構協定</w:t>
      </w:r>
      <w:r>
        <w:rPr>
          <w:rFonts w:ascii="標楷體" w:eastAsia="標楷體" w:hAnsi="標楷體"/>
          <w:color w:val="0D0D0D"/>
          <w:spacing w:val="1"/>
        </w:rPr>
        <w:t>」(</w:t>
      </w:r>
      <w:r>
        <w:rPr>
          <w:rFonts w:ascii="Times New Roman" w:eastAsia="標楷體" w:hAnsi="Times New Roman"/>
          <w:color w:val="0D0D0D"/>
          <w:spacing w:val="1"/>
        </w:rPr>
        <w:t>TIFA</w:t>
      </w:r>
      <w:r>
        <w:rPr>
          <w:rFonts w:ascii="標楷體" w:eastAsia="標楷體" w:hAnsi="標楷體"/>
          <w:color w:val="0D0D0D"/>
          <w:spacing w:val="1"/>
        </w:rPr>
        <w:t>)</w:t>
      </w:r>
      <w:r>
        <w:rPr>
          <w:rFonts w:ascii="Times New Roman" w:eastAsia="標楷體" w:hAnsi="Times New Roman"/>
          <w:color w:val="0D0D0D"/>
          <w:spacing w:val="1"/>
        </w:rPr>
        <w:t>談判，並推動與貿易夥伴洽簽經濟合作等協議，協助企業拓展海外商機。</w:t>
      </w:r>
    </w:p>
    <w:p w14:paraId="43CFAE7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4</w:t>
      </w:r>
      <w:r>
        <w:rPr>
          <w:rFonts w:ascii="標楷體" w:eastAsia="標楷體" w:hAnsi="標楷體"/>
          <w:color w:val="0D0D0D"/>
        </w:rPr>
        <w:t>)</w:t>
      </w:r>
      <w:r>
        <w:rPr>
          <w:rFonts w:ascii="Times New Roman" w:eastAsia="標楷體" w:hAnsi="Times New Roman"/>
          <w:color w:val="0D0D0D"/>
        </w:rPr>
        <w:t>發展青年多元國際服務及學習機會：積極爭取更多國家與我簽訂青年打工度假協議，並促請已簽訂該協議之國家開放更多名額及工作項目。</w:t>
      </w:r>
    </w:p>
    <w:p w14:paraId="11661A60"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2.</w:t>
      </w:r>
      <w:r>
        <w:rPr>
          <w:rFonts w:ascii="Times New Roman" w:eastAsia="標楷體" w:hAnsi="Times New Roman"/>
          <w:b/>
          <w:color w:val="800000"/>
        </w:rPr>
        <w:t>人道援助</w:t>
      </w:r>
    </w:p>
    <w:p w14:paraId="150E9F5B" w14:textId="77777777" w:rsidR="00052596" w:rsidRDefault="00000000">
      <w:pPr>
        <w:pStyle w:val="k4a"/>
        <w:ind w:left="1536" w:hanging="432"/>
        <w:outlineLvl w:val="9"/>
      </w:pPr>
      <w:r>
        <w:rPr>
          <w:rFonts w:ascii="標楷體" w:eastAsia="標楷體" w:hAnsi="標楷體"/>
          <w:color w:val="0D0D0D"/>
        </w:rPr>
        <w:lastRenderedPageBreak/>
        <w:t>(</w:t>
      </w:r>
      <w:r>
        <w:rPr>
          <w:rFonts w:ascii="Times New Roman" w:eastAsia="標楷體" w:hAnsi="Times New Roman"/>
          <w:color w:val="0D0D0D"/>
        </w:rPr>
        <w:t>1</w:t>
      </w:r>
      <w:r>
        <w:rPr>
          <w:rFonts w:ascii="標楷體" w:eastAsia="標楷體" w:hAnsi="標楷體"/>
          <w:color w:val="0D0D0D"/>
        </w:rPr>
        <w:t>)回</w:t>
      </w:r>
      <w:r>
        <w:rPr>
          <w:rFonts w:ascii="Times New Roman" w:eastAsia="標楷體" w:hAnsi="Times New Roman"/>
          <w:color w:val="0D0D0D"/>
        </w:rPr>
        <w:t>饋國際社會：善用我國醫療公衛、農漁業、中小企業及縮短數位落差等強項，強化國際合作。</w:t>
      </w:r>
    </w:p>
    <w:p w14:paraId="6D042EA9"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參與國際人道援助：結合政府與民間力量、資源與經驗，積極推動國際合作及國際人道援助之參與，增進國際社會共同福祉，扮演國際間「人道援助提供者」角色，提升我國際形象及能見度。</w:t>
      </w:r>
    </w:p>
    <w:p w14:paraId="547F09F8"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3.</w:t>
      </w:r>
      <w:r>
        <w:rPr>
          <w:rFonts w:ascii="Times New Roman" w:eastAsia="標楷體" w:hAnsi="Times New Roman"/>
          <w:b/>
          <w:color w:val="800000"/>
        </w:rPr>
        <w:t>文化交流</w:t>
      </w:r>
    </w:p>
    <w:p w14:paraId="28AE639C"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推動國際文化交流：推動全球佈局行動方案，積極辦理成立「文化全球佈點專案辦公室」；擇定具文化輻射能量城市，拓展臺灣書院海外據點；推動「當代重要華文作品國際行銷計畫」，傳播臺灣人文思想；爭取國際競技佳績及國際重要體育活動在臺舉行。</w:t>
      </w:r>
    </w:p>
    <w:p w14:paraId="45301C7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)以青年</w:t>
      </w:r>
      <w:r>
        <w:rPr>
          <w:rFonts w:ascii="Times New Roman" w:eastAsia="標楷體" w:hAnsi="Times New Roman"/>
          <w:color w:val="0D0D0D"/>
        </w:rPr>
        <w:t>帶動文化交流：加強與友好國家推動青年事務瞭解備忘錄或合作計畫，鼓勵國際青年來臺打工度假；推動多元青年國際體驗學習方案，鼓勵青年參與國際志工、海外實習體驗、國際會議等青年國際活動。</w:t>
      </w:r>
    </w:p>
    <w:p w14:paraId="61C0849A"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3</w:t>
      </w:r>
      <w:r>
        <w:rPr>
          <w:rFonts w:ascii="標楷體" w:eastAsia="標楷體" w:hAnsi="標楷體"/>
          <w:color w:val="0D0D0D"/>
        </w:rPr>
        <w:t>)</w:t>
      </w:r>
      <w:r>
        <w:rPr>
          <w:rFonts w:ascii="Times New Roman" w:eastAsia="標楷體" w:hAnsi="Times New Roman"/>
          <w:color w:val="0D0D0D"/>
        </w:rPr>
        <w:t>推動語文及學術交流，加強與各國簽署文化交流協議：促進與其他國家間青年之互動交流，持續與較多臺灣青年所學語言的國家洽簽打工度假協定。</w:t>
      </w:r>
    </w:p>
    <w:p w14:paraId="31ABE874" w14:textId="77777777" w:rsidR="00052596" w:rsidRDefault="00000000">
      <w:pPr>
        <w:pStyle w:val="k3a"/>
        <w:ind w:left="1128" w:hanging="288"/>
        <w:outlineLvl w:val="9"/>
        <w:rPr>
          <w:rFonts w:ascii="Times New Roman" w:eastAsia="標楷體" w:hAnsi="Times New Roman"/>
          <w:b/>
          <w:color w:val="800000"/>
        </w:rPr>
      </w:pPr>
      <w:r>
        <w:rPr>
          <w:rFonts w:ascii="Times New Roman" w:eastAsia="標楷體" w:hAnsi="Times New Roman"/>
          <w:b/>
          <w:color w:val="800000"/>
        </w:rPr>
        <w:t>4.</w:t>
      </w:r>
      <w:r>
        <w:rPr>
          <w:rFonts w:ascii="Times New Roman" w:eastAsia="標楷體" w:hAnsi="Times New Roman"/>
          <w:b/>
          <w:color w:val="800000"/>
        </w:rPr>
        <w:t>觀光升級</w:t>
      </w:r>
    </w:p>
    <w:p w14:paraId="2B01822F"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1</w:t>
      </w:r>
      <w:r>
        <w:rPr>
          <w:rFonts w:ascii="標楷體" w:eastAsia="標楷體" w:hAnsi="標楷體"/>
          <w:color w:val="0D0D0D"/>
        </w:rPr>
        <w:t>)</w:t>
      </w:r>
      <w:r>
        <w:rPr>
          <w:rFonts w:ascii="Times New Roman" w:eastAsia="標楷體" w:hAnsi="Times New Roman"/>
          <w:color w:val="0D0D0D"/>
        </w:rPr>
        <w:t>推動觀光國際化：以多元行銷、全球布局手法，針對各目標市場研擬策略，持續耕耘既有目標市場，爭取新興市場；加強異業結盟，以創新手法，增加臺灣曝光度；引進國際級經營者，促進觀光產業國際化。</w:t>
      </w:r>
    </w:p>
    <w:p w14:paraId="73EC08F5" w14:textId="77777777" w:rsidR="00052596" w:rsidRDefault="00000000">
      <w:pPr>
        <w:pStyle w:val="k4a"/>
        <w:ind w:left="1536" w:hanging="432"/>
        <w:outlineLvl w:val="9"/>
      </w:pPr>
      <w:r>
        <w:rPr>
          <w:rFonts w:ascii="標楷體" w:eastAsia="標楷體" w:hAnsi="標楷體"/>
          <w:color w:val="0D0D0D"/>
        </w:rPr>
        <w:t>(</w:t>
      </w:r>
      <w:r>
        <w:rPr>
          <w:rFonts w:ascii="Times New Roman" w:eastAsia="標楷體" w:hAnsi="Times New Roman"/>
          <w:color w:val="0D0D0D"/>
        </w:rPr>
        <w:t>2</w:t>
      </w:r>
      <w:r>
        <w:rPr>
          <w:rFonts w:ascii="標楷體" w:eastAsia="標楷體" w:hAnsi="標楷體"/>
          <w:color w:val="0D0D0D"/>
        </w:rPr>
        <w:t>)</w:t>
      </w:r>
      <w:r>
        <w:rPr>
          <w:rFonts w:ascii="Times New Roman" w:eastAsia="標楷體" w:hAnsi="Times New Roman"/>
          <w:color w:val="0D0D0D"/>
        </w:rPr>
        <w:t>發展特色觀光：建構觀光平臺，重整臺灣觀光品牌十大旅遊元素，推動主題式旅遊；強化區域特色，推動客製服務，發揚以臺灣多元資源與風貌為底蘊的觀光特色。</w:t>
      </w:r>
    </w:p>
    <w:p w14:paraId="41208E93" w14:textId="77777777" w:rsidR="00052596" w:rsidRDefault="00000000">
      <w:pPr>
        <w:pStyle w:val="k1a"/>
        <w:ind w:left="288" w:hanging="288"/>
        <w:outlineLvl w:val="9"/>
        <w:rPr>
          <w:rFonts w:ascii="Times New Roman" w:eastAsia="標楷體" w:hAnsi="Times New Roman"/>
        </w:rPr>
      </w:pPr>
      <w:r>
        <w:rPr>
          <w:rFonts w:ascii="Times New Roman" w:eastAsia="標楷體" w:hAnsi="Times New Roman"/>
        </w:rPr>
        <w:t>二、全力拚經濟－執行「經濟動能推升方案」</w:t>
      </w:r>
    </w:p>
    <w:p w14:paraId="190A62B7" w14:textId="77777777" w:rsidR="00052596" w:rsidRDefault="00000000">
      <w:pPr>
        <w:pStyle w:val="k2a"/>
        <w:ind w:left="817" w:hanging="577"/>
        <w:outlineLvl w:val="9"/>
      </w:pPr>
      <w:r>
        <w:rPr>
          <w:rFonts w:ascii="標楷體" w:eastAsia="標楷體" w:hAnsi="標楷體"/>
        </w:rPr>
        <w:t>(一)</w:t>
      </w:r>
      <w:r>
        <w:rPr>
          <w:rFonts w:ascii="Times New Roman" w:eastAsia="標楷體" w:hAnsi="Times New Roman"/>
        </w:rPr>
        <w:t>推動產業多元創新</w:t>
      </w:r>
    </w:p>
    <w:p w14:paraId="3E79BAA2"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1.</w:t>
      </w:r>
      <w:r>
        <w:rPr>
          <w:rFonts w:ascii="Times New Roman" w:eastAsia="標楷體" w:hAnsi="Times New Roman"/>
          <w:color w:val="0D0D0D"/>
        </w:rPr>
        <w:t>推動產業結構優化：推動三業四化，以「製造業服務化、服</w:t>
      </w:r>
      <w:r>
        <w:rPr>
          <w:rFonts w:ascii="Times New Roman" w:eastAsia="標楷體" w:hAnsi="Times New Roman"/>
          <w:color w:val="0D0D0D"/>
        </w:rPr>
        <w:lastRenderedPageBreak/>
        <w:t>務業科技化與國際化、傳統產業特色化」為三大主軸，選取亮點產業作為示範案例。</w:t>
      </w:r>
    </w:p>
    <w:p w14:paraId="5EF99C83"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2.</w:t>
      </w:r>
      <w:r>
        <w:rPr>
          <w:rFonts w:ascii="Times New Roman" w:eastAsia="標楷體" w:hAnsi="Times New Roman"/>
          <w:color w:val="0D0D0D"/>
        </w:rPr>
        <w:t>協助傳統產業維新：推動「傳統產業維新方案」，預計</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108</w:t>
      </w:r>
      <w:r>
        <w:rPr>
          <w:rFonts w:ascii="Times New Roman" w:eastAsia="標楷體" w:hAnsi="Times New Roman"/>
          <w:color w:val="0D0D0D"/>
        </w:rPr>
        <w:t>年間維新</w:t>
      </w:r>
      <w:r>
        <w:rPr>
          <w:rFonts w:ascii="Times New Roman" w:eastAsia="標楷體" w:hAnsi="Times New Roman"/>
          <w:color w:val="0D0D0D"/>
        </w:rPr>
        <w:t>50</w:t>
      </w:r>
      <w:r>
        <w:rPr>
          <w:rFonts w:ascii="Times New Roman" w:eastAsia="標楷體" w:hAnsi="Times New Roman"/>
          <w:color w:val="0D0D0D"/>
        </w:rPr>
        <w:t>項產業，預期可發展國際品牌</w:t>
      </w:r>
      <w:r>
        <w:rPr>
          <w:rFonts w:ascii="Times New Roman" w:eastAsia="標楷體" w:hAnsi="Times New Roman"/>
          <w:color w:val="0D0D0D"/>
        </w:rPr>
        <w:t>5</w:t>
      </w:r>
      <w:r>
        <w:rPr>
          <w:rFonts w:ascii="Times New Roman" w:eastAsia="標楷體" w:hAnsi="Times New Roman"/>
          <w:color w:val="0D0D0D"/>
        </w:rPr>
        <w:t>個、新增就業人數</w:t>
      </w:r>
      <w:r>
        <w:rPr>
          <w:rFonts w:ascii="Times New Roman" w:eastAsia="標楷體" w:hAnsi="Times New Roman"/>
          <w:color w:val="0D0D0D"/>
        </w:rPr>
        <w:t>25,000</w:t>
      </w:r>
      <w:r>
        <w:rPr>
          <w:rFonts w:ascii="Times New Roman" w:eastAsia="標楷體" w:hAnsi="Times New Roman"/>
          <w:color w:val="0D0D0D"/>
        </w:rPr>
        <w:t>人、出口金額累計增加</w:t>
      </w:r>
      <w:r>
        <w:rPr>
          <w:rFonts w:ascii="Times New Roman" w:eastAsia="標楷體" w:hAnsi="Times New Roman"/>
          <w:color w:val="0D0D0D"/>
        </w:rPr>
        <w:t>2,000</w:t>
      </w:r>
      <w:r>
        <w:rPr>
          <w:rFonts w:ascii="Times New Roman" w:eastAsia="標楷體" w:hAnsi="Times New Roman"/>
          <w:color w:val="0D0D0D"/>
        </w:rPr>
        <w:t>億元及促進民間投資</w:t>
      </w:r>
      <w:r>
        <w:rPr>
          <w:rFonts w:ascii="Times New Roman" w:eastAsia="標楷體" w:hAnsi="Times New Roman"/>
          <w:color w:val="0D0D0D"/>
        </w:rPr>
        <w:t>500</w:t>
      </w:r>
      <w:r>
        <w:rPr>
          <w:rFonts w:ascii="Times New Roman" w:eastAsia="標楷體" w:hAnsi="Times New Roman"/>
          <w:color w:val="0D0D0D"/>
        </w:rPr>
        <w:t>億元。</w:t>
      </w:r>
    </w:p>
    <w:p w14:paraId="28F62841"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3.</w:t>
      </w:r>
      <w:r>
        <w:rPr>
          <w:rFonts w:ascii="Times New Roman" w:eastAsia="標楷體" w:hAnsi="Times New Roman"/>
          <w:color w:val="0D0D0D"/>
        </w:rPr>
        <w:t>推動中堅企業躍升：</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103</w:t>
      </w:r>
      <w:r>
        <w:rPr>
          <w:rFonts w:ascii="Times New Roman" w:eastAsia="標楷體" w:hAnsi="Times New Roman"/>
          <w:color w:val="0D0D0D"/>
        </w:rPr>
        <w:t>年預計重點輔導</w:t>
      </w:r>
      <w:r>
        <w:rPr>
          <w:rFonts w:ascii="Times New Roman" w:eastAsia="標楷體" w:hAnsi="Times New Roman"/>
          <w:color w:val="0D0D0D"/>
        </w:rPr>
        <w:t>150</w:t>
      </w:r>
      <w:r>
        <w:rPr>
          <w:rFonts w:ascii="Times New Roman" w:eastAsia="標楷體" w:hAnsi="Times New Roman"/>
          <w:color w:val="0D0D0D"/>
        </w:rPr>
        <w:t>家以上具潛力之中小型企業群、表彰卓越中堅企業</w:t>
      </w:r>
      <w:r>
        <w:rPr>
          <w:rFonts w:ascii="Times New Roman" w:eastAsia="標楷體" w:hAnsi="Times New Roman"/>
          <w:color w:val="0D0D0D"/>
        </w:rPr>
        <w:t>30</w:t>
      </w:r>
      <w:r>
        <w:rPr>
          <w:rFonts w:ascii="Times New Roman" w:eastAsia="標楷體" w:hAnsi="Times New Roman"/>
          <w:color w:val="0D0D0D"/>
        </w:rPr>
        <w:t>家、帶動相關投資</w:t>
      </w:r>
      <w:r>
        <w:rPr>
          <w:rFonts w:ascii="Times New Roman" w:eastAsia="標楷體" w:hAnsi="Times New Roman"/>
          <w:color w:val="0D0D0D"/>
        </w:rPr>
        <w:t>1,000</w:t>
      </w:r>
      <w:r>
        <w:rPr>
          <w:rFonts w:ascii="Times New Roman" w:eastAsia="標楷體" w:hAnsi="Times New Roman"/>
          <w:color w:val="0D0D0D"/>
        </w:rPr>
        <w:t>億元及創造</w:t>
      </w:r>
      <w:r>
        <w:rPr>
          <w:rFonts w:ascii="Times New Roman" w:eastAsia="標楷體" w:hAnsi="Times New Roman"/>
          <w:color w:val="0D0D0D"/>
        </w:rPr>
        <w:t>10,000</w:t>
      </w:r>
      <w:r>
        <w:rPr>
          <w:rFonts w:ascii="Times New Roman" w:eastAsia="標楷體" w:hAnsi="Times New Roman"/>
          <w:color w:val="0D0D0D"/>
        </w:rPr>
        <w:t>人就業機會。</w:t>
      </w:r>
    </w:p>
    <w:p w14:paraId="06731737" w14:textId="77777777" w:rsidR="00052596" w:rsidRDefault="00000000">
      <w:pPr>
        <w:pStyle w:val="k3a"/>
        <w:ind w:left="1128" w:hanging="288"/>
        <w:outlineLvl w:val="9"/>
      </w:pPr>
      <w:r>
        <w:rPr>
          <w:rFonts w:ascii="Times New Roman" w:eastAsia="標楷體" w:hAnsi="Times New Roman"/>
          <w:color w:val="0D0D0D"/>
        </w:rPr>
        <w:t>4.</w:t>
      </w:r>
      <w:r>
        <w:rPr>
          <w:rFonts w:ascii="Times New Roman" w:eastAsia="標楷體" w:hAnsi="Times New Roman"/>
          <w:color w:val="0D0D0D"/>
        </w:rPr>
        <w:t>擴大觀光服務能量：持續辦理「臺灣觀光年曆推動計畫」及「旅行臺灣</w:t>
      </w:r>
      <w:r>
        <w:rPr>
          <w:rFonts w:ascii="Times New Roman" w:eastAsia="標楷體" w:hAnsi="Times New Roman"/>
          <w:color w:val="0D0D0D"/>
        </w:rPr>
        <w:t xml:space="preserve"> </w:t>
      </w:r>
      <w:r>
        <w:rPr>
          <w:rFonts w:ascii="Times New Roman" w:eastAsia="標楷體" w:hAnsi="Times New Roman"/>
          <w:color w:val="0D0D0D"/>
        </w:rPr>
        <w:t>就是現在</w:t>
      </w:r>
      <w:r>
        <w:rPr>
          <w:rFonts w:ascii="標楷體" w:eastAsia="標楷體" w:hAnsi="標楷體"/>
          <w:color w:val="0D0D0D"/>
        </w:rPr>
        <w:t>(</w:t>
      </w:r>
      <w:r>
        <w:rPr>
          <w:rFonts w:ascii="Times New Roman" w:eastAsia="標楷體" w:hAnsi="Times New Roman"/>
          <w:color w:val="0D0D0D"/>
        </w:rPr>
        <w:t>Time for Taiwan</w:t>
      </w:r>
      <w:r>
        <w:rPr>
          <w:rFonts w:ascii="標楷體" w:eastAsia="標楷體" w:hAnsi="標楷體"/>
          <w:color w:val="0D0D0D"/>
        </w:rPr>
        <w:t>)</w:t>
      </w:r>
      <w:r>
        <w:rPr>
          <w:rFonts w:ascii="Times New Roman" w:eastAsia="標楷體" w:hAnsi="Times New Roman"/>
          <w:color w:val="0D0D0D"/>
        </w:rPr>
        <w:t>行銷推廣計畫」，並開發高價值客源來臺。預計</w:t>
      </w:r>
      <w:r>
        <w:rPr>
          <w:rFonts w:ascii="Times New Roman" w:eastAsia="標楷體" w:hAnsi="Times New Roman"/>
          <w:color w:val="0D0D0D"/>
        </w:rPr>
        <w:t>105</w:t>
      </w:r>
      <w:r>
        <w:rPr>
          <w:rFonts w:ascii="Times New Roman" w:eastAsia="標楷體" w:hAnsi="Times New Roman"/>
          <w:color w:val="0D0D0D"/>
        </w:rPr>
        <w:t>年達成來臺旅客</w:t>
      </w:r>
      <w:r>
        <w:rPr>
          <w:rFonts w:ascii="Times New Roman" w:eastAsia="標楷體" w:hAnsi="Times New Roman"/>
          <w:color w:val="0D0D0D"/>
        </w:rPr>
        <w:t>1,000</w:t>
      </w:r>
      <w:r>
        <w:rPr>
          <w:rFonts w:ascii="Times New Roman" w:eastAsia="標楷體" w:hAnsi="Times New Roman"/>
          <w:color w:val="0D0D0D"/>
        </w:rPr>
        <w:t>萬人次、觀光外匯收入</w:t>
      </w:r>
      <w:r>
        <w:rPr>
          <w:rFonts w:ascii="Times New Roman" w:eastAsia="標楷體" w:hAnsi="Times New Roman"/>
          <w:color w:val="0D0D0D"/>
        </w:rPr>
        <w:t>4,700</w:t>
      </w:r>
      <w:r>
        <w:rPr>
          <w:rFonts w:ascii="Times New Roman" w:eastAsia="標楷體" w:hAnsi="Times New Roman"/>
          <w:color w:val="0D0D0D"/>
        </w:rPr>
        <w:t>億元、星級旅館</w:t>
      </w:r>
      <w:r>
        <w:rPr>
          <w:rFonts w:ascii="Times New Roman" w:eastAsia="標楷體" w:hAnsi="Times New Roman"/>
          <w:color w:val="0D0D0D"/>
        </w:rPr>
        <w:t>550</w:t>
      </w:r>
      <w:r>
        <w:rPr>
          <w:rFonts w:ascii="Times New Roman" w:eastAsia="標楷體" w:hAnsi="Times New Roman"/>
          <w:color w:val="0D0D0D"/>
        </w:rPr>
        <w:t>家、好客民宿</w:t>
      </w:r>
      <w:r>
        <w:rPr>
          <w:rFonts w:ascii="Times New Roman" w:eastAsia="標楷體" w:hAnsi="Times New Roman"/>
          <w:color w:val="0D0D0D"/>
        </w:rPr>
        <w:t>1,000</w:t>
      </w:r>
      <w:r>
        <w:rPr>
          <w:rFonts w:ascii="Times New Roman" w:eastAsia="標楷體" w:hAnsi="Times New Roman"/>
          <w:color w:val="0D0D0D"/>
        </w:rPr>
        <w:t>家之目標。</w:t>
      </w:r>
    </w:p>
    <w:p w14:paraId="084E450B" w14:textId="77777777" w:rsidR="00052596" w:rsidRDefault="00000000">
      <w:pPr>
        <w:pStyle w:val="k3a"/>
        <w:ind w:left="1128" w:hanging="288"/>
        <w:outlineLvl w:val="9"/>
      </w:pPr>
      <w:r>
        <w:rPr>
          <w:rFonts w:ascii="Times New Roman" w:eastAsia="標楷體" w:hAnsi="Times New Roman"/>
          <w:color w:val="0D0D0D"/>
        </w:rPr>
        <w:t>5.</w:t>
      </w:r>
      <w:r>
        <w:rPr>
          <w:rFonts w:ascii="Times New Roman" w:eastAsia="標楷體" w:hAnsi="Times New Roman"/>
          <w:color w:val="0D0D0D"/>
        </w:rPr>
        <w:t>活化金融永續發展：積極推動「發展具兩岸特色之金融業務」及「發展以臺灣為主之國人理財平臺」，並配合兩岸貨幣清算機制建立時程，開放國銀國際金融業務分行</w:t>
      </w:r>
      <w:r>
        <w:rPr>
          <w:rFonts w:ascii="標楷體" w:eastAsia="標楷體" w:hAnsi="標楷體"/>
          <w:color w:val="0D0D0D"/>
        </w:rPr>
        <w:t>(</w:t>
      </w:r>
      <w:r>
        <w:rPr>
          <w:rFonts w:ascii="Times New Roman" w:eastAsia="標楷體" w:hAnsi="Times New Roman"/>
          <w:color w:val="0D0D0D"/>
        </w:rPr>
        <w:t>OBU</w:t>
      </w:r>
      <w:r>
        <w:rPr>
          <w:rFonts w:ascii="標楷體" w:eastAsia="標楷體" w:hAnsi="標楷體"/>
          <w:color w:val="0D0D0D"/>
        </w:rPr>
        <w:t>)人</w:t>
      </w:r>
      <w:r>
        <w:rPr>
          <w:rFonts w:ascii="Times New Roman" w:eastAsia="標楷體" w:hAnsi="Times New Roman"/>
          <w:color w:val="0D0D0D"/>
        </w:rPr>
        <w:t>民幣存款同業帳戶開戶，持續協助金融產業發展。</w:t>
      </w:r>
    </w:p>
    <w:p w14:paraId="3DBB62FB"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6.</w:t>
      </w:r>
      <w:r>
        <w:rPr>
          <w:rFonts w:ascii="Times New Roman" w:eastAsia="標楷體" w:hAnsi="Times New Roman"/>
          <w:color w:val="0D0D0D"/>
        </w:rPr>
        <w:t>輔導農民進行農業節水生產：規劃</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109</w:t>
      </w:r>
      <w:r>
        <w:rPr>
          <w:rFonts w:ascii="Times New Roman" w:eastAsia="標楷體" w:hAnsi="Times New Roman"/>
          <w:color w:val="0D0D0D"/>
        </w:rPr>
        <w:t>年推動「黃金廊道農業新方案」，輔導農民從事低耗水性農業生產，發展農業節水生產專區，預計於</w:t>
      </w:r>
      <w:r>
        <w:rPr>
          <w:rFonts w:ascii="Times New Roman" w:eastAsia="標楷體" w:hAnsi="Times New Roman"/>
          <w:color w:val="0D0D0D"/>
        </w:rPr>
        <w:t>105</w:t>
      </w:r>
      <w:r>
        <w:rPr>
          <w:rFonts w:ascii="Times New Roman" w:eastAsia="標楷體" w:hAnsi="Times New Roman"/>
          <w:color w:val="0D0D0D"/>
        </w:rPr>
        <w:t>年時每年將可減少</w:t>
      </w:r>
      <w:r>
        <w:rPr>
          <w:rFonts w:ascii="Times New Roman" w:eastAsia="標楷體" w:hAnsi="Times New Roman"/>
          <w:color w:val="0D0D0D"/>
        </w:rPr>
        <w:t>1,400</w:t>
      </w:r>
      <w:r>
        <w:rPr>
          <w:rFonts w:ascii="Times New Roman" w:eastAsia="標楷體" w:hAnsi="Times New Roman"/>
          <w:color w:val="0D0D0D"/>
        </w:rPr>
        <w:t>萬噸用水，並累計帶動農業旅遊</w:t>
      </w:r>
      <w:r>
        <w:rPr>
          <w:rFonts w:ascii="Times New Roman" w:eastAsia="標楷體" w:hAnsi="Times New Roman"/>
          <w:color w:val="0D0D0D"/>
        </w:rPr>
        <w:t>55,000</w:t>
      </w:r>
      <w:r>
        <w:rPr>
          <w:rFonts w:ascii="Times New Roman" w:eastAsia="標楷體" w:hAnsi="Times New Roman"/>
          <w:color w:val="0D0D0D"/>
        </w:rPr>
        <w:t>人次。</w:t>
      </w:r>
    </w:p>
    <w:p w14:paraId="58D1028F" w14:textId="77777777" w:rsidR="00052596" w:rsidRDefault="00000000">
      <w:pPr>
        <w:pStyle w:val="k2a"/>
        <w:ind w:left="817" w:hanging="577"/>
        <w:outlineLvl w:val="9"/>
      </w:pPr>
      <w:r>
        <w:rPr>
          <w:rFonts w:ascii="標楷體" w:eastAsia="標楷體" w:hAnsi="標楷體"/>
        </w:rPr>
        <w:t>(二)促</w:t>
      </w:r>
      <w:r>
        <w:rPr>
          <w:rFonts w:ascii="Times New Roman" w:eastAsia="標楷體" w:hAnsi="Times New Roman"/>
        </w:rPr>
        <w:t>進輸出拓展市場</w:t>
      </w:r>
    </w:p>
    <w:p w14:paraId="655C1DCF"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1.</w:t>
      </w:r>
      <w:r>
        <w:rPr>
          <w:rFonts w:ascii="Times New Roman" w:eastAsia="標楷體" w:hAnsi="Times New Roman"/>
          <w:color w:val="0D0D0D"/>
        </w:rPr>
        <w:t>強化新興市場資訊並增設據點：每年至少進行</w:t>
      </w:r>
      <w:r>
        <w:rPr>
          <w:rFonts w:ascii="Times New Roman" w:eastAsia="標楷體" w:hAnsi="Times New Roman"/>
          <w:color w:val="0D0D0D"/>
        </w:rPr>
        <w:t>16</w:t>
      </w:r>
      <w:r>
        <w:rPr>
          <w:rFonts w:ascii="Times New Roman" w:eastAsia="標楷體" w:hAnsi="Times New Roman"/>
          <w:color w:val="0D0D0D"/>
        </w:rPr>
        <w:t>個新興市場城市、</w:t>
      </w:r>
      <w:r>
        <w:rPr>
          <w:rFonts w:ascii="Times New Roman" w:eastAsia="標楷體" w:hAnsi="Times New Roman"/>
          <w:color w:val="0D0D0D"/>
        </w:rPr>
        <w:t>14</w:t>
      </w:r>
      <w:r>
        <w:rPr>
          <w:rFonts w:ascii="Times New Roman" w:eastAsia="標楷體" w:hAnsi="Times New Roman"/>
          <w:color w:val="0D0D0D"/>
        </w:rPr>
        <w:t>個產品品項之研究；於新興市場之商業大城增設據點，</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102</w:t>
      </w:r>
      <w:r>
        <w:rPr>
          <w:rFonts w:ascii="Times New Roman" w:eastAsia="標楷體" w:hAnsi="Times New Roman"/>
          <w:color w:val="0D0D0D"/>
        </w:rPr>
        <w:t>年預計增設</w:t>
      </w:r>
      <w:r>
        <w:rPr>
          <w:rFonts w:ascii="Times New Roman" w:eastAsia="標楷體" w:hAnsi="Times New Roman"/>
          <w:color w:val="0D0D0D"/>
        </w:rPr>
        <w:t>4</w:t>
      </w:r>
      <w:r>
        <w:rPr>
          <w:rFonts w:ascii="Times New Roman" w:eastAsia="標楷體" w:hAnsi="Times New Roman"/>
          <w:color w:val="0D0D0D"/>
        </w:rPr>
        <w:t>個據點，</w:t>
      </w:r>
      <w:r>
        <w:rPr>
          <w:rFonts w:ascii="Times New Roman" w:eastAsia="標楷體" w:hAnsi="Times New Roman"/>
          <w:color w:val="0D0D0D"/>
        </w:rPr>
        <w:t>103</w:t>
      </w:r>
      <w:r>
        <w:rPr>
          <w:rFonts w:ascii="Times New Roman" w:eastAsia="標楷體" w:hAnsi="Times New Roman"/>
          <w:color w:val="0D0D0D"/>
        </w:rPr>
        <w:t>至</w:t>
      </w:r>
      <w:r>
        <w:rPr>
          <w:rFonts w:ascii="Times New Roman" w:eastAsia="標楷體" w:hAnsi="Times New Roman"/>
          <w:color w:val="0D0D0D"/>
        </w:rPr>
        <w:t>104</w:t>
      </w:r>
      <w:r>
        <w:rPr>
          <w:rFonts w:ascii="Times New Roman" w:eastAsia="標楷體" w:hAnsi="Times New Roman"/>
          <w:color w:val="0D0D0D"/>
        </w:rPr>
        <w:t>年每年增設</w:t>
      </w:r>
      <w:r>
        <w:rPr>
          <w:rFonts w:ascii="Times New Roman" w:eastAsia="標楷體" w:hAnsi="Times New Roman"/>
          <w:color w:val="0D0D0D"/>
        </w:rPr>
        <w:t>1</w:t>
      </w:r>
      <w:r>
        <w:rPr>
          <w:rFonts w:ascii="Times New Roman" w:eastAsia="標楷體" w:hAnsi="Times New Roman"/>
          <w:color w:val="0D0D0D"/>
        </w:rPr>
        <w:t>個據點。</w:t>
      </w:r>
    </w:p>
    <w:p w14:paraId="19F083B0"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2.</w:t>
      </w:r>
      <w:r>
        <w:rPr>
          <w:rFonts w:ascii="Times New Roman" w:eastAsia="標楷體" w:hAnsi="Times New Roman"/>
          <w:color w:val="0D0D0D"/>
        </w:rPr>
        <w:t>強化服務輸出競爭力：鎖定具國際競爭力之服務業進行海外行銷推廣，輔導臺灣企業運用電子商務跨境行銷中國大陸市場，</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104</w:t>
      </w:r>
      <w:r>
        <w:rPr>
          <w:rFonts w:ascii="Times New Roman" w:eastAsia="標楷體" w:hAnsi="Times New Roman"/>
          <w:color w:val="0D0D0D"/>
        </w:rPr>
        <w:t>年預計輔導廠商</w:t>
      </w:r>
      <w:r>
        <w:rPr>
          <w:rFonts w:ascii="Times New Roman" w:eastAsia="標楷體" w:hAnsi="Times New Roman"/>
          <w:color w:val="0D0D0D"/>
        </w:rPr>
        <w:t>370</w:t>
      </w:r>
      <w:r>
        <w:rPr>
          <w:rFonts w:ascii="Times New Roman" w:eastAsia="標楷體" w:hAnsi="Times New Roman"/>
          <w:color w:val="0D0D0D"/>
        </w:rPr>
        <w:t>家。</w:t>
      </w:r>
    </w:p>
    <w:p w14:paraId="3AF8C996" w14:textId="77777777" w:rsidR="00052596" w:rsidRDefault="00000000">
      <w:pPr>
        <w:pStyle w:val="k3a"/>
        <w:ind w:left="1128" w:hanging="288"/>
        <w:outlineLvl w:val="9"/>
      </w:pPr>
      <w:r>
        <w:rPr>
          <w:rFonts w:ascii="Times New Roman" w:eastAsia="標楷體" w:hAnsi="Times New Roman"/>
          <w:color w:val="0D0D0D"/>
        </w:rPr>
        <w:t>3.</w:t>
      </w:r>
      <w:r>
        <w:rPr>
          <w:rFonts w:ascii="Times New Roman" w:eastAsia="標楷體" w:hAnsi="Times New Roman"/>
          <w:color w:val="0D0D0D"/>
        </w:rPr>
        <w:t>擴大會展商機：</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年預定舉辦國際會議</w:t>
      </w:r>
      <w:r>
        <w:rPr>
          <w:rFonts w:ascii="Times New Roman" w:eastAsia="標楷體" w:hAnsi="Times New Roman"/>
          <w:color w:val="0D0D0D"/>
        </w:rPr>
        <w:t>1,000</w:t>
      </w:r>
      <w:r>
        <w:rPr>
          <w:rFonts w:ascii="Times New Roman" w:eastAsia="標楷體" w:hAnsi="Times New Roman"/>
          <w:color w:val="0D0D0D"/>
        </w:rPr>
        <w:t>場及展</w:t>
      </w:r>
      <w:r>
        <w:rPr>
          <w:rFonts w:ascii="Times New Roman" w:eastAsia="標楷體" w:hAnsi="Times New Roman"/>
          <w:color w:val="0D0D0D"/>
        </w:rPr>
        <w:lastRenderedPageBreak/>
        <w:t>覽活動</w:t>
      </w:r>
      <w:r>
        <w:rPr>
          <w:rFonts w:ascii="標楷體" w:eastAsia="標楷體" w:hAnsi="標楷體"/>
          <w:color w:val="0D0D0D"/>
        </w:rPr>
        <w:t>(</w:t>
      </w:r>
      <w:r>
        <w:rPr>
          <w:rFonts w:ascii="Times New Roman" w:eastAsia="標楷體" w:hAnsi="Times New Roman"/>
          <w:color w:val="0D0D0D"/>
        </w:rPr>
        <w:t>含獎勵旅</w:t>
      </w:r>
      <w:r>
        <w:rPr>
          <w:rFonts w:ascii="標楷體" w:eastAsia="標楷體" w:hAnsi="標楷體"/>
          <w:color w:val="0D0D0D"/>
        </w:rPr>
        <w:t>遊)</w:t>
      </w:r>
      <w:r>
        <w:rPr>
          <w:rFonts w:ascii="Times New Roman" w:eastAsia="標楷體" w:hAnsi="Times New Roman"/>
          <w:color w:val="0D0D0D"/>
        </w:rPr>
        <w:t>1,000</w:t>
      </w:r>
      <w:r>
        <w:rPr>
          <w:rFonts w:ascii="Times New Roman" w:eastAsia="標楷體" w:hAnsi="Times New Roman"/>
          <w:color w:val="0D0D0D"/>
        </w:rPr>
        <w:t>檔，吸引國外人士來臺消費，帶動會展及週邊產業商機達</w:t>
      </w:r>
      <w:r>
        <w:rPr>
          <w:rFonts w:ascii="Times New Roman" w:eastAsia="標楷體" w:hAnsi="Times New Roman"/>
          <w:color w:val="0D0D0D"/>
        </w:rPr>
        <w:t>900</w:t>
      </w:r>
      <w:r>
        <w:rPr>
          <w:rFonts w:ascii="Times New Roman" w:eastAsia="標楷體" w:hAnsi="Times New Roman"/>
          <w:color w:val="0D0D0D"/>
        </w:rPr>
        <w:t>億元。</w:t>
      </w:r>
    </w:p>
    <w:p w14:paraId="755A4061" w14:textId="77777777" w:rsidR="00052596" w:rsidRDefault="00000000">
      <w:pPr>
        <w:pStyle w:val="k3a"/>
        <w:ind w:left="1128" w:hanging="288"/>
        <w:outlineLvl w:val="9"/>
      </w:pPr>
      <w:r>
        <w:rPr>
          <w:rFonts w:ascii="Times New Roman" w:eastAsia="標楷體" w:hAnsi="Times New Roman"/>
          <w:color w:val="0D0D0D"/>
        </w:rPr>
        <w:t>4.</w:t>
      </w:r>
      <w:r>
        <w:rPr>
          <w:rFonts w:ascii="Times New Roman" w:eastAsia="標楷體" w:hAnsi="Times New Roman"/>
          <w:color w:val="0D0D0D"/>
          <w:spacing w:val="6"/>
        </w:rPr>
        <w:t>協助廠商創新國際行銷模式：提供專案資源及結合法人能量，並遴選領頭廠商帶領其他廠商，以水平或垂直整合模式共同拓展新興市場。</w:t>
      </w:r>
      <w:r>
        <w:rPr>
          <w:rFonts w:ascii="Times New Roman" w:eastAsia="標楷體" w:hAnsi="Times New Roman"/>
          <w:color w:val="0D0D0D"/>
          <w:spacing w:val="6"/>
        </w:rPr>
        <w:t>101</w:t>
      </w:r>
      <w:r>
        <w:rPr>
          <w:rFonts w:ascii="Times New Roman" w:eastAsia="標楷體" w:hAnsi="Times New Roman"/>
          <w:color w:val="0D0D0D"/>
          <w:spacing w:val="6"/>
        </w:rPr>
        <w:t>至</w:t>
      </w:r>
      <w:r>
        <w:rPr>
          <w:rFonts w:ascii="Times New Roman" w:eastAsia="標楷體" w:hAnsi="Times New Roman"/>
          <w:color w:val="0D0D0D"/>
          <w:spacing w:val="6"/>
        </w:rPr>
        <w:t>104</w:t>
      </w:r>
      <w:r>
        <w:rPr>
          <w:rFonts w:ascii="Times New Roman" w:eastAsia="標楷體" w:hAnsi="Times New Roman"/>
          <w:color w:val="0D0D0D"/>
          <w:spacing w:val="6"/>
        </w:rPr>
        <w:t>年預計推動</w:t>
      </w:r>
      <w:r>
        <w:rPr>
          <w:rFonts w:ascii="Times New Roman" w:eastAsia="標楷體" w:hAnsi="Times New Roman"/>
          <w:color w:val="0D0D0D"/>
          <w:spacing w:val="6"/>
        </w:rPr>
        <w:t>8~10</w:t>
      </w:r>
      <w:r>
        <w:rPr>
          <w:rFonts w:ascii="Times New Roman" w:eastAsia="標楷體" w:hAnsi="Times New Roman"/>
          <w:color w:val="0D0D0D"/>
          <w:spacing w:val="6"/>
        </w:rPr>
        <w:t>個整合示範案例。</w:t>
      </w:r>
    </w:p>
    <w:p w14:paraId="2264AE9E"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5.</w:t>
      </w:r>
      <w:r>
        <w:rPr>
          <w:rFonts w:ascii="Times New Roman" w:eastAsia="標楷體" w:hAnsi="Times New Roman"/>
          <w:color w:val="0D0D0D"/>
        </w:rPr>
        <w:t>推動自由貿易港區多元發展：鬆綁及革新法規制度，促使臺灣港務公司轉型發展多角化核心業務、擴大自由貿易港區營運面積。</w:t>
      </w:r>
      <w:r>
        <w:rPr>
          <w:rFonts w:ascii="Times New Roman" w:eastAsia="標楷體" w:hAnsi="Times New Roman"/>
          <w:color w:val="0D0D0D"/>
        </w:rPr>
        <w:t>102</w:t>
      </w:r>
      <w:r>
        <w:rPr>
          <w:rFonts w:ascii="Times New Roman" w:eastAsia="標楷體" w:hAnsi="Times New Roman"/>
          <w:color w:val="0D0D0D"/>
        </w:rPr>
        <w:t>年預計完成臺中港自由港區增設港埠發展專業區</w:t>
      </w:r>
      <w:r>
        <w:rPr>
          <w:rFonts w:ascii="Times New Roman" w:eastAsia="標楷體" w:hAnsi="Times New Roman"/>
          <w:color w:val="0D0D0D"/>
        </w:rPr>
        <w:t>82.5</w:t>
      </w:r>
      <w:r>
        <w:rPr>
          <w:rFonts w:ascii="Times New Roman" w:eastAsia="標楷體" w:hAnsi="Times New Roman"/>
          <w:color w:val="0D0D0D"/>
        </w:rPr>
        <w:t>公頃土地，</w:t>
      </w:r>
      <w:r>
        <w:rPr>
          <w:rFonts w:ascii="Times New Roman" w:eastAsia="標楷體" w:hAnsi="Times New Roman"/>
          <w:color w:val="0D0D0D"/>
        </w:rPr>
        <w:t>103</w:t>
      </w:r>
      <w:r>
        <w:rPr>
          <w:rFonts w:ascii="Times New Roman" w:eastAsia="標楷體" w:hAnsi="Times New Roman"/>
          <w:color w:val="0D0D0D"/>
        </w:rPr>
        <w:t>年預計完成高雄港自由港區增設南星計畫區</w:t>
      </w:r>
      <w:r>
        <w:rPr>
          <w:rFonts w:ascii="Times New Roman" w:eastAsia="標楷體" w:hAnsi="Times New Roman"/>
          <w:color w:val="0D0D0D"/>
        </w:rPr>
        <w:t>53</w:t>
      </w:r>
      <w:r>
        <w:rPr>
          <w:rFonts w:ascii="Times New Roman" w:eastAsia="標楷體" w:hAnsi="Times New Roman"/>
          <w:color w:val="0D0D0D"/>
        </w:rPr>
        <w:t>公頃土地。</w:t>
      </w:r>
    </w:p>
    <w:p w14:paraId="0B8BB41A" w14:textId="77777777" w:rsidR="00052596" w:rsidRDefault="00000000">
      <w:pPr>
        <w:pStyle w:val="k3a"/>
        <w:ind w:left="1128" w:hanging="288"/>
        <w:outlineLvl w:val="9"/>
      </w:pPr>
      <w:r>
        <w:rPr>
          <w:rFonts w:ascii="Times New Roman" w:eastAsia="標楷體" w:hAnsi="Times New Roman"/>
          <w:color w:val="0D0D0D"/>
        </w:rPr>
        <w:t>6.</w:t>
      </w:r>
      <w:r>
        <w:rPr>
          <w:rFonts w:ascii="Times New Roman" w:eastAsia="標楷體" w:hAnsi="Times New Roman"/>
          <w:color w:val="0D0D0D"/>
        </w:rPr>
        <w:t>積極加入區域經濟整合：持續推動與重要貿易夥伴洽簽經濟合作協議</w:t>
      </w:r>
      <w:r>
        <w:rPr>
          <w:rFonts w:ascii="標楷體" w:eastAsia="標楷體" w:hAnsi="標楷體"/>
          <w:color w:val="0D0D0D"/>
        </w:rPr>
        <w:t>(</w:t>
      </w:r>
      <w:r>
        <w:rPr>
          <w:rFonts w:ascii="Times New Roman" w:eastAsia="標楷體" w:hAnsi="Times New Roman"/>
          <w:color w:val="0D0D0D"/>
        </w:rPr>
        <w:t>ECA</w:t>
      </w:r>
      <w:r>
        <w:rPr>
          <w:rFonts w:ascii="標楷體" w:eastAsia="標楷體" w:hAnsi="標楷體"/>
          <w:color w:val="0D0D0D"/>
        </w:rPr>
        <w:t>)</w:t>
      </w:r>
      <w:r>
        <w:rPr>
          <w:rFonts w:ascii="Times New Roman" w:eastAsia="標楷體" w:hAnsi="Times New Roman"/>
          <w:color w:val="0D0D0D"/>
        </w:rPr>
        <w:t>，加速完成海峽兩岸經濟合作架構協議</w:t>
      </w:r>
      <w:r>
        <w:rPr>
          <w:rFonts w:ascii="標楷體" w:eastAsia="標楷體" w:hAnsi="標楷體"/>
          <w:color w:val="0D0D0D"/>
        </w:rPr>
        <w:t>(</w:t>
      </w:r>
      <w:r>
        <w:rPr>
          <w:rFonts w:ascii="Times New Roman" w:eastAsia="標楷體" w:hAnsi="Times New Roman"/>
          <w:color w:val="0D0D0D"/>
        </w:rPr>
        <w:t>ECFA</w:t>
      </w:r>
      <w:r>
        <w:rPr>
          <w:rFonts w:ascii="標楷體" w:eastAsia="標楷體" w:hAnsi="標楷體"/>
          <w:color w:val="0D0D0D"/>
        </w:rPr>
        <w:t>)</w:t>
      </w:r>
      <w:r>
        <w:rPr>
          <w:rFonts w:ascii="Times New Roman" w:eastAsia="標楷體" w:hAnsi="Times New Roman"/>
          <w:color w:val="0D0D0D"/>
        </w:rPr>
        <w:t>後續協議談判，並創造有利條件，於</w:t>
      </w:r>
      <w:r>
        <w:rPr>
          <w:rFonts w:ascii="Times New Roman" w:eastAsia="標楷體" w:hAnsi="Times New Roman"/>
          <w:color w:val="0D0D0D"/>
        </w:rPr>
        <w:t>8</w:t>
      </w:r>
      <w:r>
        <w:rPr>
          <w:rFonts w:ascii="Times New Roman" w:eastAsia="標楷體" w:hAnsi="Times New Roman"/>
          <w:color w:val="0D0D0D"/>
        </w:rPr>
        <w:t>年內加入跨太平洋夥伴協定</w:t>
      </w:r>
      <w:r>
        <w:rPr>
          <w:rFonts w:ascii="標楷體" w:eastAsia="標楷體" w:hAnsi="標楷體"/>
          <w:color w:val="0D0D0D"/>
        </w:rPr>
        <w:t>(</w:t>
      </w:r>
      <w:r>
        <w:rPr>
          <w:rFonts w:ascii="Times New Roman" w:eastAsia="標楷體" w:hAnsi="Times New Roman"/>
          <w:color w:val="0D0D0D"/>
        </w:rPr>
        <w:t>TPP</w:t>
      </w:r>
      <w:r>
        <w:rPr>
          <w:rFonts w:ascii="標楷體" w:eastAsia="標楷體" w:hAnsi="標楷體"/>
          <w:color w:val="0D0D0D"/>
        </w:rPr>
        <w:t>)</w:t>
      </w:r>
      <w:r>
        <w:rPr>
          <w:rFonts w:ascii="Times New Roman" w:eastAsia="標楷體" w:hAnsi="Times New Roman"/>
          <w:color w:val="0D0D0D"/>
        </w:rPr>
        <w:t>。</w:t>
      </w:r>
    </w:p>
    <w:p w14:paraId="0988EE9D" w14:textId="77777777" w:rsidR="00052596" w:rsidRDefault="00000000">
      <w:pPr>
        <w:pStyle w:val="k2a"/>
        <w:ind w:left="817" w:hanging="577"/>
        <w:outlineLvl w:val="9"/>
      </w:pPr>
      <w:r>
        <w:rPr>
          <w:rFonts w:ascii="標楷體" w:eastAsia="標楷體" w:hAnsi="標楷體"/>
        </w:rPr>
        <w:t>(三)</w:t>
      </w:r>
      <w:r>
        <w:rPr>
          <w:rFonts w:ascii="Times New Roman" w:eastAsia="標楷體" w:hAnsi="Times New Roman"/>
        </w:rPr>
        <w:t>強化產業人力培訓</w:t>
      </w:r>
    </w:p>
    <w:p w14:paraId="6536B41B"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1.</w:t>
      </w:r>
      <w:r>
        <w:rPr>
          <w:rFonts w:ascii="Times New Roman" w:eastAsia="標楷體" w:hAnsi="Times New Roman"/>
          <w:color w:val="0D0D0D"/>
        </w:rPr>
        <w:t>結合產業需求，強化產學合作：積極推動「縮短學訓考用落差方案」，強化產業導向之產學合作，</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年每年預計培育</w:t>
      </w:r>
      <w:r>
        <w:rPr>
          <w:rFonts w:ascii="Times New Roman" w:eastAsia="標楷體" w:hAnsi="Times New Roman"/>
          <w:color w:val="0D0D0D"/>
        </w:rPr>
        <w:t>4,550</w:t>
      </w:r>
      <w:r>
        <w:rPr>
          <w:rFonts w:ascii="Times New Roman" w:eastAsia="標楷體" w:hAnsi="Times New Roman"/>
          <w:color w:val="0D0D0D"/>
        </w:rPr>
        <w:t>位產業所需人才。</w:t>
      </w:r>
    </w:p>
    <w:p w14:paraId="7EA85D0D"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2.</w:t>
      </w:r>
      <w:r>
        <w:rPr>
          <w:rFonts w:ascii="Times New Roman" w:eastAsia="標楷體" w:hAnsi="Times New Roman"/>
          <w:color w:val="0D0D0D"/>
        </w:rPr>
        <w:t>協助青年提升就業力：執行「青年人才培訓深耕方案」，針對</w:t>
      </w:r>
      <w:r>
        <w:rPr>
          <w:rFonts w:ascii="Times New Roman" w:eastAsia="標楷體" w:hAnsi="Times New Roman"/>
          <w:color w:val="0D0D0D"/>
        </w:rPr>
        <w:t>15</w:t>
      </w:r>
      <w:r>
        <w:rPr>
          <w:rFonts w:ascii="Times New Roman" w:eastAsia="標楷體" w:hAnsi="Times New Roman"/>
          <w:color w:val="0D0D0D"/>
        </w:rPr>
        <w:t>至</w:t>
      </w:r>
      <w:r>
        <w:rPr>
          <w:rFonts w:ascii="Times New Roman" w:eastAsia="標楷體" w:hAnsi="Times New Roman"/>
          <w:color w:val="0D0D0D"/>
        </w:rPr>
        <w:t>29</w:t>
      </w:r>
      <w:r>
        <w:rPr>
          <w:rFonts w:ascii="Times New Roman" w:eastAsia="標楷體" w:hAnsi="Times New Roman"/>
          <w:color w:val="0D0D0D"/>
        </w:rPr>
        <w:t>歲青年辦理訓練，</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年預計訓練</w:t>
      </w:r>
      <w:r>
        <w:rPr>
          <w:rFonts w:ascii="Times New Roman" w:eastAsia="標楷體" w:hAnsi="Times New Roman"/>
          <w:color w:val="0D0D0D"/>
        </w:rPr>
        <w:t>139,130</w:t>
      </w:r>
      <w:r>
        <w:rPr>
          <w:rFonts w:ascii="Times New Roman" w:eastAsia="標楷體" w:hAnsi="Times New Roman"/>
          <w:color w:val="0D0D0D"/>
        </w:rPr>
        <w:t>人。</w:t>
      </w:r>
    </w:p>
    <w:p w14:paraId="1C06B57C"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3.</w:t>
      </w:r>
      <w:r>
        <w:rPr>
          <w:rFonts w:ascii="Times New Roman" w:eastAsia="標楷體" w:hAnsi="Times New Roman"/>
          <w:color w:val="0D0D0D"/>
        </w:rPr>
        <w:t>落實職業證照法制化：強化職場就業能力，使技職校院師生取得國、內外證照數每年成長</w:t>
      </w:r>
      <w:r>
        <w:rPr>
          <w:rFonts w:ascii="Times New Roman" w:eastAsia="標楷體" w:hAnsi="Times New Roman"/>
          <w:color w:val="0D0D0D"/>
        </w:rPr>
        <w:t>20%</w:t>
      </w:r>
      <w:r>
        <w:rPr>
          <w:rFonts w:ascii="Times New Roman" w:eastAsia="標楷體" w:hAnsi="Times New Roman"/>
          <w:color w:val="0D0D0D"/>
        </w:rPr>
        <w:t>。</w:t>
      </w:r>
    </w:p>
    <w:p w14:paraId="486D0FF7"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4.</w:t>
      </w:r>
      <w:r>
        <w:rPr>
          <w:rFonts w:ascii="Times New Roman" w:eastAsia="標楷體" w:hAnsi="Times New Roman"/>
          <w:color w:val="0D0D0D"/>
        </w:rPr>
        <w:t>強化產學訓之銜接：建置職能基準及營運能力鑑定，</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103</w:t>
      </w:r>
      <w:r>
        <w:rPr>
          <w:rFonts w:ascii="Times New Roman" w:eastAsia="標楷體" w:hAnsi="Times New Roman"/>
          <w:color w:val="0D0D0D"/>
        </w:rPr>
        <w:t>年預計建置職能基準</w:t>
      </w:r>
      <w:r>
        <w:rPr>
          <w:rFonts w:ascii="Times New Roman" w:eastAsia="標楷體" w:hAnsi="Times New Roman"/>
          <w:color w:val="0D0D0D"/>
        </w:rPr>
        <w:t>6</w:t>
      </w:r>
      <w:r>
        <w:rPr>
          <w:rFonts w:ascii="Times New Roman" w:eastAsia="標楷體" w:hAnsi="Times New Roman"/>
          <w:color w:val="0D0D0D"/>
        </w:rPr>
        <w:t>項及營運能力鑑定</w:t>
      </w:r>
      <w:r>
        <w:rPr>
          <w:rFonts w:ascii="Times New Roman" w:eastAsia="標楷體" w:hAnsi="Times New Roman"/>
          <w:color w:val="0D0D0D"/>
        </w:rPr>
        <w:t>3</w:t>
      </w:r>
      <w:r>
        <w:rPr>
          <w:rFonts w:ascii="Times New Roman" w:eastAsia="標楷體" w:hAnsi="Times New Roman"/>
          <w:color w:val="0D0D0D"/>
        </w:rPr>
        <w:t>項，並至少推廣</w:t>
      </w:r>
      <w:r>
        <w:rPr>
          <w:rFonts w:ascii="Times New Roman" w:eastAsia="標楷體" w:hAnsi="Times New Roman"/>
          <w:color w:val="0D0D0D"/>
        </w:rPr>
        <w:t>70</w:t>
      </w:r>
      <w:r>
        <w:rPr>
          <w:rFonts w:ascii="Times New Roman" w:eastAsia="標楷體" w:hAnsi="Times New Roman"/>
          <w:color w:val="0D0D0D"/>
        </w:rPr>
        <w:t>所大專校院、</w:t>
      </w:r>
      <w:r>
        <w:rPr>
          <w:rFonts w:ascii="Times New Roman" w:eastAsia="標楷體" w:hAnsi="Times New Roman"/>
          <w:color w:val="0D0D0D"/>
        </w:rPr>
        <w:t>200</w:t>
      </w:r>
      <w:r>
        <w:rPr>
          <w:rFonts w:ascii="Times New Roman" w:eastAsia="標楷體" w:hAnsi="Times New Roman"/>
          <w:color w:val="0D0D0D"/>
        </w:rPr>
        <w:t>個系所運用。</w:t>
      </w:r>
    </w:p>
    <w:p w14:paraId="1B0A603B"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5.</w:t>
      </w:r>
      <w:r>
        <w:rPr>
          <w:rFonts w:ascii="Times New Roman" w:eastAsia="標楷體" w:hAnsi="Times New Roman"/>
          <w:color w:val="0D0D0D"/>
        </w:rPr>
        <w:t>辦理職業訓練課程：辦理職前、在職、青年專案相關訓練，</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102</w:t>
      </w:r>
      <w:r>
        <w:rPr>
          <w:rFonts w:ascii="Times New Roman" w:eastAsia="標楷體" w:hAnsi="Times New Roman"/>
          <w:color w:val="0D0D0D"/>
        </w:rPr>
        <w:t>年預計訓練</w:t>
      </w:r>
      <w:r>
        <w:rPr>
          <w:rFonts w:ascii="Times New Roman" w:eastAsia="標楷體" w:hAnsi="Times New Roman"/>
          <w:color w:val="0D0D0D"/>
        </w:rPr>
        <w:t>296,342</w:t>
      </w:r>
      <w:r>
        <w:rPr>
          <w:rFonts w:ascii="Times New Roman" w:eastAsia="標楷體" w:hAnsi="Times New Roman"/>
          <w:color w:val="0D0D0D"/>
        </w:rPr>
        <w:t>人；</w:t>
      </w:r>
      <w:r>
        <w:rPr>
          <w:rFonts w:ascii="Times New Roman" w:eastAsia="標楷體" w:hAnsi="Times New Roman"/>
          <w:color w:val="0D0D0D"/>
        </w:rPr>
        <w:t>103</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年，每年預計訓練</w:t>
      </w:r>
      <w:r>
        <w:rPr>
          <w:rFonts w:ascii="Times New Roman" w:eastAsia="標楷體" w:hAnsi="Times New Roman"/>
          <w:color w:val="0D0D0D"/>
        </w:rPr>
        <w:t>434,500</w:t>
      </w:r>
      <w:r>
        <w:rPr>
          <w:rFonts w:ascii="Times New Roman" w:eastAsia="標楷體" w:hAnsi="Times New Roman"/>
          <w:color w:val="0D0D0D"/>
        </w:rPr>
        <w:t>人。</w:t>
      </w:r>
    </w:p>
    <w:p w14:paraId="781A87AE"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6.</w:t>
      </w:r>
      <w:r>
        <w:rPr>
          <w:rFonts w:ascii="Times New Roman" w:eastAsia="標楷體" w:hAnsi="Times New Roman"/>
          <w:color w:val="0D0D0D"/>
        </w:rPr>
        <w:t>培訓中高階及國際行銷人才：</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103</w:t>
      </w:r>
      <w:r>
        <w:rPr>
          <w:rFonts w:ascii="Times New Roman" w:eastAsia="標楷體" w:hAnsi="Times New Roman"/>
          <w:color w:val="0D0D0D"/>
        </w:rPr>
        <w:t>年預計培訓中高階人才</w:t>
      </w:r>
      <w:r>
        <w:rPr>
          <w:rFonts w:ascii="Times New Roman" w:eastAsia="標楷體" w:hAnsi="Times New Roman"/>
          <w:color w:val="0D0D0D"/>
        </w:rPr>
        <w:t>40,000</w:t>
      </w:r>
      <w:r>
        <w:rPr>
          <w:rFonts w:ascii="Times New Roman" w:eastAsia="標楷體" w:hAnsi="Times New Roman"/>
          <w:color w:val="0D0D0D"/>
        </w:rPr>
        <w:t>人次；</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年預計培訓國際行銷業務經理人</w:t>
      </w:r>
      <w:r>
        <w:rPr>
          <w:rFonts w:ascii="Times New Roman" w:eastAsia="標楷體" w:hAnsi="Times New Roman"/>
          <w:color w:val="0D0D0D"/>
        </w:rPr>
        <w:lastRenderedPageBreak/>
        <w:t>23,540</w:t>
      </w:r>
      <w:r>
        <w:rPr>
          <w:rFonts w:ascii="Times New Roman" w:eastAsia="標楷體" w:hAnsi="Times New Roman"/>
          <w:color w:val="0D0D0D"/>
        </w:rPr>
        <w:t>名。</w:t>
      </w:r>
    </w:p>
    <w:p w14:paraId="2CD40CA8"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7.</w:t>
      </w:r>
      <w:r>
        <w:rPr>
          <w:rFonts w:ascii="Times New Roman" w:eastAsia="標楷體" w:hAnsi="Times New Roman"/>
          <w:color w:val="0D0D0D"/>
        </w:rPr>
        <w:t>媒合新興市場學生畢業後為企業所用：提供新興市場來臺留學獎學金名額，預計增加為</w:t>
      </w:r>
      <w:r>
        <w:rPr>
          <w:rFonts w:ascii="Times New Roman" w:eastAsia="標楷體" w:hAnsi="Times New Roman"/>
          <w:color w:val="0D0D0D"/>
        </w:rPr>
        <w:t>100</w:t>
      </w:r>
      <w:r>
        <w:rPr>
          <w:rFonts w:ascii="Times New Roman" w:eastAsia="標楷體" w:hAnsi="Times New Roman"/>
          <w:color w:val="0D0D0D"/>
        </w:rPr>
        <w:t>名；</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年提供新興市場學子在臺留學期間赴業界實習機會，每年</w:t>
      </w:r>
      <w:r>
        <w:rPr>
          <w:rFonts w:ascii="Times New Roman" w:eastAsia="標楷體" w:hAnsi="Times New Roman"/>
          <w:color w:val="0D0D0D"/>
        </w:rPr>
        <w:t>300~500</w:t>
      </w:r>
      <w:r>
        <w:rPr>
          <w:rFonts w:ascii="Times New Roman" w:eastAsia="標楷體" w:hAnsi="Times New Roman"/>
          <w:color w:val="0D0D0D"/>
        </w:rPr>
        <w:t>位。</w:t>
      </w:r>
    </w:p>
    <w:p w14:paraId="5DF658FA" w14:textId="77777777" w:rsidR="00052596" w:rsidRDefault="00000000">
      <w:pPr>
        <w:pStyle w:val="k2a"/>
        <w:ind w:left="817" w:hanging="577"/>
        <w:outlineLvl w:val="9"/>
      </w:pPr>
      <w:r>
        <w:rPr>
          <w:rFonts w:ascii="標楷體" w:eastAsia="標楷體" w:hAnsi="標楷體"/>
        </w:rPr>
        <w:t>(四)</w:t>
      </w:r>
      <w:r>
        <w:rPr>
          <w:rFonts w:ascii="Times New Roman" w:eastAsia="標楷體" w:hAnsi="Times New Roman"/>
        </w:rPr>
        <w:t>促進投資推動建設</w:t>
      </w:r>
    </w:p>
    <w:p w14:paraId="4EC067C1"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1.</w:t>
      </w:r>
      <w:r>
        <w:rPr>
          <w:rFonts w:ascii="Times New Roman" w:eastAsia="標楷體" w:hAnsi="Times New Roman"/>
          <w:color w:val="0D0D0D"/>
        </w:rPr>
        <w:t>擴大招商，積極促進民間投資：</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年每年帶動民間投資金額至少</w:t>
      </w:r>
      <w:r>
        <w:rPr>
          <w:rFonts w:ascii="Times New Roman" w:eastAsia="標楷體" w:hAnsi="Times New Roman"/>
          <w:color w:val="0D0D0D"/>
        </w:rPr>
        <w:t>1</w:t>
      </w:r>
      <w:r>
        <w:rPr>
          <w:rFonts w:ascii="Times New Roman" w:eastAsia="標楷體" w:hAnsi="Times New Roman"/>
          <w:color w:val="0D0D0D"/>
        </w:rPr>
        <w:t>兆元。</w:t>
      </w:r>
    </w:p>
    <w:p w14:paraId="46593765"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2.</w:t>
      </w:r>
      <w:r>
        <w:rPr>
          <w:rFonts w:ascii="Times New Roman" w:eastAsia="標楷體" w:hAnsi="Times New Roman"/>
          <w:color w:val="0D0D0D"/>
        </w:rPr>
        <w:t>引導創投資金投資策略性服務業：由國發基金匡列</w:t>
      </w:r>
      <w:r>
        <w:rPr>
          <w:rFonts w:ascii="Times New Roman" w:eastAsia="標楷體" w:hAnsi="Times New Roman"/>
          <w:color w:val="0D0D0D"/>
        </w:rPr>
        <w:t>100</w:t>
      </w:r>
      <w:r>
        <w:rPr>
          <w:rFonts w:ascii="Times New Roman" w:eastAsia="標楷體" w:hAnsi="Times New Roman"/>
          <w:color w:val="0D0D0D"/>
        </w:rPr>
        <w:t>億元推動「加強投資策略性服務業實施方案」，預計</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111</w:t>
      </w:r>
      <w:r>
        <w:rPr>
          <w:rFonts w:ascii="Times New Roman" w:eastAsia="標楷體" w:hAnsi="Times New Roman"/>
          <w:color w:val="0D0D0D"/>
        </w:rPr>
        <w:t>年</w:t>
      </w:r>
      <w:r>
        <w:rPr>
          <w:rFonts w:ascii="Times New Roman" w:eastAsia="標楷體" w:hAnsi="Times New Roman"/>
          <w:color w:val="0D0D0D"/>
        </w:rPr>
        <w:t>10</w:t>
      </w:r>
      <w:r>
        <w:rPr>
          <w:rFonts w:ascii="Times New Roman" w:eastAsia="標楷體" w:hAnsi="Times New Roman"/>
          <w:color w:val="0D0D0D"/>
        </w:rPr>
        <w:t>年內帶動創投及民間投資</w:t>
      </w:r>
      <w:r>
        <w:rPr>
          <w:rFonts w:ascii="Times New Roman" w:eastAsia="標楷體" w:hAnsi="Times New Roman"/>
          <w:color w:val="0D0D0D"/>
        </w:rPr>
        <w:t>110</w:t>
      </w:r>
      <w:r>
        <w:rPr>
          <w:rFonts w:ascii="Times New Roman" w:eastAsia="標楷體" w:hAnsi="Times New Roman"/>
          <w:color w:val="0D0D0D"/>
        </w:rPr>
        <w:t>億元，完成投資案</w:t>
      </w:r>
      <w:r>
        <w:rPr>
          <w:rFonts w:ascii="Times New Roman" w:eastAsia="標楷體" w:hAnsi="Times New Roman"/>
          <w:color w:val="0D0D0D"/>
        </w:rPr>
        <w:t>300</w:t>
      </w:r>
      <w:r>
        <w:rPr>
          <w:rFonts w:ascii="Times New Roman" w:eastAsia="標楷體" w:hAnsi="Times New Roman"/>
          <w:color w:val="0D0D0D"/>
        </w:rPr>
        <w:t>件，增加</w:t>
      </w:r>
      <w:r>
        <w:rPr>
          <w:rFonts w:ascii="Times New Roman" w:eastAsia="標楷體" w:hAnsi="Times New Roman"/>
          <w:color w:val="0D0D0D"/>
        </w:rPr>
        <w:t>16,000</w:t>
      </w:r>
      <w:r>
        <w:rPr>
          <w:rFonts w:ascii="Times New Roman" w:eastAsia="標楷體" w:hAnsi="Times New Roman"/>
          <w:color w:val="0D0D0D"/>
        </w:rPr>
        <w:t>個就業機會。</w:t>
      </w:r>
    </w:p>
    <w:p w14:paraId="67AF0730" w14:textId="77777777" w:rsidR="00052596" w:rsidRDefault="00000000">
      <w:pPr>
        <w:pStyle w:val="k3a"/>
        <w:ind w:left="1128" w:hanging="288"/>
        <w:outlineLvl w:val="9"/>
      </w:pPr>
      <w:r>
        <w:rPr>
          <w:rFonts w:ascii="Times New Roman" w:eastAsia="標楷體" w:hAnsi="Times New Roman"/>
          <w:color w:val="0D0D0D"/>
        </w:rPr>
        <w:t>3.</w:t>
      </w:r>
      <w:r>
        <w:rPr>
          <w:rFonts w:ascii="Times New Roman" w:eastAsia="標楷體" w:hAnsi="Times New Roman"/>
          <w:color w:val="0D0D0D"/>
        </w:rPr>
        <w:t>擴大招商，吸引國外廠商來臺投資：</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年預計促成</w:t>
      </w:r>
      <w:r>
        <w:rPr>
          <w:rFonts w:ascii="Times New Roman" w:eastAsia="標楷體" w:hAnsi="Times New Roman"/>
          <w:color w:val="0D0D0D"/>
        </w:rPr>
        <w:t>500</w:t>
      </w:r>
      <w:r>
        <w:rPr>
          <w:rFonts w:ascii="Times New Roman" w:eastAsia="標楷體" w:hAnsi="Times New Roman"/>
          <w:color w:val="0D0D0D"/>
        </w:rPr>
        <w:t>件臺日合作案、日商國際採購辦事</w:t>
      </w:r>
      <w:r>
        <w:rPr>
          <w:rFonts w:ascii="標楷體" w:eastAsia="標楷體" w:hAnsi="標楷體"/>
          <w:color w:val="0D0D0D"/>
        </w:rPr>
        <w:t>處(</w:t>
      </w:r>
      <w:r>
        <w:rPr>
          <w:rFonts w:ascii="Times New Roman" w:eastAsia="標楷體" w:hAnsi="Times New Roman"/>
          <w:color w:val="0D0D0D"/>
        </w:rPr>
        <w:t>IPO</w:t>
      </w:r>
      <w:r>
        <w:rPr>
          <w:rFonts w:ascii="標楷體" w:eastAsia="標楷體" w:hAnsi="標楷體"/>
          <w:color w:val="0D0D0D"/>
        </w:rPr>
        <w:t>)</w:t>
      </w:r>
      <w:r>
        <w:rPr>
          <w:rFonts w:ascii="Times New Roman" w:eastAsia="標楷體" w:hAnsi="Times New Roman"/>
          <w:color w:val="0D0D0D"/>
        </w:rPr>
        <w:t>在臺採購金額達</w:t>
      </w:r>
      <w:r>
        <w:rPr>
          <w:rFonts w:ascii="Times New Roman" w:eastAsia="標楷體" w:hAnsi="Times New Roman"/>
          <w:color w:val="0D0D0D"/>
        </w:rPr>
        <w:t>3</w:t>
      </w:r>
      <w:r>
        <w:rPr>
          <w:rFonts w:ascii="Times New Roman" w:eastAsia="標楷體" w:hAnsi="Times New Roman"/>
          <w:color w:val="0D0D0D"/>
        </w:rPr>
        <w:t>兆元、日本企業對臺投資達</w:t>
      </w:r>
      <w:r>
        <w:rPr>
          <w:rFonts w:ascii="Times New Roman" w:eastAsia="標楷體" w:hAnsi="Times New Roman"/>
          <w:color w:val="0D0D0D"/>
        </w:rPr>
        <w:t>300</w:t>
      </w:r>
      <w:r>
        <w:rPr>
          <w:rFonts w:ascii="Times New Roman" w:eastAsia="標楷體" w:hAnsi="Times New Roman"/>
          <w:color w:val="0D0D0D"/>
        </w:rPr>
        <w:t>億元；</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102</w:t>
      </w:r>
      <w:r>
        <w:rPr>
          <w:rFonts w:ascii="Times New Roman" w:eastAsia="標楷體" w:hAnsi="Times New Roman"/>
          <w:color w:val="0D0D0D"/>
        </w:rPr>
        <w:t>年預計促成美商來臺投資</w:t>
      </w:r>
      <w:r>
        <w:rPr>
          <w:rFonts w:ascii="Times New Roman" w:eastAsia="標楷體" w:hAnsi="Times New Roman"/>
          <w:color w:val="0D0D0D"/>
        </w:rPr>
        <w:t>20</w:t>
      </w:r>
      <w:r>
        <w:rPr>
          <w:rFonts w:ascii="Times New Roman" w:eastAsia="標楷體" w:hAnsi="Times New Roman"/>
          <w:color w:val="0D0D0D"/>
        </w:rPr>
        <w:t>億元以上、</w:t>
      </w:r>
      <w:r>
        <w:rPr>
          <w:rFonts w:ascii="Times New Roman" w:eastAsia="標楷體" w:hAnsi="Times New Roman"/>
          <w:color w:val="0D0D0D"/>
        </w:rPr>
        <w:t>103</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年累計促成美商來臺投資</w:t>
      </w:r>
      <w:r>
        <w:rPr>
          <w:rFonts w:ascii="Times New Roman" w:eastAsia="標楷體" w:hAnsi="Times New Roman"/>
          <w:color w:val="0D0D0D"/>
        </w:rPr>
        <w:t>150</w:t>
      </w:r>
      <w:r>
        <w:rPr>
          <w:rFonts w:ascii="Times New Roman" w:eastAsia="標楷體" w:hAnsi="Times New Roman"/>
          <w:color w:val="0D0D0D"/>
        </w:rPr>
        <w:t>億元以上。</w:t>
      </w:r>
    </w:p>
    <w:p w14:paraId="40B3B30D"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4.</w:t>
      </w:r>
      <w:r>
        <w:rPr>
          <w:rFonts w:ascii="Times New Roman" w:eastAsia="標楷體" w:hAnsi="Times New Roman"/>
          <w:color w:val="0D0D0D"/>
        </w:rPr>
        <w:t>推動臺商回臺：落實「加強推動臺商回臺投資方案」，鼓勵指標性臺商回流，並透過解決基層人力不足放寬外勞、擴大職訓、土地取得困難、設備進口關稅優惠、</w:t>
      </w:r>
      <w:r>
        <w:rPr>
          <w:rFonts w:ascii="Times New Roman" w:eastAsia="標楷體" w:hAnsi="Times New Roman"/>
          <w:color w:val="0D0D0D"/>
        </w:rPr>
        <w:t>ECFA</w:t>
      </w:r>
      <w:r>
        <w:rPr>
          <w:rFonts w:ascii="Times New Roman" w:eastAsia="標楷體" w:hAnsi="Times New Roman"/>
          <w:color w:val="0D0D0D"/>
        </w:rPr>
        <w:t>談判有利項目等方式，促進在臺投資及就業之成長。</w:t>
      </w:r>
    </w:p>
    <w:p w14:paraId="48E8C1CE" w14:textId="77777777" w:rsidR="00052596" w:rsidRDefault="00000000">
      <w:pPr>
        <w:pStyle w:val="k3a"/>
        <w:ind w:left="1128" w:hanging="288"/>
        <w:outlineLvl w:val="9"/>
      </w:pPr>
      <w:r>
        <w:rPr>
          <w:rFonts w:ascii="Times New Roman" w:eastAsia="標楷體" w:hAnsi="Times New Roman"/>
          <w:color w:val="0D0D0D"/>
        </w:rPr>
        <w:t>5.</w:t>
      </w:r>
      <w:r>
        <w:rPr>
          <w:rFonts w:ascii="Times New Roman" w:eastAsia="標楷體" w:hAnsi="Times New Roman"/>
          <w:color w:val="0D0D0D"/>
        </w:rPr>
        <w:t>協助公共建設籌措資金：採取創新財務策略，推動｢跨域加值公共建設財務規劃｣及「民間財務主導公共建設</w:t>
      </w:r>
      <w:r>
        <w:rPr>
          <w:rFonts w:ascii="標楷體" w:eastAsia="標楷體" w:hAnsi="標楷體"/>
          <w:color w:val="0D0D0D"/>
        </w:rPr>
        <w:t>(</w:t>
      </w:r>
      <w:r>
        <w:rPr>
          <w:rFonts w:ascii="Times New Roman" w:eastAsia="標楷體" w:hAnsi="Times New Roman"/>
          <w:color w:val="0D0D0D"/>
        </w:rPr>
        <w:t>PFI</w:t>
      </w:r>
      <w:r>
        <w:rPr>
          <w:rFonts w:ascii="標楷體" w:eastAsia="標楷體" w:hAnsi="標楷體"/>
          <w:color w:val="0D0D0D"/>
        </w:rPr>
        <w:t>)</w:t>
      </w:r>
      <w:r>
        <w:rPr>
          <w:rFonts w:ascii="Times New Roman" w:eastAsia="標楷體" w:hAnsi="Times New Roman"/>
          <w:color w:val="0D0D0D"/>
        </w:rPr>
        <w:t>」；</w:t>
      </w:r>
      <w:r>
        <w:rPr>
          <w:rFonts w:ascii="Times New Roman" w:eastAsia="標楷體" w:hAnsi="Times New Roman"/>
          <w:color w:val="0D0D0D"/>
        </w:rPr>
        <w:t>103</w:t>
      </w:r>
      <w:r>
        <w:rPr>
          <w:rFonts w:ascii="Times New Roman" w:eastAsia="標楷體" w:hAnsi="Times New Roman"/>
          <w:color w:val="0D0D0D"/>
        </w:rPr>
        <w:t>年底前完成</w:t>
      </w:r>
      <w:r>
        <w:rPr>
          <w:rFonts w:ascii="Times New Roman" w:eastAsia="標楷體" w:hAnsi="Times New Roman"/>
          <w:color w:val="0D0D0D"/>
        </w:rPr>
        <w:t>3</w:t>
      </w:r>
      <w:r>
        <w:rPr>
          <w:rFonts w:ascii="Times New Roman" w:eastAsia="標楷體" w:hAnsi="Times New Roman"/>
          <w:color w:val="0D0D0D"/>
        </w:rPr>
        <w:t>件示範案件招商及執行。</w:t>
      </w:r>
    </w:p>
    <w:p w14:paraId="245FCBA3" w14:textId="77777777" w:rsidR="00052596" w:rsidRDefault="00000000">
      <w:pPr>
        <w:pStyle w:val="k3a"/>
        <w:ind w:left="1128" w:hanging="288"/>
        <w:outlineLvl w:val="9"/>
      </w:pPr>
      <w:r>
        <w:rPr>
          <w:rFonts w:ascii="Times New Roman" w:eastAsia="標楷體" w:hAnsi="Times New Roman"/>
          <w:color w:val="0D0D0D"/>
        </w:rPr>
        <w:t>6.</w:t>
      </w:r>
      <w:r>
        <w:rPr>
          <w:rFonts w:ascii="Times New Roman" w:eastAsia="標楷體" w:hAnsi="Times New Roman"/>
          <w:color w:val="0D0D0D"/>
        </w:rPr>
        <w:t>積極啟發促參案源，吸引國內資金及陸</w:t>
      </w:r>
      <w:r>
        <w:rPr>
          <w:rFonts w:ascii="標楷體" w:eastAsia="標楷體" w:hAnsi="標楷體"/>
          <w:color w:val="0D0D0D"/>
        </w:rPr>
        <w:t>(外)</w:t>
      </w:r>
      <w:r>
        <w:rPr>
          <w:rFonts w:ascii="Times New Roman" w:eastAsia="標楷體" w:hAnsi="Times New Roman"/>
          <w:color w:val="0D0D0D"/>
        </w:rPr>
        <w:t>資投入公共建設：</w:t>
      </w:r>
      <w:r>
        <w:rPr>
          <w:rFonts w:ascii="Times New Roman" w:eastAsia="標楷體" w:hAnsi="Times New Roman"/>
          <w:color w:val="0D0D0D"/>
        </w:rPr>
        <w:t>102</w:t>
      </w:r>
      <w:r>
        <w:rPr>
          <w:rFonts w:ascii="Times New Roman" w:eastAsia="標楷體" w:hAnsi="Times New Roman"/>
          <w:color w:val="0D0D0D"/>
        </w:rPr>
        <w:t>年促參簽約金額預計達</w:t>
      </w:r>
      <w:r>
        <w:rPr>
          <w:rFonts w:ascii="Times New Roman" w:eastAsia="標楷體" w:hAnsi="Times New Roman"/>
          <w:color w:val="0D0D0D"/>
        </w:rPr>
        <w:t>2,000</w:t>
      </w:r>
      <w:r>
        <w:rPr>
          <w:rFonts w:ascii="Times New Roman" w:eastAsia="標楷體" w:hAnsi="Times New Roman"/>
          <w:color w:val="0D0D0D"/>
        </w:rPr>
        <w:t>億元，</w:t>
      </w:r>
      <w:r>
        <w:rPr>
          <w:rFonts w:ascii="Times New Roman" w:eastAsia="標楷體" w:hAnsi="Times New Roman"/>
          <w:color w:val="0D0D0D"/>
        </w:rPr>
        <w:t>103</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年每年預計達</w:t>
      </w:r>
      <w:r>
        <w:rPr>
          <w:rFonts w:ascii="Times New Roman" w:eastAsia="標楷體" w:hAnsi="Times New Roman"/>
          <w:color w:val="0D0D0D"/>
        </w:rPr>
        <w:t>1,000</w:t>
      </w:r>
      <w:r>
        <w:rPr>
          <w:rFonts w:ascii="Times New Roman" w:eastAsia="標楷體" w:hAnsi="Times New Roman"/>
          <w:color w:val="0D0D0D"/>
        </w:rPr>
        <w:t>億元。</w:t>
      </w:r>
    </w:p>
    <w:p w14:paraId="0A13F0DA"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7.</w:t>
      </w:r>
      <w:r>
        <w:rPr>
          <w:rFonts w:ascii="Times New Roman" w:eastAsia="標楷體" w:hAnsi="Times New Roman"/>
          <w:color w:val="0D0D0D"/>
        </w:rPr>
        <w:t>打造優質投資環境：規劃推動｢自由經濟示範區｣，在強化區域經濟整合及提升競爭力之作為外，並提供土地、勞力、資本等生產要素更優惠條件，創造誘因吸引投資。</w:t>
      </w:r>
    </w:p>
    <w:p w14:paraId="3A0B9D5C" w14:textId="77777777" w:rsidR="00052596" w:rsidRDefault="00000000">
      <w:pPr>
        <w:pStyle w:val="k2a"/>
        <w:ind w:left="817" w:hanging="577"/>
        <w:outlineLvl w:val="9"/>
      </w:pPr>
      <w:r>
        <w:rPr>
          <w:rFonts w:ascii="標楷體" w:eastAsia="標楷體" w:hAnsi="標楷體"/>
        </w:rPr>
        <w:t>(五)</w:t>
      </w:r>
      <w:r>
        <w:rPr>
          <w:rFonts w:ascii="Times New Roman" w:eastAsia="標楷體" w:hAnsi="Times New Roman"/>
        </w:rPr>
        <w:t>精進各級政府效能</w:t>
      </w:r>
    </w:p>
    <w:p w14:paraId="6AA094CE"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1.</w:t>
      </w:r>
      <w:r>
        <w:rPr>
          <w:rFonts w:ascii="Times New Roman" w:eastAsia="標楷體" w:hAnsi="Times New Roman"/>
          <w:color w:val="0D0D0D"/>
        </w:rPr>
        <w:t>清理檢討閒置國有用地：督導中央各主管機關清理檢討閒置、低度利用及不經濟使用之大面積國有建築用地；</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lastRenderedPageBreak/>
        <w:t>102</w:t>
      </w:r>
      <w:r>
        <w:rPr>
          <w:rFonts w:ascii="Times New Roman" w:eastAsia="標楷體" w:hAnsi="Times New Roman"/>
          <w:color w:val="0D0D0D"/>
        </w:rPr>
        <w:t>年預估創造年度收益</w:t>
      </w:r>
      <w:r>
        <w:rPr>
          <w:rFonts w:ascii="Times New Roman" w:eastAsia="標楷體" w:hAnsi="Times New Roman"/>
          <w:color w:val="0D0D0D"/>
        </w:rPr>
        <w:t>150</w:t>
      </w:r>
      <w:r>
        <w:rPr>
          <w:rFonts w:ascii="Times New Roman" w:eastAsia="標楷體" w:hAnsi="Times New Roman"/>
          <w:color w:val="0D0D0D"/>
        </w:rPr>
        <w:t>億元以上，</w:t>
      </w:r>
      <w:r>
        <w:rPr>
          <w:rFonts w:ascii="Times New Roman" w:eastAsia="標楷體" w:hAnsi="Times New Roman"/>
          <w:color w:val="0D0D0D"/>
        </w:rPr>
        <w:t>103</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年預估創造年度收益</w:t>
      </w:r>
      <w:r>
        <w:rPr>
          <w:rFonts w:ascii="Times New Roman" w:eastAsia="標楷體" w:hAnsi="Times New Roman"/>
          <w:color w:val="0D0D0D"/>
        </w:rPr>
        <w:t>200</w:t>
      </w:r>
      <w:r>
        <w:rPr>
          <w:rFonts w:ascii="Times New Roman" w:eastAsia="標楷體" w:hAnsi="Times New Roman"/>
          <w:color w:val="0D0D0D"/>
        </w:rPr>
        <w:t>億元以上。</w:t>
      </w:r>
    </w:p>
    <w:p w14:paraId="2D79A07E"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2.</w:t>
      </w:r>
      <w:r>
        <w:rPr>
          <w:rFonts w:ascii="Times New Roman" w:eastAsia="標楷體" w:hAnsi="Times New Roman"/>
          <w:color w:val="0D0D0D"/>
        </w:rPr>
        <w:t>活化公有土地及資產：訂定「加強運用國有土地結合目的事業主管機關推動產業發展計畫」，帶動地區發展、活絡經濟。</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年，每年達成簽約</w:t>
      </w:r>
      <w:r>
        <w:rPr>
          <w:rFonts w:ascii="Times New Roman" w:eastAsia="標楷體" w:hAnsi="Times New Roman"/>
          <w:color w:val="0D0D0D"/>
        </w:rPr>
        <w:t>5</w:t>
      </w:r>
      <w:r>
        <w:rPr>
          <w:rFonts w:ascii="Times New Roman" w:eastAsia="標楷體" w:hAnsi="Times New Roman"/>
          <w:color w:val="0D0D0D"/>
        </w:rPr>
        <w:t>案之目標，預估可創造總收益</w:t>
      </w:r>
      <w:r>
        <w:rPr>
          <w:rFonts w:ascii="Times New Roman" w:eastAsia="標楷體" w:hAnsi="Times New Roman"/>
          <w:color w:val="0D0D0D"/>
        </w:rPr>
        <w:t>150</w:t>
      </w:r>
      <w:r>
        <w:rPr>
          <w:rFonts w:ascii="Times New Roman" w:eastAsia="標楷體" w:hAnsi="Times New Roman"/>
          <w:color w:val="0D0D0D"/>
        </w:rPr>
        <w:t>億元，民間投資總額約</w:t>
      </w:r>
      <w:r>
        <w:rPr>
          <w:rFonts w:ascii="Times New Roman" w:eastAsia="標楷體" w:hAnsi="Times New Roman"/>
          <w:color w:val="0D0D0D"/>
        </w:rPr>
        <w:t>202</w:t>
      </w:r>
      <w:r>
        <w:rPr>
          <w:rFonts w:ascii="Times New Roman" w:eastAsia="標楷體" w:hAnsi="Times New Roman"/>
          <w:color w:val="0D0D0D"/>
        </w:rPr>
        <w:t>億元，相關稅收約</w:t>
      </w:r>
      <w:r>
        <w:rPr>
          <w:rFonts w:ascii="Times New Roman" w:eastAsia="標楷體" w:hAnsi="Times New Roman"/>
          <w:color w:val="0D0D0D"/>
        </w:rPr>
        <w:t>208</w:t>
      </w:r>
      <w:r>
        <w:rPr>
          <w:rFonts w:ascii="Times New Roman" w:eastAsia="標楷體" w:hAnsi="Times New Roman"/>
          <w:color w:val="0D0D0D"/>
        </w:rPr>
        <w:t>億元，提供就業機會逾</w:t>
      </w:r>
      <w:r>
        <w:rPr>
          <w:rFonts w:ascii="Times New Roman" w:eastAsia="標楷體" w:hAnsi="Times New Roman"/>
          <w:color w:val="0D0D0D"/>
        </w:rPr>
        <w:t>12,800</w:t>
      </w:r>
      <w:r>
        <w:rPr>
          <w:rFonts w:ascii="Times New Roman" w:eastAsia="標楷體" w:hAnsi="Times New Roman"/>
          <w:color w:val="0D0D0D"/>
        </w:rPr>
        <w:t>人次。</w:t>
      </w:r>
    </w:p>
    <w:p w14:paraId="2E0ECCB4"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3.</w:t>
      </w:r>
      <w:r>
        <w:rPr>
          <w:rFonts w:ascii="Times New Roman" w:eastAsia="標楷體" w:hAnsi="Times New Roman"/>
          <w:color w:val="0D0D0D"/>
        </w:rPr>
        <w:t>推動民航關聯產業：開發松山機場「民航關聯產業廊帶」，導入商業設施、航空關聯產業區、會展中心、商務旅館及商辦大樓等設施，並引進民間資金參與建設，開發規模預估</w:t>
      </w:r>
      <w:r>
        <w:rPr>
          <w:rFonts w:ascii="Times New Roman" w:eastAsia="標楷體" w:hAnsi="Times New Roman"/>
          <w:color w:val="0D0D0D"/>
        </w:rPr>
        <w:t>200~400</w:t>
      </w:r>
      <w:r>
        <w:rPr>
          <w:rFonts w:ascii="Times New Roman" w:eastAsia="標楷體" w:hAnsi="Times New Roman"/>
          <w:color w:val="0D0D0D"/>
        </w:rPr>
        <w:t>億元。</w:t>
      </w:r>
    </w:p>
    <w:p w14:paraId="08CFE172"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4.</w:t>
      </w:r>
      <w:r>
        <w:rPr>
          <w:rFonts w:ascii="Times New Roman" w:eastAsia="標楷體" w:hAnsi="Times New Roman"/>
          <w:color w:val="0D0D0D"/>
        </w:rPr>
        <w:t>增加公股及國營事業投資：中鋼結合民間企業發展高值化鋼材事業，</w:t>
      </w:r>
      <w:r>
        <w:rPr>
          <w:rFonts w:ascii="Times New Roman" w:eastAsia="標楷體" w:hAnsi="Times New Roman"/>
          <w:color w:val="0D0D0D"/>
        </w:rPr>
        <w:t>102</w:t>
      </w:r>
      <w:r>
        <w:rPr>
          <w:rFonts w:ascii="Times New Roman" w:eastAsia="標楷體" w:hAnsi="Times New Roman"/>
          <w:color w:val="0D0D0D"/>
        </w:rPr>
        <w:t>至</w:t>
      </w:r>
      <w:r>
        <w:rPr>
          <w:rFonts w:ascii="Times New Roman" w:eastAsia="標楷體" w:hAnsi="Times New Roman"/>
          <w:color w:val="0D0D0D"/>
        </w:rPr>
        <w:t>106</w:t>
      </w:r>
      <w:r>
        <w:rPr>
          <w:rFonts w:ascii="Times New Roman" w:eastAsia="標楷體" w:hAnsi="Times New Roman"/>
          <w:color w:val="0D0D0D"/>
        </w:rPr>
        <w:t>年預計投資約</w:t>
      </w:r>
      <w:r>
        <w:rPr>
          <w:rFonts w:ascii="Times New Roman" w:eastAsia="標楷體" w:hAnsi="Times New Roman"/>
          <w:color w:val="0D0D0D"/>
        </w:rPr>
        <w:t>200</w:t>
      </w:r>
      <w:r>
        <w:rPr>
          <w:rFonts w:ascii="Times New Roman" w:eastAsia="標楷體" w:hAnsi="Times New Roman"/>
          <w:color w:val="0D0D0D"/>
        </w:rPr>
        <w:t>億元；台糖預計於</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107</w:t>
      </w:r>
      <w:r>
        <w:rPr>
          <w:rFonts w:ascii="Times New Roman" w:eastAsia="標楷體" w:hAnsi="Times New Roman"/>
          <w:color w:val="0D0D0D"/>
        </w:rPr>
        <w:t>年投資</w:t>
      </w:r>
      <w:r>
        <w:rPr>
          <w:rFonts w:ascii="Times New Roman" w:eastAsia="標楷體" w:hAnsi="Times New Roman"/>
          <w:color w:val="0D0D0D"/>
        </w:rPr>
        <w:t>62</w:t>
      </w:r>
      <w:r>
        <w:rPr>
          <w:rFonts w:ascii="Times New Roman" w:eastAsia="標楷體" w:hAnsi="Times New Roman"/>
          <w:color w:val="0D0D0D"/>
        </w:rPr>
        <w:t>億元，積極發展觀光休閒產業、辦理文化園區開發、興建旅館等。</w:t>
      </w:r>
    </w:p>
    <w:p w14:paraId="2A0893E7"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5.</w:t>
      </w:r>
      <w:r>
        <w:rPr>
          <w:rFonts w:ascii="Times New Roman" w:eastAsia="標楷體" w:hAnsi="Times New Roman"/>
          <w:color w:val="0D0D0D"/>
        </w:rPr>
        <w:t>打造全方位加值物流港：臺灣港務公司興建基隆、高雄港國際郵輪中心、辦理高雄港洲際貨櫃中心第</w:t>
      </w:r>
      <w:r>
        <w:rPr>
          <w:rFonts w:ascii="Times New Roman" w:eastAsia="標楷體" w:hAnsi="Times New Roman"/>
          <w:color w:val="0D0D0D"/>
        </w:rPr>
        <w:t>2</w:t>
      </w:r>
      <w:r>
        <w:rPr>
          <w:rFonts w:ascii="Times New Roman" w:eastAsia="標楷體" w:hAnsi="Times New Roman"/>
          <w:color w:val="0D0D0D"/>
        </w:rPr>
        <w:t>期、南星土地開發等重大港埠建設計畫，</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105</w:t>
      </w:r>
      <w:r>
        <w:rPr>
          <w:rFonts w:ascii="Times New Roman" w:eastAsia="標楷體" w:hAnsi="Times New Roman"/>
          <w:color w:val="0D0D0D"/>
        </w:rPr>
        <w:t>年預計投資</w:t>
      </w:r>
      <w:r>
        <w:rPr>
          <w:rFonts w:ascii="Times New Roman" w:eastAsia="標楷體" w:hAnsi="Times New Roman"/>
          <w:color w:val="0D0D0D"/>
        </w:rPr>
        <w:t>660</w:t>
      </w:r>
      <w:r>
        <w:rPr>
          <w:rFonts w:ascii="Times New Roman" w:eastAsia="標楷體" w:hAnsi="Times New Roman"/>
          <w:color w:val="0D0D0D"/>
        </w:rPr>
        <w:t>億元。</w:t>
      </w:r>
    </w:p>
    <w:p w14:paraId="261ED551"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6.</w:t>
      </w:r>
      <w:r>
        <w:rPr>
          <w:rFonts w:ascii="Times New Roman" w:eastAsia="標楷體" w:hAnsi="Times New Roman"/>
          <w:color w:val="0D0D0D"/>
        </w:rPr>
        <w:t>開發具指標性國有土地：</w:t>
      </w:r>
      <w:r>
        <w:rPr>
          <w:rFonts w:ascii="Times New Roman" w:eastAsia="標楷體" w:hAnsi="Times New Roman"/>
          <w:color w:val="0D0D0D"/>
        </w:rPr>
        <w:t>106</w:t>
      </w:r>
      <w:r>
        <w:rPr>
          <w:rFonts w:ascii="Times New Roman" w:eastAsia="標楷體" w:hAnsi="Times New Roman"/>
          <w:color w:val="0D0D0D"/>
        </w:rPr>
        <w:t>年底前完成開發與興建華光社區國有土地，預估可創造總收益</w:t>
      </w:r>
      <w:r>
        <w:rPr>
          <w:rFonts w:ascii="Times New Roman" w:eastAsia="標楷體" w:hAnsi="Times New Roman"/>
          <w:color w:val="0D0D0D"/>
        </w:rPr>
        <w:t>250</w:t>
      </w:r>
      <w:r>
        <w:rPr>
          <w:rFonts w:ascii="Times New Roman" w:eastAsia="標楷體" w:hAnsi="Times New Roman"/>
          <w:color w:val="0D0D0D"/>
        </w:rPr>
        <w:t>億元，民間投資總額</w:t>
      </w:r>
      <w:r>
        <w:rPr>
          <w:rFonts w:ascii="Times New Roman" w:eastAsia="標楷體" w:hAnsi="Times New Roman"/>
          <w:color w:val="0D0D0D"/>
        </w:rPr>
        <w:t>54</w:t>
      </w:r>
      <w:r>
        <w:rPr>
          <w:rFonts w:ascii="Times New Roman" w:eastAsia="標楷體" w:hAnsi="Times New Roman"/>
          <w:color w:val="0D0D0D"/>
        </w:rPr>
        <w:t>億元，相關稅收</w:t>
      </w:r>
      <w:r>
        <w:rPr>
          <w:rFonts w:ascii="Times New Roman" w:eastAsia="標楷體" w:hAnsi="Times New Roman"/>
          <w:color w:val="0D0D0D"/>
        </w:rPr>
        <w:t>0.93</w:t>
      </w:r>
      <w:r>
        <w:rPr>
          <w:rFonts w:ascii="Times New Roman" w:eastAsia="標楷體" w:hAnsi="Times New Roman"/>
          <w:color w:val="0D0D0D"/>
        </w:rPr>
        <w:t>億元，提供就業機會</w:t>
      </w:r>
      <w:r>
        <w:rPr>
          <w:rFonts w:ascii="Times New Roman" w:eastAsia="標楷體" w:hAnsi="Times New Roman"/>
          <w:color w:val="0D0D0D"/>
        </w:rPr>
        <w:t>2,800</w:t>
      </w:r>
      <w:r>
        <w:rPr>
          <w:rFonts w:ascii="Times New Roman" w:eastAsia="標楷體" w:hAnsi="Times New Roman"/>
          <w:color w:val="0D0D0D"/>
        </w:rPr>
        <w:t>人次。</w:t>
      </w:r>
    </w:p>
    <w:p w14:paraId="07EA5A72" w14:textId="77777777" w:rsidR="00052596" w:rsidRDefault="00000000">
      <w:pPr>
        <w:pStyle w:val="k3a"/>
        <w:ind w:left="1128" w:hanging="288"/>
        <w:outlineLvl w:val="9"/>
        <w:rPr>
          <w:rFonts w:ascii="Times New Roman" w:eastAsia="標楷體" w:hAnsi="Times New Roman"/>
          <w:color w:val="0D0D0D"/>
        </w:rPr>
      </w:pPr>
      <w:r>
        <w:rPr>
          <w:rFonts w:ascii="Times New Roman" w:eastAsia="標楷體" w:hAnsi="Times New Roman"/>
          <w:color w:val="0D0D0D"/>
        </w:rPr>
        <w:t>7.</w:t>
      </w:r>
      <w:r>
        <w:rPr>
          <w:rFonts w:ascii="Times New Roman" w:eastAsia="標楷體" w:hAnsi="Times New Roman"/>
          <w:color w:val="0D0D0D"/>
        </w:rPr>
        <w:t>持續擴展航空網絡，帶動區域及產業發展：桃園國際機場公司持續推動桃園航空城計畫，</w:t>
      </w:r>
      <w:r>
        <w:rPr>
          <w:rFonts w:ascii="Times New Roman" w:eastAsia="標楷體" w:hAnsi="Times New Roman"/>
          <w:color w:val="0D0D0D"/>
        </w:rPr>
        <w:t>101</w:t>
      </w:r>
      <w:r>
        <w:rPr>
          <w:rFonts w:ascii="Times New Roman" w:eastAsia="標楷體" w:hAnsi="Times New Roman"/>
          <w:color w:val="0D0D0D"/>
        </w:rPr>
        <w:t>至</w:t>
      </w:r>
      <w:r>
        <w:rPr>
          <w:rFonts w:ascii="Times New Roman" w:eastAsia="標楷體" w:hAnsi="Times New Roman"/>
          <w:color w:val="0D0D0D"/>
        </w:rPr>
        <w:t>107</w:t>
      </w:r>
      <w:r>
        <w:rPr>
          <w:rFonts w:ascii="Times New Roman" w:eastAsia="標楷體" w:hAnsi="Times New Roman"/>
          <w:color w:val="0D0D0D"/>
        </w:rPr>
        <w:t>年預計投資</w:t>
      </w:r>
      <w:r>
        <w:rPr>
          <w:rFonts w:ascii="Times New Roman" w:eastAsia="標楷體" w:hAnsi="Times New Roman"/>
          <w:color w:val="0D0D0D"/>
        </w:rPr>
        <w:t>953</w:t>
      </w:r>
      <w:r>
        <w:rPr>
          <w:rFonts w:ascii="Times New Roman" w:eastAsia="標楷體" w:hAnsi="Times New Roman"/>
          <w:color w:val="0D0D0D"/>
        </w:rPr>
        <w:t>億元。</w:t>
      </w:r>
    </w:p>
    <w:p w14:paraId="449C8EF8" w14:textId="77777777" w:rsidR="00052596" w:rsidRDefault="00052596">
      <w:pPr>
        <w:pageBreakBefore/>
        <w:widowControl/>
      </w:pPr>
    </w:p>
    <w:p w14:paraId="4525ABD7" w14:textId="77777777" w:rsidR="00052596" w:rsidRDefault="00052596">
      <w:pPr>
        <w:pStyle w:val="k4a"/>
        <w:ind w:left="1536" w:hanging="432"/>
        <w:outlineLvl w:val="9"/>
        <w:rPr>
          <w:rFonts w:ascii="Times New Roman" w:eastAsia="標楷體" w:hAnsi="Times New Roman"/>
          <w:color w:val="0D0D0D"/>
        </w:rPr>
        <w:sectPr w:rsidR="00052596">
          <w:headerReference w:type="even" r:id="rId11"/>
          <w:headerReference w:type="default" r:id="rId12"/>
          <w:footerReference w:type="even" r:id="rId13"/>
          <w:footerReference w:type="default" r:id="rId14"/>
          <w:pgSz w:w="11907" w:h="16839"/>
          <w:pgMar w:top="2268" w:right="1701" w:bottom="1701" w:left="1701" w:header="680" w:footer="851" w:gutter="0"/>
          <w:pgNumType w:fmt="lowerRoman" w:start="1"/>
          <w:cols w:space="720"/>
          <w:docGrid w:type="lines" w:linePitch="437"/>
        </w:sectPr>
      </w:pPr>
    </w:p>
    <w:p w14:paraId="513E3896" w14:textId="77777777" w:rsidR="00052596" w:rsidRDefault="00000000">
      <w:pPr>
        <w:tabs>
          <w:tab w:val="left" w:pos="960"/>
          <w:tab w:val="left" w:pos="1920"/>
          <w:tab w:val="left" w:pos="2880"/>
          <w:tab w:val="left" w:pos="3840"/>
          <w:tab w:val="left" w:pos="4800"/>
          <w:tab w:val="left" w:pos="5760"/>
        </w:tabs>
        <w:autoSpaceDE w:val="0"/>
        <w:spacing w:line="400" w:lineRule="exact"/>
        <w:jc w:val="center"/>
      </w:pPr>
      <w:r>
        <w:rPr>
          <w:rFonts w:eastAsia="標楷體"/>
          <w:b/>
          <w:color w:val="0000FF"/>
          <w:spacing w:val="18"/>
          <w:kern w:val="0"/>
          <w:sz w:val="38"/>
          <w:szCs w:val="38"/>
        </w:rPr>
        <w:lastRenderedPageBreak/>
        <w:t>國家發展</w:t>
      </w:r>
      <w:r>
        <w:rPr>
          <w:rFonts w:ascii="標楷體" w:eastAsia="標楷體" w:hAnsi="標楷體"/>
          <w:b/>
          <w:color w:val="0000FF"/>
          <w:spacing w:val="18"/>
          <w:kern w:val="0"/>
          <w:sz w:val="38"/>
          <w:szCs w:val="38"/>
        </w:rPr>
        <w:t>計畫(</w:t>
      </w:r>
      <w:r>
        <w:rPr>
          <w:rFonts w:eastAsia="標楷體"/>
          <w:b/>
          <w:color w:val="0000FF"/>
          <w:spacing w:val="18"/>
          <w:kern w:val="0"/>
          <w:sz w:val="38"/>
          <w:szCs w:val="38"/>
        </w:rPr>
        <w:t>102</w:t>
      </w:r>
      <w:r>
        <w:rPr>
          <w:rFonts w:eastAsia="標楷體"/>
          <w:b/>
          <w:color w:val="0000FF"/>
          <w:spacing w:val="18"/>
          <w:kern w:val="0"/>
          <w:sz w:val="38"/>
          <w:szCs w:val="38"/>
        </w:rPr>
        <w:t>至</w:t>
      </w:r>
      <w:r>
        <w:rPr>
          <w:rFonts w:eastAsia="標楷體"/>
          <w:b/>
          <w:color w:val="0000FF"/>
          <w:spacing w:val="18"/>
          <w:kern w:val="0"/>
          <w:sz w:val="38"/>
          <w:szCs w:val="38"/>
        </w:rPr>
        <w:t>105</w:t>
      </w:r>
      <w:r>
        <w:rPr>
          <w:rFonts w:eastAsia="標楷體"/>
          <w:b/>
          <w:color w:val="0000FF"/>
          <w:spacing w:val="18"/>
          <w:kern w:val="0"/>
          <w:sz w:val="38"/>
          <w:szCs w:val="38"/>
        </w:rPr>
        <w:t>年</w:t>
      </w:r>
      <w:r>
        <w:rPr>
          <w:rFonts w:ascii="標楷體" w:eastAsia="標楷體" w:hAnsi="標楷體"/>
          <w:b/>
          <w:color w:val="0000FF"/>
          <w:spacing w:val="18"/>
          <w:kern w:val="0"/>
          <w:sz w:val="38"/>
          <w:szCs w:val="38"/>
        </w:rPr>
        <w:t>)</w:t>
      </w:r>
    </w:p>
    <w:p w14:paraId="5B0DB865" w14:textId="77777777" w:rsidR="00052596" w:rsidRDefault="00052596">
      <w:pPr>
        <w:tabs>
          <w:tab w:val="left" w:pos="960"/>
          <w:tab w:val="left" w:pos="1920"/>
          <w:tab w:val="left" w:pos="2880"/>
          <w:tab w:val="left" w:pos="3840"/>
          <w:tab w:val="left" w:pos="4800"/>
          <w:tab w:val="left" w:pos="5760"/>
        </w:tabs>
        <w:autoSpaceDE w:val="0"/>
        <w:spacing w:line="200" w:lineRule="exact"/>
        <w:ind w:left="-475"/>
        <w:jc w:val="center"/>
        <w:rPr>
          <w:rFonts w:eastAsia="標楷體"/>
          <w:b/>
          <w:bCs/>
          <w:color w:val="000000"/>
          <w:kern w:val="0"/>
          <w:sz w:val="34"/>
          <w:szCs w:val="34"/>
        </w:rPr>
      </w:pPr>
    </w:p>
    <w:p w14:paraId="3867D5BB" w14:textId="77777777" w:rsidR="00052596" w:rsidRDefault="00000000">
      <w:pPr>
        <w:tabs>
          <w:tab w:val="left" w:pos="960"/>
          <w:tab w:val="left" w:pos="1920"/>
          <w:tab w:val="left" w:pos="2880"/>
          <w:tab w:val="left" w:pos="3840"/>
          <w:tab w:val="left" w:pos="4800"/>
          <w:tab w:val="left" w:pos="5760"/>
        </w:tabs>
        <w:autoSpaceDE w:val="0"/>
        <w:spacing w:line="240" w:lineRule="atLeast"/>
        <w:jc w:val="center"/>
      </w:pPr>
      <w:r>
        <w:rPr>
          <w:rFonts w:eastAsia="標楷體"/>
          <w:b/>
          <w:bCs/>
          <w:color w:val="0000FF"/>
          <w:kern w:val="0"/>
          <w:sz w:val="34"/>
          <w:szCs w:val="34"/>
        </w:rPr>
        <w:t>【</w:t>
      </w:r>
      <w:r>
        <w:rPr>
          <w:rFonts w:ascii="標楷體" w:eastAsia="標楷體" w:hAnsi="標楷體"/>
          <w:b/>
          <w:bCs/>
          <w:color w:val="0000FF"/>
          <w:spacing w:val="10"/>
          <w:kern w:val="0"/>
          <w:sz w:val="34"/>
          <w:szCs w:val="34"/>
        </w:rPr>
        <w:t>總體發展篇】</w:t>
      </w:r>
    </w:p>
    <w:p w14:paraId="027F3503" w14:textId="77777777" w:rsidR="00052596" w:rsidRDefault="00052596">
      <w:pPr>
        <w:tabs>
          <w:tab w:val="left" w:pos="960"/>
          <w:tab w:val="left" w:pos="1920"/>
          <w:tab w:val="left" w:pos="2880"/>
          <w:tab w:val="left" w:pos="3840"/>
          <w:tab w:val="left" w:pos="4800"/>
          <w:tab w:val="left" w:pos="5760"/>
        </w:tabs>
        <w:autoSpaceDE w:val="0"/>
        <w:spacing w:line="200" w:lineRule="exact"/>
        <w:ind w:left="-475"/>
        <w:jc w:val="center"/>
        <w:rPr>
          <w:rFonts w:eastAsia="標楷體"/>
          <w:b/>
          <w:color w:val="0000FF"/>
          <w:kern w:val="0"/>
          <w:sz w:val="32"/>
          <w:szCs w:val="22"/>
        </w:rPr>
      </w:pPr>
    </w:p>
    <w:p w14:paraId="652171E7"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kern w:val="0"/>
          <w:sz w:val="32"/>
          <w:szCs w:val="22"/>
        </w:rPr>
      </w:pPr>
      <w:r>
        <w:rPr>
          <w:rFonts w:eastAsia="標楷體"/>
          <w:b/>
          <w:color w:val="0000FF"/>
          <w:kern w:val="0"/>
          <w:sz w:val="32"/>
          <w:szCs w:val="22"/>
        </w:rPr>
        <w:t>第一章　主客觀情勢分析</w:t>
      </w:r>
    </w:p>
    <w:p w14:paraId="4F1BA581" w14:textId="77777777" w:rsidR="00052596" w:rsidRDefault="00052596">
      <w:pPr>
        <w:tabs>
          <w:tab w:val="left" w:pos="960"/>
          <w:tab w:val="left" w:pos="1920"/>
          <w:tab w:val="left" w:pos="2880"/>
          <w:tab w:val="left" w:pos="3840"/>
          <w:tab w:val="left" w:pos="4800"/>
          <w:tab w:val="left" w:pos="5760"/>
        </w:tabs>
        <w:autoSpaceDE w:val="0"/>
        <w:spacing w:line="200" w:lineRule="exact"/>
        <w:ind w:left="-475"/>
        <w:jc w:val="center"/>
        <w:rPr>
          <w:rFonts w:ascii="Calibri" w:eastAsia="標楷體" w:hAnsi="Calibri"/>
          <w:spacing w:val="4"/>
          <w:kern w:val="0"/>
          <w:sz w:val="28"/>
          <w:szCs w:val="28"/>
        </w:rPr>
      </w:pPr>
    </w:p>
    <w:p w14:paraId="72A916A2"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380" w:lineRule="exact"/>
        <w:ind w:left="-72" w:firstLine="576"/>
        <w:jc w:val="both"/>
        <w:textAlignment w:val="center"/>
      </w:pPr>
      <w:r>
        <w:rPr>
          <w:rFonts w:eastAsia="標楷體"/>
          <w:spacing w:val="4"/>
          <w:kern w:val="0"/>
          <w:sz w:val="28"/>
          <w:szCs w:val="26"/>
        </w:rPr>
        <w:t>依據環球透視機構</w:t>
      </w:r>
      <w:r>
        <w:rPr>
          <w:rFonts w:ascii="標楷體" w:eastAsia="標楷體" w:hAnsi="標楷體"/>
          <w:spacing w:val="4"/>
          <w:kern w:val="0"/>
          <w:sz w:val="28"/>
          <w:szCs w:val="26"/>
        </w:rPr>
        <w:t>(</w:t>
      </w:r>
      <w:r>
        <w:rPr>
          <w:rFonts w:eastAsia="標楷體"/>
          <w:spacing w:val="4"/>
          <w:kern w:val="0"/>
          <w:sz w:val="28"/>
          <w:szCs w:val="26"/>
        </w:rPr>
        <w:t>Global Insight Inc., GI</w:t>
      </w:r>
      <w:r>
        <w:rPr>
          <w:rFonts w:ascii="標楷體" w:eastAsia="標楷體" w:hAnsi="標楷體"/>
          <w:spacing w:val="4"/>
          <w:kern w:val="0"/>
          <w:sz w:val="28"/>
          <w:szCs w:val="26"/>
        </w:rPr>
        <w:t>)</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12</w:t>
      </w:r>
      <w:r>
        <w:rPr>
          <w:rFonts w:eastAsia="標楷體"/>
          <w:spacing w:val="4"/>
          <w:kern w:val="0"/>
          <w:sz w:val="28"/>
          <w:szCs w:val="26"/>
        </w:rPr>
        <w:t>月預測，</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年世界經濟可望溫和成長，經濟成長率平均為</w:t>
      </w:r>
      <w:r>
        <w:rPr>
          <w:rFonts w:eastAsia="標楷體"/>
          <w:spacing w:val="4"/>
          <w:kern w:val="0"/>
          <w:sz w:val="28"/>
          <w:szCs w:val="26"/>
        </w:rPr>
        <w:t>3.5%</w:t>
      </w:r>
      <w:r>
        <w:rPr>
          <w:rFonts w:eastAsia="標楷體"/>
          <w:spacing w:val="4"/>
          <w:kern w:val="0"/>
          <w:sz w:val="28"/>
          <w:szCs w:val="26"/>
        </w:rPr>
        <w:t>，且續呈先進經濟體景氣疲弱、新興經濟體經濟穩健成長之局面，惟歐債危機遲未解決、先進經濟體財政及就業隱憂、新興經濟體成長可能轉緩，以及國際能源市場波動等風險因素，均將為全球經濟增添變數。此外，新興經濟體區域內貿易活絡與經貿結盟深化、全球人口結構高齡化、國際環保規範益趨嚴格，亦為影響世界經貿發展的重要課題。</w:t>
      </w:r>
    </w:p>
    <w:p w14:paraId="5BD63DB6" w14:textId="77777777" w:rsidR="00052596" w:rsidRDefault="00000000">
      <w:pPr>
        <w:tabs>
          <w:tab w:val="left" w:pos="960"/>
          <w:tab w:val="left" w:pos="1920"/>
          <w:tab w:val="left" w:pos="2880"/>
          <w:tab w:val="left" w:pos="3840"/>
          <w:tab w:val="left" w:pos="4800"/>
          <w:tab w:val="left" w:pos="5760"/>
        </w:tabs>
        <w:overflowPunct w:val="0"/>
        <w:autoSpaceDE w:val="0"/>
        <w:spacing w:line="380" w:lineRule="exact"/>
        <w:ind w:left="187" w:hanging="259"/>
        <w:jc w:val="both"/>
        <w:textAlignment w:val="center"/>
        <w:rPr>
          <w:rFonts w:eastAsia="標楷體"/>
          <w:color w:val="000000"/>
          <w:spacing w:val="4"/>
          <w:kern w:val="0"/>
          <w:sz w:val="28"/>
          <w:szCs w:val="22"/>
        </w:rPr>
      </w:pPr>
      <w:r>
        <w:rPr>
          <w:rFonts w:eastAsia="標楷體"/>
          <w:color w:val="000000"/>
          <w:spacing w:val="4"/>
          <w:kern w:val="0"/>
          <w:sz w:val="28"/>
          <w:szCs w:val="22"/>
        </w:rPr>
        <w:t>－</w:t>
      </w:r>
      <w:r>
        <w:rPr>
          <w:rFonts w:eastAsia="標楷體"/>
          <w:color w:val="000000"/>
          <w:spacing w:val="4"/>
          <w:kern w:val="0"/>
          <w:sz w:val="28"/>
          <w:szCs w:val="22"/>
        </w:rPr>
        <w:t>2013</w:t>
      </w:r>
      <w:r>
        <w:rPr>
          <w:rFonts w:eastAsia="標楷體"/>
          <w:color w:val="000000"/>
          <w:spacing w:val="4"/>
          <w:kern w:val="0"/>
          <w:sz w:val="28"/>
          <w:szCs w:val="22"/>
        </w:rPr>
        <w:t>至</w:t>
      </w:r>
      <w:r>
        <w:rPr>
          <w:rFonts w:eastAsia="標楷體"/>
          <w:color w:val="000000"/>
          <w:spacing w:val="4"/>
          <w:kern w:val="0"/>
          <w:sz w:val="28"/>
          <w:szCs w:val="22"/>
        </w:rPr>
        <w:t>2016</w:t>
      </w:r>
      <w:r>
        <w:rPr>
          <w:rFonts w:eastAsia="標楷體"/>
          <w:color w:val="000000"/>
          <w:spacing w:val="4"/>
          <w:kern w:val="0"/>
          <w:sz w:val="28"/>
          <w:szCs w:val="22"/>
        </w:rPr>
        <w:t>年，先進經濟體受制於財政赤字及政府債務壓力、就業情勢持續低迷等因素，整體成長動能仍弱，平均經濟成長率</w:t>
      </w:r>
      <w:r>
        <w:rPr>
          <w:rFonts w:eastAsia="標楷體"/>
          <w:color w:val="000000"/>
          <w:spacing w:val="4"/>
          <w:kern w:val="0"/>
          <w:sz w:val="28"/>
          <w:szCs w:val="22"/>
        </w:rPr>
        <w:t>2.0%</w:t>
      </w:r>
      <w:r>
        <w:rPr>
          <w:rFonts w:eastAsia="標楷體"/>
          <w:color w:val="000000"/>
          <w:spacing w:val="4"/>
          <w:kern w:val="0"/>
          <w:sz w:val="28"/>
          <w:szCs w:val="22"/>
        </w:rPr>
        <w:t>，對全球經濟成長貢獻率為</w:t>
      </w:r>
      <w:r>
        <w:rPr>
          <w:rFonts w:eastAsia="標楷體"/>
          <w:color w:val="000000"/>
          <w:spacing w:val="4"/>
          <w:kern w:val="0"/>
          <w:sz w:val="28"/>
          <w:szCs w:val="22"/>
        </w:rPr>
        <w:t>42.6%</w:t>
      </w:r>
      <w:r>
        <w:rPr>
          <w:rFonts w:eastAsia="標楷體"/>
          <w:color w:val="000000"/>
          <w:spacing w:val="4"/>
          <w:kern w:val="0"/>
          <w:sz w:val="28"/>
          <w:szCs w:val="22"/>
        </w:rPr>
        <w:t>。新興經濟體則受惠於人口結構相對年輕、天然資源豐沛、政府致力強化基礎建設及調整經濟結構等因素，經濟可望穩健成長，平均經濟成長率為</w:t>
      </w:r>
      <w:r>
        <w:rPr>
          <w:rFonts w:eastAsia="標楷體"/>
          <w:color w:val="000000"/>
          <w:spacing w:val="4"/>
          <w:kern w:val="0"/>
          <w:sz w:val="28"/>
          <w:szCs w:val="22"/>
        </w:rPr>
        <w:t>5.6%</w:t>
      </w:r>
      <w:r>
        <w:rPr>
          <w:rFonts w:eastAsia="標楷體"/>
          <w:color w:val="000000"/>
          <w:spacing w:val="4"/>
          <w:kern w:val="0"/>
          <w:sz w:val="28"/>
          <w:szCs w:val="22"/>
        </w:rPr>
        <w:t>，對全球經濟成長貢獻率</w:t>
      </w:r>
      <w:r>
        <w:rPr>
          <w:rFonts w:eastAsia="標楷體"/>
          <w:color w:val="000000"/>
          <w:spacing w:val="4"/>
          <w:kern w:val="0"/>
          <w:sz w:val="28"/>
          <w:szCs w:val="22"/>
        </w:rPr>
        <w:t>53.3%</w:t>
      </w:r>
      <w:r>
        <w:rPr>
          <w:rFonts w:eastAsia="標楷體"/>
          <w:color w:val="000000"/>
          <w:spacing w:val="4"/>
          <w:kern w:val="0"/>
          <w:sz w:val="28"/>
          <w:szCs w:val="22"/>
        </w:rPr>
        <w:t>；其中，亞太新興經濟體在區域內貿易活絡，以及中國大陸、印度內需強勁的帶動下，對全球經濟成長貢獻為</w:t>
      </w:r>
      <w:r>
        <w:rPr>
          <w:rFonts w:eastAsia="標楷體"/>
          <w:color w:val="000000"/>
          <w:spacing w:val="4"/>
          <w:kern w:val="0"/>
          <w:sz w:val="28"/>
          <w:szCs w:val="22"/>
        </w:rPr>
        <w:t>38.5%</w:t>
      </w:r>
      <w:r>
        <w:rPr>
          <w:rFonts w:eastAsia="標楷體"/>
          <w:color w:val="000000"/>
          <w:spacing w:val="4"/>
          <w:kern w:val="0"/>
          <w:sz w:val="28"/>
          <w:szCs w:val="22"/>
        </w:rPr>
        <w:t>。</w:t>
      </w:r>
    </w:p>
    <w:p w14:paraId="450A4882" w14:textId="77777777" w:rsidR="00052596" w:rsidRDefault="00000000">
      <w:pPr>
        <w:tabs>
          <w:tab w:val="left" w:pos="960"/>
          <w:tab w:val="left" w:pos="1920"/>
          <w:tab w:val="left" w:pos="2880"/>
          <w:tab w:val="left" w:pos="3840"/>
          <w:tab w:val="left" w:pos="4800"/>
          <w:tab w:val="left" w:pos="5760"/>
        </w:tabs>
        <w:overflowPunct w:val="0"/>
        <w:autoSpaceDE w:val="0"/>
        <w:spacing w:line="380" w:lineRule="exact"/>
        <w:ind w:left="187" w:hanging="259"/>
        <w:jc w:val="both"/>
        <w:textAlignment w:val="center"/>
      </w:pPr>
      <w:r>
        <w:rPr>
          <w:rFonts w:eastAsia="標楷體"/>
          <w:color w:val="000000"/>
          <w:spacing w:val="4"/>
          <w:kern w:val="0"/>
          <w:sz w:val="28"/>
          <w:szCs w:val="22"/>
        </w:rPr>
        <w:t>－</w:t>
      </w:r>
      <w:r>
        <w:rPr>
          <w:rFonts w:eastAsia="標楷體"/>
          <w:color w:val="000000"/>
          <w:spacing w:val="2"/>
          <w:kern w:val="0"/>
          <w:sz w:val="28"/>
          <w:szCs w:val="22"/>
        </w:rPr>
        <w:t>隨著新興經濟體持續朝城市化與工業化轉型發展，城市經濟版圖可望持續擴大，潛存的龐大消費階層人口商機，亦將驅動未來全球經濟成長。此外，亞洲制度化區域經濟整合持續推展，其中，中國大陸積極參與的「東協區域全面經濟夥伴關係架構」</w:t>
      </w:r>
      <w:r>
        <w:rPr>
          <w:rFonts w:ascii="標楷體" w:eastAsia="標楷體" w:hAnsi="標楷體"/>
          <w:color w:val="000000"/>
          <w:spacing w:val="2"/>
          <w:kern w:val="0"/>
          <w:sz w:val="28"/>
          <w:szCs w:val="22"/>
        </w:rPr>
        <w:t>(</w:t>
      </w:r>
      <w:r>
        <w:rPr>
          <w:rFonts w:eastAsia="標楷體"/>
          <w:color w:val="000000"/>
          <w:spacing w:val="2"/>
          <w:kern w:val="0"/>
          <w:sz w:val="28"/>
          <w:szCs w:val="22"/>
        </w:rPr>
        <w:t>RCEP</w:t>
      </w:r>
      <w:r>
        <w:rPr>
          <w:rFonts w:ascii="標楷體" w:eastAsia="標楷體" w:hAnsi="標楷體"/>
          <w:color w:val="000000"/>
          <w:spacing w:val="2"/>
          <w:kern w:val="0"/>
          <w:sz w:val="28"/>
          <w:szCs w:val="22"/>
        </w:rPr>
        <w:t>)已</w:t>
      </w:r>
      <w:r>
        <w:rPr>
          <w:rFonts w:eastAsia="標楷體"/>
          <w:color w:val="000000"/>
          <w:spacing w:val="2"/>
          <w:kern w:val="0"/>
          <w:sz w:val="28"/>
          <w:szCs w:val="22"/>
        </w:rPr>
        <w:t>於</w:t>
      </w:r>
      <w:r>
        <w:rPr>
          <w:rFonts w:eastAsia="標楷體"/>
          <w:color w:val="000000"/>
          <w:spacing w:val="2"/>
          <w:kern w:val="0"/>
          <w:sz w:val="28"/>
          <w:szCs w:val="22"/>
        </w:rPr>
        <w:t>2012</w:t>
      </w:r>
      <w:r>
        <w:rPr>
          <w:rFonts w:eastAsia="標楷體"/>
          <w:color w:val="000000"/>
          <w:spacing w:val="2"/>
          <w:kern w:val="0"/>
          <w:sz w:val="28"/>
          <w:szCs w:val="22"/>
        </w:rPr>
        <w:t>年</w:t>
      </w:r>
      <w:r>
        <w:rPr>
          <w:rFonts w:eastAsia="標楷體"/>
          <w:color w:val="000000"/>
          <w:spacing w:val="2"/>
          <w:kern w:val="0"/>
          <w:sz w:val="28"/>
          <w:szCs w:val="22"/>
        </w:rPr>
        <w:t>11</w:t>
      </w:r>
      <w:r>
        <w:rPr>
          <w:rFonts w:eastAsia="標楷體"/>
          <w:color w:val="000000"/>
          <w:spacing w:val="2"/>
          <w:kern w:val="0"/>
          <w:sz w:val="28"/>
          <w:szCs w:val="22"/>
        </w:rPr>
        <w:t>月啟動談判，美國主導的「跨太平洋夥伴協定」</w:t>
      </w:r>
      <w:r>
        <w:rPr>
          <w:rFonts w:ascii="標楷體" w:eastAsia="標楷體" w:hAnsi="標楷體"/>
          <w:color w:val="000000"/>
          <w:spacing w:val="2"/>
          <w:kern w:val="0"/>
          <w:sz w:val="28"/>
          <w:szCs w:val="22"/>
        </w:rPr>
        <w:t>(</w:t>
      </w:r>
      <w:r>
        <w:rPr>
          <w:rFonts w:eastAsia="標楷體"/>
          <w:color w:val="000000"/>
          <w:spacing w:val="2"/>
          <w:kern w:val="0"/>
          <w:sz w:val="28"/>
          <w:szCs w:val="22"/>
        </w:rPr>
        <w:t>TPP</w:t>
      </w:r>
      <w:r>
        <w:rPr>
          <w:rFonts w:ascii="標楷體" w:eastAsia="標楷體" w:hAnsi="標楷體"/>
          <w:color w:val="000000"/>
          <w:spacing w:val="2"/>
          <w:kern w:val="0"/>
          <w:sz w:val="28"/>
          <w:szCs w:val="22"/>
        </w:rPr>
        <w:t>)</w:t>
      </w:r>
      <w:r>
        <w:rPr>
          <w:rFonts w:eastAsia="標楷體"/>
          <w:color w:val="000000"/>
          <w:spacing w:val="2"/>
          <w:kern w:val="0"/>
          <w:sz w:val="28"/>
          <w:szCs w:val="22"/>
        </w:rPr>
        <w:t>成員已擴至</w:t>
      </w:r>
      <w:r>
        <w:rPr>
          <w:rFonts w:eastAsia="標楷體"/>
          <w:color w:val="000000"/>
          <w:spacing w:val="2"/>
          <w:kern w:val="0"/>
          <w:sz w:val="28"/>
          <w:szCs w:val="22"/>
        </w:rPr>
        <w:t>11</w:t>
      </w:r>
      <w:r>
        <w:rPr>
          <w:rFonts w:eastAsia="標楷體"/>
          <w:color w:val="000000"/>
          <w:spacing w:val="2"/>
          <w:kern w:val="0"/>
          <w:sz w:val="28"/>
          <w:szCs w:val="22"/>
        </w:rPr>
        <w:t>國；另中國大陸、日本及南韓預定</w:t>
      </w:r>
      <w:r>
        <w:rPr>
          <w:rFonts w:eastAsia="標楷體"/>
          <w:color w:val="000000"/>
          <w:spacing w:val="2"/>
          <w:kern w:val="0"/>
          <w:sz w:val="28"/>
          <w:szCs w:val="22"/>
        </w:rPr>
        <w:t>2013</w:t>
      </w:r>
      <w:r>
        <w:rPr>
          <w:rFonts w:eastAsia="標楷體"/>
          <w:color w:val="000000"/>
          <w:spacing w:val="2"/>
          <w:kern w:val="0"/>
          <w:sz w:val="28"/>
          <w:szCs w:val="22"/>
        </w:rPr>
        <w:t>年初展開首輪</w:t>
      </w:r>
      <w:r>
        <w:rPr>
          <w:rFonts w:eastAsia="標楷體"/>
          <w:color w:val="000000"/>
          <w:spacing w:val="2"/>
          <w:kern w:val="0"/>
          <w:sz w:val="28"/>
          <w:szCs w:val="22"/>
        </w:rPr>
        <w:t>FTA</w:t>
      </w:r>
      <w:r>
        <w:rPr>
          <w:rFonts w:eastAsia="標楷體"/>
          <w:color w:val="000000"/>
          <w:spacing w:val="2"/>
          <w:kern w:val="0"/>
          <w:sz w:val="28"/>
          <w:szCs w:val="22"/>
        </w:rPr>
        <w:t>談判。</w:t>
      </w:r>
    </w:p>
    <w:p w14:paraId="368C7174" w14:textId="77777777" w:rsidR="00052596" w:rsidRDefault="00000000">
      <w:pPr>
        <w:tabs>
          <w:tab w:val="left" w:pos="960"/>
          <w:tab w:val="left" w:pos="1920"/>
          <w:tab w:val="left" w:pos="2880"/>
          <w:tab w:val="left" w:pos="3840"/>
          <w:tab w:val="left" w:pos="4800"/>
          <w:tab w:val="left" w:pos="5760"/>
        </w:tabs>
        <w:overflowPunct w:val="0"/>
        <w:autoSpaceDE w:val="0"/>
        <w:spacing w:line="380" w:lineRule="exact"/>
        <w:ind w:left="187" w:hanging="259"/>
        <w:jc w:val="both"/>
        <w:textAlignment w:val="center"/>
      </w:pPr>
      <w:r>
        <w:rPr>
          <w:rFonts w:eastAsia="標楷體"/>
          <w:color w:val="000000"/>
          <w:spacing w:val="4"/>
          <w:kern w:val="0"/>
          <w:sz w:val="28"/>
          <w:szCs w:val="22"/>
        </w:rPr>
        <w:t>－由於人類預期壽命延長、婦女生育率降低，全球人口結構高齡化現象日益普遍。聯合國</w:t>
      </w:r>
      <w:r>
        <w:rPr>
          <w:rFonts w:ascii="標楷體" w:eastAsia="標楷體" w:hAnsi="標楷體"/>
          <w:color w:val="000000"/>
          <w:spacing w:val="4"/>
          <w:kern w:val="0"/>
          <w:sz w:val="28"/>
          <w:szCs w:val="22"/>
        </w:rPr>
        <w:t>(</w:t>
      </w:r>
      <w:r>
        <w:rPr>
          <w:rFonts w:eastAsia="標楷體"/>
          <w:color w:val="000000"/>
          <w:spacing w:val="4"/>
          <w:kern w:val="0"/>
          <w:sz w:val="28"/>
          <w:szCs w:val="22"/>
        </w:rPr>
        <w:t>UN</w:t>
      </w:r>
      <w:r>
        <w:rPr>
          <w:rFonts w:ascii="標楷體" w:eastAsia="標楷體" w:hAnsi="標楷體"/>
          <w:color w:val="000000"/>
          <w:spacing w:val="4"/>
          <w:kern w:val="0"/>
          <w:sz w:val="28"/>
          <w:szCs w:val="22"/>
        </w:rPr>
        <w:t>)</w:t>
      </w:r>
      <w:r>
        <w:rPr>
          <w:rFonts w:eastAsia="標楷體"/>
          <w:color w:val="000000"/>
          <w:spacing w:val="4"/>
          <w:kern w:val="0"/>
          <w:sz w:val="28"/>
          <w:szCs w:val="22"/>
        </w:rPr>
        <w:t>預估，</w:t>
      </w:r>
      <w:r>
        <w:rPr>
          <w:rFonts w:eastAsia="標楷體"/>
          <w:color w:val="000000"/>
          <w:spacing w:val="4"/>
          <w:kern w:val="0"/>
          <w:sz w:val="28"/>
          <w:szCs w:val="22"/>
        </w:rPr>
        <w:t>2050</w:t>
      </w:r>
      <w:r>
        <w:rPr>
          <w:rFonts w:eastAsia="標楷體"/>
          <w:color w:val="000000"/>
          <w:spacing w:val="4"/>
          <w:kern w:val="0"/>
          <w:sz w:val="28"/>
          <w:szCs w:val="22"/>
        </w:rPr>
        <w:t>年全球高齡人口</w:t>
      </w:r>
      <w:r>
        <w:rPr>
          <w:rFonts w:ascii="標楷體" w:eastAsia="標楷體" w:hAnsi="標楷體"/>
          <w:color w:val="000000"/>
          <w:spacing w:val="4"/>
          <w:kern w:val="0"/>
          <w:sz w:val="28"/>
          <w:szCs w:val="22"/>
        </w:rPr>
        <w:t>(</w:t>
      </w:r>
      <w:r>
        <w:rPr>
          <w:rFonts w:eastAsia="標楷體"/>
          <w:color w:val="000000"/>
          <w:spacing w:val="4"/>
          <w:kern w:val="0"/>
          <w:sz w:val="28"/>
          <w:szCs w:val="22"/>
        </w:rPr>
        <w:t>60</w:t>
      </w:r>
      <w:r>
        <w:rPr>
          <w:rFonts w:eastAsia="標楷體"/>
          <w:color w:val="000000"/>
          <w:spacing w:val="4"/>
          <w:kern w:val="0"/>
          <w:sz w:val="28"/>
          <w:szCs w:val="22"/>
        </w:rPr>
        <w:t>歲以上</w:t>
      </w:r>
      <w:r>
        <w:rPr>
          <w:rFonts w:ascii="標楷體" w:eastAsia="標楷體" w:hAnsi="標楷體"/>
          <w:color w:val="000000"/>
          <w:spacing w:val="4"/>
          <w:kern w:val="0"/>
          <w:sz w:val="28"/>
          <w:szCs w:val="22"/>
        </w:rPr>
        <w:t>)占總人口比率，</w:t>
      </w:r>
      <w:r>
        <w:rPr>
          <w:rFonts w:eastAsia="標楷體"/>
          <w:color w:val="000000"/>
          <w:spacing w:val="4"/>
          <w:kern w:val="0"/>
          <w:sz w:val="28"/>
          <w:szCs w:val="22"/>
        </w:rPr>
        <w:t>將由</w:t>
      </w:r>
      <w:r>
        <w:rPr>
          <w:rFonts w:eastAsia="標楷體"/>
          <w:color w:val="000000"/>
          <w:spacing w:val="4"/>
          <w:kern w:val="0"/>
          <w:sz w:val="28"/>
          <w:szCs w:val="22"/>
        </w:rPr>
        <w:t>2012</w:t>
      </w:r>
      <w:r>
        <w:rPr>
          <w:rFonts w:eastAsia="標楷體"/>
          <w:color w:val="000000"/>
          <w:spacing w:val="4"/>
          <w:kern w:val="0"/>
          <w:sz w:val="28"/>
          <w:szCs w:val="22"/>
        </w:rPr>
        <w:t>年的</w:t>
      </w:r>
      <w:r>
        <w:rPr>
          <w:rFonts w:eastAsia="標楷體"/>
          <w:color w:val="000000"/>
          <w:spacing w:val="4"/>
          <w:kern w:val="0"/>
          <w:sz w:val="28"/>
          <w:szCs w:val="22"/>
        </w:rPr>
        <w:t>11%</w:t>
      </w:r>
      <w:r>
        <w:rPr>
          <w:rFonts w:eastAsia="標楷體"/>
          <w:color w:val="000000"/>
          <w:spacing w:val="4"/>
          <w:kern w:val="0"/>
          <w:sz w:val="28"/>
          <w:szCs w:val="22"/>
        </w:rPr>
        <w:t>倍增至</w:t>
      </w:r>
      <w:r>
        <w:rPr>
          <w:rFonts w:eastAsia="標楷體"/>
          <w:color w:val="000000"/>
          <w:spacing w:val="4"/>
          <w:kern w:val="0"/>
          <w:sz w:val="28"/>
          <w:szCs w:val="22"/>
        </w:rPr>
        <w:t>22%</w:t>
      </w:r>
      <w:r>
        <w:rPr>
          <w:rFonts w:eastAsia="標楷體"/>
          <w:color w:val="000000"/>
          <w:spacing w:val="4"/>
          <w:kern w:val="0"/>
          <w:sz w:val="28"/>
          <w:szCs w:val="22"/>
        </w:rPr>
        <w:t>；</w:t>
      </w:r>
      <w:r>
        <w:rPr>
          <w:rFonts w:eastAsia="標楷體"/>
          <w:color w:val="000000"/>
          <w:spacing w:val="4"/>
          <w:kern w:val="0"/>
          <w:sz w:val="28"/>
          <w:szCs w:val="22"/>
        </w:rPr>
        <w:t>UN</w:t>
      </w:r>
      <w:r>
        <w:rPr>
          <w:rFonts w:eastAsia="標楷體"/>
          <w:color w:val="000000"/>
          <w:spacing w:val="4"/>
          <w:kern w:val="0"/>
          <w:sz w:val="28"/>
          <w:szCs w:val="22"/>
        </w:rPr>
        <w:t>並呼籲各國將高齡化納入全球發展主流議題，各國政府亦分別由高齡者的生活面、財務面、醫療面，採行相關因應對策，以減輕人口高齡化的衝擊。</w:t>
      </w:r>
    </w:p>
    <w:p w14:paraId="44E93AE5" w14:textId="77777777" w:rsidR="00052596" w:rsidRDefault="00000000">
      <w:pPr>
        <w:tabs>
          <w:tab w:val="left" w:pos="960"/>
          <w:tab w:val="left" w:pos="1920"/>
          <w:tab w:val="left" w:pos="2880"/>
          <w:tab w:val="left" w:pos="3840"/>
          <w:tab w:val="left" w:pos="4800"/>
          <w:tab w:val="left" w:pos="5760"/>
        </w:tabs>
        <w:overflowPunct w:val="0"/>
        <w:autoSpaceDE w:val="0"/>
        <w:spacing w:line="380" w:lineRule="exact"/>
        <w:ind w:left="187" w:hanging="259"/>
        <w:jc w:val="both"/>
        <w:textAlignment w:val="center"/>
      </w:pPr>
      <w:r>
        <w:rPr>
          <w:rFonts w:eastAsia="標楷體"/>
          <w:color w:val="000000"/>
          <w:spacing w:val="4"/>
          <w:kern w:val="0"/>
          <w:sz w:val="28"/>
          <w:szCs w:val="22"/>
        </w:rPr>
        <w:t>－為</w:t>
      </w:r>
      <w:r>
        <w:rPr>
          <w:rFonts w:eastAsia="標楷體"/>
          <w:color w:val="000000"/>
          <w:spacing w:val="2"/>
          <w:kern w:val="0"/>
          <w:sz w:val="28"/>
          <w:szCs w:val="22"/>
        </w:rPr>
        <w:t>減緩氣候變遷的衝擊，</w:t>
      </w:r>
      <w:r>
        <w:rPr>
          <w:rFonts w:eastAsia="標楷體"/>
          <w:color w:val="000000"/>
          <w:spacing w:val="2"/>
          <w:kern w:val="0"/>
          <w:sz w:val="28"/>
          <w:szCs w:val="22"/>
        </w:rPr>
        <w:t>UN</w:t>
      </w:r>
      <w:r>
        <w:rPr>
          <w:rFonts w:eastAsia="標楷體"/>
          <w:color w:val="000000"/>
          <w:spacing w:val="2"/>
          <w:kern w:val="0"/>
          <w:sz w:val="28"/>
          <w:szCs w:val="22"/>
        </w:rPr>
        <w:t>積極主導後京都時期國際溫室氣體減量之協商，</w:t>
      </w:r>
      <w:r>
        <w:rPr>
          <w:rFonts w:eastAsia="標楷體"/>
          <w:color w:val="000000"/>
          <w:spacing w:val="2"/>
          <w:kern w:val="0"/>
          <w:sz w:val="28"/>
          <w:szCs w:val="22"/>
        </w:rPr>
        <w:t>20</w:t>
      </w:r>
      <w:r>
        <w:rPr>
          <w:rFonts w:eastAsia="標楷體"/>
          <w:color w:val="000000"/>
          <w:spacing w:val="2"/>
          <w:kern w:val="0"/>
          <w:sz w:val="28"/>
          <w:szCs w:val="22"/>
        </w:rPr>
        <w:t>國集團</w:t>
      </w:r>
      <w:r>
        <w:rPr>
          <w:rFonts w:ascii="標楷體" w:eastAsia="標楷體" w:hAnsi="標楷體"/>
          <w:color w:val="000000"/>
          <w:spacing w:val="2"/>
          <w:kern w:val="0"/>
          <w:sz w:val="28"/>
          <w:szCs w:val="22"/>
        </w:rPr>
        <w:t>(</w:t>
      </w:r>
      <w:r>
        <w:rPr>
          <w:rFonts w:eastAsia="標楷體"/>
          <w:color w:val="000000"/>
          <w:spacing w:val="2"/>
          <w:kern w:val="0"/>
          <w:sz w:val="28"/>
          <w:szCs w:val="22"/>
        </w:rPr>
        <w:t>G20</w:t>
      </w:r>
      <w:r>
        <w:rPr>
          <w:rFonts w:ascii="標楷體" w:eastAsia="標楷體" w:hAnsi="標楷體"/>
          <w:color w:val="000000"/>
          <w:spacing w:val="2"/>
          <w:kern w:val="0"/>
          <w:sz w:val="28"/>
          <w:szCs w:val="22"/>
        </w:rPr>
        <w:t>)</w:t>
      </w:r>
      <w:r>
        <w:rPr>
          <w:rFonts w:eastAsia="標楷體"/>
          <w:color w:val="000000"/>
          <w:spacing w:val="2"/>
          <w:kern w:val="0"/>
          <w:sz w:val="28"/>
          <w:szCs w:val="22"/>
        </w:rPr>
        <w:t>、亞太經濟合作會議</w:t>
      </w:r>
      <w:r>
        <w:rPr>
          <w:rFonts w:ascii="標楷體" w:eastAsia="標楷體" w:hAnsi="標楷體"/>
          <w:color w:val="000000"/>
          <w:spacing w:val="2"/>
          <w:kern w:val="0"/>
          <w:sz w:val="28"/>
          <w:szCs w:val="22"/>
        </w:rPr>
        <w:t>(</w:t>
      </w:r>
      <w:r>
        <w:rPr>
          <w:rFonts w:eastAsia="標楷體"/>
          <w:color w:val="000000"/>
          <w:spacing w:val="2"/>
          <w:kern w:val="0"/>
          <w:sz w:val="28"/>
          <w:szCs w:val="22"/>
        </w:rPr>
        <w:t>APEC</w:t>
      </w:r>
      <w:r>
        <w:rPr>
          <w:rFonts w:ascii="標楷體" w:eastAsia="標楷體" w:hAnsi="標楷體"/>
          <w:color w:val="000000"/>
          <w:spacing w:val="2"/>
          <w:kern w:val="0"/>
          <w:sz w:val="28"/>
          <w:szCs w:val="22"/>
        </w:rPr>
        <w:t>)</w:t>
      </w:r>
      <w:r>
        <w:rPr>
          <w:rFonts w:eastAsia="標楷體"/>
          <w:color w:val="000000"/>
          <w:spacing w:val="2"/>
          <w:kern w:val="0"/>
          <w:sz w:val="28"/>
          <w:szCs w:val="22"/>
        </w:rPr>
        <w:t>等國際組織</w:t>
      </w:r>
      <w:r>
        <w:rPr>
          <w:rFonts w:eastAsia="標楷體"/>
          <w:color w:val="000000"/>
          <w:spacing w:val="2"/>
          <w:kern w:val="0"/>
          <w:sz w:val="28"/>
          <w:szCs w:val="22"/>
        </w:rPr>
        <w:lastRenderedPageBreak/>
        <w:t>與各主要國家協力推動綠色成長，國際環保規範亦日漸嚴格。另隨著環保節能、再生能源等綠色科技持續發展，綠色產業潛藏龐大商機。</w:t>
      </w:r>
    </w:p>
    <w:p w14:paraId="42852F2B" w14:textId="77777777" w:rsidR="00052596" w:rsidRDefault="00000000">
      <w:pPr>
        <w:pageBreakBefore/>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lastRenderedPageBreak/>
        <w:t>第一節　前瞻世界趨勢</w:t>
      </w:r>
    </w:p>
    <w:p w14:paraId="0A6F6582"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6E95DA61"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壹、全球經濟復甦與風險</w:t>
      </w:r>
    </w:p>
    <w:p w14:paraId="05E7B740"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56DB70B"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2012</w:t>
      </w:r>
      <w:r>
        <w:rPr>
          <w:rFonts w:eastAsia="標楷體"/>
          <w:spacing w:val="4"/>
          <w:kern w:val="0"/>
          <w:sz w:val="28"/>
          <w:szCs w:val="26"/>
        </w:rPr>
        <w:t>年，全球經濟由於歐債危機擴大、國際金融動盪，加以先進經濟體財政與就業情勢嚴峻，景氣復甦遲緩，並逐漸波及中國大陸、印度等新興經濟體，整體成長力道較</w:t>
      </w:r>
      <w:r>
        <w:rPr>
          <w:rFonts w:eastAsia="標楷體"/>
          <w:spacing w:val="4"/>
          <w:kern w:val="0"/>
          <w:sz w:val="28"/>
          <w:szCs w:val="26"/>
        </w:rPr>
        <w:t>2011</w:t>
      </w:r>
      <w:r>
        <w:rPr>
          <w:rFonts w:eastAsia="標楷體"/>
          <w:spacing w:val="4"/>
          <w:kern w:val="0"/>
          <w:sz w:val="28"/>
          <w:szCs w:val="26"/>
        </w:rPr>
        <w:t>年疲弱。</w:t>
      </w:r>
    </w:p>
    <w:p w14:paraId="7D13DB96"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展望</w:t>
      </w:r>
      <w:r>
        <w:rPr>
          <w:rFonts w:eastAsia="標楷體"/>
          <w:spacing w:val="2"/>
          <w:kern w:val="0"/>
          <w:sz w:val="28"/>
          <w:szCs w:val="26"/>
        </w:rPr>
        <w:t>2013</w:t>
      </w:r>
      <w:r>
        <w:rPr>
          <w:rFonts w:eastAsia="標楷體"/>
          <w:spacing w:val="2"/>
          <w:kern w:val="0"/>
          <w:sz w:val="28"/>
          <w:szCs w:val="26"/>
        </w:rPr>
        <w:t>至</w:t>
      </w:r>
      <w:r>
        <w:rPr>
          <w:rFonts w:eastAsia="標楷體"/>
          <w:spacing w:val="2"/>
          <w:kern w:val="0"/>
          <w:sz w:val="28"/>
          <w:szCs w:val="26"/>
        </w:rPr>
        <w:t>2016</w:t>
      </w:r>
      <w:r>
        <w:rPr>
          <w:rFonts w:eastAsia="標楷體"/>
          <w:spacing w:val="2"/>
          <w:kern w:val="0"/>
          <w:sz w:val="28"/>
          <w:szCs w:val="26"/>
        </w:rPr>
        <w:t>年，依據環球透視機構</w:t>
      </w:r>
      <w:r>
        <w:rPr>
          <w:rFonts w:ascii="標楷體" w:eastAsia="標楷體" w:hAnsi="標楷體"/>
          <w:spacing w:val="2"/>
          <w:kern w:val="0"/>
          <w:sz w:val="28"/>
          <w:szCs w:val="26"/>
        </w:rPr>
        <w:t>(</w:t>
      </w:r>
      <w:r>
        <w:rPr>
          <w:rFonts w:eastAsia="標楷體"/>
          <w:spacing w:val="2"/>
          <w:kern w:val="0"/>
          <w:sz w:val="28"/>
          <w:szCs w:val="26"/>
        </w:rPr>
        <w:t>Global Insight Inc., GI</w:t>
      </w:r>
      <w:r>
        <w:rPr>
          <w:rFonts w:ascii="標楷體" w:eastAsia="標楷體" w:hAnsi="標楷體"/>
          <w:spacing w:val="2"/>
          <w:kern w:val="0"/>
          <w:sz w:val="28"/>
          <w:szCs w:val="26"/>
        </w:rPr>
        <w:t>)</w:t>
      </w:r>
      <w:r>
        <w:rPr>
          <w:rFonts w:eastAsia="標楷體"/>
          <w:spacing w:val="4"/>
          <w:kern w:val="0"/>
          <w:sz w:val="28"/>
          <w:szCs w:val="26"/>
        </w:rPr>
        <w:t>及國際貨幣基金</w:t>
      </w:r>
      <w:r>
        <w:rPr>
          <w:rFonts w:ascii="標楷體" w:eastAsia="標楷體" w:hAnsi="標楷體"/>
          <w:spacing w:val="4"/>
          <w:kern w:val="0"/>
          <w:sz w:val="28"/>
          <w:szCs w:val="26"/>
        </w:rPr>
        <w:t>(</w:t>
      </w:r>
      <w:r>
        <w:rPr>
          <w:rFonts w:eastAsia="標楷體"/>
          <w:spacing w:val="4"/>
          <w:kern w:val="0"/>
          <w:sz w:val="28"/>
          <w:szCs w:val="26"/>
        </w:rPr>
        <w:t>IMF</w:t>
      </w:r>
      <w:r>
        <w:rPr>
          <w:rFonts w:ascii="標楷體" w:eastAsia="標楷體" w:hAnsi="標楷體"/>
          <w:spacing w:val="4"/>
          <w:kern w:val="0"/>
          <w:sz w:val="28"/>
          <w:szCs w:val="26"/>
        </w:rPr>
        <w:t>)</w:t>
      </w:r>
      <w:r>
        <w:rPr>
          <w:rFonts w:eastAsia="標楷體"/>
          <w:spacing w:val="4"/>
          <w:kern w:val="0"/>
          <w:sz w:val="28"/>
          <w:szCs w:val="26"/>
        </w:rPr>
        <w:t>等國際組織預測，世界經濟可望溫和成長，且續呈新興經濟體經濟擴張速度高於先進經濟體之雙軌成</w:t>
      </w:r>
      <w:r>
        <w:rPr>
          <w:rFonts w:eastAsia="標楷體"/>
          <w:spacing w:val="2"/>
          <w:kern w:val="0"/>
          <w:sz w:val="28"/>
          <w:szCs w:val="26"/>
        </w:rPr>
        <w:t>長</w:t>
      </w:r>
      <w:r>
        <w:rPr>
          <w:rFonts w:ascii="標楷體" w:eastAsia="標楷體" w:hAnsi="標楷體"/>
          <w:spacing w:val="4"/>
          <w:kern w:val="0"/>
          <w:sz w:val="28"/>
          <w:szCs w:val="26"/>
        </w:rPr>
        <w:t>(</w:t>
      </w:r>
      <w:r>
        <w:rPr>
          <w:rFonts w:eastAsia="標楷體"/>
          <w:spacing w:val="4"/>
          <w:kern w:val="0"/>
          <w:sz w:val="28"/>
          <w:szCs w:val="26"/>
        </w:rPr>
        <w:t>double-track growth</w:t>
      </w:r>
      <w:r>
        <w:rPr>
          <w:rFonts w:ascii="標楷體" w:eastAsia="標楷體" w:hAnsi="標楷體"/>
          <w:spacing w:val="4"/>
          <w:kern w:val="0"/>
          <w:sz w:val="28"/>
          <w:szCs w:val="26"/>
        </w:rPr>
        <w:t>)</w:t>
      </w:r>
      <w:r>
        <w:rPr>
          <w:rFonts w:eastAsia="標楷體"/>
          <w:spacing w:val="4"/>
          <w:kern w:val="0"/>
          <w:sz w:val="28"/>
          <w:szCs w:val="26"/>
        </w:rPr>
        <w:t>態勢，惟歐債危機遲未解決、先進經濟體高財政赤字及失業率問題、新興經濟體</w:t>
      </w:r>
      <w:r>
        <w:rPr>
          <w:rFonts w:ascii="標楷體" w:eastAsia="標楷體" w:hAnsi="標楷體"/>
          <w:spacing w:val="4"/>
          <w:kern w:val="0"/>
          <w:sz w:val="28"/>
          <w:szCs w:val="26"/>
        </w:rPr>
        <w:t>成長可能轉緩，</w:t>
      </w:r>
      <w:r>
        <w:rPr>
          <w:rFonts w:eastAsia="標楷體"/>
          <w:spacing w:val="4"/>
          <w:kern w:val="0"/>
          <w:sz w:val="28"/>
          <w:szCs w:val="26"/>
        </w:rPr>
        <w:t>以及國際能源市場波動等不確定因素，均使全球經濟面臨下行風險。</w:t>
      </w:r>
      <w:r>
        <w:rPr>
          <w:rFonts w:eastAsia="標楷體"/>
          <w:spacing w:val="4"/>
          <w:kern w:val="0"/>
          <w:sz w:val="28"/>
          <w:szCs w:val="26"/>
        </w:rPr>
        <w:t>GI</w:t>
      </w:r>
      <w:r>
        <w:rPr>
          <w:rFonts w:eastAsia="標楷體"/>
          <w:spacing w:val="4"/>
          <w:kern w:val="0"/>
          <w:sz w:val="28"/>
          <w:szCs w:val="26"/>
        </w:rPr>
        <w:t>於</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12</w:t>
      </w:r>
      <w:r>
        <w:rPr>
          <w:rFonts w:eastAsia="標楷體"/>
          <w:spacing w:val="4"/>
          <w:kern w:val="0"/>
          <w:sz w:val="28"/>
          <w:szCs w:val="26"/>
        </w:rPr>
        <w:t>月預測，</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年世界經濟成長率分別為</w:t>
      </w:r>
      <w:r>
        <w:rPr>
          <w:rFonts w:eastAsia="標楷體"/>
          <w:spacing w:val="4"/>
          <w:kern w:val="0"/>
          <w:sz w:val="28"/>
          <w:szCs w:val="26"/>
        </w:rPr>
        <w:t>2.6%</w:t>
      </w:r>
      <w:r>
        <w:rPr>
          <w:rFonts w:eastAsia="標楷體"/>
          <w:spacing w:val="4"/>
          <w:kern w:val="0"/>
          <w:sz w:val="28"/>
          <w:szCs w:val="26"/>
        </w:rPr>
        <w:t>、</w:t>
      </w:r>
      <w:r>
        <w:rPr>
          <w:rFonts w:eastAsia="標楷體"/>
          <w:spacing w:val="4"/>
          <w:kern w:val="0"/>
          <w:sz w:val="28"/>
          <w:szCs w:val="26"/>
        </w:rPr>
        <w:t>3.4%</w:t>
      </w:r>
      <w:r>
        <w:rPr>
          <w:rFonts w:eastAsia="標楷體"/>
          <w:spacing w:val="4"/>
          <w:kern w:val="0"/>
          <w:sz w:val="28"/>
          <w:szCs w:val="26"/>
        </w:rPr>
        <w:t>、</w:t>
      </w:r>
      <w:r>
        <w:rPr>
          <w:rFonts w:eastAsia="標楷體"/>
          <w:spacing w:val="4"/>
          <w:kern w:val="0"/>
          <w:sz w:val="28"/>
          <w:szCs w:val="26"/>
        </w:rPr>
        <w:t>4.0%</w:t>
      </w:r>
      <w:r>
        <w:rPr>
          <w:rFonts w:eastAsia="標楷體"/>
          <w:spacing w:val="4"/>
          <w:kern w:val="0"/>
          <w:sz w:val="28"/>
          <w:szCs w:val="26"/>
        </w:rPr>
        <w:t>及</w:t>
      </w:r>
      <w:r>
        <w:rPr>
          <w:rFonts w:eastAsia="標楷體"/>
          <w:spacing w:val="4"/>
          <w:kern w:val="0"/>
          <w:sz w:val="28"/>
          <w:szCs w:val="26"/>
        </w:rPr>
        <w:t>4.0%</w:t>
      </w:r>
      <w:r>
        <w:rPr>
          <w:rFonts w:eastAsia="標楷體"/>
          <w:spacing w:val="4"/>
          <w:kern w:val="0"/>
          <w:sz w:val="28"/>
          <w:szCs w:val="26"/>
        </w:rPr>
        <w:t>，平均</w:t>
      </w:r>
      <w:r>
        <w:rPr>
          <w:rFonts w:eastAsia="標楷體"/>
          <w:spacing w:val="4"/>
          <w:kern w:val="0"/>
          <w:sz w:val="28"/>
          <w:szCs w:val="26"/>
        </w:rPr>
        <w:t>3.5%</w:t>
      </w:r>
      <w:r>
        <w:rPr>
          <w:rFonts w:eastAsia="標楷體"/>
          <w:spacing w:val="4"/>
          <w:kern w:val="0"/>
          <w:sz w:val="28"/>
          <w:szCs w:val="26"/>
        </w:rPr>
        <w:t>，略高於金融海嘯後</w:t>
      </w:r>
      <w:r>
        <w:rPr>
          <w:rFonts w:eastAsia="標楷體"/>
          <w:spacing w:val="4"/>
          <w:kern w:val="0"/>
          <w:sz w:val="28"/>
          <w:szCs w:val="26"/>
        </w:rPr>
        <w:t>2010</w:t>
      </w:r>
      <w:r>
        <w:rPr>
          <w:rFonts w:eastAsia="標楷體"/>
          <w:spacing w:val="4"/>
          <w:kern w:val="0"/>
          <w:sz w:val="28"/>
          <w:szCs w:val="26"/>
        </w:rPr>
        <w:t>至</w:t>
      </w:r>
      <w:r>
        <w:rPr>
          <w:rFonts w:eastAsia="標楷體"/>
          <w:spacing w:val="4"/>
          <w:kern w:val="0"/>
          <w:sz w:val="28"/>
          <w:szCs w:val="26"/>
        </w:rPr>
        <w:t>2012</w:t>
      </w:r>
      <w:r>
        <w:rPr>
          <w:rFonts w:eastAsia="標楷體"/>
          <w:spacing w:val="4"/>
          <w:kern w:val="0"/>
          <w:sz w:val="28"/>
          <w:szCs w:val="26"/>
        </w:rPr>
        <w:t>年平均之</w:t>
      </w:r>
      <w:r>
        <w:rPr>
          <w:rFonts w:eastAsia="標楷體"/>
          <w:spacing w:val="4"/>
          <w:kern w:val="0"/>
          <w:sz w:val="28"/>
          <w:szCs w:val="26"/>
        </w:rPr>
        <w:t>3.3%</w:t>
      </w:r>
      <w:r>
        <w:rPr>
          <w:rFonts w:eastAsia="標楷體"/>
          <w:spacing w:val="4"/>
          <w:kern w:val="0"/>
          <w:sz w:val="28"/>
          <w:szCs w:val="26"/>
        </w:rPr>
        <w:t>。另依</w:t>
      </w:r>
      <w:r>
        <w:rPr>
          <w:rFonts w:eastAsia="標楷體"/>
          <w:spacing w:val="4"/>
          <w:kern w:val="0"/>
          <w:sz w:val="28"/>
          <w:szCs w:val="26"/>
        </w:rPr>
        <w:t>IMF</w:t>
      </w:r>
      <w:r>
        <w:rPr>
          <w:rFonts w:eastAsia="標楷體"/>
          <w:spacing w:val="4"/>
          <w:kern w:val="0"/>
          <w:sz w:val="28"/>
          <w:szCs w:val="26"/>
        </w:rPr>
        <w:t>於</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10</w:t>
      </w:r>
      <w:r>
        <w:rPr>
          <w:rFonts w:eastAsia="標楷體"/>
          <w:spacing w:val="4"/>
          <w:kern w:val="0"/>
          <w:sz w:val="28"/>
          <w:szCs w:val="26"/>
        </w:rPr>
        <w:t>月推估，</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年間，世界貿易擴張率將由</w:t>
      </w:r>
      <w:r>
        <w:rPr>
          <w:rFonts w:eastAsia="標楷體"/>
          <w:spacing w:val="4"/>
          <w:kern w:val="0"/>
          <w:sz w:val="28"/>
          <w:szCs w:val="26"/>
        </w:rPr>
        <w:t>2013</w:t>
      </w:r>
      <w:r>
        <w:rPr>
          <w:rFonts w:eastAsia="標楷體"/>
          <w:spacing w:val="4"/>
          <w:kern w:val="0"/>
          <w:sz w:val="28"/>
          <w:szCs w:val="26"/>
        </w:rPr>
        <w:t>年的</w:t>
      </w:r>
      <w:r>
        <w:rPr>
          <w:rFonts w:eastAsia="標楷體"/>
          <w:spacing w:val="4"/>
          <w:kern w:val="0"/>
          <w:sz w:val="28"/>
          <w:szCs w:val="26"/>
        </w:rPr>
        <w:t>4.5%</w:t>
      </w:r>
      <w:r>
        <w:rPr>
          <w:rFonts w:eastAsia="標楷體"/>
          <w:spacing w:val="4"/>
          <w:kern w:val="0"/>
          <w:sz w:val="28"/>
          <w:szCs w:val="26"/>
        </w:rPr>
        <w:t>逐年遞增至</w:t>
      </w:r>
      <w:r>
        <w:rPr>
          <w:rFonts w:eastAsia="標楷體"/>
          <w:spacing w:val="4"/>
          <w:kern w:val="0"/>
          <w:sz w:val="28"/>
          <w:szCs w:val="26"/>
        </w:rPr>
        <w:t>2016</w:t>
      </w:r>
      <w:r>
        <w:rPr>
          <w:rFonts w:eastAsia="標楷體"/>
          <w:spacing w:val="4"/>
          <w:kern w:val="0"/>
          <w:sz w:val="28"/>
          <w:szCs w:val="26"/>
        </w:rPr>
        <w:t>年的</w:t>
      </w:r>
      <w:r>
        <w:rPr>
          <w:rFonts w:eastAsia="標楷體"/>
          <w:spacing w:val="4"/>
          <w:kern w:val="0"/>
          <w:sz w:val="28"/>
          <w:szCs w:val="26"/>
        </w:rPr>
        <w:t>6.3%</w:t>
      </w:r>
      <w:r>
        <w:rPr>
          <w:rFonts w:eastAsia="標楷體"/>
          <w:spacing w:val="4"/>
          <w:kern w:val="0"/>
          <w:sz w:val="28"/>
          <w:szCs w:val="26"/>
        </w:rPr>
        <w:t>，平均每年擴張</w:t>
      </w:r>
      <w:r>
        <w:rPr>
          <w:rFonts w:eastAsia="標楷體"/>
          <w:spacing w:val="4"/>
          <w:kern w:val="0"/>
          <w:sz w:val="28"/>
          <w:szCs w:val="26"/>
        </w:rPr>
        <w:t>5.7%</w:t>
      </w:r>
      <w:r>
        <w:rPr>
          <w:rFonts w:eastAsia="標楷體"/>
          <w:spacing w:val="4"/>
          <w:kern w:val="0"/>
          <w:sz w:val="28"/>
          <w:szCs w:val="26"/>
        </w:rPr>
        <w:t>，惟仍未回復至</w:t>
      </w:r>
      <w:r>
        <w:rPr>
          <w:rFonts w:eastAsia="標楷體"/>
          <w:spacing w:val="4"/>
          <w:kern w:val="0"/>
          <w:sz w:val="28"/>
          <w:szCs w:val="26"/>
        </w:rPr>
        <w:t>2007</w:t>
      </w:r>
      <w:r>
        <w:rPr>
          <w:rFonts w:eastAsia="標楷體"/>
          <w:spacing w:val="4"/>
          <w:kern w:val="0"/>
          <w:sz w:val="28"/>
          <w:szCs w:val="26"/>
        </w:rPr>
        <w:t>年金融風暴前</w:t>
      </w:r>
      <w:r>
        <w:rPr>
          <w:rFonts w:eastAsia="標楷體"/>
          <w:spacing w:val="4"/>
          <w:kern w:val="0"/>
          <w:sz w:val="28"/>
          <w:szCs w:val="26"/>
        </w:rPr>
        <w:t>7.8%</w:t>
      </w:r>
      <w:r>
        <w:rPr>
          <w:rFonts w:eastAsia="標楷體"/>
          <w:spacing w:val="4"/>
          <w:kern w:val="0"/>
          <w:sz w:val="28"/>
          <w:szCs w:val="26"/>
        </w:rPr>
        <w:t>的成長水準。</w:t>
      </w:r>
    </w:p>
    <w:p w14:paraId="7DDC0B57" w14:textId="77777777" w:rsidR="00052596" w:rsidRDefault="00000000">
      <w:pPr>
        <w:overflowPunct w:val="0"/>
        <w:autoSpaceDE w:val="0"/>
        <w:snapToGrid w:val="0"/>
        <w:spacing w:before="360" w:after="240" w:line="280" w:lineRule="exact"/>
        <w:jc w:val="center"/>
        <w:textAlignment w:val="center"/>
      </w:pPr>
      <w:r>
        <w:rPr>
          <w:rFonts w:eastAsia="標楷體"/>
          <w:b/>
          <w:color w:val="0000FF"/>
          <w:kern w:val="0"/>
          <w:sz w:val="26"/>
          <w:szCs w:val="26"/>
        </w:rPr>
        <w:t>圖</w:t>
      </w:r>
      <w:r>
        <w:rPr>
          <w:rFonts w:eastAsia="標楷體"/>
          <w:b/>
          <w:color w:val="0000FF"/>
          <w:kern w:val="0"/>
          <w:sz w:val="26"/>
          <w:szCs w:val="26"/>
        </w:rPr>
        <w:t>1.1.1</w:t>
      </w:r>
      <w:r>
        <w:rPr>
          <w:rFonts w:eastAsia="標楷體"/>
          <w:b/>
          <w:color w:val="0000FF"/>
          <w:kern w:val="0"/>
          <w:sz w:val="26"/>
          <w:szCs w:val="26"/>
        </w:rPr>
        <w:t xml:space="preserve">　世界貿易擴張率變動</w:t>
      </w:r>
    </w:p>
    <w:p w14:paraId="7DAC0090" w14:textId="77777777" w:rsidR="00052596" w:rsidRDefault="00000000">
      <w:pPr>
        <w:widowControl/>
        <w:spacing w:after="120"/>
        <w:jc w:val="center"/>
      </w:pPr>
      <w:r>
        <w:rPr>
          <w:noProof/>
        </w:rPr>
        <mc:AlternateContent>
          <mc:Choice Requires="wps">
            <w:drawing>
              <wp:anchor distT="0" distB="0" distL="114300" distR="114300" simplePos="0" relativeHeight="251619840" behindDoc="0" locked="0" layoutInCell="1" allowOverlap="1" wp14:anchorId="122C7EA8" wp14:editId="5003AE26">
                <wp:simplePos x="0" y="0"/>
                <wp:positionH relativeFrom="column">
                  <wp:posOffset>3444243</wp:posOffset>
                </wp:positionH>
                <wp:positionV relativeFrom="paragraph">
                  <wp:posOffset>109215</wp:posOffset>
                </wp:positionV>
                <wp:extent cx="1600200" cy="333371"/>
                <wp:effectExtent l="0" t="0" r="0" b="0"/>
                <wp:wrapNone/>
                <wp:docPr id="75" name="文字方塊 84"/>
                <wp:cNvGraphicFramePr/>
                <a:graphic xmlns:a="http://schemas.openxmlformats.org/drawingml/2006/main">
                  <a:graphicData uri="http://schemas.microsoft.com/office/word/2010/wordprocessingShape">
                    <wps:wsp>
                      <wps:cNvSpPr txBox="1"/>
                      <wps:spPr>
                        <a:xfrm>
                          <a:off x="0" y="0"/>
                          <a:ext cx="1600200" cy="333371"/>
                        </a:xfrm>
                        <a:prstGeom prst="rect">
                          <a:avLst/>
                        </a:prstGeom>
                        <a:noFill/>
                        <a:ln>
                          <a:noFill/>
                          <a:prstDash/>
                        </a:ln>
                      </wps:spPr>
                      <wps:txbx>
                        <w:txbxContent>
                          <w:p w14:paraId="4069880B" w14:textId="77777777" w:rsidR="00052596" w:rsidRDefault="00000000">
                            <w:pPr>
                              <w:spacing w:after="120" w:line="240" w:lineRule="atLeast"/>
                              <w:jc w:val="center"/>
                              <w:rPr>
                                <w:rFonts w:eastAsia="標楷體"/>
                                <w:color w:val="006600"/>
                                <w:sz w:val="20"/>
                              </w:rPr>
                            </w:pPr>
                            <w:r>
                              <w:rPr>
                                <w:rFonts w:eastAsia="標楷體"/>
                                <w:color w:val="006600"/>
                                <w:sz w:val="20"/>
                              </w:rPr>
                              <w:t>2013</w:t>
                            </w:r>
                            <w:r>
                              <w:rPr>
                                <w:rFonts w:eastAsia="標楷體"/>
                                <w:color w:val="006600"/>
                                <w:sz w:val="20"/>
                              </w:rPr>
                              <w:t>至</w:t>
                            </w:r>
                            <w:r>
                              <w:rPr>
                                <w:rFonts w:eastAsia="標楷體"/>
                                <w:color w:val="006600"/>
                                <w:sz w:val="20"/>
                              </w:rPr>
                              <w:t>2016</w:t>
                            </w:r>
                            <w:r>
                              <w:rPr>
                                <w:rFonts w:eastAsia="標楷體"/>
                                <w:color w:val="006600"/>
                                <w:sz w:val="20"/>
                              </w:rPr>
                              <w:t>年平均</w:t>
                            </w:r>
                            <w:r>
                              <w:rPr>
                                <w:rFonts w:eastAsia="標楷體"/>
                                <w:color w:val="006600"/>
                                <w:sz w:val="20"/>
                              </w:rPr>
                              <w:t>5.7%</w:t>
                            </w:r>
                            <w:r>
                              <w:rPr>
                                <w:rFonts w:eastAsia="標楷體"/>
                                <w:color w:val="006600"/>
                                <w:sz w:val="20"/>
                              </w:rPr>
                              <w:br/>
                            </w:r>
                          </w:p>
                        </w:txbxContent>
                      </wps:txbx>
                      <wps:bodyPr wrap="square" lIns="91440" tIns="45720" rIns="91440" bIns="45720" anchor="t">
                        <a:noAutofit/>
                      </wps:bodyPr>
                    </wps:wsp>
                  </a:graphicData>
                </a:graphic>
              </wp:anchor>
            </w:drawing>
          </mc:Choice>
          <mc:Fallback>
            <w:pict>
              <v:shape w14:anchorId="122C7EA8" id="文字方塊 84" o:spid="_x0000_s1027" type="#_x0000_t202" style="position:absolute;left:0;text-align:left;margin-left:271.2pt;margin-top:8.6pt;width:126pt;height:26.2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" filled="f" stroked="f">
                <v:textbox>
                  <w:txbxContent>
                    <w:p w14:paraId="4069880B" w14:textId="77777777" w:rsidR="00052596" w:rsidRDefault="00000000">
                      <w:pPr>
                        <w:spacing w:after="120" w:line="240" w:lineRule="atLeast"/>
                        <w:jc w:val="center"/>
                        <w:rPr>
                          <w:rFonts w:eastAsia="標楷體"/>
                          <w:color w:val="006600"/>
                          <w:sz w:val="20"/>
                        </w:rPr>
                      </w:pPr>
                      <w:r>
                        <w:rPr>
                          <w:rFonts w:eastAsia="標楷體"/>
                          <w:color w:val="006600"/>
                          <w:sz w:val="20"/>
                        </w:rPr>
                        <w:t>2013</w:t>
                      </w:r>
                      <w:r>
                        <w:rPr>
                          <w:rFonts w:eastAsia="標楷體"/>
                          <w:color w:val="006600"/>
                          <w:sz w:val="20"/>
                        </w:rPr>
                        <w:t>至</w:t>
                      </w:r>
                      <w:r>
                        <w:rPr>
                          <w:rFonts w:eastAsia="標楷體"/>
                          <w:color w:val="006600"/>
                          <w:sz w:val="20"/>
                        </w:rPr>
                        <w:t>2016</w:t>
                      </w:r>
                      <w:r>
                        <w:rPr>
                          <w:rFonts w:eastAsia="標楷體"/>
                          <w:color w:val="006600"/>
                          <w:sz w:val="20"/>
                        </w:rPr>
                        <w:t>年平均</w:t>
                      </w:r>
                      <w:r>
                        <w:rPr>
                          <w:rFonts w:eastAsia="標楷體"/>
                          <w:color w:val="006600"/>
                          <w:sz w:val="20"/>
                        </w:rPr>
                        <w:t>5.7%</w:t>
                      </w:r>
                      <w:r>
                        <w:rPr>
                          <w:rFonts w:eastAsia="標楷體"/>
                          <w:color w:val="006600"/>
                          <w:sz w:val="20"/>
                        </w:rPr>
                        <w:br/>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383CCDB5" wp14:editId="0FAC73CC">
                <wp:simplePos x="0" y="0"/>
                <wp:positionH relativeFrom="column">
                  <wp:posOffset>4189404</wp:posOffset>
                </wp:positionH>
                <wp:positionV relativeFrom="paragraph">
                  <wp:posOffset>-298141</wp:posOffset>
                </wp:positionV>
                <wp:extent cx="140332" cy="1455423"/>
                <wp:effectExtent l="28254" t="9846" r="21273" b="21272"/>
                <wp:wrapNone/>
                <wp:docPr id="76" name="右大括弧 83"/>
                <wp:cNvGraphicFramePr/>
                <a:graphic xmlns:a="http://schemas.openxmlformats.org/drawingml/2006/main">
                  <a:graphicData uri="http://schemas.microsoft.com/office/word/2010/wordprocessingShape">
                    <wps:wsp>
                      <wps:cNvSpPr/>
                      <wps:spPr>
                        <a:xfrm rot="5400013">
                          <a:off x="0" y="0"/>
                          <a:ext cx="140332" cy="1455423"/>
                        </a:xfrm>
                        <a:custGeom>
                          <a:avLst>
                            <a:gd name="f12" fmla="val 86425"/>
                            <a:gd name="f13" fmla="val 50352"/>
                          </a:avLst>
                          <a:gdLst>
                            <a:gd name="f2" fmla="val 10800000"/>
                            <a:gd name="f3" fmla="val 5400000"/>
                            <a:gd name="f4" fmla="val 16200000"/>
                            <a:gd name="f5" fmla="val 180"/>
                            <a:gd name="f6" fmla="val w"/>
                            <a:gd name="f7" fmla="val h"/>
                            <a:gd name="f8" fmla="val ss"/>
                            <a:gd name="f9" fmla="val 0"/>
                            <a:gd name="f10" fmla="*/ 5419351 1 1725033"/>
                            <a:gd name="f11" fmla="+- 0 0 5400000"/>
                            <a:gd name="f12" fmla="val 86425"/>
                            <a:gd name="f13" fmla="val 50352"/>
                            <a:gd name="f14" fmla="+- 0 0 -180"/>
                            <a:gd name="f15" fmla="+- 0 0 -270"/>
                            <a:gd name="f16" fmla="+- 0 0 -360"/>
                            <a:gd name="f17" fmla="abs f6"/>
                            <a:gd name="f18" fmla="abs f7"/>
                            <a:gd name="f19" fmla="abs f8"/>
                            <a:gd name="f20" fmla="val f9"/>
                            <a:gd name="f21" fmla="val f13"/>
                            <a:gd name="f22" fmla="val f12"/>
                            <a:gd name="f23" fmla="+- 2700000 f3 0"/>
                            <a:gd name="f24" fmla="*/ f14 f2 1"/>
                            <a:gd name="f25" fmla="*/ f15 f2 1"/>
                            <a:gd name="f26" fmla="*/ f16 f2 1"/>
                            <a:gd name="f27" fmla="?: f17 f6 1"/>
                            <a:gd name="f28" fmla="?: f18 f7 1"/>
                            <a:gd name="f29" fmla="?: f19 f8 1"/>
                            <a:gd name="f30" fmla="*/ f23 f10 1"/>
                            <a:gd name="f31" fmla="*/ f24 1 f5"/>
                            <a:gd name="f32" fmla="*/ f25 1 f5"/>
                            <a:gd name="f33" fmla="*/ f26 1 f5"/>
                            <a:gd name="f34" fmla="*/ f27 1 21600"/>
                            <a:gd name="f35" fmla="*/ f28 1 21600"/>
                            <a:gd name="f36" fmla="*/ 21600 f27 1"/>
                            <a:gd name="f37" fmla="*/ 21600 f28 1"/>
                            <a:gd name="f38" fmla="*/ f30 1 f2"/>
                            <a:gd name="f39" fmla="+- f31 0 f3"/>
                            <a:gd name="f40" fmla="+- f32 0 f3"/>
                            <a:gd name="f41" fmla="+- f33 0 f3"/>
                            <a:gd name="f42" fmla="min f35 f34"/>
                            <a:gd name="f43" fmla="*/ f36 1 f29"/>
                            <a:gd name="f44" fmla="*/ f37 1 f29"/>
                            <a:gd name="f45" fmla="+- 0 0 f38"/>
                            <a:gd name="f46" fmla="val f43"/>
                            <a:gd name="f47" fmla="val f44"/>
                            <a:gd name="f48" fmla="+- 0 0 f45"/>
                            <a:gd name="f49" fmla="*/ f20 f42 1"/>
                            <a:gd name="f50" fmla="+- f47 0 f20"/>
                            <a:gd name="f51" fmla="+- f46 0 f20"/>
                            <a:gd name="f52" fmla="*/ f48 f2 1"/>
                            <a:gd name="f53" fmla="*/ f46 f42 1"/>
                            <a:gd name="f54" fmla="*/ f47 f42 1"/>
                            <a:gd name="f55" fmla="*/ f51 1 2"/>
                            <a:gd name="f56" fmla="min f51 f50"/>
                            <a:gd name="f57" fmla="*/ f50 f21 1"/>
                            <a:gd name="f58" fmla="*/ f52 1 f10"/>
                            <a:gd name="f59" fmla="+- f20 f55 0"/>
                            <a:gd name="f60" fmla="*/ f56 f22 1"/>
                            <a:gd name="f61" fmla="*/ f57 1 100000"/>
                            <a:gd name="f62" fmla="+- f58 0 f3"/>
                            <a:gd name="f63" fmla="*/ f55 f42 1"/>
                            <a:gd name="f64" fmla="*/ f60 1 100000"/>
                            <a:gd name="f65" fmla="cos 1 f62"/>
                            <a:gd name="f66" fmla="sin 1 f62"/>
                            <a:gd name="f67" fmla="*/ f59 f42 1"/>
                            <a:gd name="f68" fmla="*/ f61 f42 1"/>
                            <a:gd name="f69" fmla="+- f61 0 f64"/>
                            <a:gd name="f70" fmla="+- f47 0 f64"/>
                            <a:gd name="f71" fmla="+- 0 0 f65"/>
                            <a:gd name="f72" fmla="+- 0 0 f66"/>
                            <a:gd name="f73" fmla="*/ f64 f42 1"/>
                            <a:gd name="f74" fmla="+- 0 0 f71"/>
                            <a:gd name="f75" fmla="+- 0 0 f72"/>
                            <a:gd name="f76" fmla="*/ f69 f42 1"/>
                            <a:gd name="f77" fmla="*/ f70 f42 1"/>
                            <a:gd name="f78" fmla="*/ f74 f55 1"/>
                            <a:gd name="f79" fmla="*/ f75 f64 1"/>
                            <a:gd name="f80" fmla="+- f20 f78 0"/>
                            <a:gd name="f81" fmla="+- f64 0 f79"/>
                            <a:gd name="f82" fmla="+- f47 f79 0"/>
                            <a:gd name="f83" fmla="+- f82 0 f64"/>
                            <a:gd name="f84" fmla="*/ f81 f42 1"/>
                            <a:gd name="f85" fmla="*/ f80 f42 1"/>
                            <a:gd name="f86" fmla="*/ f83 f42 1"/>
                          </a:gdLst>
                          <a:ahLst/>
                          <a:cxnLst>
                            <a:cxn ang="3cd4">
                              <a:pos x="hc" y="t"/>
                            </a:cxn>
                            <a:cxn ang="0">
                              <a:pos x="r" y="vc"/>
                            </a:cxn>
                            <a:cxn ang="cd4">
                              <a:pos x="hc" y="b"/>
                            </a:cxn>
                            <a:cxn ang="cd2">
                              <a:pos x="l" y="vc"/>
                            </a:cxn>
                            <a:cxn ang="f39">
                              <a:pos x="f49" y="f49"/>
                            </a:cxn>
                            <a:cxn ang="f40">
                              <a:pos x="f53" y="f68"/>
                            </a:cxn>
                            <a:cxn ang="f41">
                              <a:pos x="f49" y="f54"/>
                            </a:cxn>
                          </a:cxnLst>
                          <a:rect l="f49" t="f84" r="f85" b="f86"/>
                          <a:pathLst>
                            <a:path stroke="0">
                              <a:moveTo>
                                <a:pt x="f49" y="f49"/>
                              </a:moveTo>
                              <a:arcTo wR="f63" hR="f73" stAng="f4" swAng="f3"/>
                              <a:lnTo>
                                <a:pt x="f67" y="f76"/>
                              </a:lnTo>
                              <a:arcTo wR="f63" hR="f73" stAng="f2" swAng="f11"/>
                              <a:arcTo wR="f63" hR="f73" stAng="f4" swAng="f11"/>
                              <a:lnTo>
                                <a:pt x="f67" y="f77"/>
                              </a:lnTo>
                              <a:arcTo wR="f63" hR="f73" stAng="f9" swAng="f3"/>
                              <a:close/>
                            </a:path>
                            <a:path fill="none">
                              <a:moveTo>
                                <a:pt x="f49" y="f49"/>
                              </a:moveTo>
                              <a:arcTo wR="f63" hR="f73" stAng="f4" swAng="f3"/>
                              <a:lnTo>
                                <a:pt x="f67" y="f76"/>
                              </a:lnTo>
                              <a:arcTo wR="f63" hR="f73" stAng="f2" swAng="f11"/>
                              <a:arcTo wR="f63" hR="f73" stAng="f4" swAng="f11"/>
                              <a:lnTo>
                                <a:pt x="f67" y="f77"/>
                              </a:lnTo>
                              <a:arcTo wR="f63" hR="f73" stAng="f9" swAng="f3"/>
                            </a:path>
                          </a:pathLst>
                        </a:custGeom>
                        <a:noFill/>
                        <a:ln w="9528">
                          <a:solidFill>
                            <a:srgbClr val="C00000"/>
                          </a:solidFill>
                          <a:prstDash val="solid"/>
                          <a:round/>
                        </a:ln>
                      </wps:spPr>
                      <wps:bodyPr lIns="0" tIns="0" rIns="0" bIns="0"/>
                    </wps:wsp>
                  </a:graphicData>
                </a:graphic>
              </wp:anchor>
            </w:drawing>
          </mc:Choice>
          <mc:Fallback>
            <w:pict>
              <v:shape w14:anchorId="6361D205" id="右大括弧 83" o:spid="_x0000_s1026" style="position:absolute;margin-left:329.85pt;margin-top:-23.5pt;width:11.05pt;height:114.6pt;rotation:5898254fd;z-index:251620864;visibility:visible;mso-wrap-style:square;mso-wrap-distance-left:9pt;mso-wrap-distance-top:0;mso-wrap-distance-right:9pt;mso-wrap-distance-bottom:0;mso-position-horizontal:absolute;mso-position-horizontal-relative:text;mso-position-vertical:absolute;mso-position-vertical-relative:text;v-text-anchor:top" coordsize="140332,14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" path="m,nswa-70166,,70166,242564,,,70166,121282l70166,611553at70166,490271,210498,732835,70166,611553,140332,732835,70166,732835,210498,975399,140332,732835,70166,854117l70166,1334141wa-70166,1212859,70166,1455423,70166,1334141,,1455423l,xem,nfwa-70166,,70166,242564,,,70166,121282l70166,611553at70166,490271,210498,732835,70166,611553,140332,732835,70166,732835,210498,975399,140332,732835,70166,854117l70166,1334141wa-70166,1212859,70166,1455423,70166,1334141,,1455423e" filled="f" strokecolor="#c00000" strokeweight=".26467mm">
                <v:path arrowok="t" o:connecttype="custom" o:connectlocs="70166,0;140332,727712;70166,1455423;0,727712;0,0;140332,732835;0,1455423" o:connectangles="270,0,90,180,90,180,270" textboxrect="0,35523,49615,1419900"/>
              </v:shape>
            </w:pict>
          </mc:Fallback>
        </mc:AlternateContent>
      </w:r>
      <w:r>
        <w:rPr>
          <w:noProof/>
        </w:rPr>
        <mc:AlternateContent>
          <mc:Choice Requires="wps">
            <w:drawing>
              <wp:anchor distT="0" distB="0" distL="114300" distR="114300" simplePos="0" relativeHeight="251618816" behindDoc="0" locked="0" layoutInCell="1" allowOverlap="1" wp14:anchorId="65E300D2" wp14:editId="50A35C78">
                <wp:simplePos x="0" y="0"/>
                <wp:positionH relativeFrom="column">
                  <wp:posOffset>-127631</wp:posOffset>
                </wp:positionH>
                <wp:positionV relativeFrom="paragraph">
                  <wp:posOffset>196211</wp:posOffset>
                </wp:positionV>
                <wp:extent cx="335283" cy="1535433"/>
                <wp:effectExtent l="0" t="0" r="7617" b="7617"/>
                <wp:wrapNone/>
                <wp:docPr id="77" name="文字方塊 82"/>
                <wp:cNvGraphicFramePr/>
                <a:graphic xmlns:a="http://schemas.openxmlformats.org/drawingml/2006/main">
                  <a:graphicData uri="http://schemas.microsoft.com/office/word/2010/wordprocessingShape">
                    <wps:wsp>
                      <wps:cNvSpPr txBox="1"/>
                      <wps:spPr>
                        <a:xfrm>
                          <a:off x="0" y="0"/>
                          <a:ext cx="335283" cy="1535433"/>
                        </a:xfrm>
                        <a:prstGeom prst="rect">
                          <a:avLst/>
                        </a:prstGeom>
                        <a:solidFill>
                          <a:srgbClr val="FFFFFF"/>
                        </a:solidFill>
                        <a:ln>
                          <a:noFill/>
                          <a:prstDash/>
                        </a:ln>
                      </wps:spPr>
                      <wps:txbx>
                        <w:txbxContent>
                          <w:p w14:paraId="0A8BEE8C" w14:textId="77777777" w:rsidR="00052596" w:rsidRDefault="00000000">
                            <w:pPr>
                              <w:spacing w:after="120"/>
                              <w:jc w:val="center"/>
                              <w:rPr>
                                <w:rFonts w:eastAsia="標楷體"/>
                                <w:sz w:val="22"/>
                                <w:szCs w:val="22"/>
                              </w:rPr>
                            </w:pPr>
                            <w:r>
                              <w:rPr>
                                <w:rFonts w:eastAsia="標楷體"/>
                                <w:sz w:val="22"/>
                                <w:szCs w:val="22"/>
                              </w:rPr>
                              <w:t>世界貿易擴張率</w:t>
                            </w:r>
                            <w:r>
                              <w:rPr>
                                <w:rFonts w:eastAsia="標楷體"/>
                                <w:sz w:val="22"/>
                                <w:szCs w:val="22"/>
                              </w:rPr>
                              <w:t>%</w:t>
                            </w:r>
                          </w:p>
                        </w:txbxContent>
                      </wps:txbx>
                      <wps:bodyPr wrap="square" lIns="91440" tIns="45720" rIns="91440" bIns="45720" anchor="t">
                        <a:noAutofit/>
                      </wps:bodyPr>
                    </wps:wsp>
                  </a:graphicData>
                </a:graphic>
              </wp:anchor>
            </w:drawing>
          </mc:Choice>
          <mc:Fallback>
            <w:pict>
              <v:shape w14:anchorId="65E300D2" id="文字方塊 82" o:spid="_x0000_s1028" type="#_x0000_t202" style="position:absolute;left:0;text-align:left;margin-left:-10.05pt;margin-top:15.45pt;width:26.4pt;height:120.9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" stroked="f">
                <v:textbox>
                  <w:txbxContent>
                    <w:p w14:paraId="0A8BEE8C" w14:textId="77777777" w:rsidR="00052596" w:rsidRDefault="00000000">
                      <w:pPr>
                        <w:spacing w:after="120"/>
                        <w:jc w:val="center"/>
                        <w:rPr>
                          <w:rFonts w:eastAsia="標楷體"/>
                          <w:sz w:val="22"/>
                          <w:szCs w:val="22"/>
                        </w:rPr>
                      </w:pPr>
                      <w:r>
                        <w:rPr>
                          <w:rFonts w:eastAsia="標楷體"/>
                          <w:sz w:val="22"/>
                          <w:szCs w:val="22"/>
                        </w:rPr>
                        <w:t>世界貿易擴張率</w:t>
                      </w:r>
                      <w:r>
                        <w:rPr>
                          <w:rFonts w:eastAsia="標楷體"/>
                          <w:sz w:val="22"/>
                          <w:szCs w:val="22"/>
                        </w:rPr>
                        <w:t>%</w:t>
                      </w:r>
                    </w:p>
                  </w:txbxContent>
                </v:textbox>
              </v:shape>
            </w:pict>
          </mc:Fallback>
        </mc:AlternateContent>
      </w:r>
      <w:r>
        <w:rPr>
          <w:rFonts w:ascii="Calibri" w:hAnsi="Calibri"/>
          <w:noProof/>
          <w:kern w:val="0"/>
          <w:szCs w:val="24"/>
        </w:rPr>
        <w:drawing>
          <wp:inline distT="0" distB="0" distL="0" distR="0" wp14:anchorId="261F3BD1" wp14:editId="17467AB3">
            <wp:extent cx="5060947" cy="2392042"/>
            <wp:effectExtent l="0" t="0" r="6353" b="8258"/>
            <wp:docPr id="78" name="圖表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060947" cy="2392042"/>
                    </a:xfrm>
                    <a:prstGeom prst="rect">
                      <a:avLst/>
                    </a:prstGeom>
                    <a:noFill/>
                    <a:ln>
                      <a:noFill/>
                      <a:prstDash/>
                    </a:ln>
                  </pic:spPr>
                </pic:pic>
              </a:graphicData>
            </a:graphic>
          </wp:inline>
        </w:drawing>
      </w:r>
    </w:p>
    <w:p w14:paraId="4A9E8D2C" w14:textId="77777777" w:rsidR="00052596" w:rsidRDefault="00000000">
      <w:pPr>
        <w:widowControl/>
        <w:overflowPunct w:val="0"/>
        <w:autoSpaceDE w:val="0"/>
        <w:spacing w:line="240" w:lineRule="atLeast"/>
      </w:pPr>
      <w:r>
        <w:rPr>
          <w:rFonts w:ascii="標楷體" w:eastAsia="標楷體" w:hAnsi="標楷體"/>
          <w:kern w:val="0"/>
          <w:sz w:val="20"/>
          <w:szCs w:val="24"/>
        </w:rPr>
        <w:t xml:space="preserve">      　　　　註：</w:t>
      </w:r>
      <w:r>
        <w:rPr>
          <w:rFonts w:eastAsia="標楷體"/>
          <w:kern w:val="0"/>
          <w:sz w:val="20"/>
          <w:szCs w:val="24"/>
        </w:rPr>
        <w:t>2012</w:t>
      </w:r>
      <w:r>
        <w:rPr>
          <w:rFonts w:eastAsia="標楷體"/>
          <w:kern w:val="0"/>
          <w:sz w:val="20"/>
          <w:szCs w:val="24"/>
        </w:rPr>
        <w:t>至</w:t>
      </w:r>
      <w:r>
        <w:rPr>
          <w:rFonts w:eastAsia="標楷體"/>
          <w:kern w:val="0"/>
          <w:sz w:val="20"/>
          <w:szCs w:val="24"/>
        </w:rPr>
        <w:t>2016</w:t>
      </w:r>
      <w:r>
        <w:rPr>
          <w:rFonts w:eastAsia="標楷體"/>
          <w:kern w:val="0"/>
          <w:sz w:val="20"/>
          <w:szCs w:val="24"/>
        </w:rPr>
        <w:t>年為預測值。</w:t>
      </w:r>
    </w:p>
    <w:p w14:paraId="3F9AAA60" w14:textId="77777777" w:rsidR="00052596" w:rsidRDefault="00000000">
      <w:pPr>
        <w:widowControl/>
        <w:overflowPunct w:val="0"/>
        <w:autoSpaceDE w:val="0"/>
        <w:spacing w:line="240" w:lineRule="atLeast"/>
      </w:pPr>
      <w:r>
        <w:rPr>
          <w:rFonts w:ascii="標楷體" w:eastAsia="標楷體" w:hAnsi="標楷體"/>
          <w:kern w:val="0"/>
          <w:sz w:val="20"/>
          <w:szCs w:val="24"/>
        </w:rPr>
        <w:t xml:space="preserve">　　　　資</w:t>
      </w:r>
      <w:r>
        <w:rPr>
          <w:rFonts w:ascii="標楷體" w:eastAsia="標楷體" w:hAnsi="標楷體"/>
          <w:spacing w:val="-2"/>
          <w:kern w:val="0"/>
          <w:sz w:val="20"/>
          <w:szCs w:val="24"/>
        </w:rPr>
        <w:t>料來源</w:t>
      </w:r>
      <w:r>
        <w:rPr>
          <w:rFonts w:eastAsia="標楷體"/>
          <w:spacing w:val="-2"/>
          <w:kern w:val="0"/>
          <w:sz w:val="20"/>
          <w:szCs w:val="24"/>
        </w:rPr>
        <w:t>：</w:t>
      </w:r>
      <w:r>
        <w:rPr>
          <w:spacing w:val="-2"/>
          <w:kern w:val="0"/>
          <w:sz w:val="20"/>
          <w:szCs w:val="24"/>
        </w:rPr>
        <w:t xml:space="preserve">IMF, </w:t>
      </w:r>
      <w:r>
        <w:rPr>
          <w:i/>
          <w:spacing w:val="-2"/>
          <w:kern w:val="0"/>
          <w:sz w:val="20"/>
          <w:szCs w:val="24"/>
        </w:rPr>
        <w:t>World Economic Outlook Database</w:t>
      </w:r>
      <w:r>
        <w:rPr>
          <w:spacing w:val="-2"/>
          <w:kern w:val="0"/>
          <w:sz w:val="20"/>
          <w:szCs w:val="24"/>
        </w:rPr>
        <w:t>, Oct. 2012.</w:t>
      </w:r>
    </w:p>
    <w:p w14:paraId="2B86F31A" w14:textId="77777777" w:rsidR="00052596" w:rsidRDefault="00000000">
      <w:pPr>
        <w:pageBreakBefore/>
        <w:overflowPunct w:val="0"/>
        <w:autoSpaceDE w:val="0"/>
        <w:snapToGrid w:val="0"/>
        <w:spacing w:after="240" w:line="280" w:lineRule="exact"/>
        <w:jc w:val="center"/>
        <w:textAlignment w:val="center"/>
      </w:pPr>
      <w:r>
        <w:rPr>
          <w:rFonts w:eastAsia="標楷體"/>
          <w:b/>
          <w:color w:val="0000FF"/>
          <w:kern w:val="0"/>
          <w:sz w:val="26"/>
          <w:szCs w:val="26"/>
        </w:rPr>
        <w:lastRenderedPageBreak/>
        <w:t>表</w:t>
      </w:r>
      <w:r>
        <w:rPr>
          <w:rFonts w:eastAsia="標楷體"/>
          <w:b/>
          <w:color w:val="0000FF"/>
          <w:kern w:val="0"/>
          <w:sz w:val="26"/>
          <w:szCs w:val="26"/>
        </w:rPr>
        <w:t>1.1.1</w:t>
      </w:r>
      <w:r>
        <w:rPr>
          <w:rFonts w:eastAsia="標楷體"/>
          <w:b/>
          <w:color w:val="0000FF"/>
          <w:kern w:val="0"/>
          <w:sz w:val="26"/>
          <w:szCs w:val="26"/>
        </w:rPr>
        <w:t xml:space="preserve">　世界經濟中期展望</w:t>
      </w:r>
    </w:p>
    <w:p w14:paraId="7328F832" w14:textId="77777777" w:rsidR="00052596" w:rsidRDefault="00000000">
      <w:pPr>
        <w:overflowPunct w:val="0"/>
        <w:autoSpaceDE w:val="0"/>
        <w:spacing w:line="420" w:lineRule="exact"/>
        <w:ind w:left="1368" w:firstLine="496"/>
        <w:jc w:val="right"/>
        <w:textAlignment w:val="center"/>
      </w:pPr>
      <w:r>
        <w:rPr>
          <w:rFonts w:ascii="Calibri" w:eastAsia="標楷體" w:hAnsi="Calibri"/>
          <w:spacing w:val="4"/>
          <w:kern w:val="0"/>
          <w:szCs w:val="24"/>
        </w:rPr>
        <w:t>單位：</w:t>
      </w:r>
      <w:r>
        <w:rPr>
          <w:rFonts w:ascii="Calibri" w:eastAsia="標楷體" w:hAnsi="Calibri"/>
          <w:spacing w:val="4"/>
          <w:kern w:val="0"/>
          <w:szCs w:val="24"/>
        </w:rPr>
        <w:t>%</w:t>
      </w:r>
    </w:p>
    <w:tbl>
      <w:tblPr>
        <w:tblW w:w="8674" w:type="dxa"/>
        <w:jc w:val="center"/>
        <w:tblLayout w:type="fixed"/>
        <w:tblCellMar>
          <w:left w:w="10" w:type="dxa"/>
          <w:right w:w="10" w:type="dxa"/>
        </w:tblCellMar>
        <w:tblLook w:val="04A0" w:firstRow="1" w:lastRow="0" w:firstColumn="1" w:lastColumn="0" w:noHBand="0" w:noVBand="1"/>
      </w:tblPr>
      <w:tblGrid>
        <w:gridCol w:w="2634"/>
        <w:gridCol w:w="1208"/>
        <w:gridCol w:w="1208"/>
        <w:gridCol w:w="1208"/>
        <w:gridCol w:w="1208"/>
        <w:gridCol w:w="1208"/>
      </w:tblGrid>
      <w:tr w:rsidR="00052596" w14:paraId="4511E095" w14:textId="77777777">
        <w:tblPrEx>
          <w:tblCellMar>
            <w:top w:w="0" w:type="dxa"/>
            <w:bottom w:w="0" w:type="dxa"/>
          </w:tblCellMar>
        </w:tblPrEx>
        <w:trPr>
          <w:jc w:val="center"/>
        </w:trPr>
        <w:tc>
          <w:tcPr>
            <w:tcW w:w="2634" w:type="dxa"/>
            <w:vMerge w:val="restart"/>
            <w:tcBorders>
              <w:top w:val="single" w:sz="6" w:space="0" w:color="000000"/>
              <w:bottom w:val="single" w:sz="6" w:space="0" w:color="000000"/>
              <w:right w:val="single" w:sz="6" w:space="0" w:color="000000"/>
            </w:tcBorders>
            <w:shd w:val="clear" w:color="auto" w:fill="EFFFEF"/>
            <w:tcMar>
              <w:top w:w="0" w:type="dxa"/>
              <w:left w:w="108" w:type="dxa"/>
              <w:bottom w:w="0" w:type="dxa"/>
              <w:right w:w="108" w:type="dxa"/>
            </w:tcMar>
            <w:vAlign w:val="center"/>
          </w:tcPr>
          <w:p w14:paraId="05C68882" w14:textId="77777777" w:rsidR="00052596" w:rsidRDefault="00052596">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p>
        </w:tc>
        <w:tc>
          <w:tcPr>
            <w:tcW w:w="1208" w:type="dxa"/>
            <w:vMerge w:val="restart"/>
            <w:tcBorders>
              <w:top w:val="single" w:sz="6" w:space="0" w:color="000000"/>
              <w:left w:val="single" w:sz="6" w:space="0" w:color="000000"/>
              <w:bottom w:val="single" w:sz="6" w:space="0" w:color="000000"/>
              <w:right w:val="single" w:sz="6" w:space="0" w:color="000000"/>
            </w:tcBorders>
            <w:shd w:val="clear" w:color="auto" w:fill="EFFFEF"/>
            <w:tcMar>
              <w:top w:w="0" w:type="dxa"/>
              <w:left w:w="108" w:type="dxa"/>
              <w:bottom w:w="0" w:type="dxa"/>
              <w:right w:w="108" w:type="dxa"/>
            </w:tcMar>
          </w:tcPr>
          <w:p w14:paraId="2C6F9DE6"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2009</w:t>
            </w:r>
          </w:p>
        </w:tc>
        <w:tc>
          <w:tcPr>
            <w:tcW w:w="2416" w:type="dxa"/>
            <w:gridSpan w:val="2"/>
            <w:tcBorders>
              <w:top w:val="single" w:sz="6" w:space="0" w:color="000000"/>
              <w:left w:val="single" w:sz="6" w:space="0" w:color="000000"/>
              <w:right w:val="single" w:sz="6" w:space="0" w:color="000000"/>
            </w:tcBorders>
            <w:shd w:val="clear" w:color="auto" w:fill="EFFFEF"/>
            <w:tcMar>
              <w:top w:w="0" w:type="dxa"/>
              <w:left w:w="108" w:type="dxa"/>
              <w:bottom w:w="0" w:type="dxa"/>
              <w:right w:w="108" w:type="dxa"/>
            </w:tcMar>
            <w:vAlign w:val="center"/>
          </w:tcPr>
          <w:p w14:paraId="51093CA5"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textAlignment w:val="center"/>
            </w:pPr>
            <w:r>
              <w:rPr>
                <w:rFonts w:eastAsia="標楷體"/>
                <w:color w:val="000000"/>
                <w:spacing w:val="4"/>
                <w:kern w:val="0"/>
                <w:szCs w:val="24"/>
              </w:rPr>
              <w:t>2010-2012</w:t>
            </w:r>
          </w:p>
        </w:tc>
        <w:tc>
          <w:tcPr>
            <w:tcW w:w="2416" w:type="dxa"/>
            <w:gridSpan w:val="2"/>
            <w:tcBorders>
              <w:top w:val="single" w:sz="6" w:space="0" w:color="000000"/>
              <w:left w:val="single" w:sz="6" w:space="0" w:color="000000"/>
            </w:tcBorders>
            <w:shd w:val="clear" w:color="auto" w:fill="EFFFEF"/>
            <w:tcMar>
              <w:top w:w="0" w:type="dxa"/>
              <w:left w:w="108" w:type="dxa"/>
              <w:bottom w:w="0" w:type="dxa"/>
              <w:right w:w="108" w:type="dxa"/>
            </w:tcMar>
            <w:vAlign w:val="center"/>
          </w:tcPr>
          <w:p w14:paraId="6A6879B4"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textAlignment w:val="center"/>
            </w:pPr>
            <w:r>
              <w:rPr>
                <w:rFonts w:eastAsia="標楷體"/>
                <w:color w:val="000000"/>
                <w:spacing w:val="4"/>
                <w:kern w:val="0"/>
                <w:szCs w:val="24"/>
              </w:rPr>
              <w:t>2013-2016</w:t>
            </w:r>
          </w:p>
        </w:tc>
      </w:tr>
      <w:tr w:rsidR="00052596" w14:paraId="5C965741" w14:textId="77777777">
        <w:tblPrEx>
          <w:tblCellMar>
            <w:top w:w="0" w:type="dxa"/>
            <w:bottom w:w="0" w:type="dxa"/>
          </w:tblCellMar>
        </w:tblPrEx>
        <w:trPr>
          <w:jc w:val="center"/>
        </w:trPr>
        <w:tc>
          <w:tcPr>
            <w:tcW w:w="2634" w:type="dxa"/>
            <w:vMerge/>
            <w:tcBorders>
              <w:top w:val="single" w:sz="6" w:space="0" w:color="000000"/>
              <w:bottom w:val="single" w:sz="6" w:space="0" w:color="000000"/>
              <w:right w:val="single" w:sz="6" w:space="0" w:color="000000"/>
            </w:tcBorders>
            <w:shd w:val="clear" w:color="auto" w:fill="EFFFEF"/>
            <w:tcMar>
              <w:top w:w="0" w:type="dxa"/>
              <w:left w:w="108" w:type="dxa"/>
              <w:bottom w:w="0" w:type="dxa"/>
              <w:right w:w="108" w:type="dxa"/>
            </w:tcMar>
            <w:vAlign w:val="center"/>
          </w:tcPr>
          <w:p w14:paraId="59E18713" w14:textId="77777777" w:rsidR="00052596" w:rsidRDefault="00052596">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p>
        </w:tc>
        <w:tc>
          <w:tcPr>
            <w:tcW w:w="1208" w:type="dxa"/>
            <w:vMerge/>
            <w:tcBorders>
              <w:top w:val="single" w:sz="6" w:space="0" w:color="000000"/>
              <w:left w:val="single" w:sz="6" w:space="0" w:color="000000"/>
              <w:bottom w:val="single" w:sz="6" w:space="0" w:color="000000"/>
              <w:right w:val="single" w:sz="6" w:space="0" w:color="000000"/>
            </w:tcBorders>
            <w:shd w:val="clear" w:color="auto" w:fill="EFFFEF"/>
            <w:tcMar>
              <w:top w:w="0" w:type="dxa"/>
              <w:left w:w="108" w:type="dxa"/>
              <w:bottom w:w="0" w:type="dxa"/>
              <w:right w:w="108" w:type="dxa"/>
            </w:tcMar>
          </w:tcPr>
          <w:p w14:paraId="3C07C0AA" w14:textId="77777777" w:rsidR="00052596" w:rsidRDefault="00052596">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p>
        </w:tc>
        <w:tc>
          <w:tcPr>
            <w:tcW w:w="1208" w:type="dxa"/>
            <w:tcBorders>
              <w:left w:val="single" w:sz="6" w:space="0" w:color="000000"/>
              <w:bottom w:val="single" w:sz="6" w:space="0" w:color="000000"/>
              <w:right w:val="single" w:sz="6" w:space="0" w:color="000000"/>
            </w:tcBorders>
            <w:shd w:val="clear" w:color="auto" w:fill="EFFFEF"/>
            <w:tcMar>
              <w:top w:w="0" w:type="dxa"/>
              <w:left w:w="108" w:type="dxa"/>
              <w:bottom w:w="0" w:type="dxa"/>
              <w:right w:w="108" w:type="dxa"/>
            </w:tcMar>
            <w:vAlign w:val="center"/>
          </w:tcPr>
          <w:p w14:paraId="10770EA8" w14:textId="77777777" w:rsidR="00052596" w:rsidRDefault="00052596">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p>
        </w:tc>
        <w:tc>
          <w:tcPr>
            <w:tcW w:w="1208" w:type="dxa"/>
            <w:tcBorders>
              <w:top w:val="single" w:sz="6" w:space="0" w:color="000000"/>
              <w:left w:val="single" w:sz="6" w:space="0" w:color="000000"/>
              <w:bottom w:val="single" w:sz="6" w:space="0" w:color="000000"/>
              <w:right w:val="single" w:sz="6" w:space="0" w:color="000000"/>
            </w:tcBorders>
            <w:shd w:val="clear" w:color="auto" w:fill="EFFFEF"/>
            <w:tcMar>
              <w:top w:w="0" w:type="dxa"/>
              <w:left w:w="108" w:type="dxa"/>
              <w:bottom w:w="0" w:type="dxa"/>
              <w:right w:w="108" w:type="dxa"/>
            </w:tcMar>
            <w:vAlign w:val="center"/>
          </w:tcPr>
          <w:p w14:paraId="4279EECA"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2012</w:t>
            </w:r>
          </w:p>
        </w:tc>
        <w:tc>
          <w:tcPr>
            <w:tcW w:w="1208" w:type="dxa"/>
            <w:tcBorders>
              <w:left w:val="single" w:sz="6" w:space="0" w:color="000000"/>
              <w:bottom w:val="single" w:sz="6" w:space="0" w:color="000000"/>
              <w:right w:val="single" w:sz="6" w:space="0" w:color="000000"/>
            </w:tcBorders>
            <w:shd w:val="clear" w:color="auto" w:fill="EFFFEF"/>
            <w:tcMar>
              <w:top w:w="0" w:type="dxa"/>
              <w:left w:w="108" w:type="dxa"/>
              <w:bottom w:w="0" w:type="dxa"/>
              <w:right w:w="108" w:type="dxa"/>
            </w:tcMar>
            <w:vAlign w:val="center"/>
          </w:tcPr>
          <w:p w14:paraId="5ACA9838" w14:textId="77777777" w:rsidR="00052596" w:rsidRDefault="00052596">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p>
        </w:tc>
        <w:tc>
          <w:tcPr>
            <w:tcW w:w="1208" w:type="dxa"/>
            <w:tcBorders>
              <w:top w:val="single" w:sz="6" w:space="0" w:color="000000"/>
              <w:left w:val="single" w:sz="6" w:space="0" w:color="000000"/>
              <w:bottom w:val="single" w:sz="6" w:space="0" w:color="000000"/>
            </w:tcBorders>
            <w:shd w:val="clear" w:color="auto" w:fill="EFFFEF"/>
            <w:tcMar>
              <w:top w:w="0" w:type="dxa"/>
              <w:left w:w="108" w:type="dxa"/>
              <w:bottom w:w="0" w:type="dxa"/>
              <w:right w:w="108" w:type="dxa"/>
            </w:tcMar>
            <w:vAlign w:val="center"/>
          </w:tcPr>
          <w:p w14:paraId="293E7835"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2013</w:t>
            </w:r>
          </w:p>
        </w:tc>
      </w:tr>
      <w:tr w:rsidR="00052596" w14:paraId="6B2DFC86" w14:textId="77777777">
        <w:tblPrEx>
          <w:tblCellMar>
            <w:top w:w="0" w:type="dxa"/>
            <w:bottom w:w="0" w:type="dxa"/>
          </w:tblCellMar>
        </w:tblPrEx>
        <w:trPr>
          <w:jc w:val="center"/>
        </w:trPr>
        <w:tc>
          <w:tcPr>
            <w:tcW w:w="2634" w:type="dxa"/>
            <w:tcBorders>
              <w:top w:val="single" w:sz="6" w:space="0" w:color="000000"/>
              <w:right w:val="single" w:sz="6" w:space="0" w:color="000000"/>
            </w:tcBorders>
            <w:shd w:val="clear" w:color="auto" w:fill="FFF0E1"/>
            <w:tcMar>
              <w:top w:w="0" w:type="dxa"/>
              <w:left w:w="108" w:type="dxa"/>
              <w:bottom w:w="0" w:type="dxa"/>
              <w:right w:w="108" w:type="dxa"/>
            </w:tcMar>
            <w:vAlign w:val="center"/>
          </w:tcPr>
          <w:p w14:paraId="0E9E35D4"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b/>
                <w:color w:val="800000"/>
                <w:spacing w:val="4"/>
                <w:kern w:val="0"/>
                <w:szCs w:val="24"/>
              </w:rPr>
            </w:pPr>
            <w:r>
              <w:rPr>
                <w:rFonts w:eastAsia="標楷體"/>
                <w:b/>
                <w:color w:val="800000"/>
                <w:spacing w:val="4"/>
                <w:kern w:val="0"/>
                <w:szCs w:val="24"/>
              </w:rPr>
              <w:t>世界經濟成長率</w:t>
            </w:r>
          </w:p>
        </w:tc>
        <w:tc>
          <w:tcPr>
            <w:tcW w:w="1208" w:type="dxa"/>
            <w:tcBorders>
              <w:top w:val="single" w:sz="6" w:space="0" w:color="000000"/>
              <w:left w:val="single" w:sz="6" w:space="0" w:color="000000"/>
              <w:right w:val="single" w:sz="6" w:space="0" w:color="000000"/>
            </w:tcBorders>
            <w:shd w:val="clear" w:color="auto" w:fill="FFF0E1"/>
            <w:tcMar>
              <w:top w:w="0" w:type="dxa"/>
              <w:left w:w="108" w:type="dxa"/>
              <w:bottom w:w="0" w:type="dxa"/>
              <w:right w:w="108" w:type="dxa"/>
            </w:tcMar>
          </w:tcPr>
          <w:p w14:paraId="6683B7F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-1.9</w:t>
            </w:r>
          </w:p>
        </w:tc>
        <w:tc>
          <w:tcPr>
            <w:tcW w:w="1208" w:type="dxa"/>
            <w:tcBorders>
              <w:top w:val="single" w:sz="6" w:space="0" w:color="000000"/>
              <w:left w:val="single" w:sz="6" w:space="0" w:color="000000"/>
              <w:right w:val="single" w:sz="6" w:space="0" w:color="000000"/>
            </w:tcBorders>
            <w:shd w:val="clear" w:color="auto" w:fill="FFF0E1"/>
            <w:tcMar>
              <w:top w:w="0" w:type="dxa"/>
              <w:left w:w="108" w:type="dxa"/>
              <w:bottom w:w="0" w:type="dxa"/>
              <w:right w:w="108" w:type="dxa"/>
            </w:tcMar>
            <w:vAlign w:val="center"/>
          </w:tcPr>
          <w:p w14:paraId="66366B08"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3.3</w:t>
            </w:r>
          </w:p>
        </w:tc>
        <w:tc>
          <w:tcPr>
            <w:tcW w:w="1208" w:type="dxa"/>
            <w:tcBorders>
              <w:top w:val="single" w:sz="6" w:space="0" w:color="000000"/>
              <w:left w:val="single" w:sz="6" w:space="0" w:color="000000"/>
              <w:right w:val="single" w:sz="6" w:space="0" w:color="000000"/>
            </w:tcBorders>
            <w:shd w:val="clear" w:color="auto" w:fill="FFF0E1"/>
            <w:tcMar>
              <w:top w:w="0" w:type="dxa"/>
              <w:left w:w="108" w:type="dxa"/>
              <w:bottom w:w="0" w:type="dxa"/>
              <w:right w:w="108" w:type="dxa"/>
            </w:tcMar>
            <w:vAlign w:val="center"/>
          </w:tcPr>
          <w:p w14:paraId="50B4F0FD"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2.5</w:t>
            </w:r>
          </w:p>
        </w:tc>
        <w:tc>
          <w:tcPr>
            <w:tcW w:w="1208" w:type="dxa"/>
            <w:tcBorders>
              <w:top w:val="single" w:sz="6" w:space="0" w:color="000000"/>
              <w:left w:val="single" w:sz="6" w:space="0" w:color="000000"/>
              <w:right w:val="single" w:sz="6" w:space="0" w:color="000000"/>
            </w:tcBorders>
            <w:shd w:val="clear" w:color="auto" w:fill="FFF0E1"/>
            <w:tcMar>
              <w:top w:w="0" w:type="dxa"/>
              <w:left w:w="108" w:type="dxa"/>
              <w:bottom w:w="0" w:type="dxa"/>
              <w:right w:w="108" w:type="dxa"/>
            </w:tcMar>
            <w:vAlign w:val="center"/>
          </w:tcPr>
          <w:p w14:paraId="488E0701"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3.5</w:t>
            </w:r>
          </w:p>
        </w:tc>
        <w:tc>
          <w:tcPr>
            <w:tcW w:w="1208" w:type="dxa"/>
            <w:tcBorders>
              <w:top w:val="single" w:sz="6" w:space="0" w:color="000000"/>
              <w:left w:val="single" w:sz="6" w:space="0" w:color="000000"/>
            </w:tcBorders>
            <w:shd w:val="clear" w:color="auto" w:fill="FFF0E1"/>
            <w:tcMar>
              <w:top w:w="0" w:type="dxa"/>
              <w:left w:w="108" w:type="dxa"/>
              <w:bottom w:w="0" w:type="dxa"/>
              <w:right w:w="108" w:type="dxa"/>
            </w:tcMar>
            <w:vAlign w:val="center"/>
          </w:tcPr>
          <w:p w14:paraId="0BAF9D30"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2.6</w:t>
            </w:r>
          </w:p>
        </w:tc>
      </w:tr>
      <w:tr w:rsidR="00052596" w14:paraId="3576E284"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5E3D8276"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pPr>
            <w:r>
              <w:rPr>
                <w:rFonts w:eastAsia="標楷體"/>
                <w:color w:val="000000"/>
                <w:spacing w:val="4"/>
                <w:kern w:val="0"/>
                <w:szCs w:val="24"/>
              </w:rPr>
              <w:t xml:space="preserve">　</w:t>
            </w:r>
            <w:r>
              <w:rPr>
                <w:rFonts w:eastAsia="標楷體"/>
                <w:b/>
                <w:color w:val="0000FF"/>
                <w:spacing w:val="4"/>
                <w:kern w:val="0"/>
                <w:szCs w:val="24"/>
              </w:rPr>
              <w:t>先進經濟體</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78C2C45A"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-3.6</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62F3A894"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1.9</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38972795"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1.3</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19D65599"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2.0</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4E9E9996"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1.1</w:t>
            </w:r>
          </w:p>
        </w:tc>
      </w:tr>
      <w:tr w:rsidR="00052596" w14:paraId="07A01461"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2CDC9F52"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美國</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26D8DD90"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-3.1</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68B8AFC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2.1</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103D7184"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2.2</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20389C36"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2.7</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36CD937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1.9</w:t>
            </w:r>
          </w:p>
        </w:tc>
      </w:tr>
      <w:tr w:rsidR="00052596" w14:paraId="229F1FE6"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233A8B48"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歐盟</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17FE0BEC"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-4.3</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081C0A25"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1.1</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36BDE3C4"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-0.2</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2DD7A421"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1.2</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44C05C3B"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0.1</w:t>
            </w:r>
          </w:p>
        </w:tc>
      </w:tr>
      <w:tr w:rsidR="00052596" w14:paraId="672AD274"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4D977393"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日本</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4639B102"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-5.5</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2E487511"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2.1</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2CBFD0C3"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2.0</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55B89C89"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1.4</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265A097D"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0.0</w:t>
            </w:r>
          </w:p>
        </w:tc>
      </w:tr>
      <w:tr w:rsidR="00052596" w14:paraId="72106C2B"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70D8A85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pPr>
            <w:r>
              <w:rPr>
                <w:rFonts w:eastAsia="標楷體"/>
                <w:color w:val="000000"/>
                <w:spacing w:val="4"/>
                <w:kern w:val="0"/>
                <w:szCs w:val="24"/>
              </w:rPr>
              <w:t xml:space="preserve">　</w:t>
            </w:r>
            <w:r>
              <w:rPr>
                <w:rFonts w:eastAsia="標楷體"/>
                <w:b/>
                <w:color w:val="0000FF"/>
                <w:spacing w:val="4"/>
                <w:kern w:val="0"/>
                <w:szCs w:val="24"/>
              </w:rPr>
              <w:t>新興經濟體</w:t>
            </w:r>
            <w:r>
              <w:rPr>
                <w:rFonts w:eastAsia="標楷體"/>
                <w:b/>
                <w:color w:val="0000FF"/>
                <w:spacing w:val="4"/>
                <w:kern w:val="0"/>
                <w:sz w:val="32"/>
                <w:szCs w:val="24"/>
                <w:vertAlign w:val="superscript"/>
              </w:rPr>
              <w:t>*</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42C0247F"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1.7</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6044E9D6"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6.1</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4ECB9E71"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4.4</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748A3DDF"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5.6</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767498A2"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4.9</w:t>
            </w:r>
          </w:p>
        </w:tc>
      </w:tr>
      <w:tr w:rsidR="00052596" w14:paraId="782D8D5C"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7B12AE6B"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亞太地區</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16BA485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5.4</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0376FD9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7.3</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06EC441C"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5.7</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30FD9202"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6.8</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0AD7142C"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6.1</w:t>
            </w:r>
          </w:p>
        </w:tc>
      </w:tr>
      <w:tr w:rsidR="00052596" w14:paraId="4107F80D"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0694F72A"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中國大陸</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1BDAB9BC"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9.2</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311432F8"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9.1</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6EF42D7B"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7.7</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2881BC46"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8.2</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1420952F"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8.0</w:t>
            </w:r>
          </w:p>
        </w:tc>
      </w:tr>
      <w:tr w:rsidR="00052596" w14:paraId="5A17E8D3"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69C3EB9A"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印度</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1C326DD5"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7.1</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55AC33A8"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7.2</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4A46A579"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5.1</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1346ECF3"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7.2</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22FCDF86"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5.8</w:t>
            </w:r>
          </w:p>
        </w:tc>
      </w:tr>
      <w:tr w:rsidR="00052596" w14:paraId="2DD4AD50"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624BDBFD"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亞洲四小龍</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134363FC"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-0.6</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1B5F83A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4.6</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3A4B687A"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1.8</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79F3E7FC"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3.8</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1D179C52"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2.7</w:t>
            </w:r>
          </w:p>
        </w:tc>
      </w:tr>
      <w:tr w:rsidR="00052596" w14:paraId="17EC85D6"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5309A064"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東協四國</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335AFD5D"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1.2</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44B694E1"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5.7</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2B7A4924"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5.8</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0D54B5E9"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5.4</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05D3583B"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5.1</w:t>
            </w:r>
          </w:p>
        </w:tc>
      </w:tr>
      <w:tr w:rsidR="00052596" w14:paraId="01A30965"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67D71145"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拉丁美洲</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40BE7C8D"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-2.1</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66BD0A0F"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4.6</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7D37BD4F"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2.7</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5E667410"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4.1</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1B7F671A"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3.5</w:t>
            </w:r>
          </w:p>
        </w:tc>
      </w:tr>
      <w:tr w:rsidR="00052596" w14:paraId="5EFD64E7"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66AC1CF7"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巴西</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73E00F30"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-0.3</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75B39979"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3.8</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0613ACAC"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1.0</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3BD403BF"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4.2</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4FA0983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3.3</w:t>
            </w:r>
          </w:p>
        </w:tc>
      </w:tr>
      <w:tr w:rsidR="00052596" w14:paraId="54B48C45" w14:textId="77777777">
        <w:tblPrEx>
          <w:tblCellMar>
            <w:top w:w="0" w:type="dxa"/>
            <w:bottom w:w="0" w:type="dxa"/>
          </w:tblCellMar>
        </w:tblPrEx>
        <w:trPr>
          <w:jc w:val="center"/>
        </w:trPr>
        <w:tc>
          <w:tcPr>
            <w:tcW w:w="2634" w:type="dxa"/>
            <w:tcBorders>
              <w:right w:val="single" w:sz="6" w:space="0" w:color="000000"/>
            </w:tcBorders>
            <w:shd w:val="clear" w:color="auto" w:fill="FFF0E1"/>
            <w:tcMar>
              <w:top w:w="0" w:type="dxa"/>
              <w:left w:w="108" w:type="dxa"/>
              <w:bottom w:w="0" w:type="dxa"/>
              <w:right w:w="108" w:type="dxa"/>
            </w:tcMar>
            <w:vAlign w:val="center"/>
          </w:tcPr>
          <w:p w14:paraId="3A14DEB7"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right="-120"/>
              <w:textAlignment w:val="center"/>
              <w:rPr>
                <w:rFonts w:eastAsia="標楷體"/>
                <w:color w:val="000000"/>
                <w:spacing w:val="4"/>
                <w:kern w:val="0"/>
                <w:szCs w:val="24"/>
              </w:rPr>
            </w:pPr>
            <w:r>
              <w:rPr>
                <w:rFonts w:eastAsia="標楷體"/>
                <w:color w:val="000000"/>
                <w:spacing w:val="4"/>
                <w:kern w:val="0"/>
                <w:szCs w:val="24"/>
              </w:rPr>
              <w:t xml:space="preserve">　　東歐／中東與非洲</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tcPr>
          <w:p w14:paraId="4DB0E26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-3.3</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15EB6889"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4.2</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031609B1"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2.7</w:t>
            </w:r>
          </w:p>
        </w:tc>
        <w:tc>
          <w:tcPr>
            <w:tcW w:w="120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7F7E8E6F"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3.8</w:t>
            </w:r>
          </w:p>
        </w:tc>
        <w:tc>
          <w:tcPr>
            <w:tcW w:w="1208" w:type="dxa"/>
            <w:tcBorders>
              <w:left w:val="single" w:sz="6" w:space="0" w:color="000000"/>
            </w:tcBorders>
            <w:shd w:val="clear" w:color="auto" w:fill="FFF0E1"/>
            <w:tcMar>
              <w:top w:w="0" w:type="dxa"/>
              <w:left w:w="108" w:type="dxa"/>
              <w:bottom w:w="0" w:type="dxa"/>
              <w:right w:w="108" w:type="dxa"/>
            </w:tcMar>
            <w:vAlign w:val="center"/>
          </w:tcPr>
          <w:p w14:paraId="352B2EF0"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2.7</w:t>
            </w:r>
          </w:p>
        </w:tc>
      </w:tr>
      <w:tr w:rsidR="00052596" w14:paraId="2B33B299" w14:textId="77777777">
        <w:tblPrEx>
          <w:tblCellMar>
            <w:top w:w="0" w:type="dxa"/>
            <w:bottom w:w="0" w:type="dxa"/>
          </w:tblCellMar>
        </w:tblPrEx>
        <w:trPr>
          <w:jc w:val="center"/>
        </w:trPr>
        <w:tc>
          <w:tcPr>
            <w:tcW w:w="2634" w:type="dxa"/>
            <w:tcBorders>
              <w:bottom w:val="single" w:sz="6" w:space="0" w:color="000000"/>
              <w:right w:val="single" w:sz="6" w:space="0" w:color="000000"/>
            </w:tcBorders>
            <w:shd w:val="clear" w:color="auto" w:fill="FFF0E1"/>
            <w:tcMar>
              <w:top w:w="0" w:type="dxa"/>
              <w:left w:w="108" w:type="dxa"/>
              <w:bottom w:w="0" w:type="dxa"/>
              <w:right w:w="108" w:type="dxa"/>
            </w:tcMar>
            <w:vAlign w:val="center"/>
          </w:tcPr>
          <w:p w14:paraId="2D76202A"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textAlignment w:val="center"/>
              <w:rPr>
                <w:rFonts w:eastAsia="標楷體"/>
                <w:color w:val="000000"/>
                <w:spacing w:val="4"/>
                <w:kern w:val="0"/>
                <w:szCs w:val="24"/>
              </w:rPr>
            </w:pPr>
            <w:r>
              <w:rPr>
                <w:rFonts w:eastAsia="標楷體"/>
                <w:color w:val="000000"/>
                <w:spacing w:val="4"/>
                <w:kern w:val="0"/>
                <w:szCs w:val="24"/>
              </w:rPr>
              <w:t xml:space="preserve">　　　俄羅斯</w:t>
            </w:r>
          </w:p>
        </w:tc>
        <w:tc>
          <w:tcPr>
            <w:tcW w:w="1208" w:type="dxa"/>
            <w:tcBorders>
              <w:left w:val="single" w:sz="6" w:space="0" w:color="000000"/>
              <w:bottom w:val="single" w:sz="6" w:space="0" w:color="000000"/>
              <w:right w:val="single" w:sz="6" w:space="0" w:color="000000"/>
            </w:tcBorders>
            <w:shd w:val="clear" w:color="auto" w:fill="FFF0E1"/>
            <w:tcMar>
              <w:top w:w="0" w:type="dxa"/>
              <w:left w:w="108" w:type="dxa"/>
              <w:bottom w:w="0" w:type="dxa"/>
              <w:right w:w="108" w:type="dxa"/>
            </w:tcMar>
          </w:tcPr>
          <w:p w14:paraId="27BCB0B8"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-7.8</w:t>
            </w:r>
          </w:p>
        </w:tc>
        <w:tc>
          <w:tcPr>
            <w:tcW w:w="1208" w:type="dxa"/>
            <w:tcBorders>
              <w:left w:val="single" w:sz="6" w:space="0" w:color="000000"/>
              <w:bottom w:val="single" w:sz="6" w:space="0" w:color="000000"/>
              <w:right w:val="single" w:sz="6" w:space="0" w:color="000000"/>
            </w:tcBorders>
            <w:shd w:val="clear" w:color="auto" w:fill="FFF0E1"/>
            <w:tcMar>
              <w:top w:w="0" w:type="dxa"/>
              <w:left w:w="108" w:type="dxa"/>
              <w:bottom w:w="0" w:type="dxa"/>
              <w:right w:w="108" w:type="dxa"/>
            </w:tcMar>
            <w:vAlign w:val="center"/>
          </w:tcPr>
          <w:p w14:paraId="0CD444EF"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4.1</w:t>
            </w:r>
          </w:p>
        </w:tc>
        <w:tc>
          <w:tcPr>
            <w:tcW w:w="1208" w:type="dxa"/>
            <w:tcBorders>
              <w:left w:val="single" w:sz="6" w:space="0" w:color="000000"/>
              <w:bottom w:val="single" w:sz="6" w:space="0" w:color="000000"/>
              <w:right w:val="single" w:sz="6" w:space="0" w:color="000000"/>
            </w:tcBorders>
            <w:shd w:val="clear" w:color="auto" w:fill="FFF0E1"/>
            <w:tcMar>
              <w:top w:w="0" w:type="dxa"/>
              <w:left w:w="108" w:type="dxa"/>
              <w:bottom w:w="0" w:type="dxa"/>
              <w:right w:w="108" w:type="dxa"/>
            </w:tcMar>
            <w:vAlign w:val="center"/>
          </w:tcPr>
          <w:p w14:paraId="4665403E"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3.6</w:t>
            </w:r>
          </w:p>
        </w:tc>
        <w:tc>
          <w:tcPr>
            <w:tcW w:w="1208" w:type="dxa"/>
            <w:tcBorders>
              <w:left w:val="single" w:sz="6" w:space="0" w:color="000000"/>
              <w:bottom w:val="single" w:sz="6" w:space="0" w:color="000000"/>
              <w:right w:val="single" w:sz="6" w:space="0" w:color="000000"/>
            </w:tcBorders>
            <w:shd w:val="clear" w:color="auto" w:fill="FFF0E1"/>
            <w:tcMar>
              <w:top w:w="0" w:type="dxa"/>
              <w:left w:w="108" w:type="dxa"/>
              <w:bottom w:w="0" w:type="dxa"/>
              <w:right w:w="108" w:type="dxa"/>
            </w:tcMar>
            <w:vAlign w:val="center"/>
          </w:tcPr>
          <w:p w14:paraId="355E65F0"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3.8</w:t>
            </w:r>
          </w:p>
        </w:tc>
        <w:tc>
          <w:tcPr>
            <w:tcW w:w="1208" w:type="dxa"/>
            <w:tcBorders>
              <w:left w:val="single" w:sz="6" w:space="0" w:color="000000"/>
              <w:bottom w:val="single" w:sz="6" w:space="0" w:color="000000"/>
            </w:tcBorders>
            <w:shd w:val="clear" w:color="auto" w:fill="FFF0E1"/>
            <w:tcMar>
              <w:top w:w="0" w:type="dxa"/>
              <w:left w:w="108" w:type="dxa"/>
              <w:bottom w:w="0" w:type="dxa"/>
              <w:right w:w="108" w:type="dxa"/>
            </w:tcMar>
            <w:vAlign w:val="center"/>
          </w:tcPr>
          <w:p w14:paraId="017972BF"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80" w:lineRule="exact"/>
              <w:ind w:left="-120"/>
              <w:jc w:val="center"/>
              <w:textAlignment w:val="center"/>
              <w:rPr>
                <w:rFonts w:eastAsia="標楷體"/>
                <w:spacing w:val="4"/>
                <w:kern w:val="0"/>
                <w:szCs w:val="24"/>
              </w:rPr>
            </w:pPr>
            <w:r>
              <w:rPr>
                <w:rFonts w:eastAsia="標楷體"/>
                <w:spacing w:val="4"/>
                <w:kern w:val="0"/>
                <w:szCs w:val="24"/>
              </w:rPr>
              <w:t>3.4</w:t>
            </w:r>
          </w:p>
        </w:tc>
      </w:tr>
    </w:tbl>
    <w:p w14:paraId="79576DAC" w14:textId="77777777" w:rsidR="00052596" w:rsidRDefault="00000000">
      <w:pPr>
        <w:overflowPunct w:val="0"/>
        <w:autoSpaceDE w:val="0"/>
        <w:spacing w:before="48" w:line="260" w:lineRule="exact"/>
        <w:ind w:left="1400" w:hanging="440"/>
        <w:jc w:val="both"/>
        <w:textAlignment w:val="center"/>
      </w:pPr>
      <w:r>
        <w:rPr>
          <w:rFonts w:ascii="Calibri" w:eastAsia="標楷體" w:hAnsi="Calibri"/>
          <w:kern w:val="0"/>
          <w:sz w:val="22"/>
          <w:szCs w:val="22"/>
        </w:rPr>
        <w:t>*</w:t>
      </w:r>
      <w:r>
        <w:rPr>
          <w:rFonts w:ascii="Calibri" w:eastAsia="標楷體" w:hAnsi="Calibri"/>
          <w:kern w:val="0"/>
          <w:sz w:val="12"/>
          <w:szCs w:val="12"/>
        </w:rPr>
        <w:t xml:space="preserve"> </w:t>
      </w:r>
      <w:r>
        <w:rPr>
          <w:rFonts w:ascii="Calibri" w:eastAsia="標楷體" w:hAnsi="Calibri"/>
          <w:kern w:val="0"/>
          <w:sz w:val="22"/>
          <w:szCs w:val="22"/>
        </w:rPr>
        <w:t>新興經濟體係爰引</w:t>
      </w:r>
      <w:r>
        <w:rPr>
          <w:rFonts w:eastAsia="標楷體"/>
          <w:kern w:val="0"/>
          <w:sz w:val="22"/>
          <w:szCs w:val="22"/>
        </w:rPr>
        <w:t>經濟學人</w:t>
      </w:r>
      <w:r>
        <w:rPr>
          <w:rFonts w:ascii="標楷體" w:eastAsia="標楷體" w:hAnsi="標楷體"/>
          <w:kern w:val="0"/>
          <w:sz w:val="22"/>
          <w:szCs w:val="22"/>
        </w:rPr>
        <w:t>(</w:t>
      </w:r>
      <w:r>
        <w:rPr>
          <w:rFonts w:eastAsia="標楷體"/>
          <w:kern w:val="0"/>
          <w:sz w:val="22"/>
          <w:szCs w:val="22"/>
        </w:rPr>
        <w:t>The Economist</w:t>
      </w:r>
      <w:r>
        <w:rPr>
          <w:rFonts w:ascii="標楷體" w:eastAsia="標楷體" w:hAnsi="標楷體"/>
          <w:kern w:val="0"/>
          <w:sz w:val="22"/>
          <w:szCs w:val="22"/>
        </w:rPr>
        <w:t>)</w:t>
      </w:r>
      <w:r>
        <w:rPr>
          <w:rFonts w:eastAsia="標楷體"/>
          <w:kern w:val="0"/>
          <w:sz w:val="22"/>
          <w:szCs w:val="22"/>
        </w:rPr>
        <w:t>之定義，涵蓋</w:t>
      </w:r>
      <w:r>
        <w:rPr>
          <w:rFonts w:ascii="Calibri" w:eastAsia="標楷體" w:hAnsi="Calibri"/>
          <w:kern w:val="0"/>
          <w:sz w:val="22"/>
          <w:szCs w:val="22"/>
        </w:rPr>
        <w:t>範圍如下：</w:t>
      </w:r>
    </w:p>
    <w:p w14:paraId="2A175FE0" w14:textId="77777777" w:rsidR="00052596" w:rsidRDefault="00000000">
      <w:pPr>
        <w:overflowPunct w:val="0"/>
        <w:autoSpaceDE w:val="0"/>
        <w:spacing w:before="48" w:line="260" w:lineRule="exact"/>
        <w:ind w:left="1360" w:hanging="220"/>
        <w:jc w:val="both"/>
        <w:textAlignment w:val="center"/>
      </w:pPr>
      <w:r>
        <w:rPr>
          <w:rFonts w:ascii="Calibri" w:eastAsia="標楷體" w:hAnsi="Calibri"/>
          <w:kern w:val="0"/>
          <w:sz w:val="22"/>
          <w:szCs w:val="22"/>
        </w:rPr>
        <w:t>－亞洲新興經濟體：亞洲四小龍</w:t>
      </w:r>
      <w:r>
        <w:rPr>
          <w:rFonts w:ascii="標楷體" w:eastAsia="標楷體" w:hAnsi="標楷體"/>
          <w:kern w:val="0"/>
          <w:sz w:val="22"/>
          <w:szCs w:val="22"/>
        </w:rPr>
        <w:t>(</w:t>
      </w:r>
      <w:r>
        <w:rPr>
          <w:rFonts w:ascii="Calibri" w:eastAsia="標楷體" w:hAnsi="Calibri"/>
          <w:kern w:val="0"/>
          <w:sz w:val="22"/>
          <w:szCs w:val="22"/>
        </w:rPr>
        <w:t>新加坡、香港、南韓、臺灣</w:t>
      </w:r>
      <w:r>
        <w:rPr>
          <w:rFonts w:ascii="標楷體" w:eastAsia="標楷體" w:hAnsi="標楷體"/>
          <w:kern w:val="0"/>
          <w:sz w:val="22"/>
          <w:szCs w:val="22"/>
        </w:rPr>
        <w:t>)</w:t>
      </w:r>
      <w:r>
        <w:rPr>
          <w:rFonts w:ascii="Calibri" w:eastAsia="標楷體" w:hAnsi="Calibri"/>
          <w:kern w:val="0"/>
          <w:sz w:val="22"/>
          <w:szCs w:val="22"/>
        </w:rPr>
        <w:t>、東協四國</w:t>
      </w:r>
      <w:r>
        <w:rPr>
          <w:rFonts w:ascii="標楷體" w:eastAsia="標楷體" w:hAnsi="標楷體"/>
          <w:kern w:val="0"/>
          <w:sz w:val="22"/>
          <w:szCs w:val="22"/>
        </w:rPr>
        <w:t>(</w:t>
      </w:r>
      <w:r>
        <w:rPr>
          <w:rFonts w:ascii="Calibri" w:eastAsia="標楷體" w:hAnsi="Calibri"/>
          <w:kern w:val="0"/>
          <w:sz w:val="22"/>
          <w:szCs w:val="22"/>
        </w:rPr>
        <w:t>印尼、馬來西亞、菲律賓、泰國</w:t>
      </w:r>
      <w:r>
        <w:rPr>
          <w:rFonts w:ascii="標楷體" w:eastAsia="標楷體" w:hAnsi="標楷體"/>
          <w:kern w:val="0"/>
          <w:sz w:val="22"/>
          <w:szCs w:val="22"/>
        </w:rPr>
        <w:t>)</w:t>
      </w:r>
      <w:r>
        <w:rPr>
          <w:rFonts w:ascii="Calibri" w:eastAsia="標楷體" w:hAnsi="Calibri"/>
          <w:kern w:val="0"/>
          <w:sz w:val="22"/>
          <w:szCs w:val="22"/>
        </w:rPr>
        <w:t>、中國大陸、印度及巴基斯坦。</w:t>
      </w:r>
    </w:p>
    <w:p w14:paraId="5DC5E452" w14:textId="77777777" w:rsidR="00052596" w:rsidRDefault="00000000">
      <w:pPr>
        <w:overflowPunct w:val="0"/>
        <w:autoSpaceDE w:val="0"/>
        <w:spacing w:before="48" w:line="260" w:lineRule="exact"/>
        <w:ind w:left="1360" w:hanging="220"/>
        <w:jc w:val="both"/>
        <w:textAlignment w:val="center"/>
        <w:rPr>
          <w:rFonts w:ascii="Calibri" w:eastAsia="標楷體" w:hAnsi="Calibri"/>
          <w:kern w:val="0"/>
          <w:sz w:val="22"/>
          <w:szCs w:val="22"/>
        </w:rPr>
      </w:pPr>
      <w:r>
        <w:rPr>
          <w:rFonts w:ascii="Calibri" w:eastAsia="標楷體" w:hAnsi="Calibri"/>
          <w:kern w:val="0"/>
          <w:sz w:val="22"/>
          <w:szCs w:val="22"/>
        </w:rPr>
        <w:t>－東歐／中東與非洲新興經濟體：俄羅斯、土耳其、匈牙利、捷克、波蘭、南非、埃及、以色列、摩洛哥及沙烏地阿拉伯。</w:t>
      </w:r>
    </w:p>
    <w:p w14:paraId="0BD516BA" w14:textId="77777777" w:rsidR="00052596" w:rsidRDefault="00000000">
      <w:pPr>
        <w:overflowPunct w:val="0"/>
        <w:autoSpaceDE w:val="0"/>
        <w:spacing w:before="48" w:line="260" w:lineRule="exact"/>
        <w:ind w:left="1360" w:hanging="220"/>
        <w:jc w:val="both"/>
        <w:textAlignment w:val="center"/>
      </w:pPr>
      <w:r>
        <w:rPr>
          <w:rFonts w:ascii="Calibri" w:eastAsia="標楷體" w:hAnsi="Calibri"/>
          <w:kern w:val="0"/>
          <w:sz w:val="22"/>
          <w:szCs w:val="22"/>
        </w:rPr>
        <w:t>－拉丁美洲新興經濟體：巴西、阿根廷、哥倫比亞、祕魯、智利及墨西哥。</w:t>
      </w:r>
    </w:p>
    <w:p w14:paraId="08D5977E" w14:textId="77777777" w:rsidR="00052596" w:rsidRDefault="00000000">
      <w:pPr>
        <w:overflowPunct w:val="0"/>
        <w:autoSpaceDE w:val="0"/>
        <w:spacing w:before="24" w:after="240" w:line="260" w:lineRule="exact"/>
        <w:ind w:left="1084" w:hanging="1017"/>
        <w:jc w:val="both"/>
        <w:textAlignment w:val="center"/>
      </w:pPr>
      <w:r>
        <w:rPr>
          <w:rFonts w:eastAsia="標楷體"/>
          <w:spacing w:val="-2"/>
          <w:kern w:val="0"/>
          <w:sz w:val="22"/>
          <w:szCs w:val="22"/>
        </w:rPr>
        <w:t>資料來源：</w:t>
      </w:r>
      <w:r>
        <w:rPr>
          <w:rFonts w:eastAsia="標楷體"/>
          <w:spacing w:val="-2"/>
          <w:kern w:val="0"/>
          <w:sz w:val="22"/>
          <w:szCs w:val="22"/>
        </w:rPr>
        <w:t xml:space="preserve">Global Insight Inc., </w:t>
      </w:r>
      <w:r>
        <w:rPr>
          <w:rFonts w:eastAsia="標楷體"/>
          <w:i/>
          <w:spacing w:val="-2"/>
          <w:kern w:val="0"/>
          <w:sz w:val="22"/>
          <w:szCs w:val="22"/>
        </w:rPr>
        <w:t>Global Insight’s Comparative World Overview</w:t>
      </w:r>
      <w:r>
        <w:rPr>
          <w:rFonts w:eastAsia="標楷體"/>
          <w:spacing w:val="-2"/>
          <w:kern w:val="0"/>
          <w:sz w:val="22"/>
          <w:szCs w:val="22"/>
        </w:rPr>
        <w:t>, Dec. 2012.</w:t>
      </w:r>
    </w:p>
    <w:p w14:paraId="05217FEA" w14:textId="77777777" w:rsidR="00052596" w:rsidRDefault="00000000">
      <w:pPr>
        <w:tabs>
          <w:tab w:val="left" w:pos="960"/>
          <w:tab w:val="left" w:pos="1920"/>
          <w:tab w:val="left" w:pos="2880"/>
          <w:tab w:val="left" w:pos="3840"/>
          <w:tab w:val="left" w:pos="4800"/>
          <w:tab w:val="left" w:pos="5760"/>
        </w:tabs>
        <w:overflowPunct w:val="0"/>
        <w:autoSpaceDE w:val="0"/>
        <w:spacing w:before="36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一、先進經濟體成長動能仍弱</w:t>
      </w:r>
    </w:p>
    <w:p w14:paraId="7134DDE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216" w:firstLine="576"/>
        <w:jc w:val="both"/>
        <w:textAlignment w:val="center"/>
      </w:pPr>
      <w:r>
        <w:rPr>
          <w:rFonts w:eastAsia="標楷體"/>
          <w:spacing w:val="4"/>
          <w:kern w:val="0"/>
          <w:sz w:val="28"/>
          <w:szCs w:val="26"/>
        </w:rPr>
        <w:t>2013</w:t>
      </w:r>
      <w:r>
        <w:rPr>
          <w:rFonts w:eastAsia="標楷體"/>
          <w:spacing w:val="4"/>
          <w:kern w:val="0"/>
          <w:sz w:val="28"/>
          <w:szCs w:val="26"/>
        </w:rPr>
        <w:t>年，先進經濟體由於財政情勢嚴峻、國內消費及投資需求不振，預期整體景氣疲弱，勞動市場表現亦將欠佳。中期而言，受制於財政赤字及政府債務壓力、就業情勢持續低迷等因素，先進經</w:t>
      </w:r>
      <w:r>
        <w:rPr>
          <w:rFonts w:eastAsia="標楷體"/>
          <w:spacing w:val="4"/>
          <w:kern w:val="0"/>
          <w:sz w:val="28"/>
          <w:szCs w:val="22"/>
        </w:rPr>
        <w:lastRenderedPageBreak/>
        <w:t>濟體成長動能仍弱。</w:t>
      </w:r>
      <w:r>
        <w:rPr>
          <w:rFonts w:eastAsia="標楷體"/>
          <w:spacing w:val="4"/>
          <w:kern w:val="0"/>
          <w:sz w:val="28"/>
          <w:szCs w:val="22"/>
        </w:rPr>
        <w:t>GI</w:t>
      </w:r>
      <w:r>
        <w:rPr>
          <w:rFonts w:eastAsia="標楷體"/>
          <w:spacing w:val="4"/>
          <w:kern w:val="0"/>
          <w:sz w:val="28"/>
          <w:szCs w:val="22"/>
        </w:rPr>
        <w:t>預估，</w:t>
      </w:r>
      <w:r>
        <w:rPr>
          <w:rFonts w:eastAsia="標楷體"/>
          <w:spacing w:val="4"/>
          <w:kern w:val="0"/>
          <w:sz w:val="28"/>
          <w:szCs w:val="22"/>
        </w:rPr>
        <w:t>2013</w:t>
      </w:r>
      <w:r>
        <w:rPr>
          <w:rFonts w:eastAsia="標楷體"/>
          <w:spacing w:val="4"/>
          <w:kern w:val="0"/>
          <w:sz w:val="28"/>
          <w:szCs w:val="22"/>
        </w:rPr>
        <w:t>至</w:t>
      </w:r>
      <w:r>
        <w:rPr>
          <w:rFonts w:eastAsia="標楷體"/>
          <w:spacing w:val="4"/>
          <w:kern w:val="0"/>
          <w:sz w:val="28"/>
          <w:szCs w:val="22"/>
        </w:rPr>
        <w:t>2016</w:t>
      </w:r>
      <w:r>
        <w:rPr>
          <w:rFonts w:eastAsia="標楷體"/>
          <w:spacing w:val="4"/>
          <w:kern w:val="0"/>
          <w:sz w:val="28"/>
          <w:szCs w:val="22"/>
        </w:rPr>
        <w:t>年先進經濟體平均經濟成長率</w:t>
      </w:r>
      <w:r>
        <w:rPr>
          <w:rFonts w:eastAsia="標楷體"/>
          <w:spacing w:val="4"/>
          <w:kern w:val="0"/>
          <w:sz w:val="28"/>
          <w:szCs w:val="22"/>
        </w:rPr>
        <w:t>2.0%</w:t>
      </w:r>
      <w:r>
        <w:rPr>
          <w:rFonts w:eastAsia="標楷體"/>
          <w:spacing w:val="4"/>
          <w:kern w:val="0"/>
          <w:sz w:val="28"/>
          <w:szCs w:val="22"/>
        </w:rPr>
        <w:t>，略高於金融海嘯後</w:t>
      </w:r>
      <w:r>
        <w:rPr>
          <w:rFonts w:eastAsia="標楷體"/>
          <w:spacing w:val="4"/>
          <w:kern w:val="0"/>
          <w:sz w:val="28"/>
          <w:szCs w:val="22"/>
        </w:rPr>
        <w:t>2010</w:t>
      </w:r>
      <w:r>
        <w:rPr>
          <w:rFonts w:eastAsia="標楷體"/>
          <w:spacing w:val="4"/>
          <w:kern w:val="0"/>
          <w:sz w:val="28"/>
          <w:szCs w:val="22"/>
        </w:rPr>
        <w:t>至</w:t>
      </w:r>
      <w:r>
        <w:rPr>
          <w:rFonts w:eastAsia="標楷體"/>
          <w:spacing w:val="4"/>
          <w:kern w:val="0"/>
          <w:sz w:val="28"/>
          <w:szCs w:val="22"/>
        </w:rPr>
        <w:t>2012</w:t>
      </w:r>
      <w:r>
        <w:rPr>
          <w:rFonts w:eastAsia="標楷體"/>
          <w:spacing w:val="4"/>
          <w:kern w:val="0"/>
          <w:sz w:val="28"/>
          <w:szCs w:val="22"/>
        </w:rPr>
        <w:t>年平均的</w:t>
      </w:r>
      <w:r>
        <w:rPr>
          <w:rFonts w:eastAsia="標楷體"/>
          <w:spacing w:val="4"/>
          <w:kern w:val="0"/>
          <w:sz w:val="28"/>
          <w:szCs w:val="22"/>
        </w:rPr>
        <w:t>1.9%</w:t>
      </w:r>
      <w:r>
        <w:rPr>
          <w:rFonts w:eastAsia="標楷體"/>
          <w:spacing w:val="4"/>
          <w:kern w:val="0"/>
          <w:sz w:val="28"/>
          <w:szCs w:val="22"/>
        </w:rPr>
        <w:t>，對全球經濟成長貢獻率為</w:t>
      </w:r>
      <w:r>
        <w:rPr>
          <w:rFonts w:eastAsia="標楷體"/>
          <w:spacing w:val="4"/>
          <w:kern w:val="0"/>
          <w:sz w:val="28"/>
          <w:szCs w:val="22"/>
        </w:rPr>
        <w:t>42.6%</w:t>
      </w:r>
      <w:r>
        <w:rPr>
          <w:rFonts w:eastAsia="標楷體"/>
          <w:spacing w:val="4"/>
          <w:kern w:val="0"/>
          <w:sz w:val="28"/>
          <w:szCs w:val="22"/>
        </w:rPr>
        <w:t>；占全球實質</w:t>
      </w:r>
      <w:r>
        <w:rPr>
          <w:rFonts w:eastAsia="標楷體"/>
          <w:spacing w:val="4"/>
          <w:kern w:val="0"/>
          <w:sz w:val="28"/>
          <w:szCs w:val="22"/>
        </w:rPr>
        <w:t>GDP</w:t>
      </w:r>
      <w:r>
        <w:rPr>
          <w:rFonts w:eastAsia="標楷體"/>
          <w:spacing w:val="4"/>
          <w:kern w:val="0"/>
          <w:sz w:val="28"/>
          <w:szCs w:val="22"/>
        </w:rPr>
        <w:t>比率，則將由</w:t>
      </w:r>
      <w:r>
        <w:rPr>
          <w:rFonts w:eastAsia="標楷體"/>
          <w:spacing w:val="4"/>
          <w:kern w:val="0"/>
          <w:sz w:val="28"/>
          <w:szCs w:val="22"/>
        </w:rPr>
        <w:t>2009</w:t>
      </w:r>
      <w:r>
        <w:rPr>
          <w:rFonts w:eastAsia="標楷體"/>
          <w:spacing w:val="4"/>
          <w:kern w:val="0"/>
          <w:sz w:val="28"/>
          <w:szCs w:val="22"/>
        </w:rPr>
        <w:t>至</w:t>
      </w:r>
      <w:r>
        <w:rPr>
          <w:rFonts w:eastAsia="標楷體"/>
          <w:spacing w:val="4"/>
          <w:kern w:val="0"/>
          <w:sz w:val="28"/>
          <w:szCs w:val="22"/>
        </w:rPr>
        <w:t>2012</w:t>
      </w:r>
      <w:r>
        <w:rPr>
          <w:rFonts w:eastAsia="標楷體"/>
          <w:spacing w:val="4"/>
          <w:kern w:val="0"/>
          <w:sz w:val="28"/>
          <w:szCs w:val="22"/>
        </w:rPr>
        <w:t>年的</w:t>
      </w:r>
      <w:r>
        <w:rPr>
          <w:rFonts w:eastAsia="標楷體"/>
          <w:spacing w:val="4"/>
          <w:kern w:val="0"/>
          <w:sz w:val="28"/>
          <w:szCs w:val="22"/>
        </w:rPr>
        <w:t>70.0%</w:t>
      </w:r>
      <w:r>
        <w:rPr>
          <w:rFonts w:eastAsia="標楷體"/>
          <w:spacing w:val="4"/>
          <w:kern w:val="0"/>
          <w:sz w:val="28"/>
          <w:szCs w:val="22"/>
        </w:rPr>
        <w:t>減為</w:t>
      </w:r>
      <w:r>
        <w:rPr>
          <w:rFonts w:eastAsia="標楷體"/>
          <w:spacing w:val="4"/>
          <w:kern w:val="0"/>
          <w:sz w:val="28"/>
          <w:szCs w:val="22"/>
        </w:rPr>
        <w:t>67.0%</w:t>
      </w:r>
      <w:r>
        <w:rPr>
          <w:rFonts w:eastAsia="標楷體"/>
          <w:spacing w:val="4"/>
          <w:kern w:val="0"/>
          <w:sz w:val="28"/>
          <w:szCs w:val="22"/>
        </w:rPr>
        <w:t>。</w:t>
      </w:r>
    </w:p>
    <w:p w14:paraId="1431624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美國經濟可望溫和成長</w:t>
      </w:r>
    </w:p>
    <w:p w14:paraId="4593E7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w:t>
      </w:r>
      <w:r>
        <w:rPr>
          <w:rFonts w:eastAsia="標楷體"/>
          <w:spacing w:val="4"/>
          <w:kern w:val="0"/>
          <w:sz w:val="28"/>
          <w:szCs w:val="26"/>
        </w:rPr>
        <w:t>2013</w:t>
      </w:r>
      <w:r>
        <w:rPr>
          <w:rFonts w:eastAsia="標楷體"/>
          <w:spacing w:val="4"/>
          <w:kern w:val="0"/>
          <w:sz w:val="28"/>
          <w:szCs w:val="26"/>
        </w:rPr>
        <w:t>年，美國受就業市場微幅改善、房地產景氣略呈好轉，以及政府續採寬鬆貨幣政策等因素激勵，經濟原可望溫和成長，惟因仍存在高失業率及財政懸崖</w:t>
      </w:r>
      <w:r>
        <w:rPr>
          <w:rFonts w:ascii="標楷體" w:eastAsia="標楷體" w:hAnsi="標楷體"/>
          <w:spacing w:val="4"/>
          <w:kern w:val="0"/>
          <w:sz w:val="28"/>
          <w:szCs w:val="26"/>
        </w:rPr>
        <w:t>(</w:t>
      </w:r>
      <w:r>
        <w:rPr>
          <w:rFonts w:eastAsia="標楷體"/>
          <w:spacing w:val="4"/>
          <w:kern w:val="0"/>
          <w:sz w:val="28"/>
          <w:szCs w:val="26"/>
        </w:rPr>
        <w:t>fiscal cliff</w:t>
      </w:r>
      <w:r>
        <w:rPr>
          <w:rFonts w:ascii="標楷體" w:eastAsia="標楷體" w:hAnsi="標楷體"/>
          <w:spacing w:val="4"/>
          <w:kern w:val="0"/>
          <w:sz w:val="28"/>
          <w:szCs w:val="26"/>
        </w:rPr>
        <w:t>)</w:t>
      </w:r>
      <w:r>
        <w:rPr>
          <w:rFonts w:eastAsia="標楷體"/>
          <w:spacing w:val="4"/>
          <w:kern w:val="0"/>
          <w:sz w:val="28"/>
          <w:szCs w:val="26"/>
        </w:rPr>
        <w:t>等風險因素，預估經濟成長率將由</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2.2%</w:t>
      </w:r>
      <w:r>
        <w:rPr>
          <w:rFonts w:eastAsia="標楷體"/>
          <w:spacing w:val="4"/>
          <w:kern w:val="0"/>
          <w:sz w:val="28"/>
          <w:szCs w:val="26"/>
        </w:rPr>
        <w:t>，回落至</w:t>
      </w:r>
      <w:r>
        <w:rPr>
          <w:rFonts w:eastAsia="標楷體"/>
          <w:spacing w:val="4"/>
          <w:kern w:val="0"/>
          <w:sz w:val="28"/>
          <w:szCs w:val="26"/>
        </w:rPr>
        <w:t>1.9%</w:t>
      </w:r>
      <w:r>
        <w:rPr>
          <w:rFonts w:eastAsia="標楷體"/>
          <w:spacing w:val="4"/>
          <w:kern w:val="0"/>
          <w:sz w:val="28"/>
          <w:szCs w:val="26"/>
        </w:rPr>
        <w:t>。</w:t>
      </w:r>
    </w:p>
    <w:p w14:paraId="562046C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中期而言，由於移民政策轉趨開放、勞動供給相對充裕，且勞動市場可望較具彈性，加以強化教育品質及鼓勵創新研發等政策之推動，均將有利於提升勞動生產力，帶動經濟溫和成長，惟高失業率、財政赤字壓力及政府債務問題，仍將續為美國經濟潛存隱憂。預估</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年，美國平均經濟成長率為</w:t>
      </w:r>
      <w:r>
        <w:rPr>
          <w:rFonts w:eastAsia="標楷體"/>
          <w:spacing w:val="4"/>
          <w:kern w:val="0"/>
          <w:sz w:val="28"/>
          <w:szCs w:val="26"/>
        </w:rPr>
        <w:t>2.7%</w:t>
      </w:r>
      <w:r>
        <w:rPr>
          <w:rFonts w:eastAsia="標楷體"/>
          <w:spacing w:val="4"/>
          <w:kern w:val="0"/>
          <w:sz w:val="28"/>
          <w:szCs w:val="26"/>
        </w:rPr>
        <w:t>，高於先進經濟體的</w:t>
      </w:r>
      <w:r>
        <w:rPr>
          <w:rFonts w:eastAsia="標楷體"/>
          <w:spacing w:val="4"/>
          <w:kern w:val="0"/>
          <w:sz w:val="28"/>
          <w:szCs w:val="26"/>
        </w:rPr>
        <w:t>2.0%</w:t>
      </w:r>
      <w:r>
        <w:rPr>
          <w:rFonts w:eastAsia="標楷體"/>
          <w:spacing w:val="4"/>
          <w:kern w:val="0"/>
          <w:sz w:val="28"/>
          <w:szCs w:val="26"/>
        </w:rPr>
        <w:t>，對全球經濟成長貢獻率為</w:t>
      </w:r>
      <w:r>
        <w:rPr>
          <w:rFonts w:eastAsia="標楷體"/>
          <w:spacing w:val="4"/>
          <w:kern w:val="0"/>
          <w:sz w:val="28"/>
          <w:szCs w:val="26"/>
        </w:rPr>
        <w:t>21.8%</w:t>
      </w:r>
      <w:r>
        <w:rPr>
          <w:rFonts w:eastAsia="標楷體"/>
          <w:spacing w:val="4"/>
          <w:kern w:val="0"/>
          <w:sz w:val="28"/>
          <w:szCs w:val="26"/>
        </w:rPr>
        <w:t>，占全球實質</w:t>
      </w:r>
      <w:r>
        <w:rPr>
          <w:rFonts w:eastAsia="標楷體"/>
          <w:spacing w:val="4"/>
          <w:kern w:val="0"/>
          <w:sz w:val="28"/>
          <w:szCs w:val="26"/>
        </w:rPr>
        <w:t>GDP</w:t>
      </w:r>
      <w:r>
        <w:rPr>
          <w:rFonts w:eastAsia="標楷體"/>
          <w:spacing w:val="4"/>
          <w:kern w:val="0"/>
          <w:sz w:val="28"/>
          <w:szCs w:val="26"/>
        </w:rPr>
        <w:t>比率，則由</w:t>
      </w:r>
      <w:r>
        <w:rPr>
          <w:rFonts w:eastAsia="標楷體"/>
          <w:spacing w:val="4"/>
          <w:kern w:val="0"/>
          <w:sz w:val="28"/>
          <w:szCs w:val="26"/>
        </w:rPr>
        <w:t>2009</w:t>
      </w:r>
      <w:r>
        <w:rPr>
          <w:rFonts w:eastAsia="標楷體"/>
          <w:spacing w:val="4"/>
          <w:kern w:val="0"/>
          <w:sz w:val="28"/>
          <w:szCs w:val="26"/>
        </w:rPr>
        <w:t>至</w:t>
      </w:r>
      <w:r>
        <w:rPr>
          <w:rFonts w:eastAsia="標楷體"/>
          <w:spacing w:val="4"/>
          <w:kern w:val="0"/>
          <w:sz w:val="28"/>
          <w:szCs w:val="26"/>
        </w:rPr>
        <w:t>2012</w:t>
      </w:r>
      <w:r>
        <w:rPr>
          <w:rFonts w:eastAsia="標楷體"/>
          <w:spacing w:val="4"/>
          <w:kern w:val="0"/>
          <w:sz w:val="28"/>
          <w:szCs w:val="26"/>
        </w:rPr>
        <w:t>年平均的</w:t>
      </w:r>
      <w:r>
        <w:rPr>
          <w:rFonts w:eastAsia="標楷體"/>
          <w:spacing w:val="4"/>
          <w:kern w:val="0"/>
          <w:sz w:val="28"/>
          <w:szCs w:val="26"/>
        </w:rPr>
        <w:t>25.4%</w:t>
      </w:r>
      <w:r>
        <w:rPr>
          <w:rFonts w:eastAsia="標楷體"/>
          <w:spacing w:val="4"/>
          <w:kern w:val="0"/>
          <w:sz w:val="28"/>
          <w:szCs w:val="26"/>
        </w:rPr>
        <w:t>略減為</w:t>
      </w:r>
      <w:r>
        <w:rPr>
          <w:rFonts w:eastAsia="標楷體"/>
          <w:spacing w:val="4"/>
          <w:kern w:val="0"/>
          <w:sz w:val="28"/>
          <w:szCs w:val="26"/>
        </w:rPr>
        <w:t>25.0%</w:t>
      </w:r>
      <w:r>
        <w:rPr>
          <w:rFonts w:eastAsia="標楷體"/>
          <w:spacing w:val="4"/>
          <w:kern w:val="0"/>
          <w:sz w:val="28"/>
          <w:szCs w:val="26"/>
        </w:rPr>
        <w:t>。</w:t>
      </w:r>
    </w:p>
    <w:p w14:paraId="2F49537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歐盟景氣復甦相對遲滯</w:t>
      </w:r>
    </w:p>
    <w:p w14:paraId="2B147F2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w:t>
      </w:r>
      <w:r>
        <w:rPr>
          <w:rFonts w:eastAsia="標楷體"/>
          <w:spacing w:val="4"/>
          <w:kern w:val="0"/>
          <w:sz w:val="28"/>
          <w:szCs w:val="26"/>
        </w:rPr>
        <w:t>2013</w:t>
      </w:r>
      <w:r>
        <w:rPr>
          <w:rFonts w:eastAsia="標楷體"/>
          <w:spacing w:val="4"/>
          <w:kern w:val="0"/>
          <w:sz w:val="28"/>
          <w:szCs w:val="26"/>
        </w:rPr>
        <w:t>年，主權債務問題及高失業率仍將持續抑制歐盟經濟景氣，各成員國經濟展望均不樂觀，整體經濟將僅成長</w:t>
      </w:r>
      <w:r>
        <w:rPr>
          <w:rFonts w:eastAsia="標楷體"/>
          <w:spacing w:val="4"/>
          <w:kern w:val="0"/>
          <w:sz w:val="28"/>
          <w:szCs w:val="26"/>
        </w:rPr>
        <w:t>0.1%</w:t>
      </w:r>
      <w:r>
        <w:rPr>
          <w:rFonts w:eastAsia="標楷體"/>
          <w:spacing w:val="4"/>
          <w:kern w:val="0"/>
          <w:sz w:val="28"/>
          <w:szCs w:val="26"/>
        </w:rPr>
        <w:t>。其中，德國、英國、法國等核心國家在大規模財政緊縮措施制約下，經濟將呈微幅成長或零成長；希臘、葡萄牙、西班牙、義大利等高財政赤字及高債務國家，為高主權債務所困，經濟則將持續衰退。</w:t>
      </w:r>
    </w:p>
    <w:p w14:paraId="4C5FFE5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－中期而言，歐盟經濟可望復甦，惟因人口快速老化、社會福利制度改革緩慢，成長潛能漸趨流失，加以主權債務危機遲未解決、就業市場改善遲緩等因素，景氣復甦相對遲滯。預估</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年，歐盟平均經濟成長率為</w:t>
      </w:r>
      <w:r>
        <w:rPr>
          <w:rFonts w:eastAsia="標楷體"/>
          <w:spacing w:val="4"/>
          <w:kern w:val="0"/>
          <w:sz w:val="28"/>
          <w:szCs w:val="26"/>
        </w:rPr>
        <w:t>1.2%</w:t>
      </w:r>
      <w:r>
        <w:rPr>
          <w:rFonts w:eastAsia="標楷體"/>
          <w:spacing w:val="4"/>
          <w:kern w:val="0"/>
          <w:sz w:val="28"/>
          <w:szCs w:val="26"/>
        </w:rPr>
        <w:t>，對全球經濟成長貢獻率為</w:t>
      </w:r>
      <w:r>
        <w:rPr>
          <w:rFonts w:eastAsia="標楷體"/>
          <w:spacing w:val="4"/>
          <w:kern w:val="0"/>
          <w:sz w:val="28"/>
          <w:szCs w:val="26"/>
        </w:rPr>
        <w:t>9.6%</w:t>
      </w:r>
      <w:r>
        <w:rPr>
          <w:rFonts w:eastAsia="標楷體"/>
          <w:spacing w:val="4"/>
          <w:kern w:val="0"/>
          <w:sz w:val="28"/>
          <w:szCs w:val="26"/>
        </w:rPr>
        <w:t>，占全球實質</w:t>
      </w:r>
      <w:r>
        <w:rPr>
          <w:rFonts w:eastAsia="標楷體"/>
          <w:spacing w:val="4"/>
          <w:kern w:val="0"/>
          <w:sz w:val="28"/>
          <w:szCs w:val="26"/>
        </w:rPr>
        <w:t>GDP</w:t>
      </w:r>
      <w:r>
        <w:rPr>
          <w:rFonts w:eastAsia="標楷體"/>
          <w:spacing w:val="4"/>
          <w:kern w:val="0"/>
          <w:sz w:val="28"/>
          <w:szCs w:val="26"/>
        </w:rPr>
        <w:t>比率，則將由</w:t>
      </w:r>
      <w:r>
        <w:rPr>
          <w:rFonts w:eastAsia="標楷體"/>
          <w:spacing w:val="4"/>
          <w:kern w:val="0"/>
          <w:sz w:val="28"/>
          <w:szCs w:val="26"/>
        </w:rPr>
        <w:t>2009</w:t>
      </w:r>
      <w:r>
        <w:rPr>
          <w:rFonts w:eastAsia="標楷體"/>
          <w:spacing w:val="4"/>
          <w:kern w:val="0"/>
          <w:sz w:val="28"/>
          <w:szCs w:val="26"/>
        </w:rPr>
        <w:t>至</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27.8%</w:t>
      </w:r>
      <w:r>
        <w:rPr>
          <w:rFonts w:eastAsia="標楷體"/>
          <w:spacing w:val="4"/>
          <w:kern w:val="0"/>
          <w:sz w:val="28"/>
          <w:szCs w:val="26"/>
        </w:rPr>
        <w:t>降至</w:t>
      </w:r>
      <w:r>
        <w:rPr>
          <w:rFonts w:eastAsia="標楷體"/>
          <w:spacing w:val="4"/>
          <w:kern w:val="0"/>
          <w:sz w:val="28"/>
          <w:szCs w:val="26"/>
        </w:rPr>
        <w:t>25.7%</w:t>
      </w:r>
      <w:r>
        <w:rPr>
          <w:rFonts w:eastAsia="標楷體"/>
          <w:spacing w:val="4"/>
          <w:kern w:val="0"/>
          <w:sz w:val="28"/>
          <w:szCs w:val="26"/>
        </w:rPr>
        <w:t>。</w:t>
      </w:r>
    </w:p>
    <w:p w14:paraId="19AC7E3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lastRenderedPageBreak/>
        <w:t>(三)日本成長動能仍顯疲弱</w:t>
      </w:r>
    </w:p>
    <w:p w14:paraId="0973939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w:t>
      </w:r>
      <w:r>
        <w:rPr>
          <w:rFonts w:eastAsia="標楷體"/>
          <w:spacing w:val="4"/>
          <w:kern w:val="0"/>
          <w:sz w:val="28"/>
          <w:szCs w:val="26"/>
        </w:rPr>
        <w:t>2013</w:t>
      </w:r>
      <w:r>
        <w:rPr>
          <w:rFonts w:eastAsia="標楷體"/>
          <w:spacing w:val="4"/>
          <w:kern w:val="0"/>
          <w:sz w:val="28"/>
          <w:szCs w:val="26"/>
        </w:rPr>
        <w:t>年，由於外在需求疲軟致出口可能減緩，且企業縮減資本支出，加以震災重建需求逐漸減少，國內需求仍處低迷，預估日本經濟成長率將由</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2.0%</w:t>
      </w:r>
      <w:r>
        <w:rPr>
          <w:rFonts w:eastAsia="標楷體"/>
          <w:spacing w:val="4"/>
          <w:kern w:val="0"/>
          <w:sz w:val="28"/>
          <w:szCs w:val="26"/>
        </w:rPr>
        <w:t>，轉呈零成長。惟日本新任安倍首相主張貨幣寬鬆政策，以日圓貶值刺激經濟，後續成效仍待觀察。</w:t>
      </w:r>
    </w:p>
    <w:p w14:paraId="31F2193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－中期而言，日本由於人口高齡化及少子女化，致勞動力負成長、家庭儲蓄率下降，經濟成長潛能漸弱，另方面，政府債務負擔沉重、財政赤字比例偏高，亦不利經濟穩定成長。預估</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年平均經濟成長率為</w:t>
      </w:r>
      <w:r>
        <w:rPr>
          <w:rFonts w:eastAsia="標楷體"/>
          <w:spacing w:val="4"/>
          <w:kern w:val="0"/>
          <w:sz w:val="28"/>
          <w:szCs w:val="26"/>
        </w:rPr>
        <w:t>1.4%</w:t>
      </w:r>
      <w:r>
        <w:rPr>
          <w:rFonts w:eastAsia="標楷體"/>
          <w:spacing w:val="4"/>
          <w:kern w:val="0"/>
          <w:sz w:val="28"/>
          <w:szCs w:val="26"/>
        </w:rPr>
        <w:t>，對全球經濟成長貢獻率為</w:t>
      </w:r>
      <w:r>
        <w:rPr>
          <w:rFonts w:eastAsia="標楷體"/>
          <w:spacing w:val="4"/>
          <w:kern w:val="0"/>
          <w:sz w:val="28"/>
          <w:szCs w:val="26"/>
        </w:rPr>
        <w:t>3.7%</w:t>
      </w:r>
      <w:r>
        <w:rPr>
          <w:rFonts w:eastAsia="標楷體"/>
          <w:spacing w:val="4"/>
          <w:kern w:val="0"/>
          <w:sz w:val="28"/>
          <w:szCs w:val="26"/>
        </w:rPr>
        <w:t>，占全球實質</w:t>
      </w:r>
      <w:r>
        <w:rPr>
          <w:rFonts w:eastAsia="標楷體"/>
          <w:spacing w:val="4"/>
          <w:kern w:val="0"/>
          <w:sz w:val="28"/>
          <w:szCs w:val="26"/>
        </w:rPr>
        <w:t>GDP</w:t>
      </w:r>
      <w:r>
        <w:rPr>
          <w:rFonts w:eastAsia="標楷體"/>
          <w:spacing w:val="4"/>
          <w:kern w:val="0"/>
          <w:sz w:val="28"/>
          <w:szCs w:val="26"/>
        </w:rPr>
        <w:t>比率，則將由</w:t>
      </w:r>
      <w:r>
        <w:rPr>
          <w:rFonts w:eastAsia="標楷體"/>
          <w:spacing w:val="4"/>
          <w:kern w:val="0"/>
          <w:sz w:val="28"/>
          <w:szCs w:val="26"/>
        </w:rPr>
        <w:t>2009</w:t>
      </w:r>
      <w:r>
        <w:rPr>
          <w:rFonts w:eastAsia="標楷體"/>
          <w:spacing w:val="4"/>
          <w:kern w:val="0"/>
          <w:sz w:val="28"/>
          <w:szCs w:val="26"/>
        </w:rPr>
        <w:t>至</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8.9%</w:t>
      </w:r>
      <w:r>
        <w:rPr>
          <w:rFonts w:eastAsia="標楷體"/>
          <w:spacing w:val="4"/>
          <w:kern w:val="0"/>
          <w:sz w:val="28"/>
          <w:szCs w:val="26"/>
        </w:rPr>
        <w:t>降為</w:t>
      </w:r>
      <w:r>
        <w:rPr>
          <w:rFonts w:eastAsia="標楷體"/>
          <w:spacing w:val="4"/>
          <w:kern w:val="0"/>
          <w:sz w:val="28"/>
          <w:szCs w:val="26"/>
        </w:rPr>
        <w:t>8.4%</w:t>
      </w:r>
      <w:r>
        <w:rPr>
          <w:rFonts w:eastAsia="標楷體"/>
          <w:spacing w:val="4"/>
          <w:kern w:val="0"/>
          <w:sz w:val="28"/>
          <w:szCs w:val="26"/>
        </w:rPr>
        <w:t>。</w:t>
      </w:r>
    </w:p>
    <w:p w14:paraId="2FBE3B82" w14:textId="77777777" w:rsidR="00052596" w:rsidRDefault="00000000">
      <w:pPr>
        <w:overflowPunct w:val="0"/>
        <w:autoSpaceDE w:val="0"/>
        <w:snapToGrid w:val="0"/>
        <w:spacing w:before="312" w:after="240" w:line="280" w:lineRule="exact"/>
        <w:ind w:left="300"/>
        <w:jc w:val="center"/>
        <w:textAlignment w:val="center"/>
        <w:rPr>
          <w:rFonts w:eastAsia="標楷體"/>
          <w:b/>
          <w:color w:val="0000FF"/>
          <w:kern w:val="0"/>
          <w:sz w:val="26"/>
          <w:szCs w:val="26"/>
        </w:rPr>
      </w:pPr>
      <w:r>
        <w:rPr>
          <w:rFonts w:eastAsia="標楷體"/>
          <w:b/>
          <w:color w:val="0000FF"/>
          <w:kern w:val="0"/>
          <w:sz w:val="26"/>
          <w:szCs w:val="26"/>
        </w:rPr>
        <w:t>表</w:t>
      </w:r>
      <w:r>
        <w:rPr>
          <w:rFonts w:eastAsia="標楷體"/>
          <w:b/>
          <w:color w:val="0000FF"/>
          <w:kern w:val="0"/>
          <w:sz w:val="26"/>
          <w:szCs w:val="26"/>
        </w:rPr>
        <w:t>1.1.2</w:t>
      </w:r>
      <w:r>
        <w:rPr>
          <w:rFonts w:eastAsia="標楷體"/>
          <w:b/>
          <w:color w:val="0000FF"/>
          <w:kern w:val="0"/>
          <w:sz w:val="26"/>
          <w:szCs w:val="26"/>
        </w:rPr>
        <w:t xml:space="preserve">　世界經濟版圖變化</w:t>
      </w:r>
    </w:p>
    <w:tbl>
      <w:tblPr>
        <w:tblW w:w="8212" w:type="dxa"/>
        <w:tblInd w:w="416" w:type="dxa"/>
        <w:tblLayout w:type="fixed"/>
        <w:tblCellMar>
          <w:left w:w="10" w:type="dxa"/>
          <w:right w:w="10" w:type="dxa"/>
        </w:tblCellMar>
        <w:tblLook w:val="04A0" w:firstRow="1" w:lastRow="0" w:firstColumn="1" w:lastColumn="0" w:noHBand="0" w:noVBand="1"/>
      </w:tblPr>
      <w:tblGrid>
        <w:gridCol w:w="2812"/>
        <w:gridCol w:w="2700"/>
        <w:gridCol w:w="2700"/>
      </w:tblGrid>
      <w:tr w:rsidR="00052596" w14:paraId="65044877" w14:textId="77777777">
        <w:tblPrEx>
          <w:tblCellMar>
            <w:top w:w="0" w:type="dxa"/>
            <w:bottom w:w="0" w:type="dxa"/>
          </w:tblCellMar>
        </w:tblPrEx>
        <w:tc>
          <w:tcPr>
            <w:tcW w:w="2812" w:type="dxa"/>
            <w:tcBorders>
              <w:top w:val="single" w:sz="6" w:space="0" w:color="000000"/>
              <w:right w:val="single" w:sz="6" w:space="0" w:color="000000"/>
            </w:tcBorders>
            <w:shd w:val="clear" w:color="auto" w:fill="EFFFEF"/>
            <w:tcMar>
              <w:top w:w="0" w:type="dxa"/>
              <w:left w:w="108" w:type="dxa"/>
              <w:bottom w:w="0" w:type="dxa"/>
              <w:right w:w="108" w:type="dxa"/>
            </w:tcMar>
            <w:vAlign w:val="center"/>
          </w:tcPr>
          <w:p w14:paraId="2FFDAC9D" w14:textId="77777777" w:rsidR="00052596" w:rsidRDefault="00052596">
            <w:pPr>
              <w:tabs>
                <w:tab w:val="left" w:pos="960"/>
                <w:tab w:val="left" w:pos="1920"/>
                <w:tab w:val="left" w:pos="2880"/>
                <w:tab w:val="left" w:pos="3840"/>
                <w:tab w:val="left" w:pos="4800"/>
                <w:tab w:val="left" w:pos="5760"/>
              </w:tabs>
              <w:overflowPunct w:val="0"/>
              <w:autoSpaceDE w:val="0"/>
              <w:snapToGrid w:val="0"/>
              <w:spacing w:before="24" w:after="24" w:line="320" w:lineRule="exact"/>
              <w:ind w:left="-72"/>
              <w:jc w:val="both"/>
              <w:textAlignment w:val="center"/>
              <w:rPr>
                <w:rFonts w:eastAsia="標楷體"/>
                <w:color w:val="000000"/>
                <w:spacing w:val="4"/>
                <w:kern w:val="0"/>
                <w:szCs w:val="24"/>
              </w:rPr>
            </w:pPr>
          </w:p>
        </w:tc>
        <w:tc>
          <w:tcPr>
            <w:tcW w:w="2700" w:type="dxa"/>
            <w:tcBorders>
              <w:top w:val="single" w:sz="6" w:space="0" w:color="000000"/>
              <w:left w:val="single" w:sz="6" w:space="0" w:color="000000"/>
              <w:right w:val="single" w:sz="6" w:space="0" w:color="000000"/>
            </w:tcBorders>
            <w:shd w:val="clear" w:color="auto" w:fill="EFFFEF"/>
            <w:tcMar>
              <w:top w:w="0" w:type="dxa"/>
              <w:left w:w="108" w:type="dxa"/>
              <w:bottom w:w="0" w:type="dxa"/>
              <w:right w:w="108" w:type="dxa"/>
            </w:tcMar>
            <w:vAlign w:val="center"/>
          </w:tcPr>
          <w:p w14:paraId="31D3DA54"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jc w:val="center"/>
              <w:textAlignment w:val="center"/>
              <w:rPr>
                <w:rFonts w:eastAsia="標楷體"/>
                <w:color w:val="000000"/>
                <w:spacing w:val="4"/>
                <w:kern w:val="0"/>
                <w:szCs w:val="24"/>
              </w:rPr>
            </w:pPr>
            <w:r>
              <w:rPr>
                <w:rFonts w:eastAsia="標楷體"/>
                <w:color w:val="000000"/>
                <w:spacing w:val="4"/>
                <w:kern w:val="0"/>
                <w:szCs w:val="24"/>
              </w:rPr>
              <w:t>2009-2012</w:t>
            </w:r>
          </w:p>
        </w:tc>
        <w:tc>
          <w:tcPr>
            <w:tcW w:w="2700" w:type="dxa"/>
            <w:tcBorders>
              <w:top w:val="single" w:sz="6" w:space="0" w:color="000000"/>
              <w:left w:val="single" w:sz="6" w:space="0" w:color="000000"/>
            </w:tcBorders>
            <w:shd w:val="clear" w:color="auto" w:fill="EFFFEF"/>
            <w:tcMar>
              <w:top w:w="0" w:type="dxa"/>
              <w:left w:w="108" w:type="dxa"/>
              <w:bottom w:w="0" w:type="dxa"/>
              <w:right w:w="108" w:type="dxa"/>
            </w:tcMar>
            <w:vAlign w:val="center"/>
          </w:tcPr>
          <w:p w14:paraId="276B9372" w14:textId="77777777" w:rsidR="00052596" w:rsidRDefault="00000000">
            <w:pPr>
              <w:tabs>
                <w:tab w:val="left" w:pos="1001"/>
                <w:tab w:val="left" w:pos="1920"/>
                <w:tab w:val="left" w:pos="2880"/>
                <w:tab w:val="left" w:pos="3840"/>
                <w:tab w:val="left" w:pos="4800"/>
                <w:tab w:val="left" w:pos="5760"/>
              </w:tabs>
              <w:overflowPunct w:val="0"/>
              <w:autoSpaceDE w:val="0"/>
              <w:snapToGrid w:val="0"/>
              <w:spacing w:before="24" w:after="24" w:line="320" w:lineRule="exact"/>
              <w:ind w:left="-72"/>
              <w:jc w:val="center"/>
              <w:textAlignment w:val="center"/>
              <w:rPr>
                <w:rFonts w:eastAsia="標楷體"/>
                <w:color w:val="000000"/>
                <w:spacing w:val="4"/>
                <w:kern w:val="0"/>
                <w:szCs w:val="24"/>
              </w:rPr>
            </w:pPr>
            <w:r>
              <w:rPr>
                <w:rFonts w:eastAsia="標楷體"/>
                <w:color w:val="000000"/>
                <w:spacing w:val="4"/>
                <w:kern w:val="0"/>
                <w:szCs w:val="24"/>
              </w:rPr>
              <w:t>2013-2016</w:t>
            </w:r>
          </w:p>
        </w:tc>
      </w:tr>
      <w:tr w:rsidR="00052596" w14:paraId="36CD2707" w14:textId="77777777">
        <w:tblPrEx>
          <w:tblCellMar>
            <w:top w:w="0" w:type="dxa"/>
            <w:bottom w:w="0" w:type="dxa"/>
          </w:tblCellMar>
        </w:tblPrEx>
        <w:tc>
          <w:tcPr>
            <w:tcW w:w="8212" w:type="dxa"/>
            <w:gridSpan w:val="3"/>
            <w:tcBorders>
              <w:top w:val="single" w:sz="6" w:space="0" w:color="000000"/>
              <w:bottom w:val="single" w:sz="6" w:space="0" w:color="000000"/>
            </w:tcBorders>
            <w:shd w:val="clear" w:color="auto" w:fill="EFFFEF"/>
            <w:tcMar>
              <w:top w:w="0" w:type="dxa"/>
              <w:left w:w="108" w:type="dxa"/>
              <w:bottom w:w="0" w:type="dxa"/>
              <w:right w:w="108" w:type="dxa"/>
            </w:tcMar>
            <w:vAlign w:val="center"/>
          </w:tcPr>
          <w:p w14:paraId="705CE514" w14:textId="77777777" w:rsidR="00052596" w:rsidRDefault="00000000">
            <w:pPr>
              <w:tabs>
                <w:tab w:val="decimal" w:pos="550"/>
                <w:tab w:val="left" w:pos="960"/>
                <w:tab w:val="left" w:pos="1920"/>
                <w:tab w:val="left" w:pos="2880"/>
                <w:tab w:val="left" w:pos="3840"/>
                <w:tab w:val="left" w:pos="4800"/>
                <w:tab w:val="left" w:pos="5760"/>
              </w:tabs>
              <w:overflowPunct w:val="0"/>
              <w:autoSpaceDE w:val="0"/>
              <w:snapToGrid w:val="0"/>
              <w:spacing w:before="24" w:after="24" w:line="320" w:lineRule="exact"/>
              <w:ind w:left="-72"/>
              <w:jc w:val="both"/>
              <w:textAlignment w:val="center"/>
            </w:pPr>
            <w:r>
              <w:rPr>
                <w:rFonts w:eastAsia="標楷體"/>
                <w:b/>
                <w:color w:val="800000"/>
                <w:spacing w:val="4"/>
                <w:kern w:val="0"/>
                <w:szCs w:val="24"/>
              </w:rPr>
              <w:t>占全球實質</w:t>
            </w:r>
            <w:r>
              <w:rPr>
                <w:rFonts w:eastAsia="標楷體"/>
                <w:b/>
                <w:color w:val="800000"/>
                <w:spacing w:val="4"/>
                <w:kern w:val="0"/>
                <w:szCs w:val="24"/>
              </w:rPr>
              <w:t>GDP</w:t>
            </w:r>
            <w:r>
              <w:rPr>
                <w:rFonts w:eastAsia="標楷體"/>
                <w:b/>
                <w:color w:val="800000"/>
                <w:spacing w:val="4"/>
                <w:kern w:val="0"/>
                <w:szCs w:val="24"/>
              </w:rPr>
              <w:t>比率</w:t>
            </w:r>
            <w:r>
              <w:rPr>
                <w:rFonts w:ascii="標楷體" w:eastAsia="標楷體" w:hAnsi="標楷體"/>
                <w:b/>
                <w:color w:val="800000"/>
                <w:spacing w:val="4"/>
                <w:kern w:val="0"/>
                <w:szCs w:val="24"/>
              </w:rPr>
              <w:t>(</w:t>
            </w:r>
            <w:r>
              <w:rPr>
                <w:rFonts w:eastAsia="標楷體"/>
                <w:b/>
                <w:color w:val="800000"/>
                <w:spacing w:val="4"/>
                <w:kern w:val="0"/>
                <w:szCs w:val="24"/>
              </w:rPr>
              <w:t>%</w:t>
            </w:r>
            <w:r>
              <w:rPr>
                <w:rFonts w:ascii="標楷體" w:eastAsia="標楷體" w:hAnsi="標楷體"/>
                <w:b/>
                <w:color w:val="800000"/>
                <w:spacing w:val="4"/>
                <w:kern w:val="0"/>
                <w:szCs w:val="24"/>
              </w:rPr>
              <w:t>)</w:t>
            </w:r>
          </w:p>
        </w:tc>
      </w:tr>
      <w:tr w:rsidR="00052596" w14:paraId="377B7860" w14:textId="77777777">
        <w:tblPrEx>
          <w:tblCellMar>
            <w:top w:w="0" w:type="dxa"/>
            <w:bottom w:w="0" w:type="dxa"/>
          </w:tblCellMar>
        </w:tblPrEx>
        <w:tc>
          <w:tcPr>
            <w:tcW w:w="2812" w:type="dxa"/>
            <w:tcBorders>
              <w:top w:val="single" w:sz="6" w:space="0" w:color="000000"/>
              <w:right w:val="single" w:sz="6" w:space="0" w:color="000000"/>
            </w:tcBorders>
            <w:shd w:val="clear" w:color="auto" w:fill="FFF0E1"/>
            <w:tcMar>
              <w:top w:w="0" w:type="dxa"/>
              <w:left w:w="108" w:type="dxa"/>
              <w:bottom w:w="0" w:type="dxa"/>
              <w:right w:w="108" w:type="dxa"/>
            </w:tcMar>
            <w:vAlign w:val="center"/>
          </w:tcPr>
          <w:p w14:paraId="775F0DA2"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pPr>
            <w:r>
              <w:rPr>
                <w:rFonts w:eastAsia="標楷體"/>
                <w:b/>
                <w:color w:val="0000FF"/>
                <w:spacing w:val="4"/>
                <w:kern w:val="0"/>
                <w:szCs w:val="24"/>
              </w:rPr>
              <w:t>全球</w:t>
            </w:r>
          </w:p>
        </w:tc>
        <w:tc>
          <w:tcPr>
            <w:tcW w:w="2700" w:type="dxa"/>
            <w:tcBorders>
              <w:top w:val="single" w:sz="6" w:space="0" w:color="000000"/>
              <w:left w:val="single" w:sz="6" w:space="0" w:color="000000"/>
              <w:right w:val="single" w:sz="6" w:space="0" w:color="000000"/>
            </w:tcBorders>
            <w:shd w:val="clear" w:color="auto" w:fill="FFF0E1"/>
            <w:tcMar>
              <w:top w:w="0" w:type="dxa"/>
              <w:left w:w="108" w:type="dxa"/>
              <w:bottom w:w="0" w:type="dxa"/>
              <w:right w:w="108" w:type="dxa"/>
            </w:tcMar>
            <w:vAlign w:val="center"/>
          </w:tcPr>
          <w:p w14:paraId="149AF4BE"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color w:val="000000"/>
                <w:spacing w:val="4"/>
                <w:kern w:val="0"/>
                <w:szCs w:val="24"/>
              </w:rPr>
            </w:pPr>
            <w:r>
              <w:rPr>
                <w:rFonts w:eastAsia="標楷體"/>
                <w:color w:val="000000"/>
                <w:spacing w:val="4"/>
                <w:kern w:val="0"/>
                <w:szCs w:val="24"/>
              </w:rPr>
              <w:t>100.0</w:t>
            </w:r>
          </w:p>
        </w:tc>
        <w:tc>
          <w:tcPr>
            <w:tcW w:w="2700" w:type="dxa"/>
            <w:tcBorders>
              <w:top w:val="single" w:sz="6" w:space="0" w:color="000000"/>
              <w:left w:val="single" w:sz="6" w:space="0" w:color="000000"/>
            </w:tcBorders>
            <w:shd w:val="clear" w:color="auto" w:fill="FFF0E1"/>
            <w:tcMar>
              <w:top w:w="0" w:type="dxa"/>
              <w:left w:w="108" w:type="dxa"/>
              <w:bottom w:w="0" w:type="dxa"/>
              <w:right w:w="108" w:type="dxa"/>
            </w:tcMar>
            <w:vAlign w:val="center"/>
          </w:tcPr>
          <w:p w14:paraId="17ABDE4A"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color w:val="000000"/>
                <w:spacing w:val="4"/>
                <w:kern w:val="0"/>
                <w:szCs w:val="24"/>
              </w:rPr>
            </w:pPr>
            <w:r>
              <w:rPr>
                <w:rFonts w:eastAsia="標楷體"/>
                <w:color w:val="000000"/>
                <w:spacing w:val="4"/>
                <w:kern w:val="0"/>
                <w:szCs w:val="24"/>
              </w:rPr>
              <w:t>100.0</w:t>
            </w:r>
          </w:p>
        </w:tc>
      </w:tr>
      <w:tr w:rsidR="00052596" w14:paraId="350A124A"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16C5DD42"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pPr>
            <w:r>
              <w:rPr>
                <w:rFonts w:eastAsia="標楷體"/>
                <w:color w:val="000000"/>
                <w:spacing w:val="4"/>
                <w:kern w:val="0"/>
                <w:szCs w:val="24"/>
              </w:rPr>
              <w:t xml:space="preserve">　先進經濟體</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3FC5F369"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70.0</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2817D318"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67.0</w:t>
            </w:r>
          </w:p>
        </w:tc>
      </w:tr>
      <w:tr w:rsidR="00052596" w14:paraId="5C4A1AA6"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5E6C812A"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pPr>
            <w:r>
              <w:rPr>
                <w:rFonts w:eastAsia="標楷體"/>
                <w:color w:val="000000"/>
                <w:spacing w:val="4"/>
                <w:kern w:val="0"/>
                <w:szCs w:val="24"/>
              </w:rPr>
              <w:t xml:space="preserve">　　美國</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03A411C3"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25.4</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484A0FB9"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25.0</w:t>
            </w:r>
          </w:p>
        </w:tc>
      </w:tr>
      <w:tr w:rsidR="00052596" w14:paraId="47796CF8"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21ED4878"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pPr>
            <w:r>
              <w:rPr>
                <w:rFonts w:eastAsia="標楷體"/>
                <w:color w:val="000000"/>
                <w:spacing w:val="4"/>
                <w:kern w:val="0"/>
                <w:szCs w:val="24"/>
              </w:rPr>
              <w:t xml:space="preserve">　　歐盟</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2701E83B"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27.8</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0F36E199"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25.7</w:t>
            </w:r>
          </w:p>
        </w:tc>
      </w:tr>
      <w:tr w:rsidR="00052596" w14:paraId="27A98C60"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18563D63"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pPr>
            <w:r>
              <w:rPr>
                <w:rFonts w:eastAsia="標楷體"/>
                <w:color w:val="000000"/>
                <w:spacing w:val="4"/>
                <w:kern w:val="0"/>
                <w:szCs w:val="24"/>
              </w:rPr>
              <w:t xml:space="preserve">　　日本</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3F7DC9E5"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8.9</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57B7223E"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8.4</w:t>
            </w:r>
          </w:p>
        </w:tc>
      </w:tr>
      <w:tr w:rsidR="00052596" w14:paraId="3D2935A0"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2E7B0F46"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pPr>
            <w:r>
              <w:rPr>
                <w:rFonts w:eastAsia="標楷體"/>
                <w:color w:val="000000"/>
                <w:spacing w:val="4"/>
                <w:kern w:val="0"/>
                <w:szCs w:val="24"/>
              </w:rPr>
              <w:t xml:space="preserve">　新興經濟體</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4205C673"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27.4</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729AF155"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30.3</w:t>
            </w:r>
          </w:p>
        </w:tc>
      </w:tr>
      <w:tr w:rsidR="00052596" w14:paraId="6610F154"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70FB1CC1"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rPr>
                <w:rFonts w:eastAsia="標楷體"/>
                <w:color w:val="000000"/>
                <w:spacing w:val="4"/>
                <w:kern w:val="0"/>
                <w:szCs w:val="24"/>
              </w:rPr>
            </w:pPr>
            <w:r>
              <w:rPr>
                <w:rFonts w:eastAsia="標楷體"/>
                <w:color w:val="000000"/>
                <w:spacing w:val="4"/>
                <w:kern w:val="0"/>
                <w:szCs w:val="24"/>
              </w:rPr>
              <w:t xml:space="preserve">　　亞太地區</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6C8B0BF3"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15.9</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2D566296"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18.4</w:t>
            </w:r>
          </w:p>
        </w:tc>
      </w:tr>
      <w:tr w:rsidR="00052596" w14:paraId="3A4CBBDA"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3306FF61"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pPr>
            <w:r>
              <w:rPr>
                <w:rFonts w:eastAsia="標楷體"/>
                <w:color w:val="000000"/>
                <w:spacing w:val="4"/>
                <w:kern w:val="0"/>
                <w:szCs w:val="24"/>
              </w:rPr>
              <w:t xml:space="preserve">　　　中國大陸</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2E7FFA3D"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7.8</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7EAFD35E"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9.6</w:t>
            </w:r>
          </w:p>
        </w:tc>
      </w:tr>
      <w:tr w:rsidR="00052596" w14:paraId="602597FF"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2CCF7A08"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rPr>
                <w:rFonts w:eastAsia="標楷體"/>
                <w:color w:val="000000"/>
                <w:spacing w:val="4"/>
                <w:kern w:val="0"/>
                <w:szCs w:val="24"/>
              </w:rPr>
            </w:pPr>
            <w:r>
              <w:rPr>
                <w:rFonts w:eastAsia="標楷體"/>
                <w:color w:val="000000"/>
                <w:spacing w:val="4"/>
                <w:kern w:val="0"/>
                <w:szCs w:val="24"/>
              </w:rPr>
              <w:t xml:space="preserve">　　　印度</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2E894499"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2.4</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63196431"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2.8</w:t>
            </w:r>
          </w:p>
        </w:tc>
      </w:tr>
      <w:tr w:rsidR="00052596" w14:paraId="76298310"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1D44F691"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rPr>
                <w:rFonts w:eastAsia="標楷體"/>
                <w:color w:val="000000"/>
                <w:spacing w:val="4"/>
                <w:kern w:val="0"/>
                <w:szCs w:val="24"/>
              </w:rPr>
            </w:pPr>
            <w:r>
              <w:rPr>
                <w:rFonts w:eastAsia="標楷體"/>
                <w:color w:val="000000"/>
                <w:spacing w:val="4"/>
                <w:kern w:val="0"/>
                <w:szCs w:val="24"/>
              </w:rPr>
              <w:t xml:space="preserve">　　　亞洲四小龍</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79B3E5D9"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3.6</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0585B97C"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3.7</w:t>
            </w:r>
          </w:p>
        </w:tc>
      </w:tr>
      <w:tr w:rsidR="00052596" w14:paraId="37F2F467"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319605C8"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rPr>
                <w:rFonts w:eastAsia="標楷體"/>
                <w:color w:val="000000"/>
                <w:spacing w:val="4"/>
                <w:kern w:val="0"/>
                <w:szCs w:val="24"/>
              </w:rPr>
            </w:pPr>
            <w:r>
              <w:rPr>
                <w:rFonts w:eastAsia="標楷體"/>
                <w:color w:val="000000"/>
                <w:spacing w:val="4"/>
                <w:kern w:val="0"/>
                <w:szCs w:val="24"/>
              </w:rPr>
              <w:t xml:space="preserve">　　　東協四國</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6368A4FE"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1.8</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408E8E39"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1.9</w:t>
            </w:r>
          </w:p>
        </w:tc>
      </w:tr>
      <w:tr w:rsidR="00052596" w14:paraId="287F12AF"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7E96E922"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rPr>
                <w:rFonts w:eastAsia="標楷體"/>
                <w:color w:val="000000"/>
                <w:spacing w:val="4"/>
                <w:kern w:val="0"/>
                <w:szCs w:val="24"/>
              </w:rPr>
            </w:pPr>
            <w:r>
              <w:rPr>
                <w:rFonts w:eastAsia="標楷體"/>
                <w:color w:val="000000"/>
                <w:spacing w:val="4"/>
                <w:kern w:val="0"/>
                <w:szCs w:val="24"/>
              </w:rPr>
              <w:t xml:space="preserve">　　拉丁美洲</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7E7AB5C2"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5.3</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449BCFC8"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5.6</w:t>
            </w:r>
          </w:p>
        </w:tc>
      </w:tr>
      <w:tr w:rsidR="00052596" w14:paraId="3131F553"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2DFC940C"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rPr>
                <w:rFonts w:eastAsia="標楷體"/>
                <w:color w:val="000000"/>
                <w:spacing w:val="4"/>
                <w:kern w:val="0"/>
                <w:szCs w:val="24"/>
              </w:rPr>
            </w:pPr>
            <w:r>
              <w:rPr>
                <w:rFonts w:eastAsia="標楷體"/>
                <w:color w:val="000000"/>
                <w:spacing w:val="4"/>
                <w:kern w:val="0"/>
                <w:szCs w:val="24"/>
              </w:rPr>
              <w:t xml:space="preserve">　　　巴西</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4DC86D58"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2.1</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1D17B2C5"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2.2</w:t>
            </w:r>
          </w:p>
        </w:tc>
      </w:tr>
      <w:tr w:rsidR="00052596" w14:paraId="1C955DB8"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649D4F1C"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rPr>
                <w:rFonts w:eastAsia="標楷體"/>
                <w:color w:val="000000"/>
                <w:spacing w:val="4"/>
                <w:kern w:val="0"/>
                <w:szCs w:val="24"/>
              </w:rPr>
            </w:pPr>
            <w:r>
              <w:rPr>
                <w:rFonts w:eastAsia="標楷體"/>
                <w:color w:val="000000"/>
                <w:spacing w:val="4"/>
                <w:kern w:val="0"/>
                <w:szCs w:val="24"/>
              </w:rPr>
              <w:t xml:space="preserve">　　東歐／中東與非洲</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01F0DCD6"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6.2</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1054B44B"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6.4</w:t>
            </w:r>
          </w:p>
        </w:tc>
      </w:tr>
      <w:tr w:rsidR="00052596" w14:paraId="66DE0B42" w14:textId="77777777">
        <w:tblPrEx>
          <w:tblCellMar>
            <w:top w:w="0" w:type="dxa"/>
            <w:bottom w:w="0" w:type="dxa"/>
          </w:tblCellMar>
        </w:tblPrEx>
        <w:tc>
          <w:tcPr>
            <w:tcW w:w="2812" w:type="dxa"/>
            <w:tcBorders>
              <w:right w:val="single" w:sz="6" w:space="0" w:color="000000"/>
            </w:tcBorders>
            <w:shd w:val="clear" w:color="auto" w:fill="FFF0E1"/>
            <w:tcMar>
              <w:top w:w="0" w:type="dxa"/>
              <w:left w:w="108" w:type="dxa"/>
              <w:bottom w:w="0" w:type="dxa"/>
              <w:right w:w="108" w:type="dxa"/>
            </w:tcMar>
            <w:vAlign w:val="center"/>
          </w:tcPr>
          <w:p w14:paraId="2939165D"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pPr>
            <w:r>
              <w:rPr>
                <w:rFonts w:eastAsia="標楷體"/>
                <w:color w:val="000000"/>
                <w:spacing w:val="4"/>
                <w:kern w:val="0"/>
                <w:szCs w:val="24"/>
              </w:rPr>
              <w:t xml:space="preserve">　　　俄羅斯</w:t>
            </w:r>
          </w:p>
        </w:tc>
        <w:tc>
          <w:tcPr>
            <w:tcW w:w="2700"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0E1BC24F"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1.8</w:t>
            </w:r>
          </w:p>
        </w:tc>
        <w:tc>
          <w:tcPr>
            <w:tcW w:w="2700" w:type="dxa"/>
            <w:tcBorders>
              <w:left w:val="single" w:sz="6" w:space="0" w:color="000000"/>
            </w:tcBorders>
            <w:shd w:val="clear" w:color="auto" w:fill="FFF0E1"/>
            <w:tcMar>
              <w:top w:w="0" w:type="dxa"/>
              <w:left w:w="108" w:type="dxa"/>
              <w:bottom w:w="0" w:type="dxa"/>
              <w:right w:w="108" w:type="dxa"/>
            </w:tcMar>
            <w:vAlign w:val="center"/>
          </w:tcPr>
          <w:p w14:paraId="59F9FFFA"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1.9</w:t>
            </w:r>
          </w:p>
        </w:tc>
      </w:tr>
      <w:tr w:rsidR="00052596" w14:paraId="321A3BE8" w14:textId="77777777">
        <w:tblPrEx>
          <w:tblCellMar>
            <w:top w:w="0" w:type="dxa"/>
            <w:bottom w:w="0" w:type="dxa"/>
          </w:tblCellMar>
        </w:tblPrEx>
        <w:tc>
          <w:tcPr>
            <w:tcW w:w="2812" w:type="dxa"/>
            <w:tcBorders>
              <w:bottom w:val="single" w:sz="6" w:space="0" w:color="000000"/>
              <w:right w:val="single" w:sz="6" w:space="0" w:color="000000"/>
            </w:tcBorders>
            <w:shd w:val="clear" w:color="auto" w:fill="FFF0E1"/>
            <w:tcMar>
              <w:top w:w="0" w:type="dxa"/>
              <w:left w:w="108" w:type="dxa"/>
              <w:bottom w:w="0" w:type="dxa"/>
              <w:right w:w="108" w:type="dxa"/>
            </w:tcMar>
            <w:vAlign w:val="center"/>
          </w:tcPr>
          <w:p w14:paraId="6F62E353" w14:textId="77777777" w:rsidR="00052596" w:rsidRDefault="00000000">
            <w:pPr>
              <w:tabs>
                <w:tab w:val="left" w:pos="960"/>
                <w:tab w:val="left" w:pos="1920"/>
                <w:tab w:val="left" w:pos="2880"/>
                <w:tab w:val="left" w:pos="3840"/>
                <w:tab w:val="left" w:pos="4800"/>
                <w:tab w:val="left" w:pos="5760"/>
              </w:tabs>
              <w:overflowPunct w:val="0"/>
              <w:autoSpaceDE w:val="0"/>
              <w:snapToGrid w:val="0"/>
              <w:spacing w:before="24" w:after="24" w:line="320" w:lineRule="exact"/>
              <w:ind w:left="-72" w:firstLine="30"/>
              <w:jc w:val="both"/>
              <w:textAlignment w:val="center"/>
              <w:rPr>
                <w:rFonts w:eastAsia="標楷體"/>
                <w:color w:val="000000"/>
                <w:spacing w:val="4"/>
                <w:kern w:val="0"/>
                <w:szCs w:val="24"/>
              </w:rPr>
            </w:pPr>
            <w:r>
              <w:rPr>
                <w:rFonts w:eastAsia="標楷體"/>
                <w:color w:val="000000"/>
                <w:spacing w:val="4"/>
                <w:kern w:val="0"/>
                <w:szCs w:val="24"/>
              </w:rPr>
              <w:t xml:space="preserve">　其他</w:t>
            </w:r>
          </w:p>
        </w:tc>
        <w:tc>
          <w:tcPr>
            <w:tcW w:w="2700" w:type="dxa"/>
            <w:tcBorders>
              <w:left w:val="single" w:sz="6" w:space="0" w:color="000000"/>
              <w:bottom w:val="single" w:sz="6" w:space="0" w:color="000000"/>
              <w:right w:val="single" w:sz="6" w:space="0" w:color="000000"/>
            </w:tcBorders>
            <w:shd w:val="clear" w:color="auto" w:fill="FFF0E1"/>
            <w:tcMar>
              <w:top w:w="0" w:type="dxa"/>
              <w:left w:w="108" w:type="dxa"/>
              <w:bottom w:w="0" w:type="dxa"/>
              <w:right w:w="108" w:type="dxa"/>
            </w:tcMar>
            <w:vAlign w:val="center"/>
          </w:tcPr>
          <w:p w14:paraId="3FB7ED20"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2.6</w:t>
            </w:r>
          </w:p>
        </w:tc>
        <w:tc>
          <w:tcPr>
            <w:tcW w:w="2700" w:type="dxa"/>
            <w:tcBorders>
              <w:left w:val="single" w:sz="6" w:space="0" w:color="000000"/>
              <w:bottom w:val="single" w:sz="6" w:space="0" w:color="000000"/>
            </w:tcBorders>
            <w:shd w:val="clear" w:color="auto" w:fill="FFF0E1"/>
            <w:tcMar>
              <w:top w:w="0" w:type="dxa"/>
              <w:left w:w="108" w:type="dxa"/>
              <w:bottom w:w="0" w:type="dxa"/>
              <w:right w:w="108" w:type="dxa"/>
            </w:tcMar>
            <w:vAlign w:val="center"/>
          </w:tcPr>
          <w:p w14:paraId="0E10B5C7" w14:textId="77777777" w:rsidR="00052596" w:rsidRDefault="00000000">
            <w:pPr>
              <w:tabs>
                <w:tab w:val="decimal" w:pos="668"/>
                <w:tab w:val="left" w:pos="1920"/>
                <w:tab w:val="left" w:pos="2880"/>
                <w:tab w:val="left" w:pos="3840"/>
                <w:tab w:val="left" w:pos="4800"/>
                <w:tab w:val="left" w:pos="5760"/>
              </w:tabs>
              <w:overflowPunct w:val="0"/>
              <w:autoSpaceDE w:val="0"/>
              <w:snapToGrid w:val="0"/>
              <w:spacing w:before="24" w:after="24" w:line="320" w:lineRule="exact"/>
              <w:ind w:left="-72" w:right="840"/>
              <w:jc w:val="right"/>
              <w:textAlignment w:val="center"/>
              <w:rPr>
                <w:rFonts w:eastAsia="標楷體"/>
                <w:spacing w:val="4"/>
                <w:kern w:val="0"/>
                <w:szCs w:val="24"/>
              </w:rPr>
            </w:pPr>
            <w:r>
              <w:rPr>
                <w:rFonts w:eastAsia="標楷體"/>
                <w:spacing w:val="4"/>
                <w:kern w:val="0"/>
                <w:szCs w:val="24"/>
              </w:rPr>
              <w:t>2.8</w:t>
            </w:r>
          </w:p>
        </w:tc>
      </w:tr>
    </w:tbl>
    <w:p w14:paraId="3378F7FE" w14:textId="77777777" w:rsidR="00052596" w:rsidRDefault="00000000">
      <w:pPr>
        <w:overflowPunct w:val="0"/>
        <w:autoSpaceDE w:val="0"/>
        <w:spacing w:line="280" w:lineRule="exact"/>
        <w:ind w:left="1075" w:hanging="773"/>
        <w:jc w:val="both"/>
        <w:textAlignment w:val="center"/>
      </w:pPr>
      <w:r>
        <w:rPr>
          <w:rFonts w:ascii="Calibri" w:eastAsia="標楷體" w:hAnsi="Calibri"/>
          <w:spacing w:val="-2"/>
          <w:kern w:val="0"/>
          <w:sz w:val="22"/>
          <w:szCs w:val="22"/>
        </w:rPr>
        <w:t>資料來源：同表</w:t>
      </w:r>
      <w:r>
        <w:rPr>
          <w:rFonts w:eastAsia="標楷體"/>
          <w:spacing w:val="-2"/>
          <w:kern w:val="0"/>
          <w:sz w:val="22"/>
          <w:szCs w:val="22"/>
        </w:rPr>
        <w:t>1.1.1</w:t>
      </w:r>
      <w:r>
        <w:rPr>
          <w:rFonts w:ascii="Calibri" w:eastAsia="標楷體" w:hAnsi="Calibri"/>
          <w:spacing w:val="-2"/>
          <w:kern w:val="0"/>
          <w:sz w:val="22"/>
          <w:szCs w:val="22"/>
        </w:rPr>
        <w:t>。</w:t>
      </w:r>
    </w:p>
    <w:tbl>
      <w:tblPr>
        <w:tblW w:w="8643" w:type="dxa"/>
        <w:tblCellMar>
          <w:left w:w="10" w:type="dxa"/>
          <w:right w:w="10" w:type="dxa"/>
        </w:tblCellMar>
        <w:tblLook w:val="04A0" w:firstRow="1" w:lastRow="0" w:firstColumn="1" w:lastColumn="0" w:noHBand="0" w:noVBand="1"/>
      </w:tblPr>
      <w:tblGrid>
        <w:gridCol w:w="8643"/>
      </w:tblGrid>
      <w:tr w:rsidR="00052596" w14:paraId="31B350CD" w14:textId="77777777">
        <w:tblPrEx>
          <w:tblCellMar>
            <w:top w:w="0" w:type="dxa"/>
            <w:bottom w:w="0" w:type="dxa"/>
          </w:tblCellMar>
        </w:tblPrEx>
        <w:trPr>
          <w:trHeight w:val="12960"/>
        </w:trPr>
        <w:tc>
          <w:tcPr>
            <w:tcW w:w="8643" w:type="dxa"/>
            <w:tcBorders>
              <w:top w:val="single" w:sz="4" w:space="0" w:color="000000"/>
              <w:left w:val="single" w:sz="4" w:space="0" w:color="000000"/>
              <w:bottom w:val="single" w:sz="4" w:space="0" w:color="000000"/>
              <w:right w:val="single" w:sz="4" w:space="0" w:color="000000"/>
            </w:tcBorders>
            <w:shd w:val="clear" w:color="auto" w:fill="EFF5FF"/>
            <w:tcMar>
              <w:top w:w="0" w:type="dxa"/>
              <w:left w:w="108" w:type="dxa"/>
              <w:bottom w:w="0" w:type="dxa"/>
              <w:right w:w="108" w:type="dxa"/>
            </w:tcMar>
          </w:tcPr>
          <w:p w14:paraId="42CE9467" w14:textId="77777777" w:rsidR="00052596" w:rsidRDefault="00000000">
            <w:pPr>
              <w:overflowPunct w:val="0"/>
              <w:autoSpaceDE w:val="0"/>
              <w:spacing w:before="192" w:after="192" w:line="360" w:lineRule="exact"/>
              <w:jc w:val="center"/>
              <w:textAlignment w:val="center"/>
            </w:pPr>
            <w:r>
              <w:rPr>
                <w:rFonts w:ascii="新細明體" w:hAnsi="新細明體"/>
                <w:b/>
                <w:color w:val="0000FF"/>
                <w:spacing w:val="14"/>
                <w:kern w:val="0"/>
                <w:szCs w:val="24"/>
              </w:rPr>
              <w:lastRenderedPageBreak/>
              <w:t>全球青年就業危機</w:t>
            </w:r>
          </w:p>
          <w:p w14:paraId="0A20180D" w14:textId="77777777" w:rsidR="00052596" w:rsidRDefault="00000000">
            <w:pPr>
              <w:overflowPunct w:val="0"/>
              <w:autoSpaceDE w:val="0"/>
              <w:spacing w:line="350" w:lineRule="exact"/>
              <w:ind w:left="72" w:right="72" w:firstLine="464"/>
              <w:jc w:val="both"/>
              <w:textAlignment w:val="center"/>
              <w:rPr>
                <w:rFonts w:ascii="新細明體" w:hAnsi="新細明體"/>
                <w:bCs/>
                <w:spacing w:val="6"/>
                <w:kern w:val="0"/>
                <w:sz w:val="22"/>
                <w:szCs w:val="22"/>
              </w:rPr>
            </w:pPr>
            <w:r>
              <w:rPr>
                <w:rFonts w:ascii="新細明體" w:hAnsi="新細明體"/>
                <w:bCs/>
                <w:spacing w:val="6"/>
                <w:kern w:val="0"/>
                <w:sz w:val="22"/>
                <w:szCs w:val="22"/>
              </w:rPr>
              <w:t>2008年下半年爆發金融海嘯迄今，全球經濟雖見好轉，然主要國家就業情勢依然嚴峻，2012年美國1至11月平均失業率為8.1%，歐盟1至10月平均失業率更高達10.4%，其中又以青年失業為最。國際勞工組織(ILO)於2012年5月「2012年全球青年就業趨勢」報告指出，全球青年失業率至2016年都難以改善。ILO呼籲各國政府與社會就青年就業問題，採取立即且具體之因應對策，以緩和青年高失業率問題。</w:t>
            </w:r>
          </w:p>
          <w:p w14:paraId="0C475C07" w14:textId="77777777" w:rsidR="00052596" w:rsidRDefault="00000000">
            <w:pPr>
              <w:overflowPunct w:val="0"/>
              <w:autoSpaceDE w:val="0"/>
              <w:spacing w:line="350" w:lineRule="exact"/>
              <w:ind w:left="472" w:right="72" w:hanging="472"/>
              <w:jc w:val="both"/>
              <w:textAlignment w:val="center"/>
              <w:rPr>
                <w:rFonts w:ascii="新細明體" w:hAnsi="新細明體"/>
                <w:b/>
                <w:bCs/>
                <w:color w:val="0000FF"/>
                <w:spacing w:val="8"/>
                <w:kern w:val="0"/>
                <w:sz w:val="22"/>
                <w:szCs w:val="22"/>
              </w:rPr>
            </w:pPr>
            <w:r>
              <w:rPr>
                <w:rFonts w:ascii="新細明體" w:hAnsi="新細明體"/>
                <w:b/>
                <w:bCs/>
                <w:color w:val="0000FF"/>
                <w:spacing w:val="8"/>
                <w:kern w:val="0"/>
                <w:sz w:val="22"/>
                <w:szCs w:val="22"/>
              </w:rPr>
              <w:t>一、全球青年高失業情勢</w:t>
            </w:r>
          </w:p>
          <w:p w14:paraId="28A23FF4" w14:textId="77777777" w:rsidR="00052596" w:rsidRDefault="00000000">
            <w:pPr>
              <w:overflowPunct w:val="0"/>
              <w:autoSpaceDE w:val="0"/>
              <w:spacing w:line="35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一)ILO預估，2012年全球15至24歲青年失業率12.7%、失業人數7,460萬人，不僅較2011年的失業率12.6%、失業人口7,450萬人增加，亦較2007年金融危機發生前的青年失業率11.6%、失業人口7,030萬人，分別提高個1.1百分點、增加430萬人。其中，2012年先進經濟體青年失業率甚至將高達18%。</w:t>
            </w:r>
          </w:p>
          <w:p w14:paraId="737C2B16" w14:textId="77777777" w:rsidR="00052596" w:rsidRDefault="00000000">
            <w:pPr>
              <w:overflowPunct w:val="0"/>
              <w:autoSpaceDE w:val="0"/>
              <w:spacing w:line="35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二)如加計因勞動市場情勢不佳而放棄找工作或延長學業的640萬青年，2011年全球青年失業率將升為13.6%，可預期這些青年再度進入勞動市場時，將加深就業競爭壓力。預估至2016年，全球青年失業率仍將維持在12.7%左右的高水準。</w:t>
            </w:r>
          </w:p>
          <w:p w14:paraId="7D8DD4B6" w14:textId="77777777" w:rsidR="00052596" w:rsidRDefault="00000000">
            <w:pPr>
              <w:overflowPunct w:val="0"/>
              <w:autoSpaceDE w:val="0"/>
              <w:spacing w:line="35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(三)未就學、就業或參與職業訓練的青年「尼特族」(not in education, employment, or training；簡稱NEETs)人數，自金融危機開始即逐年增加。2010年OECD國家尼特族占青年人口比例平均為12.8%，其中，日本、紐西蘭、美國分別為9.7%、13.1%及15.6%。金融危機前歐盟尼特族占青年人口比例為10.9%，在2008至2010年間，增加了1.9個百分點。</w:t>
            </w:r>
          </w:p>
          <w:p w14:paraId="452655B5" w14:textId="77777777" w:rsidR="00052596" w:rsidRDefault="00000000">
            <w:pPr>
              <w:overflowPunct w:val="0"/>
              <w:autoSpaceDE w:val="0"/>
              <w:spacing w:line="350" w:lineRule="exact"/>
              <w:ind w:left="472" w:right="72" w:hanging="472"/>
              <w:jc w:val="both"/>
              <w:textAlignment w:val="center"/>
            </w:pPr>
            <w:r>
              <w:rPr>
                <w:rFonts w:ascii="新細明體" w:hAnsi="新細明體"/>
                <w:b/>
                <w:bCs/>
                <w:color w:val="0000FF"/>
                <w:spacing w:val="8"/>
                <w:kern w:val="0"/>
                <w:sz w:val="22"/>
                <w:szCs w:val="22"/>
              </w:rPr>
              <w:t>二、解決青年就業政策建議</w:t>
            </w:r>
          </w:p>
          <w:p w14:paraId="6AB2E9E0" w14:textId="77777777" w:rsidR="00052596" w:rsidRDefault="00000000">
            <w:pPr>
              <w:overflowPunct w:val="0"/>
              <w:autoSpaceDE w:val="0"/>
              <w:spacing w:line="350" w:lineRule="exact"/>
              <w:ind w:left="709" w:right="72" w:hanging="397"/>
              <w:jc w:val="both"/>
              <w:textAlignment w:val="center"/>
            </w:pPr>
            <w:r>
              <w:rPr>
                <w:rFonts w:ascii="新細明體" w:hAnsi="新細明體"/>
                <w:bCs/>
                <w:spacing w:val="8"/>
                <w:kern w:val="0"/>
                <w:sz w:val="22"/>
                <w:szCs w:val="22"/>
              </w:rPr>
              <w:t>(一)採行促進就業的總體經濟及財政政策：各國在財政負擔許可範圍內，政策應聚焦於創造就業，並促進可持續的就業復甦。此外，應將促進青年就業列為優先議題，制定具體措施，並提撥充裕的資金及資源以為因應。</w:t>
            </w:r>
          </w:p>
          <w:p w14:paraId="6CC33081" w14:textId="77777777" w:rsidR="00052596" w:rsidRDefault="00000000">
            <w:pPr>
              <w:overflowPunct w:val="0"/>
              <w:autoSpaceDE w:val="0"/>
              <w:spacing w:line="35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二)推動積極的勞動市場政策及方案：鼓勵企業僱用青年，例如發展公共就業服務、工資及訓練補貼、減稅等措施；提升青年職場專業技能，例如職業培訓、失業者或怯志青年的再培訓、工作場所培訓計畫、建立或改善學徒制度、創業培訓、弱勢青年軟技能(soft skills)及生活技能培訓等。</w:t>
            </w:r>
          </w:p>
          <w:p w14:paraId="1728C7EA" w14:textId="77777777" w:rsidR="00052596" w:rsidRDefault="00000000">
            <w:pPr>
              <w:overflowPunct w:val="0"/>
              <w:autoSpaceDE w:val="0"/>
              <w:spacing w:line="35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(三)建立青年勞動基準及社會保護機制：推動體面就業(decent employment)，除創造就業機會外，亦須提高工作品質，例如保障青年工資及勞動基本權等。</w:t>
            </w:r>
          </w:p>
          <w:p w14:paraId="128A2A03" w14:textId="77777777" w:rsidR="00052596" w:rsidRDefault="00000000">
            <w:pPr>
              <w:overflowPunct w:val="0"/>
              <w:autoSpaceDE w:val="0"/>
              <w:spacing w:line="35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(四)促進青年就業的社會對話與夥伴關係：建立政府、雇主、工會等組織間的夥伴關係，藉由對話及合作方式，為促進青年就業採取適當措施。</w:t>
            </w:r>
          </w:p>
          <w:p w14:paraId="597A6BF0" w14:textId="77777777" w:rsidR="00052596" w:rsidRDefault="00000000">
            <w:pPr>
              <w:overflowPunct w:val="0"/>
              <w:autoSpaceDE w:val="0"/>
              <w:spacing w:line="35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(五)建置完善的勞動市場資訊與分析系統：進行勞動市場資訊蒐集、統計、分析與傳播，強化勞動市場監測，並作為勞動政策設計及執行之基礎。</w:t>
            </w:r>
          </w:p>
          <w:p w14:paraId="488BAE87" w14:textId="77777777" w:rsidR="00052596" w:rsidRDefault="00000000">
            <w:pPr>
              <w:overflowPunct w:val="0"/>
              <w:autoSpaceDE w:val="0"/>
              <w:spacing w:before="72" w:line="360" w:lineRule="exact"/>
              <w:ind w:left="1215" w:right="72" w:hanging="1160"/>
              <w:jc w:val="both"/>
              <w:textAlignment w:val="center"/>
            </w:pPr>
            <w:r>
              <w:rPr>
                <w:rFonts w:ascii="新細明體" w:hAnsi="新細明體"/>
                <w:bCs/>
                <w:spacing w:val="6"/>
                <w:kern w:val="0"/>
                <w:sz w:val="22"/>
                <w:szCs w:val="22"/>
              </w:rPr>
              <w:t xml:space="preserve">資料來源：ILO, </w:t>
            </w:r>
            <w:r>
              <w:rPr>
                <w:rFonts w:ascii="新細明體" w:hAnsi="新細明體"/>
                <w:bCs/>
                <w:i/>
                <w:spacing w:val="6"/>
                <w:kern w:val="0"/>
                <w:sz w:val="22"/>
                <w:szCs w:val="22"/>
              </w:rPr>
              <w:t>Global Employment Trends for Youth 2012</w:t>
            </w:r>
            <w:r>
              <w:rPr>
                <w:rFonts w:ascii="新細明體" w:hAnsi="新細明體"/>
                <w:bCs/>
                <w:spacing w:val="6"/>
                <w:kern w:val="0"/>
                <w:sz w:val="22"/>
                <w:szCs w:val="22"/>
              </w:rPr>
              <w:t>, May 2012.</w:t>
            </w:r>
          </w:p>
        </w:tc>
      </w:tr>
    </w:tbl>
    <w:p w14:paraId="472FA78E" w14:textId="77777777" w:rsidR="00052596" w:rsidRDefault="00000000">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二、新興經濟體經濟穩健成長</w:t>
      </w:r>
    </w:p>
    <w:p w14:paraId="0A3BDFAF"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2013</w:t>
      </w:r>
      <w:r>
        <w:rPr>
          <w:rFonts w:eastAsia="標楷體"/>
          <w:spacing w:val="4"/>
          <w:kern w:val="0"/>
          <w:sz w:val="28"/>
          <w:szCs w:val="26"/>
        </w:rPr>
        <w:t>年，新興經濟體仍將受先進經濟體景氣疲弱波及，惟在內需活絡的帶動下，經濟成長相對穩健，平均經濟成長率為</w:t>
      </w:r>
      <w:r>
        <w:rPr>
          <w:rFonts w:eastAsia="標楷體"/>
          <w:spacing w:val="4"/>
          <w:kern w:val="0"/>
          <w:sz w:val="28"/>
          <w:szCs w:val="26"/>
        </w:rPr>
        <w:t>4.9%</w:t>
      </w:r>
      <w:r>
        <w:rPr>
          <w:rFonts w:eastAsia="標楷體"/>
          <w:spacing w:val="4"/>
          <w:kern w:val="0"/>
          <w:sz w:val="28"/>
          <w:szCs w:val="26"/>
        </w:rPr>
        <w:t>，遠高於先進經濟體的</w:t>
      </w:r>
      <w:r>
        <w:rPr>
          <w:rFonts w:eastAsia="標楷體"/>
          <w:spacing w:val="4"/>
          <w:kern w:val="0"/>
          <w:sz w:val="28"/>
          <w:szCs w:val="26"/>
        </w:rPr>
        <w:t>1.1%</w:t>
      </w:r>
      <w:r>
        <w:rPr>
          <w:rFonts w:eastAsia="標楷體"/>
          <w:spacing w:val="4"/>
          <w:kern w:val="0"/>
          <w:sz w:val="28"/>
          <w:szCs w:val="26"/>
        </w:rPr>
        <w:t>，亦較全球經濟成長率</w:t>
      </w:r>
      <w:r>
        <w:rPr>
          <w:rFonts w:eastAsia="標楷體"/>
          <w:spacing w:val="4"/>
          <w:kern w:val="0"/>
          <w:sz w:val="28"/>
          <w:szCs w:val="26"/>
        </w:rPr>
        <w:t>2.6%</w:t>
      </w:r>
      <w:r>
        <w:rPr>
          <w:rFonts w:eastAsia="標楷體"/>
          <w:spacing w:val="4"/>
          <w:kern w:val="0"/>
          <w:sz w:val="28"/>
          <w:szCs w:val="26"/>
        </w:rPr>
        <w:t>為高，續為全球經濟成長主動能。中期而言，受惠於人口結構相對年輕、天然資源豐沛、政府致力強化基礎建設及調整經濟結構等因素，新興經濟體經濟可望穩健成長，</w:t>
      </w:r>
      <w:r>
        <w:rPr>
          <w:rFonts w:eastAsia="標楷體"/>
          <w:spacing w:val="4"/>
          <w:kern w:val="0"/>
          <w:sz w:val="28"/>
          <w:szCs w:val="26"/>
        </w:rPr>
        <w:t>GI</w:t>
      </w:r>
      <w:r>
        <w:rPr>
          <w:rFonts w:eastAsia="標楷體"/>
          <w:spacing w:val="4"/>
          <w:kern w:val="0"/>
          <w:sz w:val="28"/>
          <w:szCs w:val="26"/>
        </w:rPr>
        <w:t>預估</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年平均經濟成長率為</w:t>
      </w:r>
      <w:r>
        <w:rPr>
          <w:rFonts w:eastAsia="標楷體"/>
          <w:spacing w:val="4"/>
          <w:kern w:val="0"/>
          <w:sz w:val="28"/>
          <w:szCs w:val="26"/>
        </w:rPr>
        <w:t>5.6%</w:t>
      </w:r>
      <w:r>
        <w:rPr>
          <w:rFonts w:eastAsia="標楷體"/>
          <w:spacing w:val="4"/>
          <w:kern w:val="0"/>
          <w:sz w:val="28"/>
          <w:szCs w:val="26"/>
        </w:rPr>
        <w:t>，對全球經濟成長貢獻率</w:t>
      </w:r>
      <w:r>
        <w:rPr>
          <w:rFonts w:eastAsia="標楷體"/>
          <w:spacing w:val="4"/>
          <w:kern w:val="0"/>
          <w:sz w:val="28"/>
          <w:szCs w:val="26"/>
        </w:rPr>
        <w:t>53.3%</w:t>
      </w:r>
      <w:r>
        <w:rPr>
          <w:rFonts w:eastAsia="標楷體"/>
          <w:spacing w:val="4"/>
          <w:kern w:val="0"/>
          <w:sz w:val="28"/>
          <w:szCs w:val="26"/>
        </w:rPr>
        <w:t>，占全球實質</w:t>
      </w:r>
      <w:r>
        <w:rPr>
          <w:rFonts w:eastAsia="標楷體"/>
          <w:spacing w:val="4"/>
          <w:kern w:val="0"/>
          <w:sz w:val="28"/>
          <w:szCs w:val="26"/>
        </w:rPr>
        <w:t>GDP</w:t>
      </w:r>
      <w:r>
        <w:rPr>
          <w:rFonts w:eastAsia="標楷體"/>
          <w:spacing w:val="4"/>
          <w:kern w:val="0"/>
          <w:sz w:val="28"/>
          <w:szCs w:val="26"/>
        </w:rPr>
        <w:t>比率則將由</w:t>
      </w:r>
      <w:r>
        <w:rPr>
          <w:rFonts w:eastAsia="標楷體"/>
          <w:spacing w:val="4"/>
          <w:kern w:val="0"/>
          <w:sz w:val="28"/>
          <w:szCs w:val="26"/>
        </w:rPr>
        <w:t>2009</w:t>
      </w:r>
      <w:r>
        <w:rPr>
          <w:rFonts w:eastAsia="標楷體"/>
          <w:spacing w:val="4"/>
          <w:kern w:val="0"/>
          <w:sz w:val="28"/>
          <w:szCs w:val="26"/>
        </w:rPr>
        <w:t>至</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27.4%</w:t>
      </w:r>
      <w:r>
        <w:rPr>
          <w:rFonts w:eastAsia="標楷體"/>
          <w:spacing w:val="4"/>
          <w:kern w:val="0"/>
          <w:sz w:val="28"/>
          <w:szCs w:val="26"/>
        </w:rPr>
        <w:t>，提高為</w:t>
      </w:r>
      <w:r>
        <w:rPr>
          <w:rFonts w:eastAsia="標楷體"/>
          <w:spacing w:val="4"/>
          <w:kern w:val="0"/>
          <w:sz w:val="28"/>
          <w:szCs w:val="26"/>
        </w:rPr>
        <w:t>30.3%</w:t>
      </w:r>
      <w:r>
        <w:rPr>
          <w:rFonts w:eastAsia="標楷體"/>
          <w:spacing w:val="4"/>
          <w:kern w:val="0"/>
          <w:sz w:val="28"/>
          <w:szCs w:val="26"/>
        </w:rPr>
        <w:t>。其中，亞太新興經濟體在區域內貿易活絡，以及中國大陸、印度內需強勁的帶動下，經濟表現尤為亮麗，對全球經濟成長貢獻為</w:t>
      </w:r>
      <w:r>
        <w:rPr>
          <w:rFonts w:eastAsia="標楷體"/>
          <w:spacing w:val="4"/>
          <w:kern w:val="0"/>
          <w:sz w:val="28"/>
          <w:szCs w:val="26"/>
        </w:rPr>
        <w:t>38.5%</w:t>
      </w:r>
      <w:r>
        <w:rPr>
          <w:rFonts w:eastAsia="標楷體"/>
          <w:spacing w:val="4"/>
          <w:kern w:val="0"/>
          <w:sz w:val="28"/>
          <w:szCs w:val="26"/>
        </w:rPr>
        <w:t>，在全球經貿的重要性與日俱增。</w:t>
      </w:r>
    </w:p>
    <w:p w14:paraId="3601020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(一)亞太新興經濟體</w:t>
      </w:r>
    </w:p>
    <w:p w14:paraId="5FB7D55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中國大陸</w:t>
      </w:r>
    </w:p>
    <w:p w14:paraId="2A80E5D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rPr>
          <w:rFonts w:eastAsia="標楷體"/>
          <w:spacing w:val="4"/>
          <w:kern w:val="0"/>
          <w:sz w:val="28"/>
          <w:szCs w:val="22"/>
        </w:rPr>
      </w:pPr>
      <w:r>
        <w:rPr>
          <w:rFonts w:eastAsia="標楷體"/>
          <w:spacing w:val="4"/>
          <w:kern w:val="0"/>
          <w:sz w:val="28"/>
          <w:szCs w:val="22"/>
        </w:rPr>
        <w:t>－由於歐債危機仍將衝擊中國大陸景氣，預期中國大陸當局將續採穩增長、控物價、調結構等政策，藉由擴大內需、發展實體經濟、加快改革創新、保障與改善民生等措施，驅動經濟成長，預期</w:t>
      </w:r>
      <w:r>
        <w:rPr>
          <w:rFonts w:eastAsia="標楷體"/>
          <w:spacing w:val="4"/>
          <w:kern w:val="0"/>
          <w:sz w:val="28"/>
          <w:szCs w:val="22"/>
        </w:rPr>
        <w:t>2013</w:t>
      </w:r>
      <w:r>
        <w:rPr>
          <w:rFonts w:eastAsia="標楷體"/>
          <w:spacing w:val="4"/>
          <w:kern w:val="0"/>
          <w:sz w:val="28"/>
          <w:szCs w:val="22"/>
        </w:rPr>
        <w:t>年經濟成長率為</w:t>
      </w:r>
      <w:r>
        <w:rPr>
          <w:rFonts w:eastAsia="標楷體"/>
          <w:spacing w:val="4"/>
          <w:kern w:val="0"/>
          <w:sz w:val="28"/>
          <w:szCs w:val="22"/>
        </w:rPr>
        <w:t>8.0%</w:t>
      </w:r>
      <w:r>
        <w:rPr>
          <w:rFonts w:eastAsia="標楷體"/>
          <w:spacing w:val="4"/>
          <w:kern w:val="0"/>
          <w:sz w:val="28"/>
          <w:szCs w:val="22"/>
        </w:rPr>
        <w:t>。</w:t>
      </w:r>
    </w:p>
    <w:p w14:paraId="2DFE44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rPr>
          <w:rFonts w:eastAsia="標楷體"/>
          <w:spacing w:val="4"/>
          <w:kern w:val="0"/>
          <w:sz w:val="28"/>
          <w:szCs w:val="22"/>
        </w:rPr>
      </w:pPr>
      <w:r>
        <w:rPr>
          <w:rFonts w:eastAsia="標楷體"/>
          <w:spacing w:val="4"/>
          <w:kern w:val="0"/>
          <w:sz w:val="28"/>
          <w:szCs w:val="22"/>
        </w:rPr>
        <w:t>－中期而言，</w:t>
      </w:r>
      <w:r>
        <w:rPr>
          <w:rFonts w:eastAsia="標楷體"/>
          <w:spacing w:val="4"/>
          <w:kern w:val="0"/>
          <w:sz w:val="28"/>
          <w:szCs w:val="22"/>
        </w:rPr>
        <w:t>2012</w:t>
      </w:r>
      <w:r>
        <w:rPr>
          <w:rFonts w:eastAsia="標楷體"/>
          <w:spacing w:val="4"/>
          <w:kern w:val="0"/>
          <w:sz w:val="28"/>
          <w:szCs w:val="22"/>
        </w:rPr>
        <w:t>年</w:t>
      </w:r>
      <w:r>
        <w:rPr>
          <w:rFonts w:eastAsia="標楷體"/>
          <w:spacing w:val="4"/>
          <w:kern w:val="0"/>
          <w:sz w:val="28"/>
          <w:szCs w:val="22"/>
        </w:rPr>
        <w:t>11</w:t>
      </w:r>
      <w:r>
        <w:rPr>
          <w:rFonts w:eastAsia="標楷體"/>
          <w:spacing w:val="4"/>
          <w:kern w:val="0"/>
          <w:sz w:val="28"/>
          <w:szCs w:val="22"/>
        </w:rPr>
        <w:t>月中國大陸召開第十八屆全國黨代表大會，領導人換屆後的經濟政策，仍將延續「十二五」規劃之發展模式，致力擴大內需與調整經社結構。在體制改革與基礎建設持續強化下，將由全面深化經濟體制改革、實施創新驅動發展戰略、推進經濟結構戰略性調整、推動城鄉發展一體化，及全面提高開放型經濟水準等五大主軸，朝</w:t>
      </w:r>
      <w:r>
        <w:rPr>
          <w:rFonts w:eastAsia="標楷體"/>
          <w:spacing w:val="4"/>
          <w:kern w:val="0"/>
          <w:sz w:val="28"/>
          <w:szCs w:val="22"/>
        </w:rPr>
        <w:t>2020</w:t>
      </w:r>
      <w:r>
        <w:rPr>
          <w:rFonts w:eastAsia="標楷體"/>
          <w:spacing w:val="4"/>
          <w:kern w:val="0"/>
          <w:sz w:val="28"/>
          <w:szCs w:val="22"/>
        </w:rPr>
        <w:t>年實現全面建設小康社會、</w:t>
      </w:r>
      <w:r>
        <w:rPr>
          <w:rFonts w:eastAsia="標楷體"/>
          <w:spacing w:val="4"/>
          <w:kern w:val="0"/>
          <w:sz w:val="28"/>
          <w:szCs w:val="22"/>
        </w:rPr>
        <w:t>2020</w:t>
      </w:r>
      <w:r>
        <w:rPr>
          <w:rFonts w:eastAsia="標楷體"/>
          <w:spacing w:val="4"/>
          <w:kern w:val="0"/>
          <w:sz w:val="28"/>
          <w:szCs w:val="22"/>
        </w:rPr>
        <w:t>年</w:t>
      </w:r>
      <w:r>
        <w:rPr>
          <w:rFonts w:eastAsia="標楷體"/>
          <w:spacing w:val="4"/>
          <w:kern w:val="0"/>
          <w:sz w:val="28"/>
          <w:szCs w:val="22"/>
        </w:rPr>
        <w:t>GDP</w:t>
      </w:r>
      <w:r>
        <w:rPr>
          <w:rFonts w:eastAsia="標楷體"/>
          <w:spacing w:val="4"/>
          <w:kern w:val="0"/>
          <w:sz w:val="28"/>
          <w:szCs w:val="22"/>
        </w:rPr>
        <w:t>及城鄉居民人均收入較</w:t>
      </w:r>
      <w:r>
        <w:rPr>
          <w:rFonts w:eastAsia="標楷體"/>
          <w:spacing w:val="4"/>
          <w:kern w:val="0"/>
          <w:sz w:val="28"/>
          <w:szCs w:val="22"/>
        </w:rPr>
        <w:t>2010</w:t>
      </w:r>
      <w:r>
        <w:rPr>
          <w:rFonts w:eastAsia="標楷體"/>
          <w:spacing w:val="4"/>
          <w:kern w:val="0"/>
          <w:sz w:val="28"/>
          <w:szCs w:val="22"/>
        </w:rPr>
        <w:t>年倍增的目標邁進。</w:t>
      </w:r>
      <w:r>
        <w:rPr>
          <w:rFonts w:eastAsia="標楷體"/>
          <w:spacing w:val="4"/>
          <w:kern w:val="0"/>
          <w:sz w:val="28"/>
          <w:szCs w:val="22"/>
        </w:rPr>
        <w:t>2013</w:t>
      </w:r>
      <w:r>
        <w:rPr>
          <w:rFonts w:eastAsia="標楷體"/>
          <w:spacing w:val="4"/>
          <w:kern w:val="0"/>
          <w:sz w:val="28"/>
          <w:szCs w:val="22"/>
        </w:rPr>
        <w:t>至</w:t>
      </w:r>
      <w:r>
        <w:rPr>
          <w:rFonts w:eastAsia="標楷體"/>
          <w:spacing w:val="4"/>
          <w:kern w:val="0"/>
          <w:sz w:val="28"/>
          <w:szCs w:val="22"/>
        </w:rPr>
        <w:t>2016</w:t>
      </w:r>
      <w:r>
        <w:rPr>
          <w:rFonts w:eastAsia="標楷體"/>
          <w:spacing w:val="4"/>
          <w:kern w:val="0"/>
          <w:sz w:val="28"/>
          <w:szCs w:val="22"/>
        </w:rPr>
        <w:t>年中國大陸整體經濟仍將維持高成長，預估平均經濟成長率將達</w:t>
      </w:r>
      <w:r>
        <w:rPr>
          <w:rFonts w:eastAsia="標楷體"/>
          <w:spacing w:val="4"/>
          <w:kern w:val="0"/>
          <w:sz w:val="28"/>
          <w:szCs w:val="22"/>
        </w:rPr>
        <w:t>8.2%</w:t>
      </w:r>
      <w:r>
        <w:rPr>
          <w:rFonts w:eastAsia="標楷體"/>
          <w:spacing w:val="4"/>
          <w:kern w:val="0"/>
          <w:sz w:val="28"/>
          <w:szCs w:val="22"/>
        </w:rPr>
        <w:t>，占全球實質</w:t>
      </w:r>
      <w:r>
        <w:rPr>
          <w:rFonts w:eastAsia="標楷體"/>
          <w:spacing w:val="4"/>
          <w:kern w:val="0"/>
          <w:sz w:val="28"/>
          <w:szCs w:val="22"/>
        </w:rPr>
        <w:t>GDP</w:t>
      </w:r>
      <w:r>
        <w:rPr>
          <w:rFonts w:eastAsia="標楷體"/>
          <w:spacing w:val="4"/>
          <w:kern w:val="0"/>
          <w:sz w:val="28"/>
          <w:szCs w:val="22"/>
        </w:rPr>
        <w:t>比率，亦由</w:t>
      </w:r>
      <w:r>
        <w:rPr>
          <w:rFonts w:eastAsia="標楷體"/>
          <w:spacing w:val="4"/>
          <w:kern w:val="0"/>
          <w:sz w:val="28"/>
          <w:szCs w:val="22"/>
        </w:rPr>
        <w:t>2009</w:t>
      </w:r>
      <w:r>
        <w:rPr>
          <w:rFonts w:eastAsia="標楷體"/>
          <w:spacing w:val="4"/>
          <w:kern w:val="0"/>
          <w:sz w:val="28"/>
          <w:szCs w:val="22"/>
        </w:rPr>
        <w:t>至</w:t>
      </w:r>
      <w:r>
        <w:rPr>
          <w:rFonts w:eastAsia="標楷體"/>
          <w:spacing w:val="4"/>
          <w:kern w:val="0"/>
          <w:sz w:val="28"/>
          <w:szCs w:val="22"/>
        </w:rPr>
        <w:t>2012</w:t>
      </w:r>
      <w:r>
        <w:rPr>
          <w:rFonts w:eastAsia="標楷體"/>
          <w:spacing w:val="4"/>
          <w:kern w:val="0"/>
          <w:sz w:val="28"/>
          <w:szCs w:val="22"/>
        </w:rPr>
        <w:t>年的</w:t>
      </w:r>
      <w:r>
        <w:rPr>
          <w:rFonts w:eastAsia="標楷體"/>
          <w:spacing w:val="4"/>
          <w:kern w:val="0"/>
          <w:sz w:val="28"/>
          <w:szCs w:val="22"/>
        </w:rPr>
        <w:t>7.8%</w:t>
      </w:r>
      <w:r>
        <w:rPr>
          <w:rFonts w:eastAsia="標楷體"/>
          <w:spacing w:val="4"/>
          <w:kern w:val="0"/>
          <w:sz w:val="28"/>
          <w:szCs w:val="22"/>
        </w:rPr>
        <w:t>增為</w:t>
      </w:r>
      <w:r>
        <w:rPr>
          <w:rFonts w:eastAsia="標楷體"/>
          <w:spacing w:val="4"/>
          <w:kern w:val="0"/>
          <w:sz w:val="28"/>
          <w:szCs w:val="22"/>
        </w:rPr>
        <w:t>9.6%</w:t>
      </w:r>
      <w:r>
        <w:rPr>
          <w:rFonts w:eastAsia="標楷體"/>
          <w:spacing w:val="4"/>
          <w:kern w:val="0"/>
          <w:sz w:val="28"/>
          <w:szCs w:val="22"/>
        </w:rPr>
        <w:t>，對全球經濟成長貢獻率達</w:t>
      </w:r>
      <w:r>
        <w:rPr>
          <w:rFonts w:eastAsia="標楷體"/>
          <w:spacing w:val="4"/>
          <w:kern w:val="0"/>
          <w:sz w:val="28"/>
          <w:szCs w:val="22"/>
        </w:rPr>
        <w:t>24.1%</w:t>
      </w:r>
      <w:r>
        <w:rPr>
          <w:rFonts w:eastAsia="標楷體"/>
          <w:spacing w:val="4"/>
          <w:kern w:val="0"/>
          <w:sz w:val="28"/>
          <w:szCs w:val="22"/>
        </w:rPr>
        <w:t>，為世界經濟成長最大貢獻來源國，經貿版圖明顯擴增。</w:t>
      </w:r>
    </w:p>
    <w:tbl>
      <w:tblPr>
        <w:tblW w:w="8518" w:type="dxa"/>
        <w:tblCellMar>
          <w:left w:w="10" w:type="dxa"/>
          <w:right w:w="10" w:type="dxa"/>
        </w:tblCellMar>
        <w:tblLook w:val="04A0" w:firstRow="1" w:lastRow="0" w:firstColumn="1" w:lastColumn="0" w:noHBand="0" w:noVBand="1"/>
      </w:tblPr>
      <w:tblGrid>
        <w:gridCol w:w="8518"/>
      </w:tblGrid>
      <w:tr w:rsidR="00052596" w14:paraId="2809DBF5" w14:textId="77777777">
        <w:tblPrEx>
          <w:tblCellMar>
            <w:top w:w="0" w:type="dxa"/>
            <w:bottom w:w="0" w:type="dxa"/>
          </w:tblCellMar>
        </w:tblPrEx>
        <w:trPr>
          <w:trHeight w:val="10193"/>
        </w:trPr>
        <w:tc>
          <w:tcPr>
            <w:tcW w:w="8518" w:type="dxa"/>
            <w:tcBorders>
              <w:top w:val="single" w:sz="4" w:space="0" w:color="000000"/>
              <w:left w:val="single" w:sz="4" w:space="0" w:color="000000"/>
              <w:bottom w:val="single" w:sz="4" w:space="0" w:color="000000"/>
              <w:right w:val="single" w:sz="4" w:space="0" w:color="000000"/>
            </w:tcBorders>
            <w:shd w:val="clear" w:color="auto" w:fill="EFF5FF"/>
            <w:tcMar>
              <w:top w:w="0" w:type="dxa"/>
              <w:left w:w="108" w:type="dxa"/>
              <w:bottom w:w="0" w:type="dxa"/>
              <w:right w:w="108" w:type="dxa"/>
            </w:tcMar>
          </w:tcPr>
          <w:p w14:paraId="0E976CE0" w14:textId="77777777" w:rsidR="00052596" w:rsidRDefault="00000000">
            <w:pPr>
              <w:overflowPunct w:val="0"/>
              <w:autoSpaceDE w:val="0"/>
              <w:spacing w:before="240" w:after="240" w:line="360" w:lineRule="exact"/>
              <w:jc w:val="center"/>
              <w:textAlignment w:val="center"/>
            </w:pPr>
            <w:r>
              <w:rPr>
                <w:rFonts w:ascii="新細明體" w:hAnsi="新細明體"/>
                <w:b/>
                <w:color w:val="0000FF"/>
                <w:spacing w:val="14"/>
                <w:kern w:val="0"/>
                <w:szCs w:val="24"/>
              </w:rPr>
              <w:lastRenderedPageBreak/>
              <w:t>中國大陸落實「穩增長、調結構」目標</w:t>
            </w:r>
          </w:p>
          <w:p w14:paraId="62387695" w14:textId="77777777" w:rsidR="00052596" w:rsidRDefault="00000000">
            <w:pPr>
              <w:overflowPunct w:val="0"/>
              <w:autoSpaceDE w:val="0"/>
              <w:snapToGrid w:val="0"/>
              <w:spacing w:line="360" w:lineRule="exact"/>
              <w:ind w:left="72" w:right="72" w:firstLine="472"/>
              <w:jc w:val="both"/>
              <w:textAlignment w:val="center"/>
            </w:pPr>
            <w:r>
              <w:rPr>
                <w:rFonts w:ascii="新細明體" w:hAnsi="新細明體"/>
                <w:bCs/>
                <w:spacing w:val="8"/>
                <w:kern w:val="0"/>
                <w:sz w:val="22"/>
                <w:szCs w:val="22"/>
              </w:rPr>
              <w:t>中國大陸為因應國內外經濟形勢轉變，並加快轉型為新的經濟發展模式，根據2012年11月「第十八屆全國黨代表大會」報告，中國大陸將在十六大、十七大確立的</w:t>
            </w:r>
            <w:r>
              <w:rPr>
                <w:rFonts w:ascii="新細明體" w:hAnsi="新細明體"/>
                <w:bCs/>
                <w:spacing w:val="6"/>
                <w:kern w:val="0"/>
                <w:sz w:val="22"/>
                <w:szCs w:val="22"/>
              </w:rPr>
              <w:t>2020年實現全面建設小康社會目標的基礎上，</w:t>
            </w:r>
            <w:r>
              <w:rPr>
                <w:rFonts w:ascii="新細明體" w:hAnsi="新細明體"/>
                <w:bCs/>
                <w:spacing w:val="8"/>
                <w:kern w:val="0"/>
                <w:sz w:val="22"/>
                <w:szCs w:val="22"/>
              </w:rPr>
              <w:t>繼續依循「十二五」規劃，落實「穩增長、調結構」的目標。</w:t>
            </w:r>
          </w:p>
          <w:p w14:paraId="2B2A2E96" w14:textId="77777777" w:rsidR="00052596" w:rsidRDefault="00000000">
            <w:pPr>
              <w:overflowPunct w:val="0"/>
              <w:autoSpaceDE w:val="0"/>
              <w:snapToGrid w:val="0"/>
              <w:spacing w:before="120" w:after="120" w:line="360" w:lineRule="exact"/>
              <w:ind w:left="57" w:right="72"/>
              <w:jc w:val="both"/>
              <w:textAlignment w:val="center"/>
            </w:pPr>
            <w:r>
              <w:rPr>
                <w:rFonts w:ascii="新細明體" w:hAnsi="新細明體"/>
                <w:b/>
                <w:bCs/>
                <w:color w:val="0000FF"/>
                <w:spacing w:val="6"/>
                <w:kern w:val="0"/>
                <w:sz w:val="22"/>
                <w:szCs w:val="22"/>
              </w:rPr>
              <w:t>一、全面建設小康社會及深化改革開放目標</w:t>
            </w:r>
          </w:p>
          <w:p w14:paraId="0C49FF05" w14:textId="77777777" w:rsidR="00052596" w:rsidRDefault="00000000">
            <w:pPr>
              <w:overflowPunct w:val="0"/>
              <w:autoSpaceDE w:val="0"/>
              <w:spacing w:before="24" w:after="24" w:line="36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(一)五大建設方向：經濟持續健康發展；人民民主不斷深化；文化軟實力顯著增強；人民生活水準全面提高；資源節約型、環境友好型社會建設獲取重大進展。</w:t>
            </w:r>
          </w:p>
          <w:p w14:paraId="0DC92415" w14:textId="77777777" w:rsidR="00052596" w:rsidRDefault="00000000">
            <w:pPr>
              <w:overflowPunct w:val="0"/>
              <w:autoSpaceDE w:val="0"/>
              <w:spacing w:before="24" w:after="24" w:line="36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二)經濟發展重點：經濟結構調整取得重大進展，在發展平衡性、協調性、可持續性明顯增強的基礎上，實現GDP與城鄉居民人均收入較2010年倍增；科技進步對經濟成長的貢獻率大幅上升，進入創新型國家行列；促進工業化發展，資訊化水準大幅提升，提高城鎮化質量，農業現代化和社會主義新農村建設成效顯著，發展區域協調機制；進一步提高對外開放程度，提升國際競爭力。</w:t>
            </w:r>
          </w:p>
          <w:p w14:paraId="7879F51E" w14:textId="77777777" w:rsidR="00052596" w:rsidRDefault="00000000">
            <w:pPr>
              <w:overflowPunct w:val="0"/>
              <w:autoSpaceDE w:val="0"/>
              <w:snapToGrid w:val="0"/>
              <w:spacing w:before="120" w:after="120" w:line="360" w:lineRule="exact"/>
              <w:ind w:left="57" w:right="72"/>
              <w:jc w:val="both"/>
              <w:textAlignment w:val="center"/>
              <w:rPr>
                <w:rFonts w:ascii="新細明體" w:hAnsi="新細明體"/>
                <w:b/>
                <w:bCs/>
                <w:color w:val="0000FF"/>
                <w:spacing w:val="6"/>
                <w:kern w:val="0"/>
                <w:sz w:val="22"/>
                <w:szCs w:val="22"/>
              </w:rPr>
            </w:pPr>
            <w:r>
              <w:rPr>
                <w:rFonts w:ascii="新細明體" w:hAnsi="新細明體"/>
                <w:b/>
                <w:bCs/>
                <w:color w:val="0000FF"/>
                <w:spacing w:val="6"/>
                <w:kern w:val="0"/>
                <w:sz w:val="22"/>
                <w:szCs w:val="22"/>
              </w:rPr>
              <w:t>二、加快完善社會主義市場經濟體制及轉變經濟發展方式</w:t>
            </w:r>
          </w:p>
          <w:p w14:paraId="79BD88A4" w14:textId="77777777" w:rsidR="00052596" w:rsidRDefault="00000000">
            <w:pPr>
              <w:overflowPunct w:val="0"/>
              <w:autoSpaceDE w:val="0"/>
              <w:spacing w:before="24" w:after="24" w:line="36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(一)發展主軸：全面深化經濟體制改革、實施創新驅動發展戰略、推進經濟結構戰略性調整、推動城鄉發展一體化、全面提高開放型經濟水準。</w:t>
            </w:r>
          </w:p>
          <w:p w14:paraId="772FE872" w14:textId="77777777" w:rsidR="00052596" w:rsidRDefault="00000000">
            <w:pPr>
              <w:overflowPunct w:val="0"/>
              <w:autoSpaceDE w:val="0"/>
              <w:spacing w:before="24" w:after="24" w:line="36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(二)策略方針：激發各類市場主體發展新活力、增強創新驅動發展新動力、建構現代產業發展新體系、培育開放型經濟發展新優勢等。</w:t>
            </w:r>
          </w:p>
          <w:p w14:paraId="03F55AC6" w14:textId="77777777" w:rsidR="00052596" w:rsidRDefault="00000000">
            <w:pPr>
              <w:overflowPunct w:val="0"/>
              <w:autoSpaceDE w:val="0"/>
              <w:spacing w:before="24" w:after="24" w:line="360" w:lineRule="exact"/>
              <w:ind w:left="709" w:right="72" w:hanging="397"/>
              <w:jc w:val="both"/>
              <w:textAlignment w:val="center"/>
              <w:rPr>
                <w:rFonts w:ascii="新細明體" w:hAnsi="新細明體"/>
                <w:bCs/>
                <w:spacing w:val="8"/>
                <w:kern w:val="0"/>
                <w:sz w:val="22"/>
                <w:szCs w:val="22"/>
              </w:rPr>
            </w:pPr>
            <w:r>
              <w:rPr>
                <w:rFonts w:ascii="新細明體" w:hAnsi="新細明體"/>
                <w:bCs/>
                <w:spacing w:val="8"/>
                <w:kern w:val="0"/>
                <w:sz w:val="22"/>
                <w:szCs w:val="22"/>
              </w:rPr>
              <w:t>(三)提振經濟成長新動能：擴大內需特別是消費需求；發展現代服務業與戰略性新興產業；促進科技進步、提高勞動素質、創新管理；推動節約資源與循環經濟；強化城鄉區域發展協調互動等。</w:t>
            </w:r>
          </w:p>
          <w:p w14:paraId="76A80D0E" w14:textId="77777777" w:rsidR="00052596" w:rsidRDefault="00000000">
            <w:pPr>
              <w:overflowPunct w:val="0"/>
              <w:autoSpaceDE w:val="0"/>
              <w:snapToGrid w:val="0"/>
              <w:spacing w:before="100" w:after="100" w:line="360" w:lineRule="exact"/>
              <w:ind w:left="74" w:right="72"/>
              <w:jc w:val="both"/>
              <w:textAlignment w:val="center"/>
              <w:rPr>
                <w:rFonts w:ascii="新細明體" w:hAnsi="新細明體"/>
                <w:bCs/>
                <w:spacing w:val="6"/>
                <w:kern w:val="0"/>
                <w:sz w:val="22"/>
                <w:szCs w:val="22"/>
              </w:rPr>
            </w:pPr>
            <w:r>
              <w:rPr>
                <w:rFonts w:ascii="新細明體" w:hAnsi="新細明體"/>
                <w:bCs/>
                <w:spacing w:val="6"/>
                <w:kern w:val="0"/>
                <w:sz w:val="22"/>
                <w:szCs w:val="22"/>
              </w:rPr>
              <w:t>資料來源：經建會整理。</w:t>
            </w:r>
          </w:p>
        </w:tc>
      </w:tr>
    </w:tbl>
    <w:p w14:paraId="1D4801E0" w14:textId="77777777" w:rsidR="00052596" w:rsidRDefault="00000000">
      <w:pPr>
        <w:tabs>
          <w:tab w:val="left" w:pos="960"/>
          <w:tab w:val="left" w:pos="1920"/>
          <w:tab w:val="left" w:pos="2880"/>
          <w:tab w:val="left" w:pos="3840"/>
          <w:tab w:val="left" w:pos="4800"/>
          <w:tab w:val="left" w:pos="5760"/>
        </w:tabs>
        <w:overflowPunct w:val="0"/>
        <w:autoSpaceDE w:val="0"/>
        <w:spacing w:before="240"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印度</w:t>
      </w:r>
    </w:p>
    <w:p w14:paraId="6E7CA6D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ascii="標楷體" w:eastAsia="標楷體" w:hAnsi="標楷體"/>
          <w:spacing w:val="4"/>
          <w:kern w:val="0"/>
          <w:sz w:val="28"/>
          <w:szCs w:val="22"/>
        </w:rPr>
        <w:t>－</w:t>
      </w:r>
      <w:r>
        <w:rPr>
          <w:rFonts w:eastAsia="標楷體"/>
          <w:spacing w:val="4"/>
          <w:kern w:val="0"/>
          <w:sz w:val="28"/>
          <w:szCs w:val="22"/>
        </w:rPr>
        <w:t>2013</w:t>
      </w:r>
      <w:r>
        <w:rPr>
          <w:rFonts w:eastAsia="標楷體"/>
          <w:spacing w:val="4"/>
          <w:kern w:val="0"/>
          <w:sz w:val="28"/>
          <w:szCs w:val="22"/>
        </w:rPr>
        <w:t>年，印度經濟續受國內通貨膨脹壓力、政經改革遲緩等因素衝擊，惟其具備高儲蓄率與高投資率、年輕勞動人口眾多，以及中產階級快速擴張等有利條件，經濟成長率可望由</w:t>
      </w:r>
      <w:r>
        <w:rPr>
          <w:rFonts w:eastAsia="標楷體"/>
          <w:spacing w:val="4"/>
          <w:kern w:val="0"/>
          <w:sz w:val="28"/>
          <w:szCs w:val="22"/>
        </w:rPr>
        <w:t>2012</w:t>
      </w:r>
      <w:r>
        <w:rPr>
          <w:rFonts w:eastAsia="標楷體"/>
          <w:spacing w:val="4"/>
          <w:kern w:val="0"/>
          <w:sz w:val="28"/>
          <w:szCs w:val="22"/>
        </w:rPr>
        <w:t>年的</w:t>
      </w:r>
      <w:r>
        <w:rPr>
          <w:rFonts w:eastAsia="標楷體"/>
          <w:spacing w:val="4"/>
          <w:kern w:val="0"/>
          <w:sz w:val="28"/>
          <w:szCs w:val="22"/>
        </w:rPr>
        <w:t>5.1%</w:t>
      </w:r>
      <w:r>
        <w:rPr>
          <w:rFonts w:eastAsia="標楷體"/>
          <w:spacing w:val="4"/>
          <w:kern w:val="0"/>
          <w:sz w:val="28"/>
          <w:szCs w:val="22"/>
        </w:rPr>
        <w:t>，回升至</w:t>
      </w:r>
      <w:r>
        <w:rPr>
          <w:rFonts w:eastAsia="標楷體"/>
          <w:spacing w:val="4"/>
          <w:kern w:val="0"/>
          <w:sz w:val="28"/>
          <w:szCs w:val="22"/>
        </w:rPr>
        <w:t>5.8%</w:t>
      </w:r>
      <w:r>
        <w:rPr>
          <w:rFonts w:eastAsia="標楷體"/>
          <w:spacing w:val="4"/>
          <w:kern w:val="0"/>
          <w:sz w:val="28"/>
          <w:szCs w:val="22"/>
        </w:rPr>
        <w:t>。</w:t>
      </w:r>
    </w:p>
    <w:p w14:paraId="3F1A913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中期而言，印度政府將致力於推動基礎建設，強化產業發展、促進投資及擴大財政改革幅度與執行效率等措施，期達成降低通貨膨脹、縮減經常帳赤字、促進永續性及包容性的經濟成長等目標，預估</w:t>
      </w:r>
      <w:r>
        <w:rPr>
          <w:rFonts w:eastAsia="標楷體"/>
          <w:spacing w:val="4"/>
          <w:kern w:val="0"/>
          <w:sz w:val="28"/>
          <w:szCs w:val="22"/>
        </w:rPr>
        <w:t>2013</w:t>
      </w:r>
      <w:r>
        <w:rPr>
          <w:rFonts w:eastAsia="標楷體"/>
          <w:spacing w:val="4"/>
          <w:kern w:val="0"/>
          <w:sz w:val="28"/>
          <w:szCs w:val="22"/>
        </w:rPr>
        <w:t>至</w:t>
      </w:r>
      <w:r>
        <w:rPr>
          <w:rFonts w:eastAsia="標楷體"/>
          <w:spacing w:val="4"/>
          <w:kern w:val="0"/>
          <w:sz w:val="28"/>
          <w:szCs w:val="22"/>
        </w:rPr>
        <w:t>2016</w:t>
      </w:r>
      <w:r>
        <w:rPr>
          <w:rFonts w:eastAsia="標楷體"/>
          <w:spacing w:val="4"/>
          <w:kern w:val="0"/>
          <w:sz w:val="28"/>
          <w:szCs w:val="22"/>
        </w:rPr>
        <w:t>年間平均成長率可達</w:t>
      </w:r>
      <w:r>
        <w:rPr>
          <w:rFonts w:eastAsia="標楷體"/>
          <w:spacing w:val="4"/>
          <w:kern w:val="0"/>
          <w:sz w:val="28"/>
          <w:szCs w:val="22"/>
        </w:rPr>
        <w:t>7.2%</w:t>
      </w:r>
      <w:r>
        <w:rPr>
          <w:rFonts w:eastAsia="標楷體"/>
          <w:spacing w:val="4"/>
          <w:kern w:val="0"/>
          <w:sz w:val="28"/>
          <w:szCs w:val="22"/>
        </w:rPr>
        <w:t>，對全球經濟成長貢獻率為</w:t>
      </w:r>
      <w:r>
        <w:rPr>
          <w:rFonts w:eastAsia="標楷體"/>
          <w:spacing w:val="4"/>
          <w:kern w:val="0"/>
          <w:sz w:val="28"/>
          <w:szCs w:val="22"/>
        </w:rPr>
        <w:t>6.3%</w:t>
      </w:r>
      <w:r>
        <w:rPr>
          <w:rFonts w:eastAsia="標楷體"/>
          <w:spacing w:val="4"/>
          <w:kern w:val="0"/>
          <w:sz w:val="28"/>
          <w:szCs w:val="22"/>
        </w:rPr>
        <w:t>。</w:t>
      </w:r>
    </w:p>
    <w:p w14:paraId="794149C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亞洲四小龍：貿易向為亞洲四小龍主要成長引擎，</w:t>
      </w:r>
      <w:r>
        <w:rPr>
          <w:rFonts w:eastAsia="標楷體"/>
          <w:spacing w:val="4"/>
          <w:kern w:val="0"/>
          <w:sz w:val="28"/>
          <w:szCs w:val="26"/>
        </w:rPr>
        <w:t>2013</w:t>
      </w:r>
      <w:r>
        <w:rPr>
          <w:rFonts w:eastAsia="標楷體"/>
          <w:spacing w:val="4"/>
          <w:kern w:val="0"/>
          <w:sz w:val="28"/>
          <w:szCs w:val="26"/>
        </w:rPr>
        <w:t>年，隨著全球經濟緩步成長，可望帶動投資及出口成長回穩，預估平均經濟成長率將回升至</w:t>
      </w:r>
      <w:r>
        <w:rPr>
          <w:rFonts w:eastAsia="標楷體"/>
          <w:spacing w:val="4"/>
          <w:kern w:val="0"/>
          <w:sz w:val="28"/>
          <w:szCs w:val="26"/>
        </w:rPr>
        <w:t>2.7%</w:t>
      </w:r>
      <w:r>
        <w:rPr>
          <w:rFonts w:eastAsia="標楷體"/>
          <w:spacing w:val="4"/>
          <w:kern w:val="0"/>
          <w:sz w:val="28"/>
          <w:szCs w:val="26"/>
        </w:rPr>
        <w:t>。另預估</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年間平均經濟成長率為</w:t>
      </w:r>
      <w:r>
        <w:rPr>
          <w:rFonts w:eastAsia="標楷體"/>
          <w:spacing w:val="4"/>
          <w:kern w:val="0"/>
          <w:sz w:val="28"/>
          <w:szCs w:val="26"/>
        </w:rPr>
        <w:t>3.8%</w:t>
      </w:r>
      <w:r>
        <w:rPr>
          <w:rFonts w:eastAsia="標楷體"/>
          <w:spacing w:val="4"/>
          <w:kern w:val="0"/>
          <w:sz w:val="28"/>
          <w:szCs w:val="26"/>
        </w:rPr>
        <w:t>，占全球實質</w:t>
      </w:r>
      <w:r>
        <w:rPr>
          <w:rFonts w:eastAsia="標楷體"/>
          <w:spacing w:val="4"/>
          <w:kern w:val="0"/>
          <w:sz w:val="28"/>
          <w:szCs w:val="26"/>
        </w:rPr>
        <w:t>GDP</w:t>
      </w:r>
      <w:r>
        <w:rPr>
          <w:rFonts w:eastAsia="標楷體"/>
          <w:spacing w:val="4"/>
          <w:kern w:val="0"/>
          <w:sz w:val="28"/>
          <w:szCs w:val="26"/>
        </w:rPr>
        <w:t>比率則為</w:t>
      </w:r>
      <w:r>
        <w:rPr>
          <w:rFonts w:eastAsia="標楷體"/>
          <w:spacing w:val="4"/>
          <w:kern w:val="0"/>
          <w:sz w:val="28"/>
          <w:szCs w:val="26"/>
        </w:rPr>
        <w:t>3.7%</w:t>
      </w:r>
      <w:r>
        <w:rPr>
          <w:rFonts w:eastAsia="標楷體"/>
          <w:spacing w:val="4"/>
          <w:kern w:val="0"/>
          <w:sz w:val="28"/>
          <w:szCs w:val="26"/>
        </w:rPr>
        <w:t>。</w:t>
      </w:r>
    </w:p>
    <w:p w14:paraId="58B8925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東協四國：</w:t>
      </w:r>
      <w:r>
        <w:rPr>
          <w:rFonts w:eastAsia="標楷體"/>
          <w:spacing w:val="4"/>
          <w:kern w:val="0"/>
          <w:sz w:val="28"/>
          <w:szCs w:val="26"/>
        </w:rPr>
        <w:t>2013</w:t>
      </w:r>
      <w:r>
        <w:rPr>
          <w:rFonts w:eastAsia="標楷體"/>
          <w:spacing w:val="4"/>
          <w:kern w:val="0"/>
          <w:sz w:val="28"/>
          <w:szCs w:val="26"/>
        </w:rPr>
        <w:t>年，外在需求為影響東協四國經濟成長的主要風險，預估平均經濟成長率將由</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5.8%</w:t>
      </w:r>
      <w:r>
        <w:rPr>
          <w:rFonts w:eastAsia="標楷體"/>
          <w:spacing w:val="4"/>
          <w:kern w:val="0"/>
          <w:sz w:val="28"/>
          <w:szCs w:val="26"/>
        </w:rPr>
        <w:t>減緩為</w:t>
      </w:r>
      <w:r>
        <w:rPr>
          <w:rFonts w:eastAsia="標楷體"/>
          <w:spacing w:val="4"/>
          <w:kern w:val="0"/>
          <w:sz w:val="28"/>
          <w:szCs w:val="26"/>
        </w:rPr>
        <w:t>5.1%</w:t>
      </w:r>
      <w:r>
        <w:rPr>
          <w:rFonts w:eastAsia="標楷體"/>
          <w:spacing w:val="4"/>
          <w:kern w:val="0"/>
          <w:sz w:val="28"/>
          <w:szCs w:val="26"/>
        </w:rPr>
        <w:t>。中期而言，東協四國受惠於區域經濟整合所帶動的強勁內需及活絡的區域貿易，加以各國持續推動經濟結構調整，經濟仍將穩健成長，預估</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年間平均經濟成長率為</w:t>
      </w:r>
      <w:r>
        <w:rPr>
          <w:rFonts w:eastAsia="標楷體"/>
          <w:spacing w:val="4"/>
          <w:kern w:val="0"/>
          <w:sz w:val="28"/>
          <w:szCs w:val="26"/>
        </w:rPr>
        <w:t>5.4%</w:t>
      </w:r>
      <w:r>
        <w:rPr>
          <w:rFonts w:eastAsia="標楷體"/>
          <w:spacing w:val="4"/>
          <w:kern w:val="0"/>
          <w:sz w:val="28"/>
          <w:szCs w:val="26"/>
        </w:rPr>
        <w:t>，占全球實質</w:t>
      </w:r>
      <w:r>
        <w:rPr>
          <w:rFonts w:eastAsia="標楷體"/>
          <w:spacing w:val="4"/>
          <w:kern w:val="0"/>
          <w:sz w:val="28"/>
          <w:szCs w:val="26"/>
        </w:rPr>
        <w:t>GDP</w:t>
      </w:r>
      <w:r>
        <w:rPr>
          <w:rFonts w:eastAsia="標楷體"/>
          <w:spacing w:val="4"/>
          <w:kern w:val="0"/>
          <w:sz w:val="28"/>
          <w:szCs w:val="26"/>
        </w:rPr>
        <w:t>比率為</w:t>
      </w:r>
      <w:r>
        <w:rPr>
          <w:rFonts w:eastAsia="標楷體"/>
          <w:spacing w:val="4"/>
          <w:kern w:val="0"/>
          <w:sz w:val="28"/>
          <w:szCs w:val="26"/>
        </w:rPr>
        <w:t>1.9%</w:t>
      </w:r>
      <w:r>
        <w:rPr>
          <w:rFonts w:eastAsia="標楷體"/>
          <w:spacing w:val="4"/>
          <w:kern w:val="0"/>
          <w:sz w:val="28"/>
          <w:szCs w:val="26"/>
        </w:rPr>
        <w:t>。</w:t>
      </w:r>
    </w:p>
    <w:p w14:paraId="3BD1EF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(二)拉丁美洲新興經濟體</w:t>
      </w:r>
    </w:p>
    <w:p w14:paraId="7FD5B6C1"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拉丁美洲新興經濟體近年受惠於國際商品市場持續活絡，外資挹注提高生產，以及積極性財經政策等有利因素帶動，</w:t>
      </w:r>
      <w:r>
        <w:rPr>
          <w:rFonts w:eastAsia="標楷體"/>
          <w:spacing w:val="4"/>
          <w:kern w:val="0"/>
          <w:sz w:val="28"/>
          <w:szCs w:val="26"/>
        </w:rPr>
        <w:t>2013</w:t>
      </w:r>
      <w:r>
        <w:rPr>
          <w:rFonts w:eastAsia="標楷體"/>
          <w:spacing w:val="4"/>
          <w:kern w:val="0"/>
          <w:sz w:val="28"/>
          <w:szCs w:val="26"/>
        </w:rPr>
        <w:t>年經濟成長率將由</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2.7%</w:t>
      </w:r>
      <w:r>
        <w:rPr>
          <w:rFonts w:eastAsia="標楷體"/>
          <w:spacing w:val="4"/>
          <w:kern w:val="0"/>
          <w:sz w:val="28"/>
          <w:szCs w:val="26"/>
        </w:rPr>
        <w:t>，回升為</w:t>
      </w:r>
      <w:r>
        <w:rPr>
          <w:rFonts w:eastAsia="標楷體"/>
          <w:spacing w:val="4"/>
          <w:kern w:val="0"/>
          <w:sz w:val="28"/>
          <w:szCs w:val="26"/>
        </w:rPr>
        <w:t>3.5%</w:t>
      </w:r>
      <w:r>
        <w:rPr>
          <w:rFonts w:eastAsia="標楷體"/>
          <w:spacing w:val="4"/>
          <w:kern w:val="0"/>
          <w:sz w:val="28"/>
          <w:szCs w:val="26"/>
        </w:rPr>
        <w:t>。預估</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年平均經濟成長率</w:t>
      </w:r>
      <w:r>
        <w:rPr>
          <w:rFonts w:eastAsia="標楷體"/>
          <w:spacing w:val="4"/>
          <w:kern w:val="0"/>
          <w:sz w:val="28"/>
          <w:szCs w:val="26"/>
        </w:rPr>
        <w:t>4.1%</w:t>
      </w:r>
      <w:r>
        <w:rPr>
          <w:rFonts w:eastAsia="標楷體"/>
          <w:spacing w:val="4"/>
          <w:kern w:val="0"/>
          <w:sz w:val="28"/>
          <w:szCs w:val="26"/>
        </w:rPr>
        <w:t>，占全球實質</w:t>
      </w:r>
      <w:r>
        <w:rPr>
          <w:rFonts w:eastAsia="標楷體"/>
          <w:spacing w:val="4"/>
          <w:kern w:val="0"/>
          <w:sz w:val="28"/>
          <w:szCs w:val="26"/>
        </w:rPr>
        <w:t>GDP</w:t>
      </w:r>
      <w:r>
        <w:rPr>
          <w:rFonts w:eastAsia="標楷體"/>
          <w:spacing w:val="4"/>
          <w:kern w:val="0"/>
          <w:sz w:val="28"/>
          <w:szCs w:val="26"/>
        </w:rPr>
        <w:t>比率升為</w:t>
      </w:r>
      <w:r>
        <w:rPr>
          <w:rFonts w:eastAsia="標楷體"/>
          <w:spacing w:val="4"/>
          <w:kern w:val="0"/>
          <w:sz w:val="28"/>
          <w:szCs w:val="26"/>
        </w:rPr>
        <w:t>5.6%</w:t>
      </w:r>
      <w:r>
        <w:rPr>
          <w:rFonts w:eastAsia="標楷體"/>
          <w:spacing w:val="4"/>
          <w:kern w:val="0"/>
          <w:sz w:val="28"/>
          <w:szCs w:val="26"/>
        </w:rPr>
        <w:t>。其中，第一大國巴西為「</w:t>
      </w:r>
      <w:r>
        <w:rPr>
          <w:rFonts w:eastAsia="標楷體"/>
          <w:spacing w:val="4"/>
          <w:kern w:val="0"/>
          <w:sz w:val="28"/>
          <w:szCs w:val="26"/>
        </w:rPr>
        <w:t>2014</w:t>
      </w:r>
      <w:r>
        <w:rPr>
          <w:rFonts w:eastAsia="標楷體"/>
          <w:spacing w:val="4"/>
          <w:kern w:val="0"/>
          <w:sz w:val="28"/>
          <w:szCs w:val="26"/>
        </w:rPr>
        <w:t>年世界盃足球賽」及「</w:t>
      </w:r>
      <w:r>
        <w:rPr>
          <w:rFonts w:eastAsia="標楷體"/>
          <w:spacing w:val="4"/>
          <w:kern w:val="0"/>
          <w:sz w:val="28"/>
          <w:szCs w:val="26"/>
        </w:rPr>
        <w:t>2016</w:t>
      </w:r>
      <w:r>
        <w:rPr>
          <w:rFonts w:eastAsia="標楷體"/>
          <w:spacing w:val="4"/>
          <w:kern w:val="0"/>
          <w:sz w:val="28"/>
          <w:szCs w:val="26"/>
        </w:rPr>
        <w:t>年夏季奧運」主辦國，為籌辦國際賽事勢將大量投入基礎建設，預估未來四年平均經濟成長率為</w:t>
      </w:r>
      <w:r>
        <w:rPr>
          <w:rFonts w:eastAsia="標楷體"/>
          <w:spacing w:val="4"/>
          <w:kern w:val="0"/>
          <w:sz w:val="28"/>
          <w:szCs w:val="26"/>
        </w:rPr>
        <w:t>4.2%</w:t>
      </w:r>
      <w:r>
        <w:rPr>
          <w:rFonts w:eastAsia="標楷體"/>
          <w:spacing w:val="4"/>
          <w:kern w:val="0"/>
          <w:sz w:val="28"/>
          <w:szCs w:val="26"/>
        </w:rPr>
        <w:t>，略高於金融海嘯後</w:t>
      </w:r>
      <w:r>
        <w:rPr>
          <w:rFonts w:eastAsia="標楷體"/>
          <w:spacing w:val="4"/>
          <w:kern w:val="0"/>
          <w:sz w:val="28"/>
          <w:szCs w:val="26"/>
        </w:rPr>
        <w:t>2010</w:t>
      </w:r>
      <w:r>
        <w:rPr>
          <w:rFonts w:eastAsia="標楷體"/>
          <w:spacing w:val="4"/>
          <w:kern w:val="0"/>
          <w:sz w:val="28"/>
          <w:szCs w:val="26"/>
        </w:rPr>
        <w:t>至</w:t>
      </w:r>
      <w:r>
        <w:rPr>
          <w:rFonts w:eastAsia="標楷體"/>
          <w:spacing w:val="4"/>
          <w:kern w:val="0"/>
          <w:sz w:val="28"/>
          <w:szCs w:val="26"/>
        </w:rPr>
        <w:t>2012</w:t>
      </w:r>
      <w:r>
        <w:rPr>
          <w:rFonts w:eastAsia="標楷體"/>
          <w:spacing w:val="4"/>
          <w:kern w:val="0"/>
          <w:sz w:val="28"/>
          <w:szCs w:val="26"/>
        </w:rPr>
        <w:t>年平均之</w:t>
      </w:r>
      <w:r>
        <w:rPr>
          <w:rFonts w:eastAsia="標楷體"/>
          <w:spacing w:val="4"/>
          <w:kern w:val="0"/>
          <w:sz w:val="28"/>
          <w:szCs w:val="26"/>
        </w:rPr>
        <w:t>3.8%</w:t>
      </w:r>
      <w:r>
        <w:rPr>
          <w:rFonts w:eastAsia="標楷體"/>
          <w:spacing w:val="4"/>
          <w:kern w:val="0"/>
          <w:sz w:val="28"/>
          <w:szCs w:val="26"/>
        </w:rPr>
        <w:t>。</w:t>
      </w:r>
    </w:p>
    <w:p w14:paraId="44D1184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(三)東歐／中東與非洲新興經濟體</w:t>
      </w:r>
    </w:p>
    <w:p w14:paraId="249C3F1F"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東歐／中東與非洲新興經濟體近年來雖因油價上漲獲利，然部分國家遭逢政治衝突與社會動亂，影響觀光與外資流入，不利經濟與產業發展，預估</w:t>
      </w:r>
      <w:r>
        <w:rPr>
          <w:rFonts w:eastAsia="標楷體"/>
          <w:spacing w:val="4"/>
          <w:kern w:val="0"/>
          <w:sz w:val="28"/>
          <w:szCs w:val="26"/>
        </w:rPr>
        <w:t>2013</w:t>
      </w:r>
      <w:r>
        <w:rPr>
          <w:rFonts w:eastAsia="標楷體"/>
          <w:spacing w:val="4"/>
          <w:kern w:val="0"/>
          <w:sz w:val="28"/>
          <w:szCs w:val="26"/>
        </w:rPr>
        <w:t>年經濟成長率為</w:t>
      </w:r>
      <w:r>
        <w:rPr>
          <w:rFonts w:eastAsia="標楷體"/>
          <w:spacing w:val="4"/>
          <w:kern w:val="0"/>
          <w:sz w:val="28"/>
          <w:szCs w:val="26"/>
        </w:rPr>
        <w:t>2.7%</w:t>
      </w:r>
      <w:r>
        <w:rPr>
          <w:rFonts w:eastAsia="標楷體"/>
          <w:spacing w:val="4"/>
          <w:kern w:val="0"/>
          <w:sz w:val="28"/>
          <w:szCs w:val="26"/>
        </w:rPr>
        <w:t>，與</w:t>
      </w:r>
      <w:r>
        <w:rPr>
          <w:rFonts w:eastAsia="標楷體"/>
          <w:spacing w:val="4"/>
          <w:kern w:val="0"/>
          <w:sz w:val="28"/>
          <w:szCs w:val="26"/>
        </w:rPr>
        <w:t>2012</w:t>
      </w:r>
      <w:r>
        <w:rPr>
          <w:rFonts w:eastAsia="標楷體"/>
          <w:spacing w:val="4"/>
          <w:kern w:val="0"/>
          <w:sz w:val="28"/>
          <w:szCs w:val="26"/>
        </w:rPr>
        <w:t>年相當；</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年平均經濟成長率為</w:t>
      </w:r>
      <w:r>
        <w:rPr>
          <w:rFonts w:eastAsia="標楷體"/>
          <w:spacing w:val="4"/>
          <w:kern w:val="0"/>
          <w:sz w:val="28"/>
          <w:szCs w:val="26"/>
        </w:rPr>
        <w:t>3.8%</w:t>
      </w:r>
      <w:r>
        <w:rPr>
          <w:rFonts w:eastAsia="標楷體"/>
          <w:spacing w:val="4"/>
          <w:kern w:val="0"/>
          <w:sz w:val="28"/>
          <w:szCs w:val="26"/>
        </w:rPr>
        <w:t>，占全球實質</w:t>
      </w:r>
      <w:r>
        <w:rPr>
          <w:rFonts w:eastAsia="標楷體"/>
          <w:spacing w:val="4"/>
          <w:kern w:val="0"/>
          <w:sz w:val="28"/>
          <w:szCs w:val="26"/>
        </w:rPr>
        <w:t>GDP</w:t>
      </w:r>
      <w:r>
        <w:rPr>
          <w:rFonts w:eastAsia="標楷體"/>
          <w:spacing w:val="4"/>
          <w:kern w:val="0"/>
          <w:sz w:val="28"/>
          <w:szCs w:val="26"/>
        </w:rPr>
        <w:t>比率則上升為</w:t>
      </w:r>
      <w:r>
        <w:rPr>
          <w:rFonts w:eastAsia="標楷體"/>
          <w:spacing w:val="4"/>
          <w:kern w:val="0"/>
          <w:sz w:val="28"/>
          <w:szCs w:val="26"/>
        </w:rPr>
        <w:t>6.4%</w:t>
      </w:r>
      <w:r>
        <w:rPr>
          <w:rFonts w:eastAsia="標楷體"/>
          <w:spacing w:val="4"/>
          <w:kern w:val="0"/>
          <w:sz w:val="28"/>
          <w:szCs w:val="26"/>
        </w:rPr>
        <w:t>。</w:t>
      </w:r>
    </w:p>
    <w:tbl>
      <w:tblPr>
        <w:tblW w:w="8708" w:type="dxa"/>
        <w:tblCellMar>
          <w:left w:w="10" w:type="dxa"/>
          <w:right w:w="10" w:type="dxa"/>
        </w:tblCellMar>
        <w:tblLook w:val="04A0" w:firstRow="1" w:lastRow="0" w:firstColumn="1" w:lastColumn="0" w:noHBand="0" w:noVBand="1"/>
      </w:tblPr>
      <w:tblGrid>
        <w:gridCol w:w="8708"/>
      </w:tblGrid>
      <w:tr w:rsidR="00052596" w14:paraId="50E539F8" w14:textId="77777777">
        <w:tblPrEx>
          <w:tblCellMar>
            <w:top w:w="0" w:type="dxa"/>
            <w:bottom w:w="0" w:type="dxa"/>
          </w:tblCellMar>
        </w:tblPrEx>
        <w:trPr>
          <w:trHeight w:val="12974"/>
        </w:trPr>
        <w:tc>
          <w:tcPr>
            <w:tcW w:w="8708" w:type="dxa"/>
            <w:tcBorders>
              <w:top w:val="single" w:sz="4" w:space="0" w:color="000000"/>
              <w:left w:val="single" w:sz="4" w:space="0" w:color="000000"/>
              <w:bottom w:val="single" w:sz="4" w:space="0" w:color="000000"/>
              <w:right w:val="single" w:sz="4" w:space="0" w:color="000000"/>
            </w:tcBorders>
            <w:shd w:val="clear" w:color="auto" w:fill="EFF5FF"/>
            <w:tcMar>
              <w:top w:w="0" w:type="dxa"/>
              <w:left w:w="108" w:type="dxa"/>
              <w:bottom w:w="0" w:type="dxa"/>
              <w:right w:w="108" w:type="dxa"/>
            </w:tcMar>
          </w:tcPr>
          <w:p w14:paraId="192E4302" w14:textId="77777777" w:rsidR="00052596" w:rsidRDefault="00000000">
            <w:pPr>
              <w:overflowPunct w:val="0"/>
              <w:autoSpaceDE w:val="0"/>
              <w:spacing w:before="168" w:after="168" w:line="320" w:lineRule="exact"/>
              <w:jc w:val="center"/>
              <w:textAlignment w:val="center"/>
            </w:pPr>
            <w:r>
              <w:rPr>
                <w:rFonts w:ascii="新細明體" w:hAnsi="新細明體"/>
                <w:b/>
                <w:color w:val="0000FF"/>
                <w:spacing w:val="14"/>
                <w:kern w:val="0"/>
                <w:szCs w:val="24"/>
              </w:rPr>
              <w:lastRenderedPageBreak/>
              <w:t>ADB對亞洲國家經濟結構調整之政策建議</w:t>
            </w:r>
          </w:p>
          <w:p w14:paraId="1ECD66CA" w14:textId="77777777" w:rsidR="00052596" w:rsidRDefault="00000000">
            <w:pPr>
              <w:overflowPunct w:val="0"/>
              <w:autoSpaceDE w:val="0"/>
              <w:spacing w:line="306"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2008年金融海嘯重創全球經濟，亞洲國家亦受嚴重衝擊。亞洲開發銀行(ADB)於2012年5月發表「亞洲國家如何因應全球經濟危機並進行轉型」報告指出，面對美國、歐盟等先進經濟體陷入長期經濟重整的「新常態」(new normal)局勢，亞洲必須為提振全球經濟成長動能擔負更多責任，各國應持續推動經濟結構調整，於促進經濟成長與創造就業機會的同時，兼顧環境永續性及社會包容性，各項政策建議如次：</w:t>
            </w:r>
          </w:p>
          <w:p w14:paraId="48ED1CAA" w14:textId="77777777" w:rsidR="00052596" w:rsidRDefault="00000000">
            <w:pPr>
              <w:overflowPunct w:val="0"/>
              <w:autoSpaceDE w:val="0"/>
              <w:spacing w:line="306" w:lineRule="exact"/>
              <w:ind w:left="418" w:right="72" w:hanging="418"/>
              <w:jc w:val="both"/>
              <w:textAlignment w:val="center"/>
            </w:pPr>
            <w:r>
              <w:rPr>
                <w:rFonts w:ascii="新細明體" w:hAnsi="新細明體"/>
                <w:b/>
                <w:bCs/>
                <w:color w:val="0000FF"/>
                <w:spacing w:val="8"/>
                <w:kern w:val="0"/>
                <w:sz w:val="22"/>
                <w:szCs w:val="22"/>
              </w:rPr>
              <w:t>一、積極擴大內需市場</w:t>
            </w:r>
            <w:r>
              <w:rPr>
                <w:rFonts w:ascii="新細明體" w:hAnsi="新細明體"/>
                <w:b/>
                <w:bCs/>
                <w:spacing w:val="8"/>
                <w:kern w:val="0"/>
                <w:sz w:val="22"/>
                <w:szCs w:val="22"/>
              </w:rPr>
              <w:t>：</w:t>
            </w:r>
            <w:r>
              <w:rPr>
                <w:rFonts w:ascii="新細明體" w:hAnsi="新細明體"/>
                <w:bCs/>
                <w:spacing w:val="8"/>
                <w:kern w:val="0"/>
                <w:sz w:val="22"/>
                <w:szCs w:val="22"/>
              </w:rPr>
              <w:t>高度依賴出口的國家須採行擴大內需政策，增加社會支出、改善融資管道，以降低家庭儲蓄並刺激消費。</w:t>
            </w:r>
          </w:p>
          <w:p w14:paraId="4B7171F6" w14:textId="77777777" w:rsidR="00052596" w:rsidRDefault="00000000">
            <w:pPr>
              <w:overflowPunct w:val="0"/>
              <w:autoSpaceDE w:val="0"/>
              <w:spacing w:line="306" w:lineRule="exact"/>
              <w:ind w:left="672" w:right="72" w:hanging="252"/>
              <w:jc w:val="both"/>
              <w:textAlignment w:val="center"/>
              <w:rPr>
                <w:rFonts w:ascii="新細明體" w:hAnsi="新細明體"/>
                <w:bCs/>
                <w:spacing w:val="8"/>
                <w:kern w:val="0"/>
                <w:sz w:val="22"/>
                <w:szCs w:val="22"/>
              </w:rPr>
            </w:pPr>
            <w:r>
              <w:rPr>
                <w:rFonts w:ascii="新細明體" w:hAnsi="新細明體"/>
                <w:bCs/>
                <w:spacing w:val="8"/>
                <w:kern w:val="0"/>
                <w:sz w:val="22"/>
                <w:szCs w:val="22"/>
              </w:rPr>
              <w:t>－增加政府投資以帶動民間投資，提高健康、教育及糧食安全支出，以改善弱勢族群經濟條件，並於基礎設施支出中增加綠色投資。</w:t>
            </w:r>
          </w:p>
          <w:p w14:paraId="5A2DB9CA" w14:textId="77777777" w:rsidR="00052596" w:rsidRDefault="00000000">
            <w:pPr>
              <w:overflowPunct w:val="0"/>
              <w:autoSpaceDE w:val="0"/>
              <w:spacing w:line="306" w:lineRule="exact"/>
              <w:ind w:left="672" w:right="72" w:hanging="252"/>
              <w:jc w:val="both"/>
              <w:textAlignment w:val="center"/>
              <w:rPr>
                <w:rFonts w:ascii="新細明體" w:hAnsi="新細明體"/>
                <w:bCs/>
                <w:spacing w:val="8"/>
                <w:kern w:val="0"/>
                <w:sz w:val="22"/>
                <w:szCs w:val="22"/>
              </w:rPr>
            </w:pPr>
            <w:r>
              <w:rPr>
                <w:rFonts w:ascii="新細明體" w:hAnsi="新細明體"/>
                <w:bCs/>
                <w:spacing w:val="8"/>
                <w:kern w:val="0"/>
                <w:sz w:val="22"/>
                <w:szCs w:val="22"/>
              </w:rPr>
              <w:t>－政府應加強金融部門的發展、強化金融知識的普及、促進金融的包容性(financial inclusion)，以利執行擴大內需政策。例如，導引家庭儲蓄至生產用途、降低借貸成本、提供經濟弱勢族群金融服務等。</w:t>
            </w:r>
          </w:p>
          <w:p w14:paraId="273D68E7" w14:textId="77777777" w:rsidR="00052596" w:rsidRDefault="00000000">
            <w:pPr>
              <w:overflowPunct w:val="0"/>
              <w:autoSpaceDE w:val="0"/>
              <w:spacing w:line="306" w:lineRule="exact"/>
              <w:ind w:left="472" w:right="72" w:hanging="472"/>
              <w:jc w:val="both"/>
              <w:textAlignment w:val="center"/>
            </w:pPr>
            <w:r>
              <w:rPr>
                <w:rFonts w:ascii="新細明體" w:hAnsi="新細明體"/>
                <w:b/>
                <w:bCs/>
                <w:color w:val="0000FF"/>
                <w:spacing w:val="8"/>
                <w:kern w:val="0"/>
                <w:sz w:val="22"/>
                <w:szCs w:val="22"/>
              </w:rPr>
              <w:t>二、創造良好投資環境：</w:t>
            </w:r>
            <w:r>
              <w:rPr>
                <w:rFonts w:ascii="新細明體" w:hAnsi="新細明體"/>
                <w:bCs/>
                <w:spacing w:val="8"/>
                <w:kern w:val="0"/>
                <w:sz w:val="22"/>
                <w:szCs w:val="22"/>
              </w:rPr>
              <w:t>改善亞洲經商與投資環境，以提高區域投資需求。例如，提升基礎建設及人力資本、排除法規障礙、提供民間投資獎勵與誘因，以及創造公平的競爭環境等。</w:t>
            </w:r>
          </w:p>
          <w:p w14:paraId="79EE3CAF" w14:textId="77777777" w:rsidR="00052596" w:rsidRDefault="00000000">
            <w:pPr>
              <w:overflowPunct w:val="0"/>
              <w:autoSpaceDE w:val="0"/>
              <w:spacing w:line="306" w:lineRule="exact"/>
              <w:ind w:left="472" w:right="72" w:hanging="472"/>
              <w:jc w:val="both"/>
              <w:textAlignment w:val="center"/>
            </w:pPr>
            <w:r>
              <w:rPr>
                <w:rFonts w:ascii="新細明體" w:hAnsi="新細明體"/>
                <w:b/>
                <w:bCs/>
                <w:color w:val="0000FF"/>
                <w:spacing w:val="8"/>
                <w:kern w:val="0"/>
                <w:sz w:val="22"/>
                <w:szCs w:val="22"/>
              </w:rPr>
              <w:t>三、規劃產業轉型升級</w:t>
            </w:r>
            <w:r>
              <w:rPr>
                <w:rFonts w:ascii="新細明體" w:hAnsi="新細明體"/>
                <w:bCs/>
                <w:color w:val="0000FF"/>
                <w:spacing w:val="8"/>
                <w:kern w:val="0"/>
                <w:sz w:val="22"/>
                <w:szCs w:val="22"/>
              </w:rPr>
              <w:t>：</w:t>
            </w:r>
            <w:r>
              <w:rPr>
                <w:rFonts w:ascii="新細明體" w:hAnsi="新細明體"/>
                <w:bCs/>
                <w:spacing w:val="8"/>
                <w:kern w:val="0"/>
                <w:sz w:val="22"/>
                <w:szCs w:val="22"/>
              </w:rPr>
              <w:t xml:space="preserve">妥適規劃產業結構轉型，增加產品的附加價值及多樣性，以提升產業競爭力。當大型經濟體如中國大陸等朝高附加價值製造業升級、發展服務業，以及將中間產品及零組件委外生產時，亞洲其他中小型經濟體應填補其生產缺口。 </w:t>
            </w:r>
          </w:p>
          <w:p w14:paraId="439AEC73" w14:textId="77777777" w:rsidR="00052596" w:rsidRDefault="00000000">
            <w:pPr>
              <w:overflowPunct w:val="0"/>
              <w:autoSpaceDE w:val="0"/>
              <w:spacing w:line="306" w:lineRule="exact"/>
              <w:ind w:left="472" w:right="72" w:hanging="472"/>
              <w:jc w:val="both"/>
              <w:textAlignment w:val="center"/>
            </w:pPr>
            <w:r>
              <w:rPr>
                <w:rFonts w:ascii="新細明體" w:hAnsi="新細明體"/>
                <w:b/>
                <w:bCs/>
                <w:color w:val="0000FF"/>
                <w:spacing w:val="8"/>
                <w:kern w:val="0"/>
                <w:sz w:val="22"/>
                <w:szCs w:val="22"/>
              </w:rPr>
              <w:t>四、融入全球貿易體系：</w:t>
            </w:r>
            <w:r>
              <w:rPr>
                <w:rFonts w:ascii="新細明體" w:hAnsi="新細明體"/>
                <w:bCs/>
                <w:spacing w:val="8"/>
                <w:kern w:val="0"/>
                <w:sz w:val="22"/>
                <w:szCs w:val="22"/>
              </w:rPr>
              <w:t>貿易為推動亞洲經濟成長的關鍵，除進行區域內貿易外，仍應重視對美國及歐盟等先進經濟體之最終消費產品(final goods)出口。此外，應消除區域內貿易以及南南貿易發展之障礙，並推展洽簽自由貿易協定。</w:t>
            </w:r>
          </w:p>
          <w:p w14:paraId="296DE0C1" w14:textId="77777777" w:rsidR="00052596" w:rsidRDefault="00000000">
            <w:pPr>
              <w:overflowPunct w:val="0"/>
              <w:autoSpaceDE w:val="0"/>
              <w:spacing w:line="306" w:lineRule="exact"/>
              <w:ind w:left="503" w:right="72" w:hanging="503"/>
              <w:jc w:val="both"/>
              <w:textAlignment w:val="center"/>
            </w:pPr>
            <w:r>
              <w:rPr>
                <w:rFonts w:ascii="新細明體" w:hAnsi="新細明體"/>
                <w:b/>
                <w:bCs/>
                <w:color w:val="0000FF"/>
                <w:spacing w:val="8"/>
                <w:kern w:val="0"/>
                <w:sz w:val="22"/>
                <w:szCs w:val="22"/>
              </w:rPr>
              <w:t>五、</w:t>
            </w:r>
            <w:r>
              <w:rPr>
                <w:rFonts w:ascii="新細明體" w:hAnsi="新細明體"/>
                <w:b/>
                <w:bCs/>
                <w:color w:val="0000FF"/>
                <w:spacing w:val="8"/>
                <w:kern w:val="0"/>
                <w:sz w:val="22"/>
                <w:szCs w:val="22"/>
              </w:rPr>
              <w:tab/>
              <w:t>加強區域經濟合作：</w:t>
            </w:r>
            <w:r>
              <w:rPr>
                <w:rFonts w:ascii="新細明體" w:hAnsi="新細明體"/>
                <w:bCs/>
                <w:spacing w:val="8"/>
                <w:kern w:val="0"/>
                <w:sz w:val="22"/>
                <w:szCs w:val="22"/>
              </w:rPr>
              <w:t>隨著區域經濟整合深化，亞洲各國應建立更有效的政策對話及合作架構，並以基礎建設、匯率政策、貿易信貸(trade credit)、金融安全為四大優先合作領域。</w:t>
            </w:r>
          </w:p>
          <w:p w14:paraId="775411F2" w14:textId="77777777" w:rsidR="00052596" w:rsidRDefault="00000000">
            <w:pPr>
              <w:overflowPunct w:val="0"/>
              <w:autoSpaceDE w:val="0"/>
              <w:spacing w:line="306" w:lineRule="exact"/>
              <w:ind w:left="709" w:right="72" w:hanging="238"/>
              <w:jc w:val="both"/>
              <w:textAlignment w:val="center"/>
              <w:rPr>
                <w:rFonts w:ascii="新細明體" w:hAnsi="新細明體"/>
                <w:bCs/>
                <w:spacing w:val="8"/>
                <w:kern w:val="0"/>
                <w:sz w:val="22"/>
                <w:szCs w:val="22"/>
              </w:rPr>
            </w:pPr>
            <w:r>
              <w:rPr>
                <w:rFonts w:ascii="新細明體" w:hAnsi="新細明體"/>
                <w:bCs/>
                <w:spacing w:val="8"/>
                <w:kern w:val="0"/>
                <w:sz w:val="22"/>
                <w:szCs w:val="22"/>
              </w:rPr>
              <w:t>－縮小基礎建設落差為促進區域發展之關鍵要素，ADB指出，為激勵亞洲未來的經濟成長，2010至2020年間亞洲國家需投資約8.3兆美元於能源、電信、運輸、飲水供應及衛生系統等基礎建設，藉由發展泛亞(pan-Asia)基礎建設網絡，帶動區域內強勁需求，並透過建構偏遠及低所得國家的生產能力，促進區域內經濟包容性成長。</w:t>
            </w:r>
          </w:p>
          <w:p w14:paraId="6F4155D7" w14:textId="77777777" w:rsidR="00052596" w:rsidRDefault="00000000">
            <w:pPr>
              <w:overflowPunct w:val="0"/>
              <w:autoSpaceDE w:val="0"/>
              <w:spacing w:line="306" w:lineRule="exact"/>
              <w:ind w:left="709" w:right="72" w:hanging="238"/>
              <w:jc w:val="both"/>
              <w:textAlignment w:val="center"/>
              <w:rPr>
                <w:rFonts w:ascii="新細明體" w:hAnsi="新細明體"/>
                <w:bCs/>
                <w:spacing w:val="8"/>
                <w:kern w:val="0"/>
                <w:sz w:val="22"/>
                <w:szCs w:val="22"/>
              </w:rPr>
            </w:pPr>
            <w:r>
              <w:rPr>
                <w:rFonts w:ascii="新細明體" w:hAnsi="新細明體"/>
                <w:bCs/>
                <w:spacing w:val="8"/>
                <w:kern w:val="0"/>
                <w:sz w:val="22"/>
                <w:szCs w:val="22"/>
              </w:rPr>
              <w:t>－建立區域匯率政策協調機制，以公開透明的方式促使亞洲各國貨幣價位能反映其經濟基本面，藉以穩定區域經濟並防範貨幣戰爭，同時降低交易成本，促進區域貿易發展。</w:t>
            </w:r>
          </w:p>
          <w:p w14:paraId="38870CB8" w14:textId="77777777" w:rsidR="00052596" w:rsidRDefault="00000000">
            <w:pPr>
              <w:overflowPunct w:val="0"/>
              <w:autoSpaceDE w:val="0"/>
              <w:spacing w:line="306" w:lineRule="exact"/>
              <w:ind w:left="709" w:right="72" w:hanging="238"/>
              <w:jc w:val="both"/>
              <w:textAlignment w:val="center"/>
            </w:pPr>
            <w:r>
              <w:rPr>
                <w:rFonts w:ascii="新細明體" w:hAnsi="新細明體"/>
                <w:bCs/>
                <w:spacing w:val="8"/>
                <w:kern w:val="0"/>
                <w:sz w:val="22"/>
                <w:szCs w:val="22"/>
              </w:rPr>
              <w:t>－增加各國外匯準備部位(reserve position)及備用貸款額度(backup credit lines)、</w:t>
            </w:r>
            <w:r>
              <w:rPr>
                <w:rFonts w:ascii="新細明體" w:hAnsi="新細明體"/>
                <w:bCs/>
                <w:spacing w:val="6"/>
                <w:kern w:val="0"/>
                <w:sz w:val="22"/>
                <w:szCs w:val="22"/>
              </w:rPr>
              <w:t>建立或擴大雙邊換匯及結算機制，以強化因應國際貿易信貸市場波動的能力。</w:t>
            </w:r>
          </w:p>
          <w:p w14:paraId="2FFFD32D" w14:textId="77777777" w:rsidR="00052596" w:rsidRDefault="00000000">
            <w:pPr>
              <w:overflowPunct w:val="0"/>
              <w:autoSpaceDE w:val="0"/>
              <w:spacing w:line="306" w:lineRule="exact"/>
              <w:ind w:left="709" w:right="72" w:hanging="238"/>
              <w:jc w:val="both"/>
              <w:textAlignment w:val="center"/>
              <w:rPr>
                <w:rFonts w:ascii="新細明體" w:hAnsi="新細明體"/>
                <w:bCs/>
                <w:spacing w:val="8"/>
                <w:kern w:val="0"/>
                <w:sz w:val="22"/>
                <w:szCs w:val="22"/>
              </w:rPr>
            </w:pPr>
            <w:r>
              <w:rPr>
                <w:rFonts w:ascii="新細明體" w:hAnsi="新細明體"/>
                <w:bCs/>
                <w:spacing w:val="8"/>
                <w:kern w:val="0"/>
                <w:sz w:val="22"/>
                <w:szCs w:val="22"/>
              </w:rPr>
              <w:t>－建構區域金融安全網絡，透過審慎的金融監理機制，提高各國防範及因應區域金融危機的能力，並解決區域資金流動性問題。</w:t>
            </w:r>
          </w:p>
          <w:p w14:paraId="04552125" w14:textId="77777777" w:rsidR="00052596" w:rsidRDefault="00000000">
            <w:pPr>
              <w:overflowPunct w:val="0"/>
              <w:autoSpaceDE w:val="0"/>
              <w:spacing w:before="24" w:line="280" w:lineRule="exact"/>
              <w:ind w:left="1121" w:right="72" w:hanging="1066"/>
              <w:textAlignment w:val="center"/>
            </w:pPr>
            <w:r>
              <w:rPr>
                <w:rFonts w:ascii="新細明體" w:hAnsi="新細明體"/>
                <w:bCs/>
                <w:spacing w:val="6"/>
                <w:kern w:val="0"/>
                <w:sz w:val="21"/>
                <w:szCs w:val="21"/>
              </w:rPr>
              <w:t xml:space="preserve">資料來源：ADB, </w:t>
            </w:r>
            <w:r>
              <w:rPr>
                <w:rFonts w:ascii="新細明體" w:hAnsi="新細明體"/>
                <w:bCs/>
                <w:i/>
                <w:spacing w:val="6"/>
                <w:kern w:val="0"/>
                <w:sz w:val="21"/>
                <w:szCs w:val="21"/>
              </w:rPr>
              <w:t>How Can Asia Respond to Global Economic Crisis and Transformation?</w:t>
            </w:r>
            <w:r>
              <w:rPr>
                <w:rFonts w:ascii="新細明體" w:hAnsi="新細明體"/>
                <w:bCs/>
                <w:spacing w:val="6"/>
                <w:kern w:val="0"/>
                <w:sz w:val="21"/>
                <w:szCs w:val="21"/>
              </w:rPr>
              <w:t xml:space="preserve">, May </w:t>
            </w:r>
            <w:r>
              <w:rPr>
                <w:rFonts w:ascii="新細明體" w:hAnsi="新細明體"/>
                <w:bCs/>
                <w:spacing w:val="6"/>
                <w:kern w:val="0"/>
                <w:sz w:val="21"/>
                <w:szCs w:val="21"/>
              </w:rPr>
              <w:lastRenderedPageBreak/>
              <w:t>2012.</w:t>
            </w:r>
          </w:p>
        </w:tc>
      </w:tr>
    </w:tbl>
    <w:p w14:paraId="04EDBB69"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三、經濟復甦潛存風險</w:t>
      </w:r>
    </w:p>
    <w:p w14:paraId="2F3B563B"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根據</w:t>
      </w:r>
      <w:r>
        <w:rPr>
          <w:rFonts w:eastAsia="標楷體"/>
          <w:spacing w:val="4"/>
          <w:kern w:val="0"/>
          <w:sz w:val="28"/>
          <w:szCs w:val="26"/>
        </w:rPr>
        <w:t>IMF</w:t>
      </w:r>
      <w:r>
        <w:rPr>
          <w:rFonts w:eastAsia="標楷體"/>
          <w:spacing w:val="4"/>
          <w:kern w:val="0"/>
          <w:sz w:val="28"/>
          <w:szCs w:val="26"/>
        </w:rPr>
        <w:t>、</w:t>
      </w:r>
      <w:r>
        <w:rPr>
          <w:rFonts w:eastAsia="標楷體"/>
          <w:spacing w:val="4"/>
          <w:kern w:val="0"/>
          <w:sz w:val="28"/>
          <w:szCs w:val="26"/>
        </w:rPr>
        <w:t>GI</w:t>
      </w:r>
      <w:r>
        <w:rPr>
          <w:rFonts w:eastAsia="標楷體"/>
          <w:spacing w:val="4"/>
          <w:kern w:val="0"/>
          <w:sz w:val="28"/>
          <w:szCs w:val="26"/>
        </w:rPr>
        <w:t>等主要國際機構預測，</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年全球經濟可望溫和成長，惟仍潛存若干風險因素：</w:t>
      </w:r>
    </w:p>
    <w:p w14:paraId="1267D9E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(一)歐債危機遲未解決</w:t>
      </w:r>
    </w:p>
    <w:p w14:paraId="351FE6F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w:t>
      </w:r>
      <w:r>
        <w:rPr>
          <w:rFonts w:eastAsia="標楷體"/>
          <w:spacing w:val="4"/>
          <w:kern w:val="0"/>
          <w:sz w:val="28"/>
          <w:szCs w:val="26"/>
        </w:rPr>
        <w:t>2010</w:t>
      </w:r>
      <w:r>
        <w:rPr>
          <w:rFonts w:eastAsia="標楷體"/>
          <w:spacing w:val="4"/>
          <w:kern w:val="0"/>
          <w:sz w:val="28"/>
          <w:szCs w:val="26"/>
        </w:rPr>
        <w:t>年以來，希臘、愛爾蘭、葡萄牙、西班牙相繼爆發主權債信危機，歐元區第三大經濟體義大利之信用風險亦持續飆升，對經濟的負面影響已逐漸蔓延至德國、法國等歐元區核心國家。為穩定市場信心，歐盟、</w:t>
      </w:r>
      <w:r>
        <w:rPr>
          <w:rFonts w:eastAsia="標楷體"/>
          <w:spacing w:val="4"/>
          <w:kern w:val="0"/>
          <w:sz w:val="28"/>
          <w:szCs w:val="26"/>
        </w:rPr>
        <w:t>IMF</w:t>
      </w:r>
      <w:r>
        <w:rPr>
          <w:rFonts w:eastAsia="標楷體"/>
          <w:spacing w:val="4"/>
          <w:kern w:val="0"/>
          <w:sz w:val="28"/>
          <w:szCs w:val="26"/>
        </w:rPr>
        <w:t>、歐洲央行積極採行因應措施，以防止歐債危機引發全球經濟衰退。</w:t>
      </w:r>
    </w:p>
    <w:p w14:paraId="23EC35F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－中期而言，下列四大因素不利於歐元區經濟成長，包括：</w:t>
      </w:r>
      <w:r>
        <w:rPr>
          <w:rFonts w:eastAsia="標楷體"/>
          <w:spacing w:val="4"/>
          <w:kern w:val="0"/>
          <w:sz w:val="28"/>
          <w:szCs w:val="26"/>
        </w:rPr>
        <w:t>1.</w:t>
      </w:r>
      <w:r>
        <w:rPr>
          <w:rFonts w:eastAsia="標楷體"/>
          <w:spacing w:val="4"/>
          <w:kern w:val="0"/>
          <w:sz w:val="28"/>
          <w:szCs w:val="26"/>
        </w:rPr>
        <w:t>歐洲各國政府財政撙節，採行增稅與減支，抑制需求。</w:t>
      </w:r>
      <w:r>
        <w:rPr>
          <w:rFonts w:eastAsia="標楷體"/>
          <w:spacing w:val="4"/>
          <w:kern w:val="0"/>
          <w:sz w:val="28"/>
          <w:szCs w:val="26"/>
        </w:rPr>
        <w:t>2.</w:t>
      </w:r>
      <w:r>
        <w:rPr>
          <w:rFonts w:eastAsia="標楷體"/>
          <w:spacing w:val="4"/>
          <w:kern w:val="0"/>
          <w:sz w:val="28"/>
          <w:szCs w:val="26"/>
        </w:rPr>
        <w:t>銀行業經營因金融風暴受創，進而緊縮對企業的貸款與投資。</w:t>
      </w:r>
      <w:r>
        <w:rPr>
          <w:rFonts w:eastAsia="標楷體"/>
          <w:spacing w:val="4"/>
          <w:kern w:val="0"/>
          <w:sz w:val="28"/>
          <w:szCs w:val="26"/>
        </w:rPr>
        <w:t>3.</w:t>
      </w:r>
      <w:r>
        <w:rPr>
          <w:rFonts w:eastAsia="標楷體"/>
          <w:spacing w:val="4"/>
          <w:kern w:val="0"/>
          <w:sz w:val="28"/>
          <w:szCs w:val="26"/>
        </w:rPr>
        <w:t>減薪衝擊家庭預算，消費者因憂心經濟惡化而更為節省。</w:t>
      </w:r>
      <w:r>
        <w:rPr>
          <w:rFonts w:eastAsia="標楷體"/>
          <w:spacing w:val="4"/>
          <w:kern w:val="0"/>
          <w:sz w:val="28"/>
          <w:szCs w:val="26"/>
        </w:rPr>
        <w:t>4.</w:t>
      </w:r>
      <w:r>
        <w:rPr>
          <w:rFonts w:eastAsia="標楷體"/>
          <w:spacing w:val="4"/>
          <w:kern w:val="0"/>
          <w:sz w:val="28"/>
          <w:szCs w:val="26"/>
        </w:rPr>
        <w:t>部分國家勞動法規僵化，企業難以在景氣低迷時期裁員，致雇主不願增加聘僱，此外官僚</w:t>
      </w:r>
      <w:r>
        <w:rPr>
          <w:rFonts w:ascii="標楷體" w:eastAsia="標楷體" w:hAnsi="標楷體"/>
          <w:spacing w:val="4"/>
          <w:kern w:val="0"/>
          <w:sz w:val="28"/>
          <w:szCs w:val="26"/>
        </w:rPr>
        <w:t>(</w:t>
      </w:r>
      <w:r>
        <w:rPr>
          <w:rFonts w:eastAsia="標楷體"/>
          <w:spacing w:val="4"/>
          <w:kern w:val="0"/>
          <w:sz w:val="28"/>
          <w:szCs w:val="26"/>
        </w:rPr>
        <w:t>bureaucracy</w:t>
      </w:r>
      <w:r>
        <w:rPr>
          <w:rFonts w:ascii="標楷體" w:eastAsia="標楷體" w:hAnsi="標楷體"/>
          <w:spacing w:val="4"/>
          <w:kern w:val="0"/>
          <w:sz w:val="28"/>
          <w:szCs w:val="26"/>
        </w:rPr>
        <w:t>)</w:t>
      </w:r>
      <w:r>
        <w:rPr>
          <w:rFonts w:eastAsia="標楷體"/>
          <w:spacing w:val="4"/>
          <w:kern w:val="0"/>
          <w:sz w:val="28"/>
          <w:szCs w:val="26"/>
        </w:rPr>
        <w:t>體制繁複的行政程序，亦阻礙企業創業及出口。</w:t>
      </w:r>
    </w:p>
    <w:p w14:paraId="37E04E2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(二)先進經濟體財政及就業隱憂</w:t>
      </w:r>
    </w:p>
    <w:p w14:paraId="33240CA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－美國小布希政府執政時期的多項減稅措施將於</w:t>
      </w:r>
      <w:r>
        <w:rPr>
          <w:rFonts w:eastAsia="標楷體"/>
          <w:spacing w:val="4"/>
          <w:kern w:val="0"/>
          <w:sz w:val="28"/>
          <w:szCs w:val="26"/>
        </w:rPr>
        <w:t>2012</w:t>
      </w:r>
      <w:r>
        <w:rPr>
          <w:rFonts w:eastAsia="標楷體"/>
          <w:spacing w:val="4"/>
          <w:kern w:val="0"/>
          <w:sz w:val="28"/>
          <w:szCs w:val="26"/>
        </w:rPr>
        <w:t>年底到期，另依預算控制法案將於</w:t>
      </w:r>
      <w:r>
        <w:rPr>
          <w:rFonts w:eastAsia="標楷體"/>
          <w:spacing w:val="4"/>
          <w:kern w:val="0"/>
          <w:sz w:val="28"/>
          <w:szCs w:val="26"/>
        </w:rPr>
        <w:t>2013</w:t>
      </w:r>
      <w:r>
        <w:rPr>
          <w:rFonts w:eastAsia="標楷體"/>
          <w:spacing w:val="4"/>
          <w:kern w:val="0"/>
          <w:sz w:val="28"/>
          <w:szCs w:val="26"/>
        </w:rPr>
        <w:t>年啟動的自動減赤機制，將使美國經濟面臨大規模財政緊縮造成的「財政懸崖」風險。</w:t>
      </w:r>
      <w:r>
        <w:rPr>
          <w:rFonts w:eastAsia="標楷體"/>
          <w:spacing w:val="4"/>
          <w:kern w:val="0"/>
          <w:sz w:val="28"/>
          <w:szCs w:val="26"/>
        </w:rPr>
        <w:t>IMF</w:t>
      </w:r>
      <w:r>
        <w:rPr>
          <w:rFonts w:eastAsia="標楷體"/>
          <w:spacing w:val="4"/>
          <w:kern w:val="0"/>
          <w:sz w:val="28"/>
          <w:szCs w:val="26"/>
        </w:rPr>
        <w:t>呼籲美國採取行動避開「財政懸崖」，並逐步降低債務水準。</w:t>
      </w:r>
    </w:p>
    <w:p w14:paraId="0907647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－中期而言，美國等先進經濟體財政政策調整的風險，使全球經濟成長面臨下行風險，加以金融部門去槓桿化、政府奉行財政撙節、失業率居高不下等因素，均將抑制全球經濟成長，並恐形成惡性循環。</w:t>
      </w:r>
    </w:p>
    <w:p w14:paraId="7BA65A0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(三)新興經濟體成長可能轉緩</w:t>
      </w:r>
    </w:p>
    <w:p w14:paraId="37D9E510"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中國大陸、印度等新興經濟體為推升近年世界經濟成長的主要動能，未來如成長速度轉緩，亦將制約全球經濟成長。中期而言，中國大陸的出口、製造業活動及固定資產投資恐難維</w:t>
      </w:r>
      <w:r>
        <w:rPr>
          <w:rFonts w:eastAsia="標楷體"/>
          <w:spacing w:val="4"/>
          <w:kern w:val="0"/>
          <w:sz w:val="28"/>
          <w:szCs w:val="26"/>
        </w:rPr>
        <w:lastRenderedPageBreak/>
        <w:t>持過去的高成長，因此「穩增長」與「調結構」已被列為當前最重要的議題，除實施調降利率等寬鬆貨幣政策外，並開始推動刺激經濟措施，例如：營業稅改徵增值稅避免重複課稅等稅制改革。</w:t>
      </w:r>
    </w:p>
    <w:p w14:paraId="3D357B2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(四)國際能源市場波動</w:t>
      </w:r>
    </w:p>
    <w:p w14:paraId="47C1F63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w:t>
      </w:r>
      <w:r>
        <w:rPr>
          <w:rFonts w:eastAsia="標楷體"/>
          <w:spacing w:val="4"/>
          <w:kern w:val="0"/>
          <w:sz w:val="28"/>
          <w:szCs w:val="26"/>
        </w:rPr>
        <w:t>2012</w:t>
      </w:r>
      <w:r>
        <w:rPr>
          <w:rFonts w:eastAsia="標楷體"/>
          <w:spacing w:val="4"/>
          <w:kern w:val="0"/>
          <w:sz w:val="28"/>
          <w:szCs w:val="26"/>
        </w:rPr>
        <w:t>年，國際能源市場受中東地緣政治動亂影響，包括敘利亞內戰、伊朗軍事演習、以巴衝突增溫，加以北海油田產量減少等因素影響，國際原油價格震盪起伏。美國能源總署</w:t>
      </w:r>
      <w:r>
        <w:rPr>
          <w:rFonts w:ascii="標楷體" w:eastAsia="標楷體" w:hAnsi="標楷體"/>
          <w:spacing w:val="4"/>
          <w:kern w:val="0"/>
          <w:sz w:val="28"/>
          <w:szCs w:val="26"/>
        </w:rPr>
        <w:t>(</w:t>
      </w:r>
      <w:r>
        <w:rPr>
          <w:rFonts w:eastAsia="標楷體"/>
          <w:spacing w:val="4"/>
          <w:kern w:val="0"/>
          <w:sz w:val="28"/>
          <w:szCs w:val="26"/>
        </w:rPr>
        <w:t>E</w:t>
      </w:r>
      <w:r>
        <w:rPr>
          <w:rFonts w:eastAsia="標楷體"/>
          <w:spacing w:val="6"/>
          <w:kern w:val="0"/>
          <w:sz w:val="28"/>
          <w:szCs w:val="26"/>
        </w:rPr>
        <w:t>IA</w:t>
      </w:r>
      <w:r>
        <w:rPr>
          <w:rFonts w:ascii="標楷體" w:eastAsia="標楷體" w:hAnsi="標楷體"/>
          <w:spacing w:val="6"/>
          <w:kern w:val="0"/>
          <w:sz w:val="28"/>
          <w:szCs w:val="26"/>
        </w:rPr>
        <w:t>)</w:t>
      </w:r>
      <w:r>
        <w:rPr>
          <w:rFonts w:eastAsia="標楷體"/>
          <w:spacing w:val="6"/>
          <w:kern w:val="0"/>
          <w:sz w:val="28"/>
          <w:szCs w:val="26"/>
        </w:rPr>
        <w:t>預估全年平均每桶石油價格為</w:t>
      </w:r>
      <w:r>
        <w:rPr>
          <w:rFonts w:eastAsia="標楷體"/>
          <w:spacing w:val="6"/>
          <w:kern w:val="0"/>
          <w:sz w:val="28"/>
          <w:szCs w:val="26"/>
        </w:rPr>
        <w:t>94.3</w:t>
      </w:r>
      <w:r>
        <w:rPr>
          <w:rFonts w:eastAsia="標楷體"/>
          <w:spacing w:val="6"/>
          <w:kern w:val="0"/>
          <w:sz w:val="28"/>
          <w:szCs w:val="26"/>
        </w:rPr>
        <w:t>美元。</w:t>
      </w:r>
      <w:r>
        <w:rPr>
          <w:rFonts w:eastAsia="標楷體"/>
          <w:spacing w:val="6"/>
          <w:kern w:val="0"/>
          <w:sz w:val="28"/>
          <w:szCs w:val="26"/>
        </w:rPr>
        <w:t>2013</w:t>
      </w:r>
      <w:r>
        <w:rPr>
          <w:rFonts w:eastAsia="標楷體"/>
          <w:spacing w:val="6"/>
          <w:kern w:val="0"/>
          <w:sz w:val="28"/>
          <w:szCs w:val="26"/>
        </w:rPr>
        <w:t>年，隨</w:t>
      </w:r>
      <w:r>
        <w:rPr>
          <w:rFonts w:eastAsia="標楷體"/>
          <w:spacing w:val="4"/>
          <w:kern w:val="0"/>
          <w:sz w:val="28"/>
          <w:szCs w:val="26"/>
        </w:rPr>
        <w:t>著</w:t>
      </w:r>
      <w:r>
        <w:rPr>
          <w:rFonts w:eastAsia="標楷體"/>
          <w:spacing w:val="6"/>
          <w:kern w:val="0"/>
          <w:sz w:val="28"/>
          <w:szCs w:val="26"/>
        </w:rPr>
        <w:t>全球經濟緩步成長，國際原油需求將微幅增加，國際原油供給則在其他產油國增產填補伊朗禁運缺口下，亦可望小幅增加</w:t>
      </w:r>
      <w:r>
        <w:rPr>
          <w:rFonts w:eastAsia="標楷體"/>
          <w:spacing w:val="4"/>
          <w:kern w:val="0"/>
          <w:sz w:val="28"/>
          <w:szCs w:val="26"/>
        </w:rPr>
        <w:t>，國際油價大幅飆升的機率應不大。</w:t>
      </w:r>
    </w:p>
    <w:p w14:paraId="771033A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－中期而言，國際能源市場仍面臨諸多挑戰，能源供給方面：能源運輸成本難以降低</w:t>
      </w:r>
      <w:r>
        <w:rPr>
          <w:rFonts w:ascii="標楷體" w:eastAsia="標楷體" w:hAnsi="標楷體"/>
          <w:spacing w:val="4"/>
          <w:kern w:val="0"/>
          <w:sz w:val="28"/>
          <w:szCs w:val="26"/>
        </w:rPr>
        <w:t>(例</w:t>
      </w:r>
      <w:r>
        <w:rPr>
          <w:rFonts w:eastAsia="標楷體"/>
          <w:spacing w:val="4"/>
          <w:kern w:val="0"/>
          <w:sz w:val="28"/>
          <w:szCs w:val="26"/>
        </w:rPr>
        <w:t>如，為確保運輸安全須支付高額保險等</w:t>
      </w:r>
      <w:r>
        <w:rPr>
          <w:rFonts w:ascii="標楷體" w:eastAsia="標楷體" w:hAnsi="標楷體"/>
          <w:spacing w:val="4"/>
          <w:kern w:val="0"/>
          <w:sz w:val="28"/>
          <w:szCs w:val="26"/>
        </w:rPr>
        <w:t>)</w:t>
      </w:r>
      <w:r>
        <w:rPr>
          <w:rFonts w:eastAsia="標楷體"/>
          <w:spacing w:val="4"/>
          <w:kern w:val="0"/>
          <w:sz w:val="28"/>
          <w:szCs w:val="26"/>
        </w:rPr>
        <w:t>、美國頁岩氣及頁岩油的發展、能源地緣政治的變化，以及全球氣候變遷影響等。能源需求則在全球經濟成長及人口增加的影響下持續攀升，其中尤以中國大陸、印度等亞洲新興經濟體需求最為殷切。</w:t>
      </w:r>
    </w:p>
    <w:p w14:paraId="439BC340"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99E3FB2" w14:textId="77777777" w:rsidR="00052596" w:rsidRDefault="00000000">
      <w:pPr>
        <w:overflowPunct w:val="0"/>
        <w:autoSpaceDE w:val="0"/>
        <w:spacing w:line="420" w:lineRule="exact"/>
        <w:jc w:val="center"/>
        <w:textAlignment w:val="center"/>
        <w:rPr>
          <w:rFonts w:eastAsia="標楷體"/>
          <w:b/>
          <w:color w:val="0000FF"/>
          <w:kern w:val="0"/>
          <w:sz w:val="28"/>
          <w:szCs w:val="28"/>
        </w:rPr>
      </w:pPr>
      <w:r>
        <w:rPr>
          <w:rFonts w:eastAsia="標楷體"/>
          <w:b/>
          <w:color w:val="0000FF"/>
          <w:kern w:val="0"/>
          <w:sz w:val="28"/>
          <w:szCs w:val="28"/>
        </w:rPr>
        <w:t>貳、新興經濟體成長、結盟與布局</w:t>
      </w:r>
    </w:p>
    <w:p w14:paraId="56FE7A83"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BAECE2D"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21</w:t>
      </w:r>
      <w:r>
        <w:rPr>
          <w:rFonts w:eastAsia="標楷體"/>
          <w:spacing w:val="4"/>
          <w:kern w:val="0"/>
          <w:sz w:val="28"/>
          <w:szCs w:val="26"/>
        </w:rPr>
        <w:t>世紀以來，新興經濟體在國際經貿舞臺表現亮麗，備受矚目，特別是亞洲新興經濟體，被譽為全球經濟發展的成功典範。現階段，亞洲新興經濟體正處於關鍵轉型階段，在城市經濟版圖擴大、消費階層</w:t>
      </w:r>
      <w:r>
        <w:rPr>
          <w:rFonts w:ascii="標楷體" w:eastAsia="標楷體" w:hAnsi="標楷體"/>
          <w:spacing w:val="4"/>
          <w:kern w:val="0"/>
          <w:sz w:val="28"/>
          <w:szCs w:val="26"/>
        </w:rPr>
        <w:t>(</w:t>
      </w:r>
      <w:r>
        <w:rPr>
          <w:rFonts w:eastAsia="標楷體"/>
          <w:spacing w:val="4"/>
          <w:kern w:val="0"/>
          <w:sz w:val="28"/>
          <w:szCs w:val="26"/>
        </w:rPr>
        <w:t>consuming classes</w:t>
      </w:r>
      <w:r>
        <w:rPr>
          <w:rFonts w:ascii="標楷體" w:eastAsia="標楷體" w:hAnsi="標楷體"/>
          <w:spacing w:val="4"/>
          <w:kern w:val="0"/>
          <w:sz w:val="28"/>
          <w:szCs w:val="26"/>
        </w:rPr>
        <w:t>)</w:t>
      </w:r>
      <w:r>
        <w:rPr>
          <w:rFonts w:eastAsia="標楷體"/>
          <w:spacing w:val="4"/>
          <w:kern w:val="0"/>
          <w:sz w:val="28"/>
          <w:szCs w:val="26"/>
          <w:vertAlign w:val="superscript"/>
        </w:rPr>
        <w:footnoteReference w:id="1"/>
      </w:r>
      <w:r>
        <w:rPr>
          <w:rFonts w:eastAsia="標楷體"/>
          <w:spacing w:val="4"/>
          <w:kern w:val="0"/>
          <w:sz w:val="28"/>
          <w:szCs w:val="26"/>
        </w:rPr>
        <w:t>崛起，以及經濟整合深化等關鍵驅動力牽引下，其經濟發展模式可望由過去高度仰賴歐美市場，逐漸轉為以內需市場為驅動主力，未來發展前景備受期待。</w:t>
      </w:r>
    </w:p>
    <w:p w14:paraId="7C288556"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一、新興經濟體經濟成長動能躍升</w:t>
      </w:r>
    </w:p>
    <w:p w14:paraId="39903126" w14:textId="77777777" w:rsidR="00052596" w:rsidRDefault="00000000">
      <w:pPr>
        <w:overflowPunct w:val="0"/>
        <w:autoSpaceDE w:val="0"/>
        <w:spacing w:line="440" w:lineRule="exact"/>
        <w:ind w:left="240" w:firstLine="576"/>
        <w:jc w:val="both"/>
        <w:textAlignment w:val="center"/>
        <w:rPr>
          <w:rFonts w:eastAsia="標楷體"/>
          <w:spacing w:val="4"/>
          <w:kern w:val="0"/>
          <w:sz w:val="28"/>
          <w:szCs w:val="26"/>
        </w:rPr>
      </w:pPr>
      <w:r>
        <w:rPr>
          <w:rFonts w:eastAsia="標楷體"/>
          <w:spacing w:val="4"/>
          <w:kern w:val="0"/>
          <w:sz w:val="28"/>
          <w:szCs w:val="26"/>
        </w:rPr>
        <w:t>近</w:t>
      </w:r>
      <w:r>
        <w:rPr>
          <w:rFonts w:eastAsia="標楷體"/>
          <w:spacing w:val="4"/>
          <w:kern w:val="0"/>
          <w:sz w:val="28"/>
          <w:szCs w:val="26"/>
        </w:rPr>
        <w:t>20</w:t>
      </w:r>
      <w:r>
        <w:rPr>
          <w:rFonts w:eastAsia="標楷體"/>
          <w:spacing w:val="4"/>
          <w:kern w:val="0"/>
          <w:sz w:val="28"/>
          <w:szCs w:val="26"/>
        </w:rPr>
        <w:t>年來，新興經濟體大步改革與開放，經濟實力迅速擴增，在全球經貿的重要性大幅提升，尤其是</w:t>
      </w:r>
      <w:r>
        <w:rPr>
          <w:rFonts w:eastAsia="標楷體"/>
          <w:spacing w:val="4"/>
          <w:kern w:val="0"/>
          <w:sz w:val="28"/>
          <w:szCs w:val="26"/>
        </w:rPr>
        <w:t>2008</w:t>
      </w:r>
      <w:r>
        <w:rPr>
          <w:rFonts w:eastAsia="標楷體"/>
          <w:spacing w:val="4"/>
          <w:kern w:val="0"/>
          <w:sz w:val="28"/>
          <w:szCs w:val="26"/>
        </w:rPr>
        <w:t>年全球金融海嘯後，更取代歐美扮演全球經濟成長的火車頭。展望未來，隨著新興經濟體持續朝城市化與工業化轉型發展，其城市經濟版圖可望持續擴大，並帶動國內市場蓬勃活絡；尤其，新興經濟體消費階層人口快速擴增，蘊藏的無限商機將成為驅動未來全球經濟成長之所繫。</w:t>
      </w:r>
    </w:p>
    <w:p w14:paraId="6BBA50D9" w14:textId="77777777" w:rsidR="00052596" w:rsidRDefault="00000000">
      <w:pPr>
        <w:tabs>
          <w:tab w:val="left" w:pos="960"/>
          <w:tab w:val="left" w:pos="1920"/>
          <w:tab w:val="left" w:pos="2880"/>
          <w:tab w:val="left" w:pos="3840"/>
          <w:tab w:val="left" w:pos="4800"/>
          <w:tab w:val="left" w:pos="5760"/>
        </w:tabs>
        <w:overflowPunct w:val="0"/>
        <w:autoSpaceDE w:val="0"/>
        <w:spacing w:line="44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新興經濟體城市經濟引擎啟動</w:t>
      </w:r>
    </w:p>
    <w:p w14:paraId="65BC9110" w14:textId="77777777" w:rsidR="00052596" w:rsidRDefault="00000000">
      <w:pPr>
        <w:overflowPunct w:val="0"/>
        <w:autoSpaceDE w:val="0"/>
        <w:spacing w:line="440" w:lineRule="exact"/>
        <w:ind w:left="792" w:firstLine="605"/>
        <w:jc w:val="both"/>
        <w:textAlignment w:val="center"/>
      </w:pPr>
      <w:r>
        <w:rPr>
          <w:rFonts w:eastAsia="標楷體"/>
          <w:spacing w:val="4"/>
          <w:kern w:val="0"/>
          <w:sz w:val="28"/>
          <w:szCs w:val="26"/>
        </w:rPr>
        <w:t>城市向為一國經濟活動之核心，全球城市版圖的消長也意涵全球經濟動能之移轉。根據</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6</w:t>
      </w:r>
      <w:r>
        <w:rPr>
          <w:rFonts w:eastAsia="標楷體"/>
          <w:spacing w:val="4"/>
          <w:kern w:val="0"/>
          <w:sz w:val="28"/>
          <w:szCs w:val="26"/>
        </w:rPr>
        <w:t>月「麥肯錫國際機構」</w:t>
      </w:r>
      <w:r>
        <w:rPr>
          <w:rFonts w:ascii="標楷體" w:eastAsia="標楷體" w:hAnsi="標楷體"/>
          <w:spacing w:val="4"/>
          <w:kern w:val="0"/>
          <w:sz w:val="28"/>
          <w:szCs w:val="26"/>
        </w:rPr>
        <w:t>(</w:t>
      </w:r>
      <w:r>
        <w:rPr>
          <w:rFonts w:eastAsia="標楷體"/>
          <w:spacing w:val="4"/>
          <w:kern w:val="0"/>
          <w:sz w:val="28"/>
          <w:szCs w:val="26"/>
        </w:rPr>
        <w:t>Mckinsey Global Institute</w:t>
      </w:r>
      <w:r>
        <w:rPr>
          <w:rFonts w:ascii="標楷體" w:eastAsia="標楷體" w:hAnsi="標楷體"/>
          <w:spacing w:val="4"/>
          <w:kern w:val="0"/>
          <w:sz w:val="28"/>
          <w:szCs w:val="26"/>
        </w:rPr>
        <w:t>)</w:t>
      </w:r>
      <w:r>
        <w:rPr>
          <w:rFonts w:eastAsia="標楷體"/>
          <w:spacing w:val="4"/>
          <w:kern w:val="0"/>
          <w:sz w:val="28"/>
          <w:szCs w:val="26"/>
        </w:rPr>
        <w:t>發布的「</w:t>
      </w:r>
      <w:r>
        <w:rPr>
          <w:rFonts w:eastAsia="標楷體"/>
          <w:spacing w:val="4"/>
          <w:kern w:val="0"/>
          <w:sz w:val="28"/>
          <w:szCs w:val="26"/>
        </w:rPr>
        <w:t>Urban world</w:t>
      </w:r>
      <w:r>
        <w:rPr>
          <w:rFonts w:eastAsia="標楷體"/>
          <w:spacing w:val="4"/>
          <w:kern w:val="0"/>
          <w:sz w:val="28"/>
          <w:szCs w:val="26"/>
        </w:rPr>
        <w:t>：</w:t>
      </w:r>
      <w:r>
        <w:rPr>
          <w:rFonts w:eastAsia="標楷體"/>
          <w:spacing w:val="4"/>
          <w:kern w:val="0"/>
          <w:sz w:val="28"/>
          <w:szCs w:val="26"/>
        </w:rPr>
        <w:t>Cities and the rise of the consuming class</w:t>
      </w:r>
      <w:r>
        <w:rPr>
          <w:rFonts w:eastAsia="標楷體"/>
          <w:spacing w:val="4"/>
          <w:kern w:val="0"/>
          <w:sz w:val="28"/>
          <w:szCs w:val="26"/>
        </w:rPr>
        <w:t>」研究預估，隨著新興經濟體城市相繼崛起，將逐漸取代今日的歐美大型城市，主導全球經濟成長，全球經濟重心將逐漸轉移至東方世界。</w:t>
      </w:r>
    </w:p>
    <w:p w14:paraId="0E15F2F3" w14:textId="77777777" w:rsidR="00052596" w:rsidRDefault="00000000">
      <w:pPr>
        <w:tabs>
          <w:tab w:val="left" w:pos="960"/>
          <w:tab w:val="left" w:pos="1920"/>
          <w:tab w:val="left" w:pos="2880"/>
          <w:tab w:val="left" w:pos="3840"/>
          <w:tab w:val="left" w:pos="4800"/>
          <w:tab w:val="left" w:pos="5760"/>
        </w:tabs>
        <w:overflowPunct w:val="0"/>
        <w:autoSpaceDE w:val="0"/>
        <w:spacing w:line="440" w:lineRule="exact"/>
        <w:ind w:left="1080" w:hanging="288"/>
        <w:jc w:val="both"/>
        <w:textAlignment w:val="center"/>
      </w:pPr>
      <w:r>
        <w:rPr>
          <w:rFonts w:eastAsia="標楷體"/>
          <w:spacing w:val="4"/>
          <w:kern w:val="0"/>
          <w:sz w:val="28"/>
          <w:szCs w:val="26"/>
        </w:rPr>
        <w:t>－依</w:t>
      </w:r>
      <w:r>
        <w:rPr>
          <w:rFonts w:eastAsia="標楷體"/>
          <w:spacing w:val="4"/>
          <w:kern w:val="0"/>
          <w:sz w:val="28"/>
          <w:szCs w:val="26"/>
        </w:rPr>
        <w:t xml:space="preserve">Mckinsey </w:t>
      </w:r>
      <w:r>
        <w:rPr>
          <w:rFonts w:eastAsia="標楷體"/>
          <w:spacing w:val="4"/>
          <w:kern w:val="0"/>
          <w:sz w:val="28"/>
          <w:szCs w:val="26"/>
        </w:rPr>
        <w:t>研究顯示，</w:t>
      </w:r>
      <w:r>
        <w:rPr>
          <w:rFonts w:eastAsia="標楷體"/>
          <w:spacing w:val="4"/>
          <w:kern w:val="0"/>
          <w:sz w:val="28"/>
          <w:szCs w:val="26"/>
        </w:rPr>
        <w:t>2010</w:t>
      </w:r>
      <w:r>
        <w:rPr>
          <w:rFonts w:eastAsia="標楷體"/>
          <w:spacing w:val="4"/>
          <w:kern w:val="0"/>
          <w:sz w:val="28"/>
          <w:szCs w:val="26"/>
        </w:rPr>
        <w:t>年，對全球經濟成長貢獻最高的前</w:t>
      </w:r>
      <w:r>
        <w:rPr>
          <w:rFonts w:eastAsia="標楷體"/>
          <w:spacing w:val="4"/>
          <w:kern w:val="0"/>
          <w:sz w:val="28"/>
          <w:szCs w:val="26"/>
        </w:rPr>
        <w:t>600</w:t>
      </w:r>
      <w:r>
        <w:rPr>
          <w:rFonts w:eastAsia="標楷體"/>
          <w:spacing w:val="4"/>
          <w:kern w:val="0"/>
          <w:sz w:val="28"/>
          <w:szCs w:val="26"/>
        </w:rPr>
        <w:t>大城市，總人口約占全球</w:t>
      </w:r>
      <w:r>
        <w:rPr>
          <w:rFonts w:eastAsia="標楷體"/>
          <w:spacing w:val="4"/>
          <w:kern w:val="0"/>
          <w:sz w:val="28"/>
          <w:szCs w:val="26"/>
        </w:rPr>
        <w:t>2</w:t>
      </w:r>
      <w:r>
        <w:rPr>
          <w:rFonts w:eastAsia="標楷體"/>
          <w:spacing w:val="4"/>
          <w:kern w:val="0"/>
          <w:sz w:val="28"/>
          <w:szCs w:val="26"/>
        </w:rPr>
        <w:t>成，總產值更超過全球</w:t>
      </w:r>
      <w:r>
        <w:rPr>
          <w:rFonts w:eastAsia="標楷體"/>
          <w:spacing w:val="4"/>
          <w:kern w:val="0"/>
          <w:sz w:val="28"/>
          <w:szCs w:val="26"/>
        </w:rPr>
        <w:t>GDP</w:t>
      </w:r>
      <w:r>
        <w:rPr>
          <w:rFonts w:eastAsia="標楷體"/>
          <w:spacing w:val="4"/>
          <w:kern w:val="0"/>
          <w:sz w:val="28"/>
          <w:szCs w:val="26"/>
          <w:vertAlign w:val="superscript"/>
        </w:rPr>
        <w:footnoteReference w:id="2"/>
      </w:r>
      <w:r>
        <w:rPr>
          <w:rFonts w:eastAsia="標楷體"/>
          <w:spacing w:val="4"/>
          <w:kern w:val="0"/>
          <w:sz w:val="28"/>
          <w:szCs w:val="26"/>
        </w:rPr>
        <w:t>的半數；另預估</w:t>
      </w:r>
      <w:r>
        <w:rPr>
          <w:rFonts w:eastAsia="標楷體"/>
          <w:spacing w:val="4"/>
          <w:kern w:val="0"/>
          <w:sz w:val="28"/>
          <w:szCs w:val="26"/>
        </w:rPr>
        <w:t>2010</w:t>
      </w:r>
      <w:r>
        <w:rPr>
          <w:rFonts w:eastAsia="標楷體"/>
          <w:spacing w:val="4"/>
          <w:kern w:val="0"/>
          <w:sz w:val="28"/>
          <w:szCs w:val="26"/>
        </w:rPr>
        <w:t>至</w:t>
      </w:r>
      <w:r>
        <w:rPr>
          <w:rFonts w:eastAsia="標楷體"/>
          <w:spacing w:val="4"/>
          <w:kern w:val="0"/>
          <w:sz w:val="28"/>
          <w:szCs w:val="26"/>
        </w:rPr>
        <w:t>2025</w:t>
      </w:r>
      <w:r>
        <w:rPr>
          <w:rFonts w:eastAsia="標楷體"/>
          <w:spacing w:val="4"/>
          <w:kern w:val="0"/>
          <w:sz w:val="28"/>
          <w:szCs w:val="26"/>
        </w:rPr>
        <w:t>的</w:t>
      </w:r>
      <w:r>
        <w:rPr>
          <w:rFonts w:eastAsia="標楷體"/>
          <w:spacing w:val="4"/>
          <w:kern w:val="0"/>
          <w:sz w:val="28"/>
          <w:szCs w:val="26"/>
        </w:rPr>
        <w:t>15</w:t>
      </w:r>
      <w:r>
        <w:rPr>
          <w:rFonts w:eastAsia="標楷體"/>
          <w:spacing w:val="4"/>
          <w:kern w:val="0"/>
          <w:sz w:val="28"/>
          <w:szCs w:val="26"/>
        </w:rPr>
        <w:t>年間，全球最具活力的</w:t>
      </w:r>
      <w:r>
        <w:rPr>
          <w:rFonts w:eastAsia="標楷體"/>
          <w:spacing w:val="4"/>
          <w:kern w:val="0"/>
          <w:sz w:val="28"/>
          <w:szCs w:val="26"/>
        </w:rPr>
        <w:t>600</w:t>
      </w:r>
      <w:r>
        <w:rPr>
          <w:rFonts w:eastAsia="標楷體"/>
          <w:spacing w:val="4"/>
          <w:kern w:val="0"/>
          <w:sz w:val="28"/>
          <w:szCs w:val="26"/>
        </w:rPr>
        <w:t>大城市</w:t>
      </w:r>
      <w:r>
        <w:rPr>
          <w:rFonts w:eastAsia="標楷體"/>
          <w:spacing w:val="4"/>
          <w:kern w:val="0"/>
          <w:sz w:val="28"/>
          <w:szCs w:val="26"/>
          <w:vertAlign w:val="superscript"/>
        </w:rPr>
        <w:footnoteReference w:id="3"/>
      </w:r>
      <w:r>
        <w:rPr>
          <w:rFonts w:eastAsia="標楷體"/>
          <w:spacing w:val="4"/>
          <w:kern w:val="0"/>
          <w:sz w:val="28"/>
          <w:szCs w:val="26"/>
        </w:rPr>
        <w:t>新增</w:t>
      </w:r>
      <w:r>
        <w:rPr>
          <w:rFonts w:eastAsia="標楷體"/>
          <w:spacing w:val="4"/>
          <w:kern w:val="0"/>
          <w:sz w:val="28"/>
          <w:szCs w:val="26"/>
        </w:rPr>
        <w:t>GDP</w:t>
      </w:r>
      <w:r>
        <w:rPr>
          <w:rFonts w:eastAsia="標楷體"/>
          <w:spacing w:val="4"/>
          <w:kern w:val="0"/>
          <w:sz w:val="28"/>
          <w:szCs w:val="26"/>
        </w:rPr>
        <w:t>將逾</w:t>
      </w:r>
      <w:r>
        <w:rPr>
          <w:rFonts w:eastAsia="標楷體"/>
          <w:spacing w:val="4"/>
          <w:kern w:val="0"/>
          <w:sz w:val="28"/>
          <w:szCs w:val="26"/>
        </w:rPr>
        <w:t>30</w:t>
      </w:r>
      <w:r>
        <w:rPr>
          <w:rFonts w:eastAsia="標楷體"/>
          <w:spacing w:val="4"/>
          <w:kern w:val="0"/>
          <w:sz w:val="28"/>
          <w:szCs w:val="26"/>
        </w:rPr>
        <w:t>兆美元，約占同期間全球</w:t>
      </w:r>
      <w:r>
        <w:rPr>
          <w:rFonts w:eastAsia="標楷體"/>
          <w:spacing w:val="4"/>
          <w:kern w:val="0"/>
          <w:sz w:val="28"/>
          <w:szCs w:val="26"/>
        </w:rPr>
        <w:t>GDP</w:t>
      </w:r>
      <w:r>
        <w:rPr>
          <w:rFonts w:eastAsia="標楷體"/>
          <w:spacing w:val="4"/>
          <w:kern w:val="0"/>
          <w:sz w:val="28"/>
          <w:szCs w:val="26"/>
        </w:rPr>
        <w:t>增量的</w:t>
      </w:r>
      <w:r>
        <w:rPr>
          <w:rFonts w:eastAsia="標楷體"/>
          <w:spacing w:val="4"/>
          <w:kern w:val="0"/>
          <w:sz w:val="28"/>
          <w:szCs w:val="26"/>
        </w:rPr>
        <w:t>65%</w:t>
      </w:r>
      <w:r>
        <w:rPr>
          <w:rFonts w:eastAsia="標楷體"/>
          <w:spacing w:val="4"/>
          <w:kern w:val="0"/>
          <w:sz w:val="28"/>
          <w:szCs w:val="26"/>
        </w:rPr>
        <w:t>。此外，</w:t>
      </w:r>
      <w:r>
        <w:rPr>
          <w:rFonts w:eastAsia="標楷體"/>
          <w:spacing w:val="4"/>
          <w:kern w:val="0"/>
          <w:sz w:val="28"/>
          <w:szCs w:val="26"/>
        </w:rPr>
        <w:t>2010</w:t>
      </w:r>
      <w:r>
        <w:rPr>
          <w:rFonts w:eastAsia="標楷體"/>
          <w:spacing w:val="4"/>
          <w:kern w:val="0"/>
          <w:sz w:val="28"/>
          <w:szCs w:val="26"/>
        </w:rPr>
        <w:t>年全球</w:t>
      </w:r>
      <w:r>
        <w:rPr>
          <w:rFonts w:eastAsia="標楷體"/>
          <w:spacing w:val="4"/>
          <w:kern w:val="0"/>
          <w:sz w:val="28"/>
          <w:szCs w:val="26"/>
        </w:rPr>
        <w:t>27</w:t>
      </w:r>
      <w:r>
        <w:rPr>
          <w:rFonts w:eastAsia="標楷體"/>
          <w:spacing w:val="4"/>
          <w:kern w:val="0"/>
          <w:sz w:val="28"/>
          <w:szCs w:val="26"/>
        </w:rPr>
        <w:t>個逾千萬人口之超大型城市，預估至</w:t>
      </w:r>
      <w:r>
        <w:rPr>
          <w:rFonts w:eastAsia="標楷體"/>
          <w:spacing w:val="4"/>
          <w:kern w:val="0"/>
          <w:sz w:val="28"/>
          <w:szCs w:val="26"/>
        </w:rPr>
        <w:t>2025</w:t>
      </w:r>
      <w:r>
        <w:rPr>
          <w:rFonts w:eastAsia="標楷體"/>
          <w:spacing w:val="4"/>
          <w:kern w:val="0"/>
          <w:sz w:val="28"/>
          <w:szCs w:val="26"/>
        </w:rPr>
        <w:t>年其</w:t>
      </w:r>
      <w:r>
        <w:rPr>
          <w:rFonts w:eastAsia="標楷體"/>
          <w:spacing w:val="4"/>
          <w:kern w:val="0"/>
          <w:sz w:val="28"/>
          <w:szCs w:val="26"/>
        </w:rPr>
        <w:t>GDP</w:t>
      </w:r>
      <w:r>
        <w:rPr>
          <w:rFonts w:eastAsia="標楷體"/>
          <w:spacing w:val="4"/>
          <w:kern w:val="0"/>
          <w:sz w:val="28"/>
          <w:szCs w:val="26"/>
        </w:rPr>
        <w:t>合計將僅占全球的</w:t>
      </w:r>
      <w:r>
        <w:rPr>
          <w:rFonts w:eastAsia="標楷體"/>
          <w:spacing w:val="4"/>
          <w:kern w:val="0"/>
          <w:sz w:val="28"/>
          <w:szCs w:val="26"/>
        </w:rPr>
        <w:t>15%</w:t>
      </w:r>
      <w:r>
        <w:rPr>
          <w:rFonts w:eastAsia="標楷體"/>
          <w:spacing w:val="4"/>
          <w:kern w:val="0"/>
          <w:sz w:val="28"/>
          <w:szCs w:val="26"/>
        </w:rPr>
        <w:t>；亦即</w:t>
      </w:r>
      <w:r>
        <w:rPr>
          <w:rFonts w:eastAsia="標楷體"/>
          <w:spacing w:val="4"/>
          <w:kern w:val="0"/>
          <w:sz w:val="28"/>
          <w:szCs w:val="26"/>
        </w:rPr>
        <w:t>15</w:t>
      </w:r>
      <w:r>
        <w:rPr>
          <w:rFonts w:eastAsia="標楷體"/>
          <w:spacing w:val="4"/>
          <w:kern w:val="0"/>
          <w:sz w:val="28"/>
          <w:szCs w:val="26"/>
        </w:rPr>
        <w:t>年後，目前的超大型城市占全球經濟活動的比重將大減，顯示全球城市版圖將重新洗牌。</w:t>
      </w:r>
    </w:p>
    <w:p w14:paraId="7B160979" w14:textId="77777777" w:rsidR="00052596" w:rsidRDefault="00000000">
      <w:pPr>
        <w:tabs>
          <w:tab w:val="left" w:pos="960"/>
          <w:tab w:val="left" w:pos="1920"/>
          <w:tab w:val="left" w:pos="2880"/>
          <w:tab w:val="left" w:pos="3840"/>
          <w:tab w:val="left" w:pos="4800"/>
          <w:tab w:val="left" w:pos="5760"/>
        </w:tabs>
        <w:overflowPunct w:val="0"/>
        <w:autoSpaceDE w:val="0"/>
        <w:spacing w:line="440" w:lineRule="exact"/>
        <w:ind w:left="1080" w:hanging="288"/>
        <w:jc w:val="both"/>
        <w:textAlignment w:val="center"/>
      </w:pPr>
      <w:r>
        <w:rPr>
          <w:rFonts w:eastAsia="標楷體"/>
          <w:spacing w:val="4"/>
          <w:kern w:val="0"/>
          <w:sz w:val="28"/>
          <w:szCs w:val="26"/>
        </w:rPr>
        <w:t>－</w:t>
      </w:r>
      <w:r>
        <w:rPr>
          <w:rFonts w:eastAsia="標楷體"/>
          <w:spacing w:val="4"/>
          <w:kern w:val="0"/>
          <w:sz w:val="28"/>
          <w:szCs w:val="26"/>
        </w:rPr>
        <w:t>2010</w:t>
      </w:r>
      <w:r>
        <w:rPr>
          <w:rFonts w:eastAsia="標楷體"/>
          <w:spacing w:val="4"/>
          <w:kern w:val="0"/>
          <w:sz w:val="28"/>
          <w:szCs w:val="26"/>
        </w:rPr>
        <w:t>至</w:t>
      </w:r>
      <w:r>
        <w:rPr>
          <w:rFonts w:eastAsia="標楷體"/>
          <w:spacing w:val="4"/>
          <w:kern w:val="0"/>
          <w:sz w:val="28"/>
          <w:szCs w:val="26"/>
        </w:rPr>
        <w:t>2025</w:t>
      </w:r>
      <w:r>
        <w:rPr>
          <w:rFonts w:eastAsia="標楷體"/>
          <w:spacing w:val="4"/>
          <w:kern w:val="0"/>
          <w:sz w:val="28"/>
          <w:szCs w:val="26"/>
        </w:rPr>
        <w:t>年，在全球最具活力的</w:t>
      </w:r>
      <w:r>
        <w:rPr>
          <w:rFonts w:eastAsia="標楷體"/>
          <w:spacing w:val="4"/>
          <w:kern w:val="0"/>
          <w:sz w:val="28"/>
          <w:szCs w:val="26"/>
        </w:rPr>
        <w:t>600</w:t>
      </w:r>
      <w:r>
        <w:rPr>
          <w:rFonts w:eastAsia="標楷體"/>
          <w:spacing w:val="4"/>
          <w:kern w:val="0"/>
          <w:sz w:val="28"/>
          <w:szCs w:val="26"/>
        </w:rPr>
        <w:t>大城市中，新興經濟體城市將高占</w:t>
      </w:r>
      <w:r>
        <w:rPr>
          <w:rFonts w:eastAsia="標楷體"/>
          <w:spacing w:val="4"/>
          <w:kern w:val="0"/>
          <w:sz w:val="28"/>
          <w:szCs w:val="26"/>
        </w:rPr>
        <w:t>443</w:t>
      </w:r>
      <w:r>
        <w:rPr>
          <w:rFonts w:eastAsia="標楷體"/>
          <w:spacing w:val="4"/>
          <w:kern w:val="0"/>
          <w:sz w:val="28"/>
          <w:szCs w:val="26"/>
        </w:rPr>
        <w:t>個，占全球</w:t>
      </w:r>
      <w:r>
        <w:rPr>
          <w:rFonts w:eastAsia="標楷體"/>
          <w:spacing w:val="4"/>
          <w:kern w:val="0"/>
          <w:sz w:val="28"/>
          <w:szCs w:val="26"/>
        </w:rPr>
        <w:t>GDP</w:t>
      </w:r>
      <w:r>
        <w:rPr>
          <w:rFonts w:eastAsia="標楷體"/>
          <w:spacing w:val="4"/>
          <w:kern w:val="0"/>
          <w:sz w:val="28"/>
          <w:szCs w:val="26"/>
        </w:rPr>
        <w:t>增量</w:t>
      </w:r>
      <w:r>
        <w:rPr>
          <w:rFonts w:eastAsia="標楷體"/>
          <w:spacing w:val="4"/>
          <w:kern w:val="0"/>
          <w:sz w:val="28"/>
          <w:szCs w:val="26"/>
        </w:rPr>
        <w:t>47%</w:t>
      </w:r>
      <w:r>
        <w:rPr>
          <w:rFonts w:ascii="標楷體" w:eastAsia="標楷體" w:hAnsi="標楷體"/>
          <w:spacing w:val="4"/>
          <w:kern w:val="0"/>
          <w:sz w:val="28"/>
          <w:szCs w:val="26"/>
        </w:rPr>
        <w:t>(</w:t>
      </w:r>
      <w:r>
        <w:rPr>
          <w:rFonts w:eastAsia="標楷體"/>
          <w:spacing w:val="4"/>
          <w:kern w:val="0"/>
          <w:sz w:val="28"/>
          <w:szCs w:val="26"/>
        </w:rPr>
        <w:t>若加計其他城市與農村地區，新興經濟體占全球</w:t>
      </w:r>
      <w:r>
        <w:rPr>
          <w:rFonts w:eastAsia="標楷體"/>
          <w:spacing w:val="4"/>
          <w:kern w:val="0"/>
          <w:sz w:val="28"/>
          <w:szCs w:val="26"/>
        </w:rPr>
        <w:t>GDP</w:t>
      </w:r>
      <w:r>
        <w:rPr>
          <w:rFonts w:eastAsia="標楷體"/>
          <w:spacing w:val="4"/>
          <w:kern w:val="0"/>
          <w:sz w:val="28"/>
          <w:szCs w:val="26"/>
        </w:rPr>
        <w:t>增量將達</w:t>
      </w:r>
      <w:r>
        <w:rPr>
          <w:rFonts w:eastAsia="標楷體"/>
          <w:spacing w:val="4"/>
          <w:kern w:val="0"/>
          <w:sz w:val="28"/>
          <w:szCs w:val="26"/>
        </w:rPr>
        <w:t>74%</w:t>
      </w:r>
      <w:r>
        <w:rPr>
          <w:rFonts w:ascii="標楷體" w:eastAsia="標楷體" w:hAnsi="標楷體"/>
          <w:spacing w:val="4"/>
          <w:kern w:val="0"/>
          <w:sz w:val="28"/>
          <w:szCs w:val="26"/>
        </w:rPr>
        <w:t>)</w:t>
      </w:r>
      <w:r>
        <w:rPr>
          <w:rFonts w:eastAsia="標楷體"/>
          <w:spacing w:val="4"/>
          <w:kern w:val="0"/>
          <w:sz w:val="28"/>
          <w:szCs w:val="26"/>
        </w:rPr>
        <w:t>；其中，</w:t>
      </w:r>
      <w:r>
        <w:rPr>
          <w:rFonts w:eastAsia="標楷體"/>
          <w:spacing w:val="2"/>
          <w:kern w:val="0"/>
          <w:sz w:val="28"/>
          <w:szCs w:val="26"/>
        </w:rPr>
        <w:t>兩岸三地計</w:t>
      </w:r>
      <w:r>
        <w:rPr>
          <w:rFonts w:eastAsia="標楷體"/>
          <w:spacing w:val="2"/>
          <w:kern w:val="0"/>
          <w:sz w:val="28"/>
          <w:szCs w:val="26"/>
        </w:rPr>
        <w:t>250</w:t>
      </w:r>
      <w:r>
        <w:rPr>
          <w:rFonts w:eastAsia="標楷體"/>
          <w:spacing w:val="2"/>
          <w:kern w:val="0"/>
          <w:sz w:val="28"/>
          <w:szCs w:val="26"/>
        </w:rPr>
        <w:t>個城市名列全球</w:t>
      </w:r>
      <w:r>
        <w:rPr>
          <w:rFonts w:eastAsia="標楷體"/>
          <w:spacing w:val="2"/>
          <w:kern w:val="0"/>
          <w:sz w:val="28"/>
          <w:szCs w:val="26"/>
        </w:rPr>
        <w:t>600</w:t>
      </w:r>
      <w:r>
        <w:rPr>
          <w:rFonts w:eastAsia="標楷體"/>
          <w:spacing w:val="2"/>
          <w:kern w:val="0"/>
          <w:sz w:val="28"/>
          <w:szCs w:val="26"/>
        </w:rPr>
        <w:t>大、占全球</w:t>
      </w:r>
      <w:r>
        <w:rPr>
          <w:rFonts w:eastAsia="標楷體"/>
          <w:spacing w:val="2"/>
          <w:kern w:val="0"/>
          <w:sz w:val="28"/>
          <w:szCs w:val="26"/>
        </w:rPr>
        <w:t>GDP</w:t>
      </w:r>
      <w:r>
        <w:rPr>
          <w:rFonts w:eastAsia="標楷體"/>
          <w:spacing w:val="2"/>
          <w:kern w:val="0"/>
          <w:sz w:val="28"/>
          <w:szCs w:val="26"/>
        </w:rPr>
        <w:t>增量</w:t>
      </w:r>
      <w:r>
        <w:rPr>
          <w:rFonts w:eastAsia="標楷體"/>
          <w:spacing w:val="2"/>
          <w:kern w:val="0"/>
          <w:sz w:val="28"/>
          <w:szCs w:val="26"/>
        </w:rPr>
        <w:t>28%</w:t>
      </w:r>
      <w:r>
        <w:rPr>
          <w:rFonts w:eastAsia="標楷體"/>
          <w:spacing w:val="2"/>
          <w:kern w:val="0"/>
          <w:sz w:val="28"/>
          <w:szCs w:val="26"/>
        </w:rPr>
        <w:t>，</w:t>
      </w:r>
      <w:r>
        <w:rPr>
          <w:rFonts w:eastAsia="標楷體"/>
          <w:spacing w:val="4"/>
          <w:kern w:val="0"/>
          <w:sz w:val="28"/>
          <w:szCs w:val="26"/>
        </w:rPr>
        <w:t>將遠超越先進經濟體合計的</w:t>
      </w:r>
      <w:r>
        <w:rPr>
          <w:rFonts w:eastAsia="標楷體"/>
          <w:spacing w:val="4"/>
          <w:kern w:val="0"/>
          <w:sz w:val="28"/>
          <w:szCs w:val="26"/>
        </w:rPr>
        <w:t>157</w:t>
      </w:r>
      <w:r>
        <w:rPr>
          <w:rFonts w:eastAsia="標楷體"/>
          <w:spacing w:val="4"/>
          <w:kern w:val="0"/>
          <w:sz w:val="28"/>
          <w:szCs w:val="26"/>
        </w:rPr>
        <w:t>個城市、占</w:t>
      </w:r>
      <w:r>
        <w:rPr>
          <w:rFonts w:eastAsia="標楷體"/>
          <w:spacing w:val="4"/>
          <w:kern w:val="0"/>
          <w:sz w:val="28"/>
          <w:szCs w:val="26"/>
        </w:rPr>
        <w:t>17%</w:t>
      </w:r>
      <w:r>
        <w:rPr>
          <w:rFonts w:ascii="新細明體" w:eastAsia="標楷體" w:hAnsi="新細明體"/>
          <w:spacing w:val="4"/>
          <w:kern w:val="0"/>
          <w:sz w:val="28"/>
          <w:szCs w:val="26"/>
        </w:rPr>
        <w:t>。</w:t>
      </w:r>
      <w:r>
        <w:rPr>
          <w:rFonts w:eastAsia="標楷體"/>
          <w:spacing w:val="4"/>
          <w:kern w:val="0"/>
          <w:sz w:val="28"/>
          <w:szCs w:val="26"/>
        </w:rPr>
        <w:t>其</w:t>
      </w:r>
      <w:r>
        <w:rPr>
          <w:rFonts w:eastAsia="標楷體"/>
          <w:spacing w:val="4"/>
          <w:kern w:val="0"/>
          <w:sz w:val="28"/>
          <w:szCs w:val="26"/>
        </w:rPr>
        <w:lastRenderedPageBreak/>
        <w:t>他新興經濟體城市部分，南亞及東南亞地區合計</w:t>
      </w:r>
      <w:r>
        <w:rPr>
          <w:rFonts w:eastAsia="標楷體"/>
          <w:spacing w:val="4"/>
          <w:kern w:val="0"/>
          <w:sz w:val="28"/>
          <w:szCs w:val="26"/>
        </w:rPr>
        <w:t>60</w:t>
      </w:r>
      <w:r>
        <w:rPr>
          <w:rFonts w:eastAsia="標楷體"/>
          <w:spacing w:val="4"/>
          <w:kern w:val="0"/>
          <w:sz w:val="28"/>
          <w:szCs w:val="26"/>
        </w:rPr>
        <w:t>個，拉丁美洲</w:t>
      </w:r>
      <w:r>
        <w:rPr>
          <w:rFonts w:eastAsia="標楷體"/>
          <w:spacing w:val="4"/>
          <w:kern w:val="0"/>
          <w:sz w:val="28"/>
          <w:szCs w:val="26"/>
        </w:rPr>
        <w:t>57</w:t>
      </w:r>
      <w:r>
        <w:rPr>
          <w:rFonts w:eastAsia="標楷體"/>
          <w:spacing w:val="4"/>
          <w:kern w:val="0"/>
          <w:sz w:val="28"/>
          <w:szCs w:val="26"/>
        </w:rPr>
        <w:t>個，顯示未來新興經濟體城市經濟實力強勁</w:t>
      </w:r>
      <w:r>
        <w:rPr>
          <w:rFonts w:ascii="標楷體" w:eastAsia="標楷體" w:hAnsi="標楷體"/>
          <w:spacing w:val="4"/>
          <w:kern w:val="0"/>
          <w:sz w:val="28"/>
          <w:szCs w:val="26"/>
        </w:rPr>
        <w:t>(</w:t>
      </w:r>
      <w:r>
        <w:rPr>
          <w:rFonts w:eastAsia="標楷體"/>
          <w:spacing w:val="4"/>
          <w:kern w:val="0"/>
          <w:sz w:val="28"/>
          <w:szCs w:val="26"/>
        </w:rPr>
        <w:t>詳表</w:t>
      </w:r>
      <w:r>
        <w:rPr>
          <w:rFonts w:eastAsia="標楷體"/>
          <w:spacing w:val="4"/>
          <w:kern w:val="0"/>
          <w:sz w:val="28"/>
          <w:szCs w:val="26"/>
        </w:rPr>
        <w:t>1.1.3</w:t>
      </w:r>
      <w:r>
        <w:rPr>
          <w:rFonts w:ascii="標楷體" w:eastAsia="標楷體" w:hAnsi="標楷體"/>
          <w:spacing w:val="4"/>
          <w:kern w:val="0"/>
          <w:sz w:val="28"/>
          <w:szCs w:val="26"/>
        </w:rPr>
        <w:t>)</w:t>
      </w:r>
      <w:r>
        <w:rPr>
          <w:rFonts w:eastAsia="標楷體"/>
          <w:spacing w:val="4"/>
          <w:kern w:val="0"/>
          <w:sz w:val="28"/>
          <w:szCs w:val="26"/>
        </w:rPr>
        <w:t>。</w:t>
      </w:r>
    </w:p>
    <w:p w14:paraId="177665D0" w14:textId="77777777" w:rsidR="00052596" w:rsidRDefault="00000000">
      <w:pPr>
        <w:overflowPunct w:val="0"/>
        <w:autoSpaceDE w:val="0"/>
        <w:snapToGrid w:val="0"/>
        <w:spacing w:before="240" w:after="240" w:line="280" w:lineRule="exact"/>
        <w:jc w:val="center"/>
        <w:textAlignment w:val="center"/>
      </w:pPr>
      <w:r>
        <w:rPr>
          <w:rFonts w:eastAsia="標楷體"/>
          <w:b/>
          <w:color w:val="0000FF"/>
          <w:kern w:val="0"/>
          <w:sz w:val="26"/>
          <w:szCs w:val="26"/>
        </w:rPr>
        <w:t>表</w:t>
      </w:r>
      <w:r>
        <w:rPr>
          <w:rFonts w:eastAsia="標楷體"/>
          <w:b/>
          <w:color w:val="0000FF"/>
          <w:kern w:val="0"/>
          <w:sz w:val="26"/>
          <w:szCs w:val="26"/>
        </w:rPr>
        <w:t>1.1.3</w:t>
      </w:r>
      <w:r>
        <w:rPr>
          <w:rFonts w:eastAsia="標楷體"/>
          <w:b/>
          <w:color w:val="0000FF"/>
          <w:kern w:val="0"/>
          <w:sz w:val="26"/>
          <w:szCs w:val="26"/>
        </w:rPr>
        <w:t xml:space="preserve">　</w:t>
      </w:r>
      <w:r>
        <w:rPr>
          <w:rFonts w:eastAsia="標楷體"/>
          <w:b/>
          <w:color w:val="0000FF"/>
          <w:kern w:val="0"/>
          <w:sz w:val="26"/>
          <w:szCs w:val="26"/>
        </w:rPr>
        <w:t>2010</w:t>
      </w:r>
      <w:r>
        <w:rPr>
          <w:rFonts w:eastAsia="標楷體"/>
          <w:b/>
          <w:color w:val="0000FF"/>
          <w:kern w:val="0"/>
          <w:sz w:val="26"/>
          <w:szCs w:val="26"/>
        </w:rPr>
        <w:t>至</w:t>
      </w:r>
      <w:r>
        <w:rPr>
          <w:rFonts w:eastAsia="標楷體"/>
          <w:b/>
          <w:color w:val="0000FF"/>
          <w:kern w:val="0"/>
          <w:sz w:val="26"/>
          <w:szCs w:val="26"/>
        </w:rPr>
        <w:t>2025</w:t>
      </w:r>
      <w:r>
        <w:rPr>
          <w:rFonts w:eastAsia="標楷體"/>
          <w:b/>
          <w:color w:val="0000FF"/>
          <w:kern w:val="0"/>
          <w:sz w:val="26"/>
          <w:szCs w:val="26"/>
        </w:rPr>
        <w:t>年全球</w:t>
      </w:r>
      <w:r>
        <w:rPr>
          <w:rFonts w:eastAsia="標楷體"/>
          <w:b/>
          <w:color w:val="0000FF"/>
          <w:kern w:val="0"/>
          <w:sz w:val="26"/>
          <w:szCs w:val="26"/>
        </w:rPr>
        <w:t>600</w:t>
      </w:r>
      <w:r>
        <w:rPr>
          <w:rFonts w:eastAsia="標楷體"/>
          <w:b/>
          <w:color w:val="0000FF"/>
          <w:kern w:val="0"/>
          <w:sz w:val="26"/>
          <w:szCs w:val="26"/>
        </w:rPr>
        <w:t>大城市分布及占全球</w:t>
      </w:r>
      <w:r>
        <w:rPr>
          <w:rFonts w:eastAsia="標楷體"/>
          <w:b/>
          <w:color w:val="0000FF"/>
          <w:kern w:val="0"/>
          <w:sz w:val="26"/>
          <w:szCs w:val="26"/>
        </w:rPr>
        <w:t>GDP</w:t>
      </w:r>
      <w:r>
        <w:rPr>
          <w:rFonts w:eastAsia="標楷體"/>
          <w:b/>
          <w:color w:val="0000FF"/>
          <w:kern w:val="0"/>
          <w:sz w:val="26"/>
          <w:szCs w:val="26"/>
        </w:rPr>
        <w:t>增量比重</w:t>
      </w:r>
    </w:p>
    <w:p w14:paraId="342CA3F8" w14:textId="77777777" w:rsidR="00052596" w:rsidRDefault="00000000">
      <w:pPr>
        <w:tabs>
          <w:tab w:val="left" w:pos="960"/>
          <w:tab w:val="left" w:pos="1920"/>
          <w:tab w:val="left" w:pos="2880"/>
          <w:tab w:val="left" w:pos="3840"/>
          <w:tab w:val="left" w:pos="4800"/>
          <w:tab w:val="left" w:pos="5760"/>
        </w:tabs>
        <w:overflowPunct w:val="0"/>
        <w:autoSpaceDE w:val="0"/>
        <w:spacing w:before="120" w:line="320" w:lineRule="exact"/>
        <w:ind w:left="205" w:right="-202" w:hanging="205"/>
        <w:jc w:val="right"/>
        <w:textAlignment w:val="center"/>
      </w:pPr>
      <w:r>
        <w:rPr>
          <w:rFonts w:eastAsia="標楷體"/>
          <w:bCs/>
          <w:spacing w:val="4"/>
          <w:kern w:val="0"/>
          <w:sz w:val="22"/>
          <w:szCs w:val="22"/>
        </w:rPr>
        <w:t>單位：個、</w:t>
      </w:r>
      <w:r>
        <w:rPr>
          <w:rFonts w:eastAsia="標楷體"/>
          <w:bCs/>
          <w:spacing w:val="4"/>
          <w:kern w:val="0"/>
          <w:sz w:val="22"/>
          <w:szCs w:val="22"/>
        </w:rPr>
        <w:t>%</w:t>
      </w:r>
    </w:p>
    <w:tbl>
      <w:tblPr>
        <w:tblW w:w="8823" w:type="dxa"/>
        <w:jc w:val="center"/>
        <w:tblCellMar>
          <w:left w:w="10" w:type="dxa"/>
          <w:right w:w="10" w:type="dxa"/>
        </w:tblCellMar>
        <w:tblLook w:val="04A0" w:firstRow="1" w:lastRow="0" w:firstColumn="1" w:lastColumn="0" w:noHBand="0" w:noVBand="1"/>
      </w:tblPr>
      <w:tblGrid>
        <w:gridCol w:w="3360"/>
        <w:gridCol w:w="840"/>
        <w:gridCol w:w="826"/>
        <w:gridCol w:w="2004"/>
        <w:gridCol w:w="992"/>
        <w:gridCol w:w="801"/>
      </w:tblGrid>
      <w:tr w:rsidR="00052596" w14:paraId="491D31BB" w14:textId="77777777">
        <w:tblPrEx>
          <w:tblCellMar>
            <w:top w:w="0" w:type="dxa"/>
            <w:bottom w:w="0" w:type="dxa"/>
          </w:tblCellMar>
        </w:tblPrEx>
        <w:trPr>
          <w:jc w:val="center"/>
        </w:trPr>
        <w:tc>
          <w:tcPr>
            <w:tcW w:w="5026" w:type="dxa"/>
            <w:gridSpan w:val="3"/>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tcPr>
          <w:p w14:paraId="2F9B3EE8" w14:textId="77777777" w:rsidR="00052596" w:rsidRDefault="00000000">
            <w:pPr>
              <w:snapToGrid w:val="0"/>
              <w:spacing w:line="240" w:lineRule="atLeast"/>
              <w:jc w:val="center"/>
              <w:rPr>
                <w:rFonts w:eastAsia="標楷體"/>
                <w:szCs w:val="24"/>
              </w:rPr>
            </w:pPr>
            <w:r>
              <w:rPr>
                <w:rFonts w:eastAsia="標楷體"/>
                <w:szCs w:val="24"/>
              </w:rPr>
              <w:t>新興經濟體</w:t>
            </w:r>
          </w:p>
        </w:tc>
        <w:tc>
          <w:tcPr>
            <w:tcW w:w="3797" w:type="dxa"/>
            <w:gridSpan w:val="3"/>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tcPr>
          <w:p w14:paraId="71C90DA4" w14:textId="77777777" w:rsidR="00052596" w:rsidRDefault="00000000">
            <w:pPr>
              <w:snapToGrid w:val="0"/>
              <w:spacing w:line="240" w:lineRule="atLeast"/>
              <w:jc w:val="center"/>
              <w:rPr>
                <w:rFonts w:eastAsia="標楷體"/>
                <w:szCs w:val="24"/>
              </w:rPr>
            </w:pPr>
            <w:r>
              <w:rPr>
                <w:rFonts w:eastAsia="標楷體"/>
                <w:szCs w:val="24"/>
              </w:rPr>
              <w:t>先進經濟體</w:t>
            </w:r>
          </w:p>
        </w:tc>
      </w:tr>
      <w:tr w:rsidR="00052596" w14:paraId="662BF1D6" w14:textId="77777777">
        <w:tblPrEx>
          <w:tblCellMar>
            <w:top w:w="0" w:type="dxa"/>
            <w:bottom w:w="0" w:type="dxa"/>
          </w:tblCellMar>
        </w:tblPrEx>
        <w:trPr>
          <w:jc w:val="center"/>
        </w:trPr>
        <w:tc>
          <w:tcPr>
            <w:tcW w:w="3360" w:type="dxa"/>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0009B52B" w14:textId="77777777" w:rsidR="00052596" w:rsidRDefault="00000000">
            <w:pPr>
              <w:snapToGrid w:val="0"/>
              <w:spacing w:line="240" w:lineRule="atLeast"/>
              <w:jc w:val="center"/>
            </w:pPr>
            <w:r>
              <w:rPr>
                <w:rFonts w:eastAsia="標楷體"/>
                <w:szCs w:val="24"/>
              </w:rPr>
              <w:t>地區</w:t>
            </w:r>
            <w:r>
              <w:rPr>
                <w:rFonts w:ascii="標楷體" w:eastAsia="標楷體" w:hAnsi="標楷體"/>
                <w:szCs w:val="24"/>
              </w:rPr>
              <w:t>(</w:t>
            </w:r>
            <w:r>
              <w:rPr>
                <w:rFonts w:eastAsia="標楷體"/>
                <w:szCs w:val="24"/>
              </w:rPr>
              <w:t>國</w:t>
            </w:r>
            <w:r>
              <w:rPr>
                <w:rFonts w:ascii="標楷體" w:eastAsia="標楷體" w:hAnsi="標楷體"/>
                <w:szCs w:val="24"/>
              </w:rPr>
              <w:t>)</w:t>
            </w:r>
            <w:r>
              <w:rPr>
                <w:rFonts w:eastAsia="標楷體"/>
                <w:szCs w:val="24"/>
              </w:rPr>
              <w:t>別</w:t>
            </w:r>
          </w:p>
        </w:tc>
        <w:tc>
          <w:tcPr>
            <w:tcW w:w="840"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0F77EB1F" w14:textId="77777777" w:rsidR="00052596" w:rsidRDefault="00000000">
            <w:pPr>
              <w:snapToGrid w:val="0"/>
              <w:spacing w:line="240" w:lineRule="atLeast"/>
              <w:jc w:val="center"/>
              <w:rPr>
                <w:rFonts w:eastAsia="標楷體"/>
                <w:szCs w:val="24"/>
              </w:rPr>
            </w:pPr>
            <w:r>
              <w:rPr>
                <w:rFonts w:eastAsia="標楷體"/>
                <w:szCs w:val="24"/>
              </w:rPr>
              <w:t>個數</w:t>
            </w:r>
          </w:p>
        </w:tc>
        <w:tc>
          <w:tcPr>
            <w:tcW w:w="826"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0683B618" w14:textId="77777777" w:rsidR="00052596" w:rsidRDefault="00000000">
            <w:pPr>
              <w:snapToGrid w:val="0"/>
              <w:spacing w:line="240" w:lineRule="atLeast"/>
              <w:jc w:val="center"/>
              <w:rPr>
                <w:rFonts w:eastAsia="標楷體"/>
                <w:szCs w:val="24"/>
              </w:rPr>
            </w:pPr>
            <w:r>
              <w:rPr>
                <w:rFonts w:eastAsia="標楷體"/>
                <w:szCs w:val="24"/>
              </w:rPr>
              <w:t>比重</w:t>
            </w:r>
          </w:p>
        </w:tc>
        <w:tc>
          <w:tcPr>
            <w:tcW w:w="2004"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05ED6FD6" w14:textId="77777777" w:rsidR="00052596" w:rsidRDefault="00000000">
            <w:pPr>
              <w:snapToGrid w:val="0"/>
              <w:spacing w:line="240" w:lineRule="atLeast"/>
              <w:jc w:val="center"/>
            </w:pPr>
            <w:r>
              <w:rPr>
                <w:rFonts w:eastAsia="標楷體"/>
                <w:szCs w:val="24"/>
              </w:rPr>
              <w:t>地</w:t>
            </w:r>
            <w:r>
              <w:rPr>
                <w:rFonts w:ascii="標楷體" w:eastAsia="標楷體" w:hAnsi="標楷體"/>
                <w:szCs w:val="24"/>
              </w:rPr>
              <w:t>區(</w:t>
            </w:r>
            <w:r>
              <w:rPr>
                <w:rFonts w:eastAsia="標楷體"/>
                <w:szCs w:val="24"/>
              </w:rPr>
              <w:t>國</w:t>
            </w:r>
            <w:r>
              <w:rPr>
                <w:rFonts w:ascii="標楷體" w:eastAsia="標楷體" w:hAnsi="標楷體"/>
                <w:szCs w:val="24"/>
              </w:rPr>
              <w:t>)</w:t>
            </w:r>
            <w:r>
              <w:rPr>
                <w:rFonts w:eastAsia="標楷體"/>
                <w:szCs w:val="24"/>
              </w:rPr>
              <w:t>別</w:t>
            </w:r>
          </w:p>
        </w:tc>
        <w:tc>
          <w:tcPr>
            <w:tcW w:w="992"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00E8201C" w14:textId="77777777" w:rsidR="00052596" w:rsidRDefault="00000000">
            <w:pPr>
              <w:snapToGrid w:val="0"/>
              <w:spacing w:line="240" w:lineRule="atLeast"/>
              <w:jc w:val="center"/>
              <w:rPr>
                <w:rFonts w:eastAsia="標楷體"/>
                <w:szCs w:val="24"/>
              </w:rPr>
            </w:pPr>
            <w:r>
              <w:rPr>
                <w:rFonts w:eastAsia="標楷體"/>
                <w:szCs w:val="24"/>
              </w:rPr>
              <w:t>個數</w:t>
            </w:r>
          </w:p>
        </w:tc>
        <w:tc>
          <w:tcPr>
            <w:tcW w:w="801" w:type="dxa"/>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64247867" w14:textId="77777777" w:rsidR="00052596" w:rsidRDefault="00000000">
            <w:pPr>
              <w:snapToGrid w:val="0"/>
              <w:spacing w:line="240" w:lineRule="atLeast"/>
              <w:jc w:val="center"/>
              <w:rPr>
                <w:rFonts w:eastAsia="標楷體"/>
                <w:szCs w:val="24"/>
              </w:rPr>
            </w:pPr>
            <w:r>
              <w:rPr>
                <w:rFonts w:eastAsia="標楷體"/>
                <w:szCs w:val="24"/>
              </w:rPr>
              <w:t>比重</w:t>
            </w:r>
          </w:p>
        </w:tc>
      </w:tr>
      <w:tr w:rsidR="00052596" w14:paraId="240FAC4F" w14:textId="77777777">
        <w:tblPrEx>
          <w:tblCellMar>
            <w:top w:w="0" w:type="dxa"/>
            <w:bottom w:w="0" w:type="dxa"/>
          </w:tblCellMar>
        </w:tblPrEx>
        <w:trPr>
          <w:jc w:val="center"/>
        </w:trPr>
        <w:tc>
          <w:tcPr>
            <w:tcW w:w="3360" w:type="dxa"/>
            <w:tcBorders>
              <w:top w:val="single" w:sz="4" w:space="0" w:color="000000"/>
              <w:right w:val="single" w:sz="4" w:space="0" w:color="000000"/>
            </w:tcBorders>
            <w:shd w:val="clear" w:color="auto" w:fill="FFF0E1"/>
            <w:tcMar>
              <w:top w:w="0" w:type="dxa"/>
              <w:left w:w="108" w:type="dxa"/>
              <w:bottom w:w="0" w:type="dxa"/>
              <w:right w:w="108" w:type="dxa"/>
            </w:tcMar>
          </w:tcPr>
          <w:p w14:paraId="3EE9798E" w14:textId="77777777" w:rsidR="00052596" w:rsidRDefault="00000000">
            <w:pPr>
              <w:snapToGrid w:val="0"/>
              <w:spacing w:line="300" w:lineRule="exact"/>
              <w:rPr>
                <w:rFonts w:eastAsia="標楷體"/>
                <w:szCs w:val="24"/>
              </w:rPr>
            </w:pPr>
            <w:r>
              <w:rPr>
                <w:rFonts w:eastAsia="標楷體"/>
                <w:szCs w:val="24"/>
              </w:rPr>
              <w:t>全球</w:t>
            </w:r>
            <w:r>
              <w:rPr>
                <w:rFonts w:eastAsia="標楷體"/>
                <w:szCs w:val="24"/>
              </w:rPr>
              <w:t>600</w:t>
            </w:r>
            <w:r>
              <w:rPr>
                <w:rFonts w:eastAsia="標楷體"/>
                <w:szCs w:val="24"/>
              </w:rPr>
              <w:t>大城市</w:t>
            </w:r>
          </w:p>
        </w:tc>
        <w:tc>
          <w:tcPr>
            <w:tcW w:w="840"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tcPr>
          <w:p w14:paraId="1DE91C1F" w14:textId="77777777" w:rsidR="00052596" w:rsidRDefault="00000000">
            <w:pPr>
              <w:snapToGrid w:val="0"/>
              <w:spacing w:line="300" w:lineRule="exact"/>
              <w:jc w:val="center"/>
              <w:rPr>
                <w:rFonts w:eastAsia="標楷體"/>
                <w:szCs w:val="24"/>
              </w:rPr>
            </w:pPr>
            <w:r>
              <w:rPr>
                <w:rFonts w:eastAsia="標楷體"/>
                <w:szCs w:val="24"/>
              </w:rPr>
              <w:t>443</w:t>
            </w:r>
          </w:p>
        </w:tc>
        <w:tc>
          <w:tcPr>
            <w:tcW w:w="826"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tcPr>
          <w:p w14:paraId="12E89B72" w14:textId="77777777" w:rsidR="00052596" w:rsidRDefault="00000000">
            <w:pPr>
              <w:snapToGrid w:val="0"/>
              <w:spacing w:line="300" w:lineRule="exact"/>
              <w:jc w:val="center"/>
              <w:rPr>
                <w:rFonts w:eastAsia="標楷體"/>
                <w:szCs w:val="24"/>
              </w:rPr>
            </w:pPr>
            <w:r>
              <w:rPr>
                <w:rFonts w:eastAsia="標楷體"/>
                <w:szCs w:val="24"/>
              </w:rPr>
              <w:t>47</w:t>
            </w:r>
          </w:p>
        </w:tc>
        <w:tc>
          <w:tcPr>
            <w:tcW w:w="2004"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tcPr>
          <w:p w14:paraId="00A01127" w14:textId="77777777" w:rsidR="00052596" w:rsidRDefault="00000000">
            <w:pPr>
              <w:snapToGrid w:val="0"/>
              <w:spacing w:line="300" w:lineRule="exact"/>
              <w:rPr>
                <w:rFonts w:eastAsia="標楷體"/>
                <w:szCs w:val="24"/>
              </w:rPr>
            </w:pPr>
            <w:r>
              <w:rPr>
                <w:rFonts w:eastAsia="標楷體"/>
                <w:szCs w:val="24"/>
              </w:rPr>
              <w:t>全球</w:t>
            </w:r>
            <w:r>
              <w:rPr>
                <w:rFonts w:eastAsia="標楷體"/>
                <w:szCs w:val="24"/>
              </w:rPr>
              <w:t>600</w:t>
            </w:r>
            <w:r>
              <w:rPr>
                <w:rFonts w:eastAsia="標楷體"/>
                <w:szCs w:val="24"/>
              </w:rPr>
              <w:t>大城市</w:t>
            </w:r>
          </w:p>
        </w:tc>
        <w:tc>
          <w:tcPr>
            <w:tcW w:w="992"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17BEA324" w14:textId="77777777" w:rsidR="00052596" w:rsidRDefault="00000000">
            <w:pPr>
              <w:snapToGrid w:val="0"/>
              <w:spacing w:line="300" w:lineRule="exact"/>
              <w:jc w:val="center"/>
              <w:rPr>
                <w:rFonts w:eastAsia="標楷體"/>
                <w:szCs w:val="24"/>
              </w:rPr>
            </w:pPr>
            <w:r>
              <w:rPr>
                <w:rFonts w:eastAsia="標楷體"/>
                <w:szCs w:val="24"/>
              </w:rPr>
              <w:t>157</w:t>
            </w:r>
          </w:p>
        </w:tc>
        <w:tc>
          <w:tcPr>
            <w:tcW w:w="801" w:type="dxa"/>
            <w:tcBorders>
              <w:top w:val="single" w:sz="4" w:space="0" w:color="000000"/>
              <w:left w:val="single" w:sz="4" w:space="0" w:color="000000"/>
            </w:tcBorders>
            <w:shd w:val="clear" w:color="auto" w:fill="FFF0E1"/>
            <w:tcMar>
              <w:top w:w="0" w:type="dxa"/>
              <w:left w:w="108" w:type="dxa"/>
              <w:bottom w:w="0" w:type="dxa"/>
              <w:right w:w="108" w:type="dxa"/>
            </w:tcMar>
            <w:vAlign w:val="center"/>
          </w:tcPr>
          <w:p w14:paraId="078568BC" w14:textId="77777777" w:rsidR="00052596" w:rsidRDefault="00000000">
            <w:pPr>
              <w:snapToGrid w:val="0"/>
              <w:spacing w:line="300" w:lineRule="exact"/>
              <w:jc w:val="center"/>
              <w:rPr>
                <w:rFonts w:eastAsia="標楷體"/>
                <w:szCs w:val="24"/>
              </w:rPr>
            </w:pPr>
            <w:r>
              <w:rPr>
                <w:rFonts w:eastAsia="標楷體"/>
                <w:szCs w:val="24"/>
              </w:rPr>
              <w:t>17</w:t>
            </w:r>
          </w:p>
        </w:tc>
      </w:tr>
      <w:tr w:rsidR="00052596" w14:paraId="7BD99098" w14:textId="77777777">
        <w:tblPrEx>
          <w:tblCellMar>
            <w:top w:w="0" w:type="dxa"/>
            <w:bottom w:w="0" w:type="dxa"/>
          </w:tblCellMar>
        </w:tblPrEx>
        <w:trPr>
          <w:jc w:val="center"/>
        </w:trPr>
        <w:tc>
          <w:tcPr>
            <w:tcW w:w="3360" w:type="dxa"/>
            <w:tcBorders>
              <w:right w:val="single" w:sz="4" w:space="0" w:color="000000"/>
            </w:tcBorders>
            <w:shd w:val="clear" w:color="auto" w:fill="FFF0E1"/>
            <w:tcMar>
              <w:top w:w="0" w:type="dxa"/>
              <w:left w:w="108" w:type="dxa"/>
              <w:bottom w:w="0" w:type="dxa"/>
              <w:right w:w="108" w:type="dxa"/>
            </w:tcMar>
          </w:tcPr>
          <w:p w14:paraId="085210C8" w14:textId="77777777" w:rsidR="00052596" w:rsidRDefault="00000000">
            <w:pPr>
              <w:snapToGrid w:val="0"/>
              <w:spacing w:line="300" w:lineRule="exact"/>
            </w:pPr>
            <w:r>
              <w:rPr>
                <w:rFonts w:eastAsia="標楷體"/>
                <w:szCs w:val="24"/>
              </w:rPr>
              <w:t xml:space="preserve">　中國大陸</w:t>
            </w:r>
            <w:r>
              <w:rPr>
                <w:rFonts w:ascii="標楷體" w:eastAsia="標楷體" w:hAnsi="標楷體"/>
                <w:szCs w:val="24"/>
              </w:rPr>
              <w:t>(含港、澳)</w:t>
            </w:r>
            <w:r>
              <w:rPr>
                <w:rFonts w:eastAsia="標楷體"/>
                <w:szCs w:val="24"/>
              </w:rPr>
              <w:t>與臺灣</w:t>
            </w:r>
          </w:p>
        </w:tc>
        <w:tc>
          <w:tcPr>
            <w:tcW w:w="84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F5A7BB8" w14:textId="77777777" w:rsidR="00052596" w:rsidRDefault="00000000">
            <w:pPr>
              <w:snapToGrid w:val="0"/>
              <w:spacing w:line="300" w:lineRule="exact"/>
              <w:jc w:val="center"/>
              <w:rPr>
                <w:rFonts w:eastAsia="標楷體"/>
                <w:szCs w:val="24"/>
              </w:rPr>
            </w:pPr>
            <w:r>
              <w:rPr>
                <w:rFonts w:eastAsia="標楷體"/>
                <w:szCs w:val="24"/>
              </w:rPr>
              <w:t>250</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D4926BC" w14:textId="77777777" w:rsidR="00052596" w:rsidRDefault="00000000">
            <w:pPr>
              <w:snapToGrid w:val="0"/>
              <w:spacing w:line="300" w:lineRule="exact"/>
              <w:jc w:val="center"/>
              <w:rPr>
                <w:rFonts w:eastAsia="標楷體"/>
                <w:szCs w:val="24"/>
              </w:rPr>
            </w:pPr>
            <w:r>
              <w:rPr>
                <w:rFonts w:eastAsia="標楷體"/>
                <w:szCs w:val="24"/>
              </w:rPr>
              <w:t>28</w:t>
            </w:r>
          </w:p>
        </w:tc>
        <w:tc>
          <w:tcPr>
            <w:tcW w:w="20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A5FD735" w14:textId="77777777" w:rsidR="00052596" w:rsidRDefault="00000000">
            <w:pPr>
              <w:snapToGrid w:val="0"/>
              <w:spacing w:line="300" w:lineRule="exact"/>
              <w:jc w:val="both"/>
              <w:rPr>
                <w:rFonts w:eastAsia="標楷體"/>
                <w:szCs w:val="24"/>
              </w:rPr>
            </w:pPr>
            <w:r>
              <w:rPr>
                <w:rFonts w:eastAsia="標楷體"/>
                <w:szCs w:val="24"/>
              </w:rPr>
              <w:t xml:space="preserve">　美國、加拿大</w:t>
            </w:r>
          </w:p>
        </w:tc>
        <w:tc>
          <w:tcPr>
            <w:tcW w:w="992"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9CFEF16" w14:textId="77777777" w:rsidR="00052596" w:rsidRDefault="00000000">
            <w:pPr>
              <w:snapToGrid w:val="0"/>
              <w:spacing w:line="300" w:lineRule="exact"/>
              <w:jc w:val="center"/>
              <w:rPr>
                <w:rFonts w:eastAsia="標楷體"/>
                <w:szCs w:val="24"/>
              </w:rPr>
            </w:pPr>
            <w:r>
              <w:rPr>
                <w:rFonts w:eastAsia="標楷體"/>
                <w:szCs w:val="24"/>
              </w:rPr>
              <w:t>88</w:t>
            </w:r>
          </w:p>
        </w:tc>
        <w:tc>
          <w:tcPr>
            <w:tcW w:w="801" w:type="dxa"/>
            <w:tcBorders>
              <w:left w:val="single" w:sz="4" w:space="0" w:color="000000"/>
            </w:tcBorders>
            <w:shd w:val="clear" w:color="auto" w:fill="FFF0E1"/>
            <w:tcMar>
              <w:top w:w="0" w:type="dxa"/>
              <w:left w:w="108" w:type="dxa"/>
              <w:bottom w:w="0" w:type="dxa"/>
              <w:right w:w="108" w:type="dxa"/>
            </w:tcMar>
            <w:vAlign w:val="center"/>
          </w:tcPr>
          <w:p w14:paraId="2913E8E0" w14:textId="77777777" w:rsidR="00052596" w:rsidRDefault="00000000">
            <w:pPr>
              <w:snapToGrid w:val="0"/>
              <w:spacing w:line="300" w:lineRule="exact"/>
              <w:jc w:val="center"/>
              <w:rPr>
                <w:rFonts w:eastAsia="標楷體"/>
                <w:szCs w:val="24"/>
              </w:rPr>
            </w:pPr>
            <w:r>
              <w:rPr>
                <w:rFonts w:eastAsia="標楷體"/>
                <w:szCs w:val="24"/>
              </w:rPr>
              <w:t>10</w:t>
            </w:r>
          </w:p>
        </w:tc>
      </w:tr>
      <w:tr w:rsidR="00052596" w14:paraId="254FC772" w14:textId="77777777">
        <w:tblPrEx>
          <w:tblCellMar>
            <w:top w:w="0" w:type="dxa"/>
            <w:bottom w:w="0" w:type="dxa"/>
          </w:tblCellMar>
        </w:tblPrEx>
        <w:trPr>
          <w:jc w:val="center"/>
        </w:trPr>
        <w:tc>
          <w:tcPr>
            <w:tcW w:w="3360" w:type="dxa"/>
            <w:tcBorders>
              <w:right w:val="single" w:sz="4" w:space="0" w:color="000000"/>
            </w:tcBorders>
            <w:shd w:val="clear" w:color="auto" w:fill="FFF0E1"/>
            <w:tcMar>
              <w:top w:w="0" w:type="dxa"/>
              <w:left w:w="108" w:type="dxa"/>
              <w:bottom w:w="0" w:type="dxa"/>
              <w:right w:w="108" w:type="dxa"/>
            </w:tcMar>
          </w:tcPr>
          <w:p w14:paraId="648D1266" w14:textId="77777777" w:rsidR="00052596" w:rsidRDefault="00000000">
            <w:pPr>
              <w:snapToGrid w:val="0"/>
              <w:spacing w:line="300" w:lineRule="exact"/>
              <w:rPr>
                <w:rFonts w:eastAsia="標楷體"/>
                <w:szCs w:val="24"/>
              </w:rPr>
            </w:pPr>
            <w:r>
              <w:rPr>
                <w:rFonts w:eastAsia="標楷體"/>
                <w:szCs w:val="24"/>
              </w:rPr>
              <w:t xml:space="preserve">　南亞</w:t>
            </w:r>
          </w:p>
        </w:tc>
        <w:tc>
          <w:tcPr>
            <w:tcW w:w="84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307C493" w14:textId="77777777" w:rsidR="00052596" w:rsidRDefault="00000000">
            <w:pPr>
              <w:snapToGrid w:val="0"/>
              <w:spacing w:line="300" w:lineRule="exact"/>
              <w:jc w:val="center"/>
              <w:rPr>
                <w:rFonts w:eastAsia="標楷體"/>
                <w:szCs w:val="24"/>
              </w:rPr>
            </w:pPr>
            <w:r>
              <w:rPr>
                <w:rFonts w:eastAsia="標楷體"/>
                <w:szCs w:val="24"/>
              </w:rPr>
              <w:t>36</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C0CF5FF" w14:textId="77777777" w:rsidR="00052596" w:rsidRDefault="00000000">
            <w:pPr>
              <w:snapToGrid w:val="0"/>
              <w:spacing w:line="300" w:lineRule="exact"/>
              <w:jc w:val="center"/>
              <w:rPr>
                <w:rFonts w:eastAsia="標楷體"/>
                <w:szCs w:val="24"/>
              </w:rPr>
            </w:pPr>
            <w:r>
              <w:rPr>
                <w:rFonts w:eastAsia="標楷體"/>
                <w:szCs w:val="24"/>
              </w:rPr>
              <w:t>3</w:t>
            </w:r>
          </w:p>
        </w:tc>
        <w:tc>
          <w:tcPr>
            <w:tcW w:w="20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8461321" w14:textId="77777777" w:rsidR="00052596" w:rsidRDefault="00000000">
            <w:pPr>
              <w:snapToGrid w:val="0"/>
              <w:spacing w:line="300" w:lineRule="exact"/>
              <w:jc w:val="both"/>
              <w:rPr>
                <w:rFonts w:eastAsia="標楷體"/>
                <w:szCs w:val="24"/>
              </w:rPr>
            </w:pPr>
            <w:r>
              <w:rPr>
                <w:rFonts w:eastAsia="標楷體"/>
                <w:szCs w:val="24"/>
              </w:rPr>
              <w:t xml:space="preserve">　西歐</w:t>
            </w:r>
          </w:p>
        </w:tc>
        <w:tc>
          <w:tcPr>
            <w:tcW w:w="992"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3588427" w14:textId="77777777" w:rsidR="00052596" w:rsidRDefault="00000000">
            <w:pPr>
              <w:snapToGrid w:val="0"/>
              <w:spacing w:line="300" w:lineRule="exact"/>
              <w:jc w:val="center"/>
              <w:rPr>
                <w:rFonts w:eastAsia="標楷體"/>
                <w:szCs w:val="24"/>
              </w:rPr>
            </w:pPr>
            <w:r>
              <w:rPr>
                <w:rFonts w:eastAsia="標楷體"/>
                <w:szCs w:val="24"/>
              </w:rPr>
              <w:t>42</w:t>
            </w:r>
          </w:p>
        </w:tc>
        <w:tc>
          <w:tcPr>
            <w:tcW w:w="801" w:type="dxa"/>
            <w:tcBorders>
              <w:left w:val="single" w:sz="4" w:space="0" w:color="000000"/>
            </w:tcBorders>
            <w:shd w:val="clear" w:color="auto" w:fill="FFF0E1"/>
            <w:tcMar>
              <w:top w:w="0" w:type="dxa"/>
              <w:left w:w="108" w:type="dxa"/>
              <w:bottom w:w="0" w:type="dxa"/>
              <w:right w:w="108" w:type="dxa"/>
            </w:tcMar>
            <w:vAlign w:val="center"/>
          </w:tcPr>
          <w:p w14:paraId="75D27141" w14:textId="77777777" w:rsidR="00052596" w:rsidRDefault="00000000">
            <w:pPr>
              <w:snapToGrid w:val="0"/>
              <w:spacing w:line="300" w:lineRule="exact"/>
              <w:jc w:val="center"/>
              <w:rPr>
                <w:rFonts w:eastAsia="標楷體"/>
                <w:szCs w:val="24"/>
              </w:rPr>
            </w:pPr>
            <w:r>
              <w:rPr>
                <w:rFonts w:eastAsia="標楷體"/>
                <w:szCs w:val="24"/>
              </w:rPr>
              <w:t>4</w:t>
            </w:r>
          </w:p>
        </w:tc>
      </w:tr>
      <w:tr w:rsidR="00052596" w14:paraId="693DF161" w14:textId="77777777">
        <w:tblPrEx>
          <w:tblCellMar>
            <w:top w:w="0" w:type="dxa"/>
            <w:bottom w:w="0" w:type="dxa"/>
          </w:tblCellMar>
        </w:tblPrEx>
        <w:trPr>
          <w:jc w:val="center"/>
        </w:trPr>
        <w:tc>
          <w:tcPr>
            <w:tcW w:w="3360" w:type="dxa"/>
            <w:tcBorders>
              <w:right w:val="single" w:sz="4" w:space="0" w:color="000000"/>
            </w:tcBorders>
            <w:shd w:val="clear" w:color="auto" w:fill="FFF0E1"/>
            <w:tcMar>
              <w:top w:w="0" w:type="dxa"/>
              <w:left w:w="108" w:type="dxa"/>
              <w:bottom w:w="0" w:type="dxa"/>
              <w:right w:w="108" w:type="dxa"/>
            </w:tcMar>
          </w:tcPr>
          <w:p w14:paraId="00A32B92" w14:textId="77777777" w:rsidR="00052596" w:rsidRDefault="00000000">
            <w:pPr>
              <w:snapToGrid w:val="0"/>
              <w:spacing w:line="300" w:lineRule="exact"/>
              <w:rPr>
                <w:rFonts w:eastAsia="標楷體"/>
                <w:szCs w:val="24"/>
              </w:rPr>
            </w:pPr>
            <w:r>
              <w:rPr>
                <w:rFonts w:eastAsia="標楷體"/>
                <w:szCs w:val="24"/>
              </w:rPr>
              <w:t xml:space="preserve">　東南亞</w:t>
            </w:r>
          </w:p>
        </w:tc>
        <w:tc>
          <w:tcPr>
            <w:tcW w:w="84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ECB3AA3" w14:textId="77777777" w:rsidR="00052596" w:rsidRDefault="00000000">
            <w:pPr>
              <w:snapToGrid w:val="0"/>
              <w:spacing w:line="300" w:lineRule="exact"/>
              <w:jc w:val="center"/>
              <w:rPr>
                <w:rFonts w:eastAsia="標楷體"/>
                <w:szCs w:val="24"/>
              </w:rPr>
            </w:pPr>
            <w:r>
              <w:rPr>
                <w:rFonts w:eastAsia="標楷體"/>
                <w:szCs w:val="24"/>
              </w:rPr>
              <w:t>24</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5953458" w14:textId="77777777" w:rsidR="00052596" w:rsidRDefault="00000000">
            <w:pPr>
              <w:snapToGrid w:val="0"/>
              <w:spacing w:line="300" w:lineRule="exact"/>
              <w:jc w:val="center"/>
              <w:rPr>
                <w:rFonts w:eastAsia="標楷體"/>
                <w:szCs w:val="24"/>
              </w:rPr>
            </w:pPr>
            <w:r>
              <w:rPr>
                <w:rFonts w:eastAsia="標楷體"/>
                <w:szCs w:val="24"/>
              </w:rPr>
              <w:t>2</w:t>
            </w:r>
          </w:p>
        </w:tc>
        <w:tc>
          <w:tcPr>
            <w:tcW w:w="20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805CAA0" w14:textId="77777777" w:rsidR="00052596" w:rsidRDefault="00000000">
            <w:pPr>
              <w:snapToGrid w:val="0"/>
              <w:spacing w:line="300" w:lineRule="exact"/>
              <w:jc w:val="both"/>
              <w:rPr>
                <w:rFonts w:eastAsia="標楷體"/>
                <w:szCs w:val="24"/>
              </w:rPr>
            </w:pPr>
            <w:r>
              <w:rPr>
                <w:rFonts w:eastAsia="標楷體"/>
                <w:szCs w:val="24"/>
              </w:rPr>
              <w:t xml:space="preserve">　東北亞</w:t>
            </w:r>
          </w:p>
        </w:tc>
        <w:tc>
          <w:tcPr>
            <w:tcW w:w="992"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13B5C97" w14:textId="77777777" w:rsidR="00052596" w:rsidRDefault="00000000">
            <w:pPr>
              <w:snapToGrid w:val="0"/>
              <w:spacing w:line="300" w:lineRule="exact"/>
              <w:jc w:val="center"/>
              <w:rPr>
                <w:rFonts w:eastAsia="標楷體"/>
                <w:szCs w:val="24"/>
              </w:rPr>
            </w:pPr>
            <w:r>
              <w:rPr>
                <w:rFonts w:eastAsia="標楷體"/>
                <w:szCs w:val="24"/>
              </w:rPr>
              <w:t>21</w:t>
            </w:r>
          </w:p>
        </w:tc>
        <w:tc>
          <w:tcPr>
            <w:tcW w:w="801" w:type="dxa"/>
            <w:tcBorders>
              <w:left w:val="single" w:sz="4" w:space="0" w:color="000000"/>
            </w:tcBorders>
            <w:shd w:val="clear" w:color="auto" w:fill="FFF0E1"/>
            <w:tcMar>
              <w:top w:w="0" w:type="dxa"/>
              <w:left w:w="108" w:type="dxa"/>
              <w:bottom w:w="0" w:type="dxa"/>
              <w:right w:w="108" w:type="dxa"/>
            </w:tcMar>
            <w:vAlign w:val="center"/>
          </w:tcPr>
          <w:p w14:paraId="1D5BE3C6" w14:textId="77777777" w:rsidR="00052596" w:rsidRDefault="00000000">
            <w:pPr>
              <w:snapToGrid w:val="0"/>
              <w:spacing w:line="300" w:lineRule="exact"/>
              <w:jc w:val="center"/>
              <w:rPr>
                <w:rFonts w:eastAsia="標楷體"/>
                <w:szCs w:val="24"/>
              </w:rPr>
            </w:pPr>
            <w:r>
              <w:rPr>
                <w:rFonts w:eastAsia="標楷體"/>
                <w:szCs w:val="24"/>
              </w:rPr>
              <w:t>2</w:t>
            </w:r>
          </w:p>
        </w:tc>
      </w:tr>
      <w:tr w:rsidR="00052596" w14:paraId="697E8087" w14:textId="77777777">
        <w:tblPrEx>
          <w:tblCellMar>
            <w:top w:w="0" w:type="dxa"/>
            <w:bottom w:w="0" w:type="dxa"/>
          </w:tblCellMar>
        </w:tblPrEx>
        <w:trPr>
          <w:jc w:val="center"/>
        </w:trPr>
        <w:tc>
          <w:tcPr>
            <w:tcW w:w="3360" w:type="dxa"/>
            <w:tcBorders>
              <w:right w:val="single" w:sz="4" w:space="0" w:color="000000"/>
            </w:tcBorders>
            <w:shd w:val="clear" w:color="auto" w:fill="FFF0E1"/>
            <w:tcMar>
              <w:top w:w="0" w:type="dxa"/>
              <w:left w:w="108" w:type="dxa"/>
              <w:bottom w:w="0" w:type="dxa"/>
              <w:right w:w="108" w:type="dxa"/>
            </w:tcMar>
          </w:tcPr>
          <w:p w14:paraId="0861F6E6" w14:textId="77777777" w:rsidR="00052596" w:rsidRDefault="00000000">
            <w:pPr>
              <w:snapToGrid w:val="0"/>
              <w:spacing w:line="300" w:lineRule="exact"/>
              <w:rPr>
                <w:rFonts w:eastAsia="標楷體"/>
                <w:szCs w:val="24"/>
              </w:rPr>
            </w:pPr>
            <w:r>
              <w:rPr>
                <w:rFonts w:eastAsia="標楷體"/>
                <w:szCs w:val="24"/>
              </w:rPr>
              <w:t xml:space="preserve">　拉丁美洲</w:t>
            </w:r>
          </w:p>
        </w:tc>
        <w:tc>
          <w:tcPr>
            <w:tcW w:w="84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149952C" w14:textId="77777777" w:rsidR="00052596" w:rsidRDefault="00000000">
            <w:pPr>
              <w:snapToGrid w:val="0"/>
              <w:spacing w:line="300" w:lineRule="exact"/>
              <w:jc w:val="center"/>
              <w:rPr>
                <w:rFonts w:eastAsia="標楷體"/>
                <w:szCs w:val="24"/>
              </w:rPr>
            </w:pPr>
            <w:r>
              <w:rPr>
                <w:rFonts w:eastAsia="標楷體"/>
                <w:szCs w:val="24"/>
              </w:rPr>
              <w:t>57</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EEC74A0" w14:textId="77777777" w:rsidR="00052596" w:rsidRDefault="00000000">
            <w:pPr>
              <w:snapToGrid w:val="0"/>
              <w:spacing w:line="300" w:lineRule="exact"/>
              <w:jc w:val="center"/>
              <w:rPr>
                <w:rFonts w:eastAsia="標楷體"/>
                <w:szCs w:val="24"/>
              </w:rPr>
            </w:pPr>
            <w:r>
              <w:rPr>
                <w:rFonts w:eastAsia="標楷體"/>
                <w:szCs w:val="24"/>
              </w:rPr>
              <w:t>6</w:t>
            </w:r>
          </w:p>
        </w:tc>
        <w:tc>
          <w:tcPr>
            <w:tcW w:w="20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0430E72" w14:textId="77777777" w:rsidR="00052596" w:rsidRDefault="00000000">
            <w:pPr>
              <w:snapToGrid w:val="0"/>
              <w:spacing w:line="300" w:lineRule="exact"/>
              <w:jc w:val="both"/>
              <w:rPr>
                <w:rFonts w:eastAsia="標楷體"/>
                <w:szCs w:val="24"/>
              </w:rPr>
            </w:pPr>
            <w:r>
              <w:rPr>
                <w:rFonts w:eastAsia="標楷體"/>
                <w:szCs w:val="24"/>
              </w:rPr>
              <w:t xml:space="preserve">　澳洲</w:t>
            </w:r>
          </w:p>
        </w:tc>
        <w:tc>
          <w:tcPr>
            <w:tcW w:w="992"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78DE9AE" w14:textId="77777777" w:rsidR="00052596" w:rsidRDefault="00000000">
            <w:pPr>
              <w:snapToGrid w:val="0"/>
              <w:spacing w:line="300" w:lineRule="exact"/>
              <w:jc w:val="center"/>
              <w:rPr>
                <w:rFonts w:eastAsia="標楷體"/>
                <w:szCs w:val="24"/>
              </w:rPr>
            </w:pPr>
            <w:r>
              <w:rPr>
                <w:rFonts w:eastAsia="標楷體"/>
                <w:szCs w:val="24"/>
              </w:rPr>
              <w:t>6</w:t>
            </w:r>
          </w:p>
        </w:tc>
        <w:tc>
          <w:tcPr>
            <w:tcW w:w="801" w:type="dxa"/>
            <w:tcBorders>
              <w:left w:val="single" w:sz="4" w:space="0" w:color="000000"/>
            </w:tcBorders>
            <w:shd w:val="clear" w:color="auto" w:fill="FFF0E1"/>
            <w:tcMar>
              <w:top w:w="0" w:type="dxa"/>
              <w:left w:w="108" w:type="dxa"/>
              <w:bottom w:w="0" w:type="dxa"/>
              <w:right w:w="108" w:type="dxa"/>
            </w:tcMar>
            <w:vAlign w:val="center"/>
          </w:tcPr>
          <w:p w14:paraId="0A4A8FE2" w14:textId="77777777" w:rsidR="00052596" w:rsidRDefault="00000000">
            <w:pPr>
              <w:snapToGrid w:val="0"/>
              <w:spacing w:line="300" w:lineRule="exact"/>
              <w:jc w:val="center"/>
              <w:rPr>
                <w:rFonts w:eastAsia="標楷體"/>
                <w:szCs w:val="24"/>
              </w:rPr>
            </w:pPr>
            <w:r>
              <w:rPr>
                <w:rFonts w:eastAsia="標楷體"/>
                <w:szCs w:val="24"/>
              </w:rPr>
              <w:t>1</w:t>
            </w:r>
          </w:p>
        </w:tc>
      </w:tr>
      <w:tr w:rsidR="00052596" w14:paraId="34EC3FB3" w14:textId="77777777">
        <w:tblPrEx>
          <w:tblCellMar>
            <w:top w:w="0" w:type="dxa"/>
            <w:bottom w:w="0" w:type="dxa"/>
          </w:tblCellMar>
        </w:tblPrEx>
        <w:trPr>
          <w:jc w:val="center"/>
        </w:trPr>
        <w:tc>
          <w:tcPr>
            <w:tcW w:w="3360" w:type="dxa"/>
            <w:tcBorders>
              <w:right w:val="single" w:sz="4" w:space="0" w:color="000000"/>
            </w:tcBorders>
            <w:shd w:val="clear" w:color="auto" w:fill="FFF0E1"/>
            <w:tcMar>
              <w:top w:w="0" w:type="dxa"/>
              <w:left w:w="108" w:type="dxa"/>
              <w:bottom w:w="0" w:type="dxa"/>
              <w:right w:w="108" w:type="dxa"/>
            </w:tcMar>
          </w:tcPr>
          <w:p w14:paraId="3515BA6C" w14:textId="77777777" w:rsidR="00052596" w:rsidRDefault="00000000">
            <w:pPr>
              <w:snapToGrid w:val="0"/>
              <w:spacing w:line="300" w:lineRule="exact"/>
              <w:rPr>
                <w:rFonts w:eastAsia="標楷體"/>
                <w:szCs w:val="24"/>
              </w:rPr>
            </w:pPr>
            <w:r>
              <w:rPr>
                <w:rFonts w:eastAsia="標楷體"/>
                <w:szCs w:val="24"/>
              </w:rPr>
              <w:t xml:space="preserve">　東歐及中亞</w:t>
            </w:r>
          </w:p>
        </w:tc>
        <w:tc>
          <w:tcPr>
            <w:tcW w:w="84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D9D92FC" w14:textId="77777777" w:rsidR="00052596" w:rsidRDefault="00000000">
            <w:pPr>
              <w:snapToGrid w:val="0"/>
              <w:spacing w:line="300" w:lineRule="exact"/>
              <w:jc w:val="center"/>
              <w:rPr>
                <w:rFonts w:eastAsia="標楷體"/>
                <w:szCs w:val="24"/>
              </w:rPr>
            </w:pPr>
            <w:r>
              <w:rPr>
                <w:rFonts w:eastAsia="標楷體"/>
                <w:szCs w:val="24"/>
              </w:rPr>
              <w:t>37</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11C878B" w14:textId="77777777" w:rsidR="00052596" w:rsidRDefault="00000000">
            <w:pPr>
              <w:snapToGrid w:val="0"/>
              <w:spacing w:line="300" w:lineRule="exact"/>
              <w:jc w:val="center"/>
              <w:rPr>
                <w:rFonts w:eastAsia="標楷體"/>
                <w:szCs w:val="24"/>
              </w:rPr>
            </w:pPr>
            <w:r>
              <w:rPr>
                <w:rFonts w:eastAsia="標楷體"/>
                <w:szCs w:val="24"/>
              </w:rPr>
              <w:t>3</w:t>
            </w:r>
          </w:p>
        </w:tc>
        <w:tc>
          <w:tcPr>
            <w:tcW w:w="2004" w:type="dxa"/>
            <w:vMerge w:val="restart"/>
            <w:tcBorders>
              <w:left w:val="single" w:sz="4" w:space="0" w:color="000000"/>
              <w:bottom w:val="single" w:sz="6" w:space="0" w:color="000000"/>
              <w:right w:val="single" w:sz="4" w:space="0" w:color="000000"/>
            </w:tcBorders>
            <w:shd w:val="clear" w:color="auto" w:fill="FFF0E1"/>
            <w:tcMar>
              <w:top w:w="0" w:type="dxa"/>
              <w:left w:w="108" w:type="dxa"/>
              <w:bottom w:w="0" w:type="dxa"/>
              <w:right w:w="108" w:type="dxa"/>
            </w:tcMar>
          </w:tcPr>
          <w:p w14:paraId="7E88A999" w14:textId="77777777" w:rsidR="00052596" w:rsidRDefault="00000000">
            <w:pPr>
              <w:snapToGrid w:val="0"/>
              <w:spacing w:line="300" w:lineRule="exact"/>
              <w:rPr>
                <w:rFonts w:eastAsia="標楷體"/>
                <w:szCs w:val="24"/>
              </w:rPr>
            </w:pPr>
            <w:r>
              <w:rPr>
                <w:rFonts w:eastAsia="標楷體"/>
                <w:szCs w:val="24"/>
              </w:rPr>
              <w:t>其他城市與農村地區</w:t>
            </w:r>
          </w:p>
        </w:tc>
        <w:tc>
          <w:tcPr>
            <w:tcW w:w="992" w:type="dxa"/>
            <w:vMerge w:val="restart"/>
            <w:tcBorders>
              <w:left w:val="single" w:sz="4" w:space="0" w:color="000000"/>
              <w:bottom w:val="single" w:sz="6" w:space="0" w:color="000000"/>
              <w:right w:val="single" w:sz="4" w:space="0" w:color="000000"/>
            </w:tcBorders>
            <w:shd w:val="clear" w:color="auto" w:fill="FFF0E1"/>
            <w:tcMar>
              <w:top w:w="0" w:type="dxa"/>
              <w:left w:w="108" w:type="dxa"/>
              <w:bottom w:w="0" w:type="dxa"/>
              <w:right w:w="108" w:type="dxa"/>
            </w:tcMar>
          </w:tcPr>
          <w:p w14:paraId="5BDF4512" w14:textId="77777777" w:rsidR="00052596" w:rsidRDefault="00000000">
            <w:pPr>
              <w:snapToGrid w:val="0"/>
              <w:spacing w:line="300" w:lineRule="exact"/>
              <w:jc w:val="center"/>
              <w:rPr>
                <w:rFonts w:eastAsia="標楷體"/>
                <w:szCs w:val="24"/>
              </w:rPr>
            </w:pPr>
            <w:r>
              <w:rPr>
                <w:rFonts w:eastAsia="標楷體"/>
                <w:szCs w:val="24"/>
              </w:rPr>
              <w:t>－</w:t>
            </w:r>
          </w:p>
        </w:tc>
        <w:tc>
          <w:tcPr>
            <w:tcW w:w="801" w:type="dxa"/>
            <w:vMerge w:val="restart"/>
            <w:tcBorders>
              <w:left w:val="single" w:sz="4" w:space="0" w:color="000000"/>
              <w:bottom w:val="single" w:sz="6" w:space="0" w:color="000000"/>
            </w:tcBorders>
            <w:shd w:val="clear" w:color="auto" w:fill="FFF0E1"/>
            <w:tcMar>
              <w:top w:w="0" w:type="dxa"/>
              <w:left w:w="108" w:type="dxa"/>
              <w:bottom w:w="0" w:type="dxa"/>
              <w:right w:w="108" w:type="dxa"/>
            </w:tcMar>
          </w:tcPr>
          <w:p w14:paraId="1F69B25C" w14:textId="77777777" w:rsidR="00052596" w:rsidRDefault="00000000">
            <w:pPr>
              <w:snapToGrid w:val="0"/>
              <w:spacing w:line="300" w:lineRule="exact"/>
              <w:jc w:val="center"/>
              <w:rPr>
                <w:rFonts w:eastAsia="標楷體"/>
                <w:szCs w:val="24"/>
              </w:rPr>
            </w:pPr>
            <w:r>
              <w:rPr>
                <w:rFonts w:eastAsia="標楷體"/>
                <w:szCs w:val="24"/>
              </w:rPr>
              <w:t>9</w:t>
            </w:r>
          </w:p>
        </w:tc>
      </w:tr>
      <w:tr w:rsidR="00052596" w14:paraId="4421C19A" w14:textId="77777777">
        <w:tblPrEx>
          <w:tblCellMar>
            <w:top w:w="0" w:type="dxa"/>
            <w:bottom w:w="0" w:type="dxa"/>
          </w:tblCellMar>
        </w:tblPrEx>
        <w:trPr>
          <w:jc w:val="center"/>
        </w:trPr>
        <w:tc>
          <w:tcPr>
            <w:tcW w:w="3360" w:type="dxa"/>
            <w:tcBorders>
              <w:right w:val="single" w:sz="4" w:space="0" w:color="000000"/>
            </w:tcBorders>
            <w:shd w:val="clear" w:color="auto" w:fill="FFF0E1"/>
            <w:tcMar>
              <w:top w:w="0" w:type="dxa"/>
              <w:left w:w="108" w:type="dxa"/>
              <w:bottom w:w="0" w:type="dxa"/>
              <w:right w:w="108" w:type="dxa"/>
            </w:tcMar>
          </w:tcPr>
          <w:p w14:paraId="66548C6B" w14:textId="77777777" w:rsidR="00052596" w:rsidRDefault="00000000">
            <w:pPr>
              <w:snapToGrid w:val="0"/>
              <w:spacing w:line="300" w:lineRule="exact"/>
              <w:rPr>
                <w:rFonts w:eastAsia="標楷體"/>
                <w:szCs w:val="24"/>
              </w:rPr>
            </w:pPr>
            <w:r>
              <w:rPr>
                <w:rFonts w:eastAsia="標楷體"/>
                <w:szCs w:val="24"/>
              </w:rPr>
              <w:t xml:space="preserve">　中東及北非</w:t>
            </w:r>
          </w:p>
        </w:tc>
        <w:tc>
          <w:tcPr>
            <w:tcW w:w="84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49BCF45" w14:textId="77777777" w:rsidR="00052596" w:rsidRDefault="00000000">
            <w:pPr>
              <w:snapToGrid w:val="0"/>
              <w:spacing w:line="300" w:lineRule="exact"/>
              <w:jc w:val="center"/>
              <w:rPr>
                <w:rFonts w:eastAsia="標楷體"/>
                <w:szCs w:val="24"/>
              </w:rPr>
            </w:pPr>
            <w:r>
              <w:rPr>
                <w:rFonts w:eastAsia="標楷體"/>
                <w:szCs w:val="24"/>
              </w:rPr>
              <w:t>27</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86B6134" w14:textId="77777777" w:rsidR="00052596" w:rsidRDefault="00000000">
            <w:pPr>
              <w:snapToGrid w:val="0"/>
              <w:spacing w:line="300" w:lineRule="exact"/>
              <w:jc w:val="center"/>
              <w:rPr>
                <w:rFonts w:eastAsia="標楷體"/>
                <w:szCs w:val="24"/>
              </w:rPr>
            </w:pPr>
            <w:r>
              <w:rPr>
                <w:rFonts w:eastAsia="標楷體"/>
                <w:szCs w:val="24"/>
              </w:rPr>
              <w:t>3</w:t>
            </w:r>
          </w:p>
        </w:tc>
        <w:tc>
          <w:tcPr>
            <w:tcW w:w="2004" w:type="dxa"/>
            <w:vMerge/>
            <w:tcBorders>
              <w:left w:val="single" w:sz="4" w:space="0" w:color="000000"/>
              <w:bottom w:val="single" w:sz="6" w:space="0" w:color="000000"/>
              <w:right w:val="single" w:sz="4" w:space="0" w:color="000000"/>
            </w:tcBorders>
            <w:shd w:val="clear" w:color="auto" w:fill="FFF0E1"/>
            <w:tcMar>
              <w:top w:w="0" w:type="dxa"/>
              <w:left w:w="108" w:type="dxa"/>
              <w:bottom w:w="0" w:type="dxa"/>
              <w:right w:w="108" w:type="dxa"/>
            </w:tcMar>
          </w:tcPr>
          <w:p w14:paraId="4A7D119C" w14:textId="77777777" w:rsidR="00052596" w:rsidRDefault="00052596">
            <w:pPr>
              <w:snapToGrid w:val="0"/>
              <w:spacing w:line="300" w:lineRule="exact"/>
              <w:rPr>
                <w:rFonts w:eastAsia="標楷體"/>
                <w:szCs w:val="24"/>
              </w:rPr>
            </w:pPr>
          </w:p>
        </w:tc>
        <w:tc>
          <w:tcPr>
            <w:tcW w:w="992" w:type="dxa"/>
            <w:vMerge/>
            <w:tcBorders>
              <w:left w:val="single" w:sz="4" w:space="0" w:color="000000"/>
              <w:bottom w:val="single" w:sz="6" w:space="0" w:color="000000"/>
              <w:right w:val="single" w:sz="4" w:space="0" w:color="000000"/>
            </w:tcBorders>
            <w:shd w:val="clear" w:color="auto" w:fill="FFF0E1"/>
            <w:tcMar>
              <w:top w:w="0" w:type="dxa"/>
              <w:left w:w="108" w:type="dxa"/>
              <w:bottom w:w="0" w:type="dxa"/>
              <w:right w:w="108" w:type="dxa"/>
            </w:tcMar>
          </w:tcPr>
          <w:p w14:paraId="3B19621E" w14:textId="77777777" w:rsidR="00052596" w:rsidRDefault="00052596">
            <w:pPr>
              <w:snapToGrid w:val="0"/>
              <w:spacing w:line="300" w:lineRule="exact"/>
              <w:jc w:val="center"/>
              <w:rPr>
                <w:rFonts w:eastAsia="標楷體"/>
                <w:szCs w:val="24"/>
              </w:rPr>
            </w:pPr>
          </w:p>
        </w:tc>
        <w:tc>
          <w:tcPr>
            <w:tcW w:w="801" w:type="dxa"/>
            <w:vMerge/>
            <w:tcBorders>
              <w:left w:val="single" w:sz="4" w:space="0" w:color="000000"/>
              <w:bottom w:val="single" w:sz="6" w:space="0" w:color="000000"/>
            </w:tcBorders>
            <w:shd w:val="clear" w:color="auto" w:fill="FFF0E1"/>
            <w:tcMar>
              <w:top w:w="0" w:type="dxa"/>
              <w:left w:w="108" w:type="dxa"/>
              <w:bottom w:w="0" w:type="dxa"/>
              <w:right w:w="108" w:type="dxa"/>
            </w:tcMar>
          </w:tcPr>
          <w:p w14:paraId="57D5E792" w14:textId="77777777" w:rsidR="00052596" w:rsidRDefault="00052596">
            <w:pPr>
              <w:snapToGrid w:val="0"/>
              <w:spacing w:line="300" w:lineRule="exact"/>
              <w:jc w:val="center"/>
              <w:rPr>
                <w:rFonts w:eastAsia="標楷體"/>
                <w:szCs w:val="24"/>
              </w:rPr>
            </w:pPr>
          </w:p>
        </w:tc>
      </w:tr>
      <w:tr w:rsidR="00052596" w14:paraId="37518F4D" w14:textId="77777777">
        <w:tblPrEx>
          <w:tblCellMar>
            <w:top w:w="0" w:type="dxa"/>
            <w:bottom w:w="0" w:type="dxa"/>
          </w:tblCellMar>
        </w:tblPrEx>
        <w:trPr>
          <w:jc w:val="center"/>
        </w:trPr>
        <w:tc>
          <w:tcPr>
            <w:tcW w:w="3360" w:type="dxa"/>
            <w:tcBorders>
              <w:right w:val="single" w:sz="4" w:space="0" w:color="000000"/>
            </w:tcBorders>
            <w:shd w:val="clear" w:color="auto" w:fill="FFF0E1"/>
            <w:tcMar>
              <w:top w:w="0" w:type="dxa"/>
              <w:left w:w="108" w:type="dxa"/>
              <w:bottom w:w="0" w:type="dxa"/>
              <w:right w:w="108" w:type="dxa"/>
            </w:tcMar>
          </w:tcPr>
          <w:p w14:paraId="5E0D0A8F" w14:textId="77777777" w:rsidR="00052596" w:rsidRDefault="00000000">
            <w:pPr>
              <w:snapToGrid w:val="0"/>
              <w:spacing w:line="300" w:lineRule="exact"/>
              <w:rPr>
                <w:rFonts w:eastAsia="標楷體"/>
                <w:szCs w:val="24"/>
              </w:rPr>
            </w:pPr>
            <w:r>
              <w:rPr>
                <w:rFonts w:eastAsia="標楷體"/>
                <w:szCs w:val="24"/>
              </w:rPr>
              <w:t xml:space="preserve">　撒哈拉以南非洲</w:t>
            </w:r>
          </w:p>
        </w:tc>
        <w:tc>
          <w:tcPr>
            <w:tcW w:w="84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55AF315" w14:textId="77777777" w:rsidR="00052596" w:rsidRDefault="00000000">
            <w:pPr>
              <w:snapToGrid w:val="0"/>
              <w:spacing w:line="300" w:lineRule="exact"/>
              <w:jc w:val="center"/>
              <w:rPr>
                <w:rFonts w:eastAsia="標楷體"/>
                <w:szCs w:val="24"/>
              </w:rPr>
            </w:pPr>
            <w:r>
              <w:rPr>
                <w:rFonts w:eastAsia="標楷體"/>
                <w:szCs w:val="24"/>
              </w:rPr>
              <w:t>12</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D2C2C04" w14:textId="77777777" w:rsidR="00052596" w:rsidRDefault="00000000">
            <w:pPr>
              <w:snapToGrid w:val="0"/>
              <w:spacing w:line="300" w:lineRule="exact"/>
              <w:jc w:val="center"/>
              <w:rPr>
                <w:rFonts w:eastAsia="標楷體"/>
                <w:szCs w:val="24"/>
              </w:rPr>
            </w:pPr>
            <w:r>
              <w:rPr>
                <w:rFonts w:eastAsia="標楷體"/>
                <w:szCs w:val="24"/>
              </w:rPr>
              <w:t>1</w:t>
            </w:r>
          </w:p>
        </w:tc>
        <w:tc>
          <w:tcPr>
            <w:tcW w:w="2004" w:type="dxa"/>
            <w:vMerge/>
            <w:tcBorders>
              <w:left w:val="single" w:sz="4" w:space="0" w:color="000000"/>
              <w:bottom w:val="single" w:sz="6" w:space="0" w:color="000000"/>
              <w:right w:val="single" w:sz="4" w:space="0" w:color="000000"/>
            </w:tcBorders>
            <w:shd w:val="clear" w:color="auto" w:fill="FFF0E1"/>
            <w:tcMar>
              <w:top w:w="0" w:type="dxa"/>
              <w:left w:w="108" w:type="dxa"/>
              <w:bottom w:w="0" w:type="dxa"/>
              <w:right w:w="108" w:type="dxa"/>
            </w:tcMar>
          </w:tcPr>
          <w:p w14:paraId="22A188EB" w14:textId="77777777" w:rsidR="00052596" w:rsidRDefault="00052596">
            <w:pPr>
              <w:snapToGrid w:val="0"/>
              <w:spacing w:line="300" w:lineRule="exact"/>
              <w:rPr>
                <w:rFonts w:eastAsia="標楷體"/>
                <w:szCs w:val="24"/>
              </w:rPr>
            </w:pPr>
          </w:p>
        </w:tc>
        <w:tc>
          <w:tcPr>
            <w:tcW w:w="992" w:type="dxa"/>
            <w:vMerge/>
            <w:tcBorders>
              <w:left w:val="single" w:sz="4" w:space="0" w:color="000000"/>
              <w:bottom w:val="single" w:sz="6" w:space="0" w:color="000000"/>
              <w:right w:val="single" w:sz="4" w:space="0" w:color="000000"/>
            </w:tcBorders>
            <w:shd w:val="clear" w:color="auto" w:fill="FFF0E1"/>
            <w:tcMar>
              <w:top w:w="0" w:type="dxa"/>
              <w:left w:w="108" w:type="dxa"/>
              <w:bottom w:w="0" w:type="dxa"/>
              <w:right w:w="108" w:type="dxa"/>
            </w:tcMar>
          </w:tcPr>
          <w:p w14:paraId="2A0E75C4" w14:textId="77777777" w:rsidR="00052596" w:rsidRDefault="00052596">
            <w:pPr>
              <w:snapToGrid w:val="0"/>
              <w:spacing w:line="300" w:lineRule="exact"/>
              <w:jc w:val="center"/>
              <w:rPr>
                <w:rFonts w:eastAsia="標楷體"/>
                <w:szCs w:val="24"/>
              </w:rPr>
            </w:pPr>
          </w:p>
        </w:tc>
        <w:tc>
          <w:tcPr>
            <w:tcW w:w="801" w:type="dxa"/>
            <w:vMerge/>
            <w:tcBorders>
              <w:left w:val="single" w:sz="4" w:space="0" w:color="000000"/>
              <w:bottom w:val="single" w:sz="6" w:space="0" w:color="000000"/>
            </w:tcBorders>
            <w:shd w:val="clear" w:color="auto" w:fill="FFF0E1"/>
            <w:tcMar>
              <w:top w:w="0" w:type="dxa"/>
              <w:left w:w="108" w:type="dxa"/>
              <w:bottom w:w="0" w:type="dxa"/>
              <w:right w:w="108" w:type="dxa"/>
            </w:tcMar>
          </w:tcPr>
          <w:p w14:paraId="07C8A43E" w14:textId="77777777" w:rsidR="00052596" w:rsidRDefault="00052596">
            <w:pPr>
              <w:snapToGrid w:val="0"/>
              <w:spacing w:line="300" w:lineRule="exact"/>
              <w:jc w:val="center"/>
              <w:rPr>
                <w:rFonts w:eastAsia="標楷體"/>
                <w:szCs w:val="24"/>
              </w:rPr>
            </w:pPr>
          </w:p>
        </w:tc>
      </w:tr>
      <w:tr w:rsidR="00052596" w14:paraId="018095EB" w14:textId="77777777">
        <w:tblPrEx>
          <w:tblCellMar>
            <w:top w:w="0" w:type="dxa"/>
            <w:bottom w:w="0" w:type="dxa"/>
          </w:tblCellMar>
        </w:tblPrEx>
        <w:trPr>
          <w:jc w:val="center"/>
        </w:trPr>
        <w:tc>
          <w:tcPr>
            <w:tcW w:w="3360" w:type="dxa"/>
            <w:tcBorders>
              <w:bottom w:val="single" w:sz="4" w:space="0" w:color="000000"/>
              <w:right w:val="single" w:sz="4" w:space="0" w:color="000000"/>
            </w:tcBorders>
            <w:shd w:val="clear" w:color="auto" w:fill="FFF0E1"/>
            <w:tcMar>
              <w:top w:w="0" w:type="dxa"/>
              <w:left w:w="108" w:type="dxa"/>
              <w:bottom w:w="0" w:type="dxa"/>
              <w:right w:w="108" w:type="dxa"/>
            </w:tcMar>
          </w:tcPr>
          <w:p w14:paraId="4EF36054" w14:textId="77777777" w:rsidR="00052596" w:rsidRDefault="00000000">
            <w:pPr>
              <w:snapToGrid w:val="0"/>
              <w:spacing w:line="300" w:lineRule="exact"/>
              <w:rPr>
                <w:rFonts w:eastAsia="標楷體"/>
                <w:szCs w:val="24"/>
              </w:rPr>
            </w:pPr>
            <w:r>
              <w:rPr>
                <w:rFonts w:eastAsia="標楷體"/>
                <w:szCs w:val="24"/>
              </w:rPr>
              <w:t>其他城市與農村地區</w:t>
            </w:r>
          </w:p>
        </w:tc>
        <w:tc>
          <w:tcPr>
            <w:tcW w:w="840"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69C34ACF" w14:textId="77777777" w:rsidR="00052596" w:rsidRDefault="00000000">
            <w:pPr>
              <w:snapToGrid w:val="0"/>
              <w:spacing w:line="300" w:lineRule="exact"/>
              <w:jc w:val="center"/>
              <w:rPr>
                <w:rFonts w:eastAsia="標楷體"/>
                <w:szCs w:val="24"/>
              </w:rPr>
            </w:pPr>
            <w:r>
              <w:rPr>
                <w:rFonts w:eastAsia="標楷體"/>
                <w:szCs w:val="24"/>
              </w:rPr>
              <w:t>－</w:t>
            </w:r>
          </w:p>
        </w:tc>
        <w:tc>
          <w:tcPr>
            <w:tcW w:w="826"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0419CE4E" w14:textId="77777777" w:rsidR="00052596" w:rsidRDefault="00000000">
            <w:pPr>
              <w:snapToGrid w:val="0"/>
              <w:spacing w:line="300" w:lineRule="exact"/>
              <w:jc w:val="center"/>
              <w:rPr>
                <w:rFonts w:eastAsia="標楷體"/>
                <w:szCs w:val="24"/>
              </w:rPr>
            </w:pPr>
            <w:r>
              <w:rPr>
                <w:rFonts w:eastAsia="標楷體"/>
                <w:szCs w:val="24"/>
              </w:rPr>
              <w:t>27</w:t>
            </w:r>
          </w:p>
        </w:tc>
        <w:tc>
          <w:tcPr>
            <w:tcW w:w="2004" w:type="dxa"/>
            <w:vMerge/>
            <w:tcBorders>
              <w:left w:val="single" w:sz="4" w:space="0" w:color="000000"/>
              <w:bottom w:val="single" w:sz="6" w:space="0" w:color="000000"/>
              <w:right w:val="single" w:sz="4" w:space="0" w:color="000000"/>
            </w:tcBorders>
            <w:shd w:val="clear" w:color="auto" w:fill="FFF0E1"/>
            <w:tcMar>
              <w:top w:w="0" w:type="dxa"/>
              <w:left w:w="108" w:type="dxa"/>
              <w:bottom w:w="0" w:type="dxa"/>
              <w:right w:w="108" w:type="dxa"/>
            </w:tcMar>
          </w:tcPr>
          <w:p w14:paraId="6D0C3769" w14:textId="77777777" w:rsidR="00052596" w:rsidRDefault="00052596">
            <w:pPr>
              <w:snapToGrid w:val="0"/>
              <w:spacing w:line="300" w:lineRule="exact"/>
              <w:rPr>
                <w:rFonts w:eastAsia="標楷體"/>
                <w:szCs w:val="24"/>
              </w:rPr>
            </w:pPr>
          </w:p>
        </w:tc>
        <w:tc>
          <w:tcPr>
            <w:tcW w:w="992" w:type="dxa"/>
            <w:vMerge/>
            <w:tcBorders>
              <w:left w:val="single" w:sz="4" w:space="0" w:color="000000"/>
              <w:bottom w:val="single" w:sz="6" w:space="0" w:color="000000"/>
              <w:right w:val="single" w:sz="4" w:space="0" w:color="000000"/>
            </w:tcBorders>
            <w:shd w:val="clear" w:color="auto" w:fill="FFF0E1"/>
            <w:tcMar>
              <w:top w:w="0" w:type="dxa"/>
              <w:left w:w="108" w:type="dxa"/>
              <w:bottom w:w="0" w:type="dxa"/>
              <w:right w:w="108" w:type="dxa"/>
            </w:tcMar>
          </w:tcPr>
          <w:p w14:paraId="08B6B660" w14:textId="77777777" w:rsidR="00052596" w:rsidRDefault="00052596">
            <w:pPr>
              <w:snapToGrid w:val="0"/>
              <w:spacing w:line="300" w:lineRule="exact"/>
              <w:jc w:val="center"/>
              <w:rPr>
                <w:rFonts w:eastAsia="標楷體"/>
                <w:szCs w:val="24"/>
              </w:rPr>
            </w:pPr>
          </w:p>
        </w:tc>
        <w:tc>
          <w:tcPr>
            <w:tcW w:w="801" w:type="dxa"/>
            <w:vMerge/>
            <w:tcBorders>
              <w:left w:val="single" w:sz="4" w:space="0" w:color="000000"/>
              <w:bottom w:val="single" w:sz="6" w:space="0" w:color="000000"/>
            </w:tcBorders>
            <w:shd w:val="clear" w:color="auto" w:fill="FFF0E1"/>
            <w:tcMar>
              <w:top w:w="0" w:type="dxa"/>
              <w:left w:w="108" w:type="dxa"/>
              <w:bottom w:w="0" w:type="dxa"/>
              <w:right w:w="108" w:type="dxa"/>
            </w:tcMar>
          </w:tcPr>
          <w:p w14:paraId="647F44D5" w14:textId="77777777" w:rsidR="00052596" w:rsidRDefault="00052596">
            <w:pPr>
              <w:snapToGrid w:val="0"/>
              <w:spacing w:line="300" w:lineRule="exact"/>
              <w:jc w:val="center"/>
              <w:rPr>
                <w:rFonts w:eastAsia="標楷體"/>
                <w:szCs w:val="24"/>
              </w:rPr>
            </w:pPr>
          </w:p>
        </w:tc>
      </w:tr>
      <w:tr w:rsidR="00052596" w14:paraId="757C93D1" w14:textId="77777777">
        <w:tblPrEx>
          <w:tblCellMar>
            <w:top w:w="0" w:type="dxa"/>
            <w:bottom w:w="0" w:type="dxa"/>
          </w:tblCellMar>
        </w:tblPrEx>
        <w:trPr>
          <w:jc w:val="center"/>
        </w:trPr>
        <w:tc>
          <w:tcPr>
            <w:tcW w:w="3360" w:type="dxa"/>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tcPr>
          <w:p w14:paraId="3D04197C" w14:textId="77777777" w:rsidR="00052596" w:rsidRDefault="00000000">
            <w:pPr>
              <w:snapToGrid w:val="0"/>
              <w:spacing w:line="300" w:lineRule="exact"/>
              <w:rPr>
                <w:rFonts w:eastAsia="標楷體"/>
                <w:szCs w:val="24"/>
              </w:rPr>
            </w:pPr>
            <w:r>
              <w:rPr>
                <w:rFonts w:eastAsia="標楷體"/>
                <w:szCs w:val="24"/>
              </w:rPr>
              <w:t>小計</w:t>
            </w:r>
          </w:p>
        </w:tc>
        <w:tc>
          <w:tcPr>
            <w:tcW w:w="840"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61527DF7" w14:textId="77777777" w:rsidR="00052596" w:rsidRDefault="00000000">
            <w:pPr>
              <w:snapToGrid w:val="0"/>
              <w:spacing w:line="300" w:lineRule="exact"/>
              <w:jc w:val="center"/>
              <w:rPr>
                <w:rFonts w:eastAsia="標楷體"/>
                <w:szCs w:val="24"/>
              </w:rPr>
            </w:pPr>
            <w:r>
              <w:rPr>
                <w:rFonts w:eastAsia="標楷體"/>
                <w:szCs w:val="24"/>
              </w:rPr>
              <w:t>－</w:t>
            </w:r>
          </w:p>
        </w:tc>
        <w:tc>
          <w:tcPr>
            <w:tcW w:w="826"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34B762D2" w14:textId="77777777" w:rsidR="00052596" w:rsidRDefault="00000000">
            <w:pPr>
              <w:snapToGrid w:val="0"/>
              <w:spacing w:line="300" w:lineRule="exact"/>
              <w:jc w:val="center"/>
              <w:rPr>
                <w:rFonts w:eastAsia="標楷體"/>
                <w:szCs w:val="24"/>
              </w:rPr>
            </w:pPr>
            <w:r>
              <w:rPr>
                <w:rFonts w:eastAsia="標楷體"/>
                <w:szCs w:val="24"/>
              </w:rPr>
              <w:t>74</w:t>
            </w:r>
          </w:p>
        </w:tc>
        <w:tc>
          <w:tcPr>
            <w:tcW w:w="2004" w:type="dxa"/>
            <w:tcBorders>
              <w:top w:val="single" w:sz="6"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tcPr>
          <w:p w14:paraId="7A56CFF4" w14:textId="77777777" w:rsidR="00052596" w:rsidRDefault="00000000">
            <w:pPr>
              <w:snapToGrid w:val="0"/>
              <w:spacing w:line="300" w:lineRule="exact"/>
              <w:rPr>
                <w:rFonts w:eastAsia="標楷體"/>
                <w:szCs w:val="24"/>
              </w:rPr>
            </w:pPr>
            <w:r>
              <w:rPr>
                <w:rFonts w:eastAsia="標楷體"/>
                <w:szCs w:val="24"/>
              </w:rPr>
              <w:t>小計</w:t>
            </w:r>
          </w:p>
        </w:tc>
        <w:tc>
          <w:tcPr>
            <w:tcW w:w="992" w:type="dxa"/>
            <w:tcBorders>
              <w:top w:val="single" w:sz="6"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tcPr>
          <w:p w14:paraId="6F74B049" w14:textId="77777777" w:rsidR="00052596" w:rsidRDefault="00000000">
            <w:pPr>
              <w:snapToGrid w:val="0"/>
              <w:spacing w:line="300" w:lineRule="exact"/>
              <w:jc w:val="center"/>
              <w:rPr>
                <w:rFonts w:eastAsia="標楷體"/>
                <w:szCs w:val="24"/>
              </w:rPr>
            </w:pPr>
            <w:r>
              <w:rPr>
                <w:rFonts w:eastAsia="標楷體"/>
                <w:szCs w:val="24"/>
              </w:rPr>
              <w:t>－</w:t>
            </w:r>
          </w:p>
        </w:tc>
        <w:tc>
          <w:tcPr>
            <w:tcW w:w="801" w:type="dxa"/>
            <w:tcBorders>
              <w:top w:val="single" w:sz="6" w:space="0" w:color="000000"/>
              <w:left w:val="single" w:sz="4" w:space="0" w:color="000000"/>
              <w:bottom w:val="single" w:sz="4" w:space="0" w:color="000000"/>
            </w:tcBorders>
            <w:shd w:val="clear" w:color="auto" w:fill="EFFFEF"/>
            <w:tcMar>
              <w:top w:w="0" w:type="dxa"/>
              <w:left w:w="108" w:type="dxa"/>
              <w:bottom w:w="0" w:type="dxa"/>
              <w:right w:w="108" w:type="dxa"/>
            </w:tcMar>
          </w:tcPr>
          <w:p w14:paraId="6A9BC90B" w14:textId="77777777" w:rsidR="00052596" w:rsidRDefault="00000000">
            <w:pPr>
              <w:snapToGrid w:val="0"/>
              <w:spacing w:line="300" w:lineRule="exact"/>
              <w:jc w:val="center"/>
              <w:rPr>
                <w:rFonts w:eastAsia="標楷體"/>
                <w:szCs w:val="24"/>
              </w:rPr>
            </w:pPr>
            <w:r>
              <w:rPr>
                <w:rFonts w:eastAsia="標楷體"/>
                <w:szCs w:val="24"/>
              </w:rPr>
              <w:t>26</w:t>
            </w:r>
          </w:p>
        </w:tc>
      </w:tr>
      <w:tr w:rsidR="00052596" w14:paraId="4463F124" w14:textId="77777777">
        <w:tblPrEx>
          <w:tblCellMar>
            <w:top w:w="0" w:type="dxa"/>
            <w:bottom w:w="0" w:type="dxa"/>
          </w:tblCellMar>
        </w:tblPrEx>
        <w:trPr>
          <w:jc w:val="center"/>
        </w:trPr>
        <w:tc>
          <w:tcPr>
            <w:tcW w:w="7030" w:type="dxa"/>
            <w:gridSpan w:val="4"/>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tcPr>
          <w:p w14:paraId="473FBD8C" w14:textId="77777777" w:rsidR="00052596" w:rsidRDefault="00000000">
            <w:pPr>
              <w:snapToGrid w:val="0"/>
              <w:spacing w:line="300" w:lineRule="exact"/>
              <w:jc w:val="center"/>
              <w:rPr>
                <w:rFonts w:eastAsia="標楷體"/>
                <w:szCs w:val="24"/>
              </w:rPr>
            </w:pPr>
            <w:r>
              <w:rPr>
                <w:rFonts w:eastAsia="標楷體"/>
                <w:szCs w:val="24"/>
              </w:rPr>
              <w:t>合　　計</w:t>
            </w:r>
          </w:p>
        </w:tc>
        <w:tc>
          <w:tcPr>
            <w:tcW w:w="992"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tcPr>
          <w:p w14:paraId="7357912D" w14:textId="77777777" w:rsidR="00052596" w:rsidRDefault="00000000">
            <w:pPr>
              <w:snapToGrid w:val="0"/>
              <w:spacing w:line="300" w:lineRule="exact"/>
              <w:jc w:val="center"/>
              <w:rPr>
                <w:rFonts w:eastAsia="標楷體"/>
                <w:szCs w:val="24"/>
              </w:rPr>
            </w:pPr>
            <w:r>
              <w:rPr>
                <w:rFonts w:eastAsia="標楷體"/>
                <w:szCs w:val="24"/>
              </w:rPr>
              <w:t>600</w:t>
            </w:r>
          </w:p>
        </w:tc>
        <w:tc>
          <w:tcPr>
            <w:tcW w:w="801" w:type="dxa"/>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tcPr>
          <w:p w14:paraId="01696C14" w14:textId="77777777" w:rsidR="00052596" w:rsidRDefault="00000000">
            <w:pPr>
              <w:snapToGrid w:val="0"/>
              <w:spacing w:line="300" w:lineRule="exact"/>
              <w:jc w:val="center"/>
              <w:rPr>
                <w:rFonts w:eastAsia="標楷體"/>
                <w:szCs w:val="24"/>
              </w:rPr>
            </w:pPr>
            <w:r>
              <w:rPr>
                <w:rFonts w:eastAsia="標楷體"/>
                <w:szCs w:val="24"/>
              </w:rPr>
              <w:t>100</w:t>
            </w:r>
          </w:p>
        </w:tc>
      </w:tr>
    </w:tbl>
    <w:p w14:paraId="4926BC8F" w14:textId="77777777" w:rsidR="00052596" w:rsidRDefault="00000000">
      <w:pPr>
        <w:overflowPunct w:val="0"/>
        <w:autoSpaceDE w:val="0"/>
        <w:spacing w:line="280" w:lineRule="exact"/>
        <w:ind w:left="853" w:hanging="1076"/>
        <w:jc w:val="both"/>
        <w:textAlignment w:val="center"/>
      </w:pPr>
      <w:r>
        <w:rPr>
          <w:rFonts w:ascii="標楷體" w:eastAsia="標楷體" w:hAnsi="標楷體"/>
          <w:kern w:val="0"/>
          <w:sz w:val="22"/>
          <w:szCs w:val="22"/>
        </w:rPr>
        <w:t>資料來源：</w:t>
      </w:r>
      <w:r>
        <w:rPr>
          <w:rFonts w:eastAsia="華康楷書體W5"/>
          <w:kern w:val="0"/>
          <w:sz w:val="22"/>
          <w:szCs w:val="22"/>
        </w:rPr>
        <w:t xml:space="preserve">Mckinsey Global Institute, </w:t>
      </w:r>
      <w:r>
        <w:rPr>
          <w:rFonts w:eastAsia="華康楷書體W5"/>
          <w:i/>
          <w:kern w:val="0"/>
          <w:sz w:val="22"/>
          <w:szCs w:val="22"/>
        </w:rPr>
        <w:t>Urban world</w:t>
      </w:r>
      <w:r>
        <w:rPr>
          <w:rFonts w:eastAsia="華康楷書體W5"/>
          <w:i/>
          <w:kern w:val="0"/>
          <w:sz w:val="22"/>
          <w:szCs w:val="22"/>
        </w:rPr>
        <w:t>：</w:t>
      </w:r>
      <w:r>
        <w:rPr>
          <w:rFonts w:eastAsia="華康楷書體W5"/>
          <w:i/>
          <w:kern w:val="0"/>
          <w:sz w:val="22"/>
          <w:szCs w:val="22"/>
        </w:rPr>
        <w:t xml:space="preserve">Cities and the rise of the consuming class, </w:t>
      </w:r>
      <w:r>
        <w:rPr>
          <w:rFonts w:eastAsia="華康楷書體W5"/>
          <w:kern w:val="0"/>
          <w:sz w:val="22"/>
          <w:szCs w:val="22"/>
        </w:rPr>
        <w:t>Jun. 2012.</w:t>
      </w:r>
    </w:p>
    <w:p w14:paraId="6E1C8E04" w14:textId="77777777" w:rsidR="00052596" w:rsidRDefault="00000000">
      <w:pPr>
        <w:tabs>
          <w:tab w:val="left" w:pos="960"/>
          <w:tab w:val="left" w:pos="1920"/>
          <w:tab w:val="left" w:pos="2880"/>
          <w:tab w:val="left" w:pos="3840"/>
          <w:tab w:val="left" w:pos="4800"/>
          <w:tab w:val="left" w:pos="5760"/>
        </w:tabs>
        <w:overflowPunct w:val="0"/>
        <w:autoSpaceDE w:val="0"/>
        <w:spacing w:before="240"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(二)新興經濟體主導全球消費新商機</w:t>
      </w:r>
    </w:p>
    <w:p w14:paraId="58812803"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近年來，新興經濟體新市鎮如雨後春筍般相繼興起，並逐步發展為商業活動中心，帶動人潮與錢潮快速匯聚；影響所及，城市消費階層加速崛起。尤其，中國大陸、印度等亞太新興經濟體，隨著所得水準快速提升，更展露雄厚消費潛力，可望扮演全球消費主軸之一。</w:t>
      </w:r>
    </w:p>
    <w:p w14:paraId="6DE8DEF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w:t>
      </w:r>
      <w:r>
        <w:rPr>
          <w:rFonts w:eastAsia="標楷體"/>
          <w:spacing w:val="4"/>
          <w:kern w:val="0"/>
          <w:sz w:val="28"/>
          <w:szCs w:val="26"/>
        </w:rPr>
        <w:t>2025</w:t>
      </w:r>
      <w:r>
        <w:rPr>
          <w:rFonts w:eastAsia="標楷體"/>
          <w:spacing w:val="4"/>
          <w:kern w:val="0"/>
          <w:sz w:val="28"/>
          <w:szCs w:val="26"/>
        </w:rPr>
        <w:t>年全球消費階層人數將由</w:t>
      </w:r>
      <w:r>
        <w:rPr>
          <w:rFonts w:eastAsia="標楷體"/>
          <w:spacing w:val="4"/>
          <w:kern w:val="0"/>
          <w:sz w:val="28"/>
          <w:szCs w:val="26"/>
        </w:rPr>
        <w:t>2010</w:t>
      </w:r>
      <w:r>
        <w:rPr>
          <w:rFonts w:eastAsia="標楷體"/>
          <w:spacing w:val="4"/>
          <w:kern w:val="0"/>
          <w:sz w:val="28"/>
          <w:szCs w:val="26"/>
        </w:rPr>
        <w:t>年的</w:t>
      </w:r>
      <w:r>
        <w:rPr>
          <w:rFonts w:eastAsia="標楷體"/>
          <w:spacing w:val="4"/>
          <w:kern w:val="0"/>
          <w:sz w:val="28"/>
          <w:szCs w:val="26"/>
        </w:rPr>
        <w:t>24</w:t>
      </w:r>
      <w:r>
        <w:rPr>
          <w:rFonts w:eastAsia="標楷體"/>
          <w:spacing w:val="4"/>
          <w:kern w:val="0"/>
          <w:sz w:val="28"/>
          <w:szCs w:val="26"/>
        </w:rPr>
        <w:t>億人，擴增至</w:t>
      </w:r>
      <w:r>
        <w:rPr>
          <w:rFonts w:eastAsia="標楷體"/>
          <w:spacing w:val="4"/>
          <w:kern w:val="0"/>
          <w:sz w:val="28"/>
          <w:szCs w:val="26"/>
        </w:rPr>
        <w:t>42</w:t>
      </w:r>
      <w:r>
        <w:rPr>
          <w:rFonts w:eastAsia="標楷體"/>
          <w:spacing w:val="4"/>
          <w:kern w:val="0"/>
          <w:sz w:val="28"/>
          <w:szCs w:val="26"/>
        </w:rPr>
        <w:t>億人；同期間，預估城市消費階層人數增加逾</w:t>
      </w:r>
      <w:r>
        <w:rPr>
          <w:rFonts w:eastAsia="標楷體"/>
          <w:spacing w:val="4"/>
          <w:kern w:val="0"/>
          <w:sz w:val="28"/>
          <w:szCs w:val="26"/>
        </w:rPr>
        <w:t>10</w:t>
      </w:r>
      <w:r>
        <w:rPr>
          <w:rFonts w:eastAsia="標楷體"/>
          <w:spacing w:val="4"/>
          <w:kern w:val="0"/>
          <w:sz w:val="28"/>
          <w:szCs w:val="26"/>
        </w:rPr>
        <w:t>億人，其中</w:t>
      </w:r>
      <w:r>
        <w:rPr>
          <w:rFonts w:eastAsia="標楷體"/>
          <w:spacing w:val="4"/>
          <w:kern w:val="0"/>
          <w:sz w:val="28"/>
          <w:szCs w:val="26"/>
        </w:rPr>
        <w:t>95%</w:t>
      </w:r>
      <w:r>
        <w:rPr>
          <w:rFonts w:eastAsia="標楷體"/>
          <w:spacing w:val="4"/>
          <w:kern w:val="0"/>
          <w:sz w:val="28"/>
          <w:szCs w:val="26"/>
        </w:rPr>
        <w:t>為新興經濟體城市新增人口，反觀歐美先進經濟體城市消費階層新增人數合計則尚不及</w:t>
      </w:r>
      <w:r>
        <w:rPr>
          <w:rFonts w:eastAsia="標楷體"/>
          <w:spacing w:val="4"/>
          <w:kern w:val="0"/>
          <w:sz w:val="28"/>
          <w:szCs w:val="26"/>
        </w:rPr>
        <w:t>5%</w:t>
      </w:r>
      <w:r>
        <w:rPr>
          <w:rFonts w:eastAsia="標楷體"/>
          <w:spacing w:val="4"/>
          <w:kern w:val="0"/>
          <w:sz w:val="28"/>
          <w:szCs w:val="26"/>
        </w:rPr>
        <w:t>，顯示新興經濟體城市將主宰未來全球消費市場。</w:t>
      </w:r>
    </w:p>
    <w:p w14:paraId="19BEAEC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19" w:hanging="227"/>
        <w:jc w:val="both"/>
        <w:textAlignment w:val="center"/>
      </w:pPr>
      <w:r>
        <w:rPr>
          <w:rFonts w:eastAsia="標楷體"/>
          <w:spacing w:val="2"/>
          <w:kern w:val="0"/>
          <w:sz w:val="28"/>
          <w:szCs w:val="26"/>
        </w:rPr>
        <w:t>－</w:t>
      </w:r>
      <w:r>
        <w:rPr>
          <w:rFonts w:eastAsia="標楷體"/>
          <w:spacing w:val="2"/>
          <w:kern w:val="0"/>
          <w:sz w:val="28"/>
          <w:szCs w:val="26"/>
        </w:rPr>
        <w:t>2025</w:t>
      </w:r>
      <w:r>
        <w:rPr>
          <w:rFonts w:eastAsia="標楷體"/>
          <w:spacing w:val="2"/>
          <w:kern w:val="0"/>
          <w:sz w:val="28"/>
          <w:szCs w:val="26"/>
        </w:rPr>
        <w:t>年全球高所得家戶</w:t>
      </w:r>
      <w:r>
        <w:rPr>
          <w:rFonts w:ascii="標楷體" w:eastAsia="標楷體" w:hAnsi="標楷體"/>
          <w:spacing w:val="2"/>
          <w:kern w:val="0"/>
          <w:sz w:val="28"/>
          <w:szCs w:val="26"/>
        </w:rPr>
        <w:t>(</w:t>
      </w:r>
      <w:r>
        <w:rPr>
          <w:rFonts w:eastAsia="標楷體"/>
          <w:spacing w:val="2"/>
          <w:kern w:val="0"/>
          <w:sz w:val="28"/>
          <w:szCs w:val="26"/>
        </w:rPr>
        <w:t>high-income households</w:t>
      </w:r>
      <w:r>
        <w:rPr>
          <w:rFonts w:ascii="標楷體" w:eastAsia="標楷體" w:hAnsi="標楷體"/>
          <w:spacing w:val="2"/>
          <w:kern w:val="0"/>
          <w:sz w:val="28"/>
          <w:szCs w:val="26"/>
        </w:rPr>
        <w:t>)</w:t>
      </w:r>
      <w:r>
        <w:rPr>
          <w:rFonts w:eastAsia="標楷體"/>
          <w:spacing w:val="2"/>
          <w:kern w:val="0"/>
          <w:sz w:val="28"/>
          <w:szCs w:val="26"/>
          <w:vertAlign w:val="superscript"/>
        </w:rPr>
        <w:footnoteReference w:id="4"/>
      </w:r>
      <w:r>
        <w:rPr>
          <w:rFonts w:eastAsia="標楷體"/>
          <w:spacing w:val="2"/>
          <w:kern w:val="0"/>
          <w:sz w:val="28"/>
          <w:szCs w:val="26"/>
        </w:rPr>
        <w:t>分布結構</w:t>
      </w:r>
      <w:r>
        <w:rPr>
          <w:rFonts w:eastAsia="標楷體"/>
          <w:spacing w:val="2"/>
          <w:kern w:val="0"/>
          <w:sz w:val="28"/>
          <w:szCs w:val="26"/>
        </w:rPr>
        <w:lastRenderedPageBreak/>
        <w:t>中，</w:t>
      </w:r>
      <w:r>
        <w:rPr>
          <w:rFonts w:eastAsia="標楷體"/>
          <w:spacing w:val="2"/>
          <w:kern w:val="0"/>
          <w:sz w:val="28"/>
          <w:szCs w:val="26"/>
        </w:rPr>
        <w:t>6</w:t>
      </w:r>
      <w:r>
        <w:rPr>
          <w:rFonts w:eastAsia="標楷體"/>
          <w:spacing w:val="2"/>
          <w:kern w:val="0"/>
          <w:sz w:val="28"/>
          <w:szCs w:val="26"/>
        </w:rPr>
        <w:t>成為新興經濟體城市，先進經濟體城市僅占</w:t>
      </w:r>
      <w:r>
        <w:rPr>
          <w:rFonts w:eastAsia="標楷體"/>
          <w:spacing w:val="2"/>
          <w:kern w:val="0"/>
          <w:sz w:val="28"/>
          <w:szCs w:val="26"/>
        </w:rPr>
        <w:t>4</w:t>
      </w:r>
      <w:r>
        <w:rPr>
          <w:rFonts w:eastAsia="標楷體"/>
          <w:spacing w:val="2"/>
          <w:kern w:val="0"/>
          <w:sz w:val="28"/>
          <w:szCs w:val="26"/>
        </w:rPr>
        <w:t>成；且新興經濟體個別國家中，中國大陸城市</w:t>
      </w:r>
      <w:r>
        <w:rPr>
          <w:rFonts w:ascii="標楷體" w:eastAsia="標楷體" w:hAnsi="標楷體"/>
          <w:spacing w:val="2"/>
          <w:kern w:val="0"/>
          <w:sz w:val="28"/>
          <w:szCs w:val="26"/>
        </w:rPr>
        <w:t>(</w:t>
      </w:r>
      <w:r>
        <w:rPr>
          <w:rFonts w:eastAsia="標楷體"/>
          <w:spacing w:val="2"/>
          <w:kern w:val="0"/>
          <w:sz w:val="28"/>
          <w:szCs w:val="26"/>
        </w:rPr>
        <w:t>前</w:t>
      </w:r>
      <w:r>
        <w:rPr>
          <w:rFonts w:eastAsia="標楷體"/>
          <w:spacing w:val="2"/>
          <w:kern w:val="0"/>
          <w:sz w:val="28"/>
          <w:szCs w:val="26"/>
        </w:rPr>
        <w:t>3</w:t>
      </w:r>
      <w:r>
        <w:rPr>
          <w:rFonts w:eastAsia="標楷體"/>
          <w:spacing w:val="2"/>
          <w:kern w:val="0"/>
          <w:sz w:val="28"/>
          <w:szCs w:val="26"/>
        </w:rPr>
        <w:t>名為北京、上海及東莞</w:t>
      </w:r>
      <w:r>
        <w:rPr>
          <w:rFonts w:ascii="標楷體" w:eastAsia="標楷體" w:hAnsi="標楷體"/>
          <w:spacing w:val="2"/>
          <w:kern w:val="0"/>
          <w:sz w:val="28"/>
          <w:szCs w:val="26"/>
        </w:rPr>
        <w:t>)</w:t>
      </w:r>
      <w:r>
        <w:rPr>
          <w:rFonts w:ascii="新細明體" w:eastAsia="標楷體" w:hAnsi="新細明體"/>
          <w:spacing w:val="2"/>
          <w:kern w:val="0"/>
          <w:sz w:val="28"/>
          <w:szCs w:val="26"/>
        </w:rPr>
        <w:t>、</w:t>
      </w:r>
      <w:r>
        <w:rPr>
          <w:rFonts w:eastAsia="標楷體"/>
          <w:spacing w:val="2"/>
          <w:kern w:val="0"/>
          <w:sz w:val="28"/>
          <w:szCs w:val="26"/>
        </w:rPr>
        <w:t>印度城市</w:t>
      </w:r>
      <w:r>
        <w:rPr>
          <w:rFonts w:ascii="標楷體" w:eastAsia="標楷體" w:hAnsi="標楷體"/>
          <w:spacing w:val="2"/>
          <w:kern w:val="0"/>
          <w:sz w:val="28"/>
          <w:szCs w:val="26"/>
        </w:rPr>
        <w:t>(</w:t>
      </w:r>
      <w:r>
        <w:rPr>
          <w:rFonts w:eastAsia="標楷體"/>
          <w:spacing w:val="2"/>
          <w:kern w:val="0"/>
          <w:sz w:val="28"/>
          <w:szCs w:val="26"/>
        </w:rPr>
        <w:t>前</w:t>
      </w:r>
      <w:r>
        <w:rPr>
          <w:rFonts w:eastAsia="標楷體"/>
          <w:spacing w:val="2"/>
          <w:kern w:val="0"/>
          <w:sz w:val="28"/>
          <w:szCs w:val="26"/>
        </w:rPr>
        <w:t>3</w:t>
      </w:r>
      <w:r>
        <w:rPr>
          <w:rFonts w:eastAsia="標楷體"/>
          <w:spacing w:val="2"/>
          <w:kern w:val="0"/>
          <w:sz w:val="28"/>
          <w:szCs w:val="26"/>
        </w:rPr>
        <w:t>名為德里、孟買及加爾各答</w:t>
      </w:r>
      <w:r>
        <w:rPr>
          <w:rFonts w:ascii="標楷體" w:eastAsia="標楷體" w:hAnsi="標楷體"/>
          <w:spacing w:val="2"/>
          <w:kern w:val="0"/>
          <w:sz w:val="28"/>
          <w:szCs w:val="26"/>
        </w:rPr>
        <w:t>)</w:t>
      </w:r>
      <w:r>
        <w:rPr>
          <w:rFonts w:eastAsia="標楷體"/>
          <w:spacing w:val="2"/>
          <w:kern w:val="0"/>
          <w:sz w:val="28"/>
          <w:szCs w:val="26"/>
        </w:rPr>
        <w:t>高所得家戶數分別占全球高所得家戶總數的</w:t>
      </w:r>
      <w:r>
        <w:rPr>
          <w:rFonts w:eastAsia="標楷體"/>
          <w:spacing w:val="2"/>
          <w:kern w:val="0"/>
          <w:sz w:val="28"/>
          <w:szCs w:val="26"/>
        </w:rPr>
        <w:t>19%</w:t>
      </w:r>
      <w:r>
        <w:rPr>
          <w:rFonts w:eastAsia="標楷體"/>
          <w:spacing w:val="2"/>
          <w:kern w:val="0"/>
          <w:sz w:val="28"/>
          <w:szCs w:val="26"/>
        </w:rPr>
        <w:t>與</w:t>
      </w:r>
      <w:r>
        <w:rPr>
          <w:rFonts w:eastAsia="標楷體"/>
          <w:spacing w:val="2"/>
          <w:kern w:val="0"/>
          <w:sz w:val="28"/>
          <w:szCs w:val="26"/>
        </w:rPr>
        <w:t>6%</w:t>
      </w:r>
      <w:r>
        <w:rPr>
          <w:rFonts w:eastAsia="標楷體"/>
          <w:spacing w:val="2"/>
          <w:kern w:val="0"/>
          <w:sz w:val="28"/>
          <w:szCs w:val="26"/>
        </w:rPr>
        <w:t>，合計囊括全球的四分之一，可見未來亞洲新興經濟體消費實力不容小覷。</w:t>
      </w:r>
    </w:p>
    <w:p w14:paraId="4344DF1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－隨著新興經濟體城市消費階層人口快速擴增，加以所得水準大幅提升，將引申龐大的消費需求。預估</w:t>
      </w:r>
      <w:r>
        <w:rPr>
          <w:rFonts w:eastAsia="標楷體"/>
          <w:spacing w:val="4"/>
          <w:kern w:val="0"/>
          <w:sz w:val="28"/>
          <w:szCs w:val="26"/>
        </w:rPr>
        <w:t>2010</w:t>
      </w:r>
      <w:r>
        <w:rPr>
          <w:rFonts w:eastAsia="標楷體"/>
          <w:spacing w:val="4"/>
          <w:kern w:val="0"/>
          <w:sz w:val="28"/>
          <w:szCs w:val="26"/>
        </w:rPr>
        <w:t>至</w:t>
      </w:r>
      <w:r>
        <w:rPr>
          <w:rFonts w:eastAsia="標楷體"/>
          <w:spacing w:val="4"/>
          <w:kern w:val="0"/>
          <w:sz w:val="28"/>
          <w:szCs w:val="26"/>
        </w:rPr>
        <w:t>2025</w:t>
      </w:r>
      <w:r>
        <w:rPr>
          <w:rFonts w:eastAsia="標楷體"/>
          <w:spacing w:val="4"/>
          <w:kern w:val="0"/>
          <w:sz w:val="28"/>
          <w:szCs w:val="26"/>
        </w:rPr>
        <w:t>年間，全球城市</w:t>
      </w:r>
      <w:r>
        <w:rPr>
          <w:rFonts w:eastAsia="標楷體"/>
          <w:spacing w:val="4"/>
          <w:kern w:val="0"/>
          <w:sz w:val="28"/>
          <w:szCs w:val="26"/>
          <w:vertAlign w:val="superscript"/>
        </w:rPr>
        <w:footnoteReference w:id="5"/>
      </w:r>
      <w:r>
        <w:rPr>
          <w:rFonts w:eastAsia="標楷體"/>
          <w:spacing w:val="4"/>
          <w:kern w:val="0"/>
          <w:sz w:val="28"/>
          <w:szCs w:val="26"/>
        </w:rPr>
        <w:t>每年可望新增</w:t>
      </w:r>
      <w:r>
        <w:rPr>
          <w:rFonts w:eastAsia="標楷體"/>
          <w:spacing w:val="4"/>
          <w:kern w:val="0"/>
          <w:sz w:val="28"/>
          <w:szCs w:val="26"/>
        </w:rPr>
        <w:t>20</w:t>
      </w:r>
      <w:r>
        <w:rPr>
          <w:rFonts w:eastAsia="標楷體"/>
          <w:spacing w:val="4"/>
          <w:kern w:val="0"/>
          <w:sz w:val="28"/>
          <w:szCs w:val="26"/>
        </w:rPr>
        <w:t>兆美元消費，其中</w:t>
      </w:r>
      <w:r>
        <w:rPr>
          <w:rFonts w:eastAsia="標楷體"/>
          <w:spacing w:val="4"/>
          <w:kern w:val="0"/>
          <w:sz w:val="28"/>
          <w:szCs w:val="26"/>
        </w:rPr>
        <w:t>14</w:t>
      </w:r>
      <w:r>
        <w:rPr>
          <w:rFonts w:eastAsia="標楷體"/>
          <w:spacing w:val="4"/>
          <w:kern w:val="0"/>
          <w:sz w:val="28"/>
          <w:szCs w:val="26"/>
        </w:rPr>
        <w:t>兆美元來自新興經濟體城市，且全球</w:t>
      </w:r>
      <w:r>
        <w:rPr>
          <w:rFonts w:eastAsia="標楷體"/>
          <w:spacing w:val="4"/>
          <w:kern w:val="0"/>
          <w:sz w:val="28"/>
          <w:szCs w:val="26"/>
        </w:rPr>
        <w:t>600</w:t>
      </w:r>
      <w:r>
        <w:rPr>
          <w:rFonts w:eastAsia="標楷體"/>
          <w:spacing w:val="4"/>
          <w:kern w:val="0"/>
          <w:sz w:val="28"/>
          <w:szCs w:val="26"/>
        </w:rPr>
        <w:t>大城市中新興經濟體的</w:t>
      </w:r>
      <w:r>
        <w:rPr>
          <w:rFonts w:eastAsia="標楷體"/>
          <w:spacing w:val="4"/>
          <w:kern w:val="0"/>
          <w:sz w:val="28"/>
          <w:szCs w:val="26"/>
        </w:rPr>
        <w:t>433</w:t>
      </w:r>
      <w:r>
        <w:rPr>
          <w:rFonts w:eastAsia="標楷體"/>
          <w:spacing w:val="4"/>
          <w:kern w:val="0"/>
          <w:sz w:val="28"/>
          <w:szCs w:val="26"/>
        </w:rPr>
        <w:t>個城市，每年合計新增的消費將逼近</w:t>
      </w:r>
      <w:r>
        <w:rPr>
          <w:rFonts w:eastAsia="標楷體"/>
          <w:spacing w:val="4"/>
          <w:kern w:val="0"/>
          <w:sz w:val="28"/>
          <w:szCs w:val="26"/>
        </w:rPr>
        <w:t>10</w:t>
      </w:r>
      <w:r>
        <w:rPr>
          <w:rFonts w:eastAsia="標楷體"/>
          <w:spacing w:val="4"/>
          <w:kern w:val="0"/>
          <w:sz w:val="28"/>
          <w:szCs w:val="26"/>
        </w:rPr>
        <w:t>兆美元。</w:t>
      </w:r>
    </w:p>
    <w:p w14:paraId="442F4F6B"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二、區域內貿易活絡與經貿結盟深化</w:t>
      </w:r>
    </w:p>
    <w:p w14:paraId="6606A272" w14:textId="77777777" w:rsidR="00052596" w:rsidRDefault="00000000">
      <w:pPr>
        <w:overflowPunct w:val="0"/>
        <w:autoSpaceDE w:val="0"/>
        <w:spacing w:line="420" w:lineRule="exact"/>
        <w:ind w:left="240" w:firstLine="576"/>
        <w:jc w:val="both"/>
        <w:textAlignment w:val="center"/>
      </w:pPr>
      <w:r>
        <w:rPr>
          <w:rFonts w:eastAsia="標楷體"/>
          <w:spacing w:val="4"/>
          <w:kern w:val="0"/>
          <w:sz w:val="28"/>
          <w:szCs w:val="26"/>
        </w:rPr>
        <w:t>近年來，亞洲區域內貿易蓬勃，除受惠於國民所得水準提升，對產品需求增加且漸趨多元外，跨國企業積極亞洲投資布局、拓展國際專業分工，亦為重要因素。</w:t>
      </w:r>
      <w:r>
        <w:rPr>
          <w:rFonts w:eastAsia="標楷體"/>
          <w:spacing w:val="4"/>
          <w:kern w:val="0"/>
          <w:sz w:val="28"/>
          <w:szCs w:val="26"/>
        </w:rPr>
        <w:t>ADB</w:t>
      </w:r>
      <w:r>
        <w:rPr>
          <w:rFonts w:eastAsia="標楷體"/>
          <w:spacing w:val="4"/>
          <w:kern w:val="0"/>
          <w:sz w:val="28"/>
          <w:szCs w:val="26"/>
        </w:rPr>
        <w:t>報告指出，亞洲地區的跨國分工緊密，生產網絡</w:t>
      </w:r>
      <w:r>
        <w:rPr>
          <w:rFonts w:ascii="標楷體" w:eastAsia="標楷體" w:hAnsi="標楷體"/>
          <w:spacing w:val="4"/>
          <w:kern w:val="0"/>
          <w:sz w:val="28"/>
          <w:szCs w:val="26"/>
        </w:rPr>
        <w:t>(</w:t>
      </w:r>
      <w:r>
        <w:rPr>
          <w:rFonts w:eastAsia="標楷體"/>
          <w:spacing w:val="4"/>
          <w:kern w:val="0"/>
          <w:sz w:val="28"/>
          <w:szCs w:val="26"/>
        </w:rPr>
        <w:t>production networks</w:t>
      </w:r>
      <w:r>
        <w:rPr>
          <w:rFonts w:ascii="標楷體" w:eastAsia="標楷體" w:hAnsi="標楷體"/>
          <w:spacing w:val="4"/>
          <w:kern w:val="0"/>
          <w:sz w:val="28"/>
          <w:szCs w:val="26"/>
        </w:rPr>
        <w:t>)</w:t>
      </w:r>
      <w:r>
        <w:rPr>
          <w:rFonts w:eastAsia="標楷體"/>
          <w:spacing w:val="4"/>
          <w:kern w:val="0"/>
          <w:sz w:val="28"/>
          <w:szCs w:val="26"/>
        </w:rPr>
        <w:t>逐漸形成之原因包括：亞洲各國勞動供給與工資水準互異，各國生產成本明顯不同；亞洲各國推展經貿與投資自由化政策；以及亞洲地區擁有良好基礎設施與彈性的後勤支援體系，企業得以在不同國家間進行更符合成本效益的專業分工。另亞洲各國積極推展制度化經貿結盟，亟力於貿易、金融及基礎建設等領域的合作，亦有助於經貿整合深化。展望未來，隨著區域內跨國分工益趨緊密與範疇擴大，經貿結盟逐步推展與效應持續發揮，亞洲地區生產網絡與經貿連結勢將深化，區域內貿易將成為推升經濟成長的重要引擎。</w:t>
      </w:r>
    </w:p>
    <w:p w14:paraId="2792E2C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區域內貿易活絡</w:t>
      </w:r>
    </w:p>
    <w:p w14:paraId="4913C82F"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近年來，亞洲新興經濟體對全球出口明顯擴增，除受惠於歐美國家對亞洲產品需求增加外，亞洲地區開放程度日增，跨國分工生產網絡漸次形成，帶動區域內貿易迅速發展，引領全球貿易成長，亦為重要因素。</w:t>
      </w:r>
    </w:p>
    <w:p w14:paraId="16F39AA1" w14:textId="77777777" w:rsidR="00052596" w:rsidRDefault="00000000">
      <w:pPr>
        <w:tabs>
          <w:tab w:val="left" w:pos="1920"/>
          <w:tab w:val="left" w:pos="2880"/>
          <w:tab w:val="left" w:pos="3840"/>
          <w:tab w:val="left" w:pos="4800"/>
          <w:tab w:val="left" w:pos="5760"/>
        </w:tabs>
        <w:overflowPunct w:val="0"/>
        <w:autoSpaceDE w:val="0"/>
        <w:spacing w:line="420" w:lineRule="exact"/>
        <w:ind w:left="1063" w:hanging="271"/>
        <w:jc w:val="both"/>
        <w:textAlignment w:val="center"/>
      </w:pPr>
      <w:r>
        <w:rPr>
          <w:rFonts w:eastAsia="標楷體"/>
          <w:spacing w:val="4"/>
          <w:kern w:val="0"/>
          <w:sz w:val="28"/>
          <w:szCs w:val="26"/>
        </w:rPr>
        <w:lastRenderedPageBreak/>
        <w:t>－</w:t>
      </w:r>
      <w:r>
        <w:rPr>
          <w:rFonts w:eastAsia="標楷體"/>
          <w:spacing w:val="4"/>
          <w:kern w:val="0"/>
          <w:sz w:val="28"/>
          <w:szCs w:val="26"/>
        </w:rPr>
        <w:t>ADB</w:t>
      </w:r>
      <w:r>
        <w:rPr>
          <w:rFonts w:eastAsia="標楷體"/>
          <w:spacing w:val="4"/>
          <w:kern w:val="0"/>
          <w:sz w:val="28"/>
          <w:szCs w:val="26"/>
        </w:rPr>
        <w:t>研究顯示，</w:t>
      </w:r>
      <w:r>
        <w:rPr>
          <w:rFonts w:eastAsia="標楷體"/>
          <w:spacing w:val="4"/>
          <w:kern w:val="0"/>
          <w:sz w:val="28"/>
          <w:szCs w:val="26"/>
        </w:rPr>
        <w:t>2011</w:t>
      </w:r>
      <w:r>
        <w:rPr>
          <w:rFonts w:eastAsia="標楷體"/>
          <w:spacing w:val="4"/>
          <w:kern w:val="0"/>
          <w:sz w:val="28"/>
          <w:szCs w:val="26"/>
        </w:rPr>
        <w:t>年亞洲國家出口占世界貿易比重，已自</w:t>
      </w:r>
      <w:r>
        <w:rPr>
          <w:rFonts w:eastAsia="標楷體"/>
          <w:spacing w:val="4"/>
          <w:kern w:val="0"/>
          <w:sz w:val="28"/>
          <w:szCs w:val="26"/>
        </w:rPr>
        <w:t>1990</w:t>
      </w:r>
      <w:r>
        <w:rPr>
          <w:rFonts w:eastAsia="標楷體"/>
          <w:spacing w:val="4"/>
          <w:kern w:val="0"/>
          <w:sz w:val="28"/>
          <w:szCs w:val="26"/>
        </w:rPr>
        <w:t>年的</w:t>
      </w:r>
      <w:r>
        <w:rPr>
          <w:rFonts w:eastAsia="標楷體"/>
          <w:spacing w:val="4"/>
          <w:kern w:val="0"/>
          <w:sz w:val="28"/>
          <w:szCs w:val="26"/>
        </w:rPr>
        <w:t>23.4%</w:t>
      </w:r>
      <w:r>
        <w:rPr>
          <w:rFonts w:eastAsia="標楷體"/>
          <w:spacing w:val="4"/>
          <w:kern w:val="0"/>
          <w:sz w:val="28"/>
          <w:szCs w:val="26"/>
        </w:rPr>
        <w:t>上升至</w:t>
      </w:r>
      <w:r>
        <w:rPr>
          <w:rFonts w:eastAsia="標楷體"/>
          <w:spacing w:val="4"/>
          <w:kern w:val="0"/>
          <w:sz w:val="28"/>
          <w:szCs w:val="26"/>
        </w:rPr>
        <w:t>34.3%</w:t>
      </w:r>
      <w:r>
        <w:rPr>
          <w:rFonts w:eastAsia="標楷體"/>
          <w:spacing w:val="4"/>
          <w:kern w:val="0"/>
          <w:sz w:val="28"/>
          <w:szCs w:val="26"/>
        </w:rPr>
        <w:t>，預估</w:t>
      </w:r>
      <w:r>
        <w:rPr>
          <w:rFonts w:eastAsia="標楷體"/>
          <w:spacing w:val="4"/>
          <w:kern w:val="0"/>
          <w:sz w:val="28"/>
          <w:szCs w:val="26"/>
        </w:rPr>
        <w:t>2050</w:t>
      </w:r>
      <w:r>
        <w:rPr>
          <w:rFonts w:eastAsia="標楷體"/>
          <w:spacing w:val="4"/>
          <w:kern w:val="0"/>
          <w:sz w:val="28"/>
          <w:szCs w:val="26"/>
        </w:rPr>
        <w:t>年可能超過</w:t>
      </w:r>
      <w:r>
        <w:rPr>
          <w:rFonts w:eastAsia="標楷體"/>
          <w:spacing w:val="4"/>
          <w:kern w:val="0"/>
          <w:sz w:val="28"/>
          <w:szCs w:val="26"/>
        </w:rPr>
        <w:t>50%</w:t>
      </w:r>
      <w:r>
        <w:rPr>
          <w:rFonts w:eastAsia="標楷體"/>
          <w:spacing w:val="4"/>
          <w:kern w:val="0"/>
          <w:sz w:val="28"/>
          <w:szCs w:val="26"/>
        </w:rPr>
        <w:t>。另分析亞洲國家貿易區域結構顯示，</w:t>
      </w:r>
      <w:r>
        <w:rPr>
          <w:rFonts w:eastAsia="標楷體"/>
          <w:spacing w:val="4"/>
          <w:kern w:val="0"/>
          <w:sz w:val="28"/>
          <w:szCs w:val="26"/>
        </w:rPr>
        <w:t>2011</w:t>
      </w:r>
      <w:r>
        <w:rPr>
          <w:rFonts w:eastAsia="標楷體"/>
          <w:spacing w:val="4"/>
          <w:kern w:val="0"/>
          <w:sz w:val="28"/>
          <w:szCs w:val="26"/>
        </w:rPr>
        <w:t>年亞洲國家區域內貿易占</w:t>
      </w:r>
      <w:r>
        <w:rPr>
          <w:rFonts w:eastAsia="標楷體"/>
          <w:spacing w:val="4"/>
          <w:kern w:val="0"/>
          <w:sz w:val="28"/>
          <w:szCs w:val="26"/>
        </w:rPr>
        <w:t>GDP</w:t>
      </w:r>
      <w:r>
        <w:rPr>
          <w:rFonts w:eastAsia="標楷體"/>
          <w:spacing w:val="4"/>
          <w:kern w:val="0"/>
          <w:sz w:val="28"/>
          <w:szCs w:val="26"/>
        </w:rPr>
        <w:t>的比率，已由</w:t>
      </w:r>
      <w:r>
        <w:rPr>
          <w:rFonts w:eastAsia="標楷體"/>
          <w:spacing w:val="4"/>
          <w:kern w:val="0"/>
          <w:sz w:val="28"/>
          <w:szCs w:val="26"/>
        </w:rPr>
        <w:t>2000</w:t>
      </w:r>
      <w:r>
        <w:rPr>
          <w:rFonts w:eastAsia="標楷體"/>
          <w:spacing w:val="4"/>
          <w:kern w:val="0"/>
          <w:sz w:val="28"/>
          <w:szCs w:val="26"/>
        </w:rPr>
        <w:t>年的</w:t>
      </w:r>
      <w:r>
        <w:rPr>
          <w:rFonts w:eastAsia="標楷體"/>
          <w:spacing w:val="4"/>
          <w:kern w:val="0"/>
          <w:sz w:val="28"/>
          <w:szCs w:val="26"/>
        </w:rPr>
        <w:t>21.5%</w:t>
      </w:r>
      <w:r>
        <w:rPr>
          <w:rFonts w:eastAsia="標楷體"/>
          <w:spacing w:val="4"/>
          <w:kern w:val="0"/>
          <w:sz w:val="28"/>
          <w:szCs w:val="26"/>
        </w:rPr>
        <w:t>增為</w:t>
      </w:r>
      <w:r>
        <w:rPr>
          <w:rFonts w:eastAsia="標楷體"/>
          <w:spacing w:val="4"/>
          <w:kern w:val="0"/>
          <w:sz w:val="28"/>
          <w:szCs w:val="26"/>
        </w:rPr>
        <w:t>31.8%</w:t>
      </w:r>
      <w:r>
        <w:rPr>
          <w:rFonts w:eastAsia="標楷體"/>
          <w:spacing w:val="4"/>
          <w:kern w:val="0"/>
          <w:sz w:val="28"/>
          <w:szCs w:val="26"/>
        </w:rPr>
        <w:t>，對歐盟</w:t>
      </w:r>
      <w:r>
        <w:rPr>
          <w:rFonts w:ascii="標楷體" w:eastAsia="標楷體" w:hAnsi="標楷體"/>
          <w:spacing w:val="4"/>
          <w:kern w:val="0"/>
          <w:sz w:val="28"/>
          <w:szCs w:val="26"/>
        </w:rPr>
        <w:t>(</w:t>
      </w:r>
      <w:r>
        <w:rPr>
          <w:rFonts w:eastAsia="標楷體"/>
          <w:spacing w:val="4"/>
          <w:kern w:val="0"/>
          <w:sz w:val="28"/>
          <w:szCs w:val="26"/>
        </w:rPr>
        <w:t>EU</w:t>
      </w:r>
      <w:r>
        <w:rPr>
          <w:rFonts w:ascii="標楷體" w:eastAsia="標楷體" w:hAnsi="標楷體"/>
          <w:spacing w:val="4"/>
          <w:kern w:val="0"/>
          <w:sz w:val="28"/>
          <w:szCs w:val="26"/>
        </w:rPr>
        <w:t>)</w:t>
      </w:r>
      <w:r>
        <w:rPr>
          <w:rFonts w:eastAsia="標楷體"/>
          <w:spacing w:val="4"/>
          <w:kern w:val="0"/>
          <w:sz w:val="28"/>
          <w:szCs w:val="26"/>
          <w:vertAlign w:val="superscript"/>
        </w:rPr>
        <w:footnoteReference w:id="6"/>
      </w:r>
      <w:r>
        <w:rPr>
          <w:rFonts w:eastAsia="標楷體"/>
          <w:spacing w:val="4"/>
          <w:kern w:val="0"/>
          <w:sz w:val="28"/>
          <w:szCs w:val="26"/>
        </w:rPr>
        <w:t>及北美自由貿易區</w:t>
      </w:r>
      <w:r>
        <w:rPr>
          <w:rFonts w:ascii="標楷體" w:eastAsia="標楷體" w:hAnsi="標楷體"/>
          <w:spacing w:val="4"/>
          <w:kern w:val="0"/>
          <w:sz w:val="28"/>
          <w:szCs w:val="26"/>
        </w:rPr>
        <w:t>(</w:t>
      </w:r>
      <w:r>
        <w:rPr>
          <w:rFonts w:eastAsia="標楷體"/>
          <w:spacing w:val="4"/>
          <w:kern w:val="0"/>
          <w:sz w:val="28"/>
          <w:szCs w:val="26"/>
        </w:rPr>
        <w:t>NAFTA</w:t>
      </w:r>
      <w:r>
        <w:rPr>
          <w:rFonts w:ascii="標楷體" w:eastAsia="標楷體" w:hAnsi="標楷體"/>
          <w:spacing w:val="4"/>
          <w:kern w:val="0"/>
          <w:sz w:val="28"/>
          <w:szCs w:val="26"/>
        </w:rPr>
        <w:t>)</w:t>
      </w:r>
      <w:r>
        <w:rPr>
          <w:rFonts w:eastAsia="標楷體"/>
          <w:spacing w:val="4"/>
          <w:kern w:val="0"/>
          <w:sz w:val="28"/>
          <w:szCs w:val="26"/>
        </w:rPr>
        <w:t>合計則略降為</w:t>
      </w:r>
      <w:r>
        <w:rPr>
          <w:rFonts w:eastAsia="標楷體"/>
          <w:spacing w:val="4"/>
          <w:kern w:val="0"/>
          <w:sz w:val="28"/>
          <w:szCs w:val="26"/>
        </w:rPr>
        <w:t>13.1%</w:t>
      </w:r>
      <w:r>
        <w:rPr>
          <w:rFonts w:eastAsia="標楷體"/>
          <w:spacing w:val="4"/>
          <w:kern w:val="0"/>
          <w:sz w:val="28"/>
          <w:szCs w:val="26"/>
        </w:rPr>
        <w:t>，由此顯示，亞洲區域內貿易持續活絡。</w:t>
      </w:r>
    </w:p>
    <w:p w14:paraId="1A7FC704" w14:textId="77777777" w:rsidR="00052596" w:rsidRDefault="00000000">
      <w:pPr>
        <w:tabs>
          <w:tab w:val="left" w:pos="1920"/>
          <w:tab w:val="left" w:pos="2880"/>
          <w:tab w:val="left" w:pos="3840"/>
          <w:tab w:val="left" w:pos="4800"/>
          <w:tab w:val="left" w:pos="5760"/>
        </w:tabs>
        <w:overflowPunct w:val="0"/>
        <w:autoSpaceDE w:val="0"/>
        <w:spacing w:line="420" w:lineRule="exact"/>
        <w:ind w:left="1063" w:hanging="271"/>
        <w:jc w:val="both"/>
        <w:textAlignment w:val="center"/>
      </w:pPr>
      <w:r>
        <w:rPr>
          <w:rFonts w:eastAsia="標楷體"/>
          <w:spacing w:val="4"/>
          <w:kern w:val="0"/>
          <w:sz w:val="28"/>
          <w:szCs w:val="26"/>
        </w:rPr>
        <w:t>－亞洲各國為降低生產成本，不斷透過跨國分工方式進行生產，已帶動初級產品、中間財成為區域內貿易之大宗。</w:t>
      </w:r>
      <w:r>
        <w:rPr>
          <w:rFonts w:eastAsia="標楷體"/>
          <w:spacing w:val="4"/>
          <w:kern w:val="0"/>
          <w:sz w:val="28"/>
          <w:szCs w:val="26"/>
        </w:rPr>
        <w:t>ADB</w:t>
      </w:r>
      <w:r>
        <w:rPr>
          <w:rFonts w:eastAsia="標楷體"/>
          <w:spacing w:val="4"/>
          <w:kern w:val="0"/>
          <w:sz w:val="28"/>
          <w:szCs w:val="26"/>
        </w:rPr>
        <w:t>資料顯示，</w:t>
      </w:r>
      <w:r>
        <w:rPr>
          <w:rFonts w:eastAsia="標楷體"/>
          <w:spacing w:val="4"/>
          <w:kern w:val="0"/>
          <w:sz w:val="28"/>
          <w:szCs w:val="26"/>
        </w:rPr>
        <w:t>2010</w:t>
      </w:r>
      <w:r>
        <w:rPr>
          <w:rFonts w:eastAsia="標楷體"/>
          <w:spacing w:val="4"/>
          <w:kern w:val="0"/>
          <w:sz w:val="28"/>
          <w:szCs w:val="26"/>
        </w:rPr>
        <w:t>年，全球中間財出口約占總出口</w:t>
      </w:r>
      <w:r>
        <w:rPr>
          <w:rFonts w:eastAsia="標楷體"/>
          <w:spacing w:val="4"/>
          <w:kern w:val="0"/>
          <w:sz w:val="28"/>
          <w:szCs w:val="26"/>
        </w:rPr>
        <w:t>5</w:t>
      </w:r>
      <w:r>
        <w:rPr>
          <w:rFonts w:eastAsia="標楷體"/>
          <w:spacing w:val="4"/>
          <w:kern w:val="0"/>
          <w:sz w:val="28"/>
          <w:szCs w:val="26"/>
        </w:rPr>
        <w:t>成，其中</w:t>
      </w:r>
      <w:r>
        <w:rPr>
          <w:rFonts w:eastAsia="標楷體"/>
          <w:spacing w:val="4"/>
          <w:kern w:val="0"/>
          <w:sz w:val="28"/>
          <w:szCs w:val="26"/>
        </w:rPr>
        <w:t>3</w:t>
      </w:r>
      <w:r>
        <w:rPr>
          <w:rFonts w:eastAsia="標楷體"/>
          <w:spacing w:val="4"/>
          <w:kern w:val="0"/>
          <w:sz w:val="28"/>
          <w:szCs w:val="26"/>
        </w:rPr>
        <w:t>成來自於亞洲國家出口。另亞洲國家區域內初級產品與中間財出口所占比率已分別逼近</w:t>
      </w:r>
      <w:r>
        <w:rPr>
          <w:rFonts w:eastAsia="標楷體"/>
          <w:spacing w:val="4"/>
          <w:kern w:val="0"/>
          <w:sz w:val="28"/>
          <w:szCs w:val="26"/>
        </w:rPr>
        <w:t>7</w:t>
      </w:r>
      <w:r>
        <w:rPr>
          <w:rFonts w:eastAsia="標楷體"/>
          <w:spacing w:val="4"/>
          <w:kern w:val="0"/>
          <w:sz w:val="28"/>
          <w:szCs w:val="26"/>
        </w:rPr>
        <w:t>成或逾</w:t>
      </w:r>
      <w:r>
        <w:rPr>
          <w:rFonts w:eastAsia="標楷體"/>
          <w:spacing w:val="4"/>
          <w:kern w:val="0"/>
          <w:sz w:val="28"/>
          <w:szCs w:val="26"/>
        </w:rPr>
        <w:t>6</w:t>
      </w:r>
      <w:r>
        <w:rPr>
          <w:rFonts w:eastAsia="標楷體"/>
          <w:spacing w:val="4"/>
          <w:kern w:val="0"/>
          <w:sz w:val="28"/>
          <w:szCs w:val="26"/>
        </w:rPr>
        <w:t>成</w:t>
      </w:r>
      <w:r>
        <w:rPr>
          <w:rFonts w:ascii="標楷體" w:eastAsia="標楷體" w:hAnsi="標楷體"/>
          <w:spacing w:val="4"/>
          <w:kern w:val="0"/>
          <w:sz w:val="28"/>
          <w:szCs w:val="26"/>
        </w:rPr>
        <w:t>(</w:t>
      </w:r>
      <w:r>
        <w:rPr>
          <w:rFonts w:eastAsia="標楷體"/>
          <w:spacing w:val="4"/>
          <w:kern w:val="0"/>
          <w:sz w:val="28"/>
          <w:szCs w:val="26"/>
        </w:rPr>
        <w:t>詳表</w:t>
      </w:r>
      <w:r>
        <w:rPr>
          <w:rFonts w:eastAsia="標楷體"/>
          <w:spacing w:val="4"/>
          <w:kern w:val="0"/>
          <w:sz w:val="28"/>
          <w:szCs w:val="26"/>
        </w:rPr>
        <w:t>1.1.4</w:t>
      </w:r>
      <w:r>
        <w:rPr>
          <w:rFonts w:ascii="標楷體" w:eastAsia="標楷體" w:hAnsi="標楷體"/>
          <w:spacing w:val="4"/>
          <w:kern w:val="0"/>
          <w:sz w:val="28"/>
          <w:szCs w:val="26"/>
        </w:rPr>
        <w:t>)</w:t>
      </w:r>
      <w:r>
        <w:rPr>
          <w:rFonts w:eastAsia="標楷體"/>
          <w:spacing w:val="4"/>
          <w:kern w:val="0"/>
          <w:sz w:val="28"/>
          <w:szCs w:val="26"/>
        </w:rPr>
        <w:t>。此外，</w:t>
      </w:r>
      <w:r>
        <w:rPr>
          <w:rFonts w:eastAsia="標楷體"/>
          <w:spacing w:val="4"/>
          <w:kern w:val="0"/>
          <w:sz w:val="28"/>
          <w:szCs w:val="26"/>
        </w:rPr>
        <w:t>2010</w:t>
      </w:r>
      <w:r>
        <w:rPr>
          <w:rFonts w:eastAsia="標楷體"/>
          <w:spacing w:val="4"/>
          <w:kern w:val="0"/>
          <w:sz w:val="28"/>
          <w:szCs w:val="26"/>
        </w:rPr>
        <w:t>年亞洲區域內資本財出口比率較</w:t>
      </w:r>
      <w:r>
        <w:rPr>
          <w:rFonts w:eastAsia="標楷體"/>
          <w:spacing w:val="4"/>
          <w:kern w:val="0"/>
          <w:sz w:val="28"/>
          <w:szCs w:val="26"/>
        </w:rPr>
        <w:t>2000</w:t>
      </w:r>
      <w:r>
        <w:rPr>
          <w:rFonts w:eastAsia="標楷體"/>
          <w:spacing w:val="4"/>
          <w:kern w:val="0"/>
          <w:sz w:val="28"/>
          <w:szCs w:val="26"/>
        </w:rPr>
        <w:t>提升逾</w:t>
      </w:r>
      <w:r>
        <w:rPr>
          <w:rFonts w:eastAsia="標楷體"/>
          <w:spacing w:val="4"/>
          <w:kern w:val="0"/>
          <w:sz w:val="28"/>
          <w:szCs w:val="26"/>
        </w:rPr>
        <w:t>10</w:t>
      </w:r>
      <w:r>
        <w:rPr>
          <w:rFonts w:eastAsia="標楷體"/>
          <w:spacing w:val="4"/>
          <w:kern w:val="0"/>
          <w:sz w:val="28"/>
          <w:szCs w:val="26"/>
        </w:rPr>
        <w:t>個百分點，亦反映區域內生產網絡漸趨複雜化。</w:t>
      </w:r>
    </w:p>
    <w:p w14:paraId="3302A49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制度化經貿整合加速</w:t>
      </w:r>
    </w:p>
    <w:p w14:paraId="07712148" w14:textId="77777777" w:rsidR="00052596" w:rsidRDefault="00000000">
      <w:pPr>
        <w:overflowPunct w:val="0"/>
        <w:autoSpaceDE w:val="0"/>
        <w:spacing w:line="420" w:lineRule="exact"/>
        <w:ind w:left="792" w:firstLine="605"/>
        <w:jc w:val="both"/>
        <w:textAlignment w:val="center"/>
      </w:pPr>
      <w:r>
        <w:rPr>
          <w:rFonts w:eastAsia="標楷體"/>
          <w:spacing w:val="4"/>
          <w:kern w:val="0"/>
          <w:sz w:val="28"/>
          <w:szCs w:val="26"/>
        </w:rPr>
        <w:t>近</w:t>
      </w:r>
      <w:r>
        <w:rPr>
          <w:rFonts w:eastAsia="標楷體"/>
          <w:spacing w:val="4"/>
          <w:kern w:val="0"/>
          <w:sz w:val="28"/>
          <w:szCs w:val="26"/>
        </w:rPr>
        <w:t>10</w:t>
      </w:r>
      <w:r>
        <w:rPr>
          <w:rFonts w:eastAsia="標楷體"/>
          <w:spacing w:val="4"/>
          <w:kern w:val="0"/>
          <w:sz w:val="28"/>
          <w:szCs w:val="26"/>
        </w:rPr>
        <w:t>年，亞洲國家簽訂</w:t>
      </w:r>
      <w:r>
        <w:rPr>
          <w:rFonts w:eastAsia="標楷體"/>
          <w:spacing w:val="4"/>
          <w:kern w:val="0"/>
          <w:sz w:val="28"/>
          <w:szCs w:val="26"/>
        </w:rPr>
        <w:t>FTA</w:t>
      </w:r>
      <w:r>
        <w:rPr>
          <w:rFonts w:eastAsia="標楷體"/>
          <w:spacing w:val="4"/>
          <w:kern w:val="0"/>
          <w:sz w:val="28"/>
          <w:szCs w:val="26"/>
        </w:rPr>
        <w:t>風潮日趨活絡。依</w:t>
      </w:r>
      <w:r>
        <w:rPr>
          <w:rFonts w:eastAsia="標楷體"/>
          <w:spacing w:val="4"/>
          <w:kern w:val="0"/>
          <w:sz w:val="28"/>
          <w:szCs w:val="26"/>
        </w:rPr>
        <w:t>ADB</w:t>
      </w:r>
      <w:r>
        <w:rPr>
          <w:rFonts w:eastAsia="標楷體"/>
          <w:spacing w:val="4"/>
          <w:kern w:val="0"/>
          <w:sz w:val="28"/>
          <w:szCs w:val="26"/>
        </w:rPr>
        <w:t>資料，迄</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9</w:t>
      </w:r>
      <w:r>
        <w:rPr>
          <w:rFonts w:eastAsia="標楷體"/>
          <w:spacing w:val="4"/>
          <w:kern w:val="0"/>
          <w:sz w:val="28"/>
          <w:szCs w:val="26"/>
        </w:rPr>
        <w:t>月止，亞洲國家洽簽</w:t>
      </w:r>
      <w:r>
        <w:rPr>
          <w:rFonts w:eastAsia="標楷體"/>
          <w:spacing w:val="4"/>
          <w:kern w:val="0"/>
          <w:sz w:val="28"/>
          <w:szCs w:val="26"/>
        </w:rPr>
        <w:t>FTA</w:t>
      </w:r>
      <w:r>
        <w:rPr>
          <w:rFonts w:eastAsia="標楷體"/>
          <w:spacing w:val="4"/>
          <w:kern w:val="0"/>
          <w:sz w:val="28"/>
          <w:szCs w:val="26"/>
        </w:rPr>
        <w:t>數量已達</w:t>
      </w:r>
      <w:r>
        <w:rPr>
          <w:rFonts w:eastAsia="標楷體"/>
          <w:spacing w:val="4"/>
          <w:kern w:val="0"/>
          <w:sz w:val="28"/>
          <w:szCs w:val="26"/>
        </w:rPr>
        <w:t>199</w:t>
      </w:r>
      <w:r>
        <w:rPr>
          <w:rFonts w:eastAsia="標楷體"/>
          <w:spacing w:val="4"/>
          <w:kern w:val="0"/>
          <w:sz w:val="28"/>
          <w:szCs w:val="26"/>
        </w:rPr>
        <w:t>個</w:t>
      </w:r>
      <w:r>
        <w:rPr>
          <w:rFonts w:ascii="標楷體" w:eastAsia="標楷體" w:hAnsi="標楷體"/>
          <w:spacing w:val="4"/>
          <w:kern w:val="0"/>
          <w:sz w:val="28"/>
          <w:szCs w:val="26"/>
        </w:rPr>
        <w:t>(</w:t>
      </w:r>
      <w:r>
        <w:rPr>
          <w:rFonts w:eastAsia="標楷體"/>
          <w:spacing w:val="4"/>
          <w:kern w:val="0"/>
          <w:sz w:val="28"/>
          <w:szCs w:val="26"/>
        </w:rPr>
        <w:t>129</w:t>
      </w:r>
      <w:r>
        <w:rPr>
          <w:rFonts w:eastAsia="標楷體"/>
          <w:spacing w:val="4"/>
          <w:kern w:val="0"/>
          <w:sz w:val="28"/>
          <w:szCs w:val="26"/>
        </w:rPr>
        <w:t>個完成談判、</w:t>
      </w:r>
      <w:r>
        <w:rPr>
          <w:rFonts w:eastAsia="標楷體"/>
          <w:spacing w:val="4"/>
          <w:kern w:val="0"/>
          <w:sz w:val="28"/>
          <w:szCs w:val="26"/>
        </w:rPr>
        <w:t>70</w:t>
      </w:r>
      <w:r>
        <w:rPr>
          <w:rFonts w:eastAsia="標楷體"/>
          <w:spacing w:val="4"/>
          <w:kern w:val="0"/>
          <w:sz w:val="28"/>
          <w:szCs w:val="26"/>
        </w:rPr>
        <w:t>個正談判中</w:t>
      </w:r>
      <w:r>
        <w:rPr>
          <w:rFonts w:ascii="標楷體" w:eastAsia="標楷體" w:hAnsi="標楷體"/>
          <w:spacing w:val="4"/>
          <w:kern w:val="0"/>
          <w:sz w:val="28"/>
          <w:szCs w:val="26"/>
        </w:rPr>
        <w:t>)</w:t>
      </w:r>
      <w:r>
        <w:rPr>
          <w:rFonts w:eastAsia="標楷體"/>
          <w:spacing w:val="4"/>
          <w:kern w:val="0"/>
          <w:sz w:val="28"/>
          <w:szCs w:val="26"/>
        </w:rPr>
        <w:t>，其中</w:t>
      </w:r>
      <w:r>
        <w:rPr>
          <w:rFonts w:eastAsia="標楷體"/>
          <w:spacing w:val="4"/>
          <w:kern w:val="0"/>
          <w:sz w:val="28"/>
          <w:szCs w:val="26"/>
        </w:rPr>
        <w:t>5</w:t>
      </w:r>
      <w:r>
        <w:rPr>
          <w:rFonts w:eastAsia="標楷體"/>
          <w:spacing w:val="4"/>
          <w:kern w:val="0"/>
          <w:sz w:val="28"/>
          <w:szCs w:val="26"/>
        </w:rPr>
        <w:t>個「東協加</w:t>
      </w:r>
      <w:r>
        <w:rPr>
          <w:rFonts w:eastAsia="標楷體"/>
          <w:spacing w:val="4"/>
          <w:kern w:val="0"/>
          <w:sz w:val="28"/>
          <w:szCs w:val="26"/>
        </w:rPr>
        <w:t>N</w:t>
      </w:r>
      <w:r>
        <w:rPr>
          <w:rFonts w:eastAsia="標楷體"/>
          <w:spacing w:val="4"/>
          <w:kern w:val="0"/>
          <w:sz w:val="28"/>
          <w:szCs w:val="26"/>
        </w:rPr>
        <w:t>」均已生效。展望未來，亞洲各國除持續透過「東協加</w:t>
      </w:r>
      <w:r>
        <w:rPr>
          <w:rFonts w:eastAsia="標楷體"/>
          <w:spacing w:val="4"/>
          <w:kern w:val="0"/>
          <w:sz w:val="28"/>
          <w:szCs w:val="26"/>
        </w:rPr>
        <w:t>N</w:t>
      </w:r>
      <w:r>
        <w:rPr>
          <w:rFonts w:eastAsia="標楷體"/>
          <w:spacing w:val="4"/>
          <w:kern w:val="0"/>
          <w:sz w:val="28"/>
          <w:szCs w:val="26"/>
        </w:rPr>
        <w:t>」及雙邊</w:t>
      </w:r>
      <w:r>
        <w:rPr>
          <w:rFonts w:eastAsia="標楷體"/>
          <w:spacing w:val="4"/>
          <w:kern w:val="0"/>
          <w:sz w:val="28"/>
          <w:szCs w:val="26"/>
        </w:rPr>
        <w:t>FTA</w:t>
      </w:r>
      <w:r>
        <w:rPr>
          <w:rFonts w:eastAsia="標楷體"/>
          <w:spacing w:val="4"/>
          <w:kern w:val="0"/>
          <w:sz w:val="28"/>
          <w:szCs w:val="26"/>
        </w:rPr>
        <w:t>整合模式，建立有效的政策對話及合作架構外，美國積極利用「跨太平洋夥伴協定」</w:t>
      </w:r>
      <w:r>
        <w:rPr>
          <w:rFonts w:ascii="標楷體" w:eastAsia="標楷體" w:hAnsi="標楷體"/>
          <w:spacing w:val="4"/>
          <w:kern w:val="0"/>
          <w:sz w:val="28"/>
          <w:szCs w:val="26"/>
        </w:rPr>
        <w:t>(</w:t>
      </w:r>
      <w:r>
        <w:rPr>
          <w:rFonts w:eastAsia="標楷體"/>
          <w:spacing w:val="4"/>
          <w:kern w:val="0"/>
          <w:sz w:val="28"/>
          <w:szCs w:val="26"/>
        </w:rPr>
        <w:t>Trans-Pacific Partnership Agreement, TPP</w:t>
      </w:r>
      <w:r>
        <w:rPr>
          <w:rFonts w:ascii="標楷體" w:eastAsia="標楷體" w:hAnsi="標楷體"/>
          <w:spacing w:val="4"/>
          <w:kern w:val="0"/>
          <w:sz w:val="28"/>
          <w:szCs w:val="26"/>
        </w:rPr>
        <w:t>)</w:t>
      </w:r>
      <w:r>
        <w:rPr>
          <w:rFonts w:eastAsia="標楷體"/>
          <w:spacing w:val="4"/>
          <w:kern w:val="0"/>
          <w:sz w:val="28"/>
          <w:szCs w:val="26"/>
        </w:rPr>
        <w:t>切入亞太地區，對亞太經貿整合的發展影響深遠，值得密切關注。</w:t>
      </w:r>
    </w:p>
    <w:p w14:paraId="1A16744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w:t>
      </w:r>
      <w:r>
        <w:rPr>
          <w:rFonts w:eastAsia="標楷體"/>
          <w:spacing w:val="4"/>
          <w:kern w:val="0"/>
          <w:sz w:val="28"/>
          <w:szCs w:val="26"/>
        </w:rPr>
        <w:t>2011</w:t>
      </w:r>
      <w:r>
        <w:rPr>
          <w:rFonts w:eastAsia="標楷體"/>
          <w:spacing w:val="4"/>
          <w:kern w:val="0"/>
          <w:sz w:val="28"/>
          <w:szCs w:val="26"/>
        </w:rPr>
        <w:t>年</w:t>
      </w:r>
      <w:r>
        <w:rPr>
          <w:rFonts w:eastAsia="標楷體"/>
          <w:spacing w:val="4"/>
          <w:kern w:val="0"/>
          <w:sz w:val="28"/>
          <w:szCs w:val="26"/>
        </w:rPr>
        <w:t>11</w:t>
      </w:r>
      <w:r>
        <w:rPr>
          <w:rFonts w:eastAsia="標楷體"/>
          <w:spacing w:val="4"/>
          <w:kern w:val="0"/>
          <w:sz w:val="28"/>
          <w:szCs w:val="26"/>
        </w:rPr>
        <w:t>月，東協國家已於「東協高峰會」</w:t>
      </w:r>
      <w:r>
        <w:rPr>
          <w:rFonts w:ascii="標楷體" w:eastAsia="標楷體" w:hAnsi="標楷體"/>
          <w:spacing w:val="4"/>
          <w:kern w:val="0"/>
          <w:sz w:val="28"/>
          <w:szCs w:val="26"/>
        </w:rPr>
        <w:t>(</w:t>
      </w:r>
      <w:r>
        <w:rPr>
          <w:rFonts w:eastAsia="標楷體"/>
          <w:spacing w:val="4"/>
          <w:kern w:val="0"/>
          <w:sz w:val="28"/>
          <w:szCs w:val="26"/>
        </w:rPr>
        <w:t>ASEAN Summit</w:t>
      </w:r>
      <w:r>
        <w:rPr>
          <w:rFonts w:ascii="標楷體" w:eastAsia="標楷體" w:hAnsi="標楷體"/>
          <w:spacing w:val="4"/>
          <w:kern w:val="0"/>
          <w:sz w:val="28"/>
          <w:szCs w:val="26"/>
        </w:rPr>
        <w:t>)</w:t>
      </w:r>
      <w:r>
        <w:rPr>
          <w:rFonts w:eastAsia="標楷體"/>
          <w:spacing w:val="4"/>
          <w:kern w:val="0"/>
          <w:sz w:val="28"/>
          <w:szCs w:val="26"/>
        </w:rPr>
        <w:t>提出「東協區域全面經濟夥伴關係架構」</w:t>
      </w:r>
      <w:r>
        <w:rPr>
          <w:rFonts w:ascii="標楷體" w:eastAsia="標楷體" w:hAnsi="標楷體"/>
          <w:spacing w:val="4"/>
          <w:kern w:val="0"/>
          <w:sz w:val="28"/>
          <w:szCs w:val="26"/>
        </w:rPr>
        <w:t>(</w:t>
      </w:r>
      <w:r>
        <w:rPr>
          <w:rFonts w:eastAsia="標楷體"/>
          <w:spacing w:val="4"/>
          <w:kern w:val="0"/>
          <w:sz w:val="28"/>
          <w:szCs w:val="26"/>
        </w:rPr>
        <w:t>ASEAN Framework for Regional Comprehensive Economic Partnership, RCEP</w:t>
      </w:r>
      <w:r>
        <w:rPr>
          <w:rFonts w:ascii="標楷體" w:eastAsia="標楷體" w:hAnsi="標楷體"/>
          <w:spacing w:val="4"/>
          <w:kern w:val="0"/>
          <w:sz w:val="28"/>
          <w:szCs w:val="26"/>
        </w:rPr>
        <w:t>)</w:t>
      </w:r>
      <w:r>
        <w:rPr>
          <w:rFonts w:eastAsia="標楷體"/>
          <w:spacing w:val="4"/>
          <w:kern w:val="0"/>
          <w:sz w:val="28"/>
          <w:szCs w:val="26"/>
        </w:rPr>
        <w:t>，將整合現有「東協加三」及「東協加六」談判進程為單一機制，並於</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11</w:t>
      </w:r>
      <w:r>
        <w:rPr>
          <w:rFonts w:eastAsia="標楷體"/>
          <w:spacing w:val="4"/>
          <w:kern w:val="0"/>
          <w:sz w:val="28"/>
          <w:szCs w:val="26"/>
        </w:rPr>
        <w:t>月中旬第</w:t>
      </w:r>
      <w:r>
        <w:rPr>
          <w:rFonts w:eastAsia="標楷體"/>
          <w:spacing w:val="4"/>
          <w:kern w:val="0"/>
          <w:sz w:val="28"/>
          <w:szCs w:val="26"/>
        </w:rPr>
        <w:t>7</w:t>
      </w:r>
      <w:r>
        <w:rPr>
          <w:rFonts w:eastAsia="標楷體"/>
          <w:spacing w:val="4"/>
          <w:kern w:val="0"/>
          <w:sz w:val="28"/>
          <w:szCs w:val="26"/>
        </w:rPr>
        <w:t>屆</w:t>
      </w:r>
      <w:r>
        <w:rPr>
          <w:rFonts w:ascii="標楷體" w:eastAsia="標楷體" w:hAnsi="標楷體"/>
          <w:spacing w:val="4"/>
          <w:kern w:val="0"/>
          <w:sz w:val="28"/>
          <w:szCs w:val="26"/>
        </w:rPr>
        <w:t>「</w:t>
      </w:r>
      <w:r>
        <w:rPr>
          <w:rFonts w:eastAsia="標楷體"/>
          <w:spacing w:val="4"/>
          <w:kern w:val="0"/>
          <w:sz w:val="28"/>
          <w:szCs w:val="26"/>
        </w:rPr>
        <w:t>東亞峰會</w:t>
      </w:r>
      <w:r>
        <w:rPr>
          <w:rFonts w:ascii="標楷體" w:eastAsia="標楷體" w:hAnsi="標楷體"/>
          <w:spacing w:val="4"/>
          <w:kern w:val="0"/>
          <w:sz w:val="28"/>
          <w:szCs w:val="26"/>
        </w:rPr>
        <w:t>」(</w:t>
      </w:r>
      <w:r>
        <w:rPr>
          <w:rFonts w:eastAsia="標楷體"/>
          <w:spacing w:val="4"/>
          <w:kern w:val="0"/>
          <w:sz w:val="28"/>
          <w:szCs w:val="26"/>
        </w:rPr>
        <w:t>EAS</w:t>
      </w:r>
      <w:r>
        <w:rPr>
          <w:rFonts w:ascii="標楷體" w:eastAsia="標楷體" w:hAnsi="標楷體"/>
          <w:spacing w:val="4"/>
          <w:kern w:val="0"/>
          <w:sz w:val="28"/>
          <w:szCs w:val="26"/>
        </w:rPr>
        <w:t>)</w:t>
      </w:r>
      <w:r>
        <w:rPr>
          <w:rFonts w:eastAsia="標楷體"/>
          <w:spacing w:val="4"/>
          <w:kern w:val="0"/>
          <w:sz w:val="28"/>
          <w:szCs w:val="26"/>
        </w:rPr>
        <w:t>正式宣布啟動談判。另</w:t>
      </w:r>
      <w:r>
        <w:rPr>
          <w:rFonts w:eastAsia="標楷體"/>
          <w:spacing w:val="4"/>
          <w:kern w:val="0"/>
          <w:sz w:val="28"/>
          <w:szCs w:val="26"/>
        </w:rPr>
        <w:t>2011</w:t>
      </w:r>
      <w:r>
        <w:rPr>
          <w:rFonts w:eastAsia="標楷體"/>
          <w:spacing w:val="4"/>
          <w:kern w:val="0"/>
          <w:sz w:val="28"/>
          <w:szCs w:val="26"/>
        </w:rPr>
        <w:t>年</w:t>
      </w:r>
      <w:r>
        <w:rPr>
          <w:rFonts w:eastAsia="標楷體"/>
          <w:spacing w:val="4"/>
          <w:kern w:val="0"/>
          <w:sz w:val="28"/>
          <w:szCs w:val="26"/>
        </w:rPr>
        <w:t>11</w:t>
      </w:r>
      <w:r>
        <w:rPr>
          <w:rFonts w:eastAsia="標楷體"/>
          <w:spacing w:val="4"/>
          <w:kern w:val="0"/>
          <w:sz w:val="28"/>
          <w:szCs w:val="26"/>
        </w:rPr>
        <w:t>月第</w:t>
      </w:r>
      <w:r>
        <w:rPr>
          <w:rFonts w:eastAsia="標楷體"/>
          <w:spacing w:val="4"/>
          <w:kern w:val="0"/>
          <w:sz w:val="28"/>
          <w:szCs w:val="26"/>
        </w:rPr>
        <w:t>6</w:t>
      </w:r>
      <w:r>
        <w:rPr>
          <w:rFonts w:eastAsia="標楷體"/>
          <w:spacing w:val="4"/>
          <w:kern w:val="0"/>
          <w:sz w:val="28"/>
          <w:szCs w:val="26"/>
        </w:rPr>
        <w:t>屆</w:t>
      </w:r>
      <w:r>
        <w:rPr>
          <w:rFonts w:eastAsia="標楷體"/>
          <w:spacing w:val="4"/>
          <w:kern w:val="0"/>
          <w:sz w:val="28"/>
          <w:szCs w:val="26"/>
        </w:rPr>
        <w:t>EAS</w:t>
      </w:r>
      <w:r>
        <w:rPr>
          <w:rFonts w:eastAsia="標楷體"/>
          <w:spacing w:val="4"/>
          <w:kern w:val="0"/>
          <w:sz w:val="28"/>
          <w:szCs w:val="26"/>
        </w:rPr>
        <w:t>已納入</w:t>
      </w:r>
      <w:r>
        <w:rPr>
          <w:rFonts w:eastAsia="標楷體"/>
          <w:spacing w:val="4"/>
          <w:kern w:val="0"/>
          <w:sz w:val="28"/>
          <w:szCs w:val="26"/>
        </w:rPr>
        <w:lastRenderedPageBreak/>
        <w:t>美國及俄羅斯</w:t>
      </w:r>
      <w:r>
        <w:rPr>
          <w:rFonts w:ascii="標楷體" w:eastAsia="標楷體" w:hAnsi="標楷體"/>
          <w:spacing w:val="4"/>
          <w:kern w:val="0"/>
          <w:sz w:val="28"/>
          <w:szCs w:val="26"/>
        </w:rPr>
        <w:t>(</w:t>
      </w:r>
      <w:r>
        <w:rPr>
          <w:rFonts w:eastAsia="標楷體"/>
          <w:spacing w:val="4"/>
          <w:kern w:val="0"/>
          <w:sz w:val="28"/>
          <w:szCs w:val="26"/>
        </w:rPr>
        <w:t>即「東協加八」</w:t>
      </w:r>
      <w:r>
        <w:rPr>
          <w:rFonts w:ascii="標楷體" w:eastAsia="標楷體" w:hAnsi="標楷體"/>
          <w:spacing w:val="4"/>
          <w:kern w:val="0"/>
          <w:sz w:val="28"/>
          <w:szCs w:val="26"/>
        </w:rPr>
        <w:t>)</w:t>
      </w:r>
      <w:r>
        <w:rPr>
          <w:rFonts w:eastAsia="標楷體"/>
          <w:spacing w:val="4"/>
          <w:kern w:val="0"/>
          <w:sz w:val="28"/>
          <w:szCs w:val="26"/>
        </w:rPr>
        <w:t>，就區域戰略、政治及經濟議題進行對話。</w:t>
      </w:r>
    </w:p>
    <w:tbl>
      <w:tblPr>
        <w:tblW w:w="8695" w:type="dxa"/>
        <w:jc w:val="center"/>
        <w:tblCellMar>
          <w:left w:w="10" w:type="dxa"/>
          <w:right w:w="10" w:type="dxa"/>
        </w:tblCellMar>
        <w:tblLook w:val="04A0" w:firstRow="1" w:lastRow="0" w:firstColumn="1" w:lastColumn="0" w:noHBand="0" w:noVBand="1"/>
      </w:tblPr>
      <w:tblGrid>
        <w:gridCol w:w="8695"/>
      </w:tblGrid>
      <w:tr w:rsidR="00052596" w14:paraId="6DBAA023" w14:textId="77777777">
        <w:tblPrEx>
          <w:tblCellMar>
            <w:top w:w="0" w:type="dxa"/>
            <w:bottom w:w="0" w:type="dxa"/>
          </w:tblCellMar>
        </w:tblPrEx>
        <w:trPr>
          <w:trHeight w:val="12746"/>
          <w:jc w:val="center"/>
        </w:trPr>
        <w:tc>
          <w:tcPr>
            <w:tcW w:w="8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71584" w14:textId="77777777" w:rsidR="00052596" w:rsidRDefault="00000000">
            <w:pPr>
              <w:overflowPunct w:val="0"/>
              <w:autoSpaceDE w:val="0"/>
              <w:spacing w:before="240" w:after="240" w:line="340" w:lineRule="exact"/>
              <w:jc w:val="center"/>
              <w:textAlignment w:val="center"/>
            </w:pPr>
            <w:r>
              <w:rPr>
                <w:rFonts w:ascii="新細明體" w:hAnsi="新細明體"/>
                <w:b/>
                <w:color w:val="0000FF"/>
                <w:spacing w:val="14"/>
                <w:kern w:val="0"/>
                <w:lang w:val="zh-TW"/>
              </w:rPr>
              <w:lastRenderedPageBreak/>
              <w:t>推升亞洲開發中國家經濟成長的新引擎</w:t>
            </w:r>
            <w:r>
              <w:rPr>
                <w:rFonts w:ascii="新細明體" w:hAnsi="新細明體" w:cs="Vani"/>
                <w:b/>
                <w:color w:val="0000FF"/>
                <w:spacing w:val="14"/>
                <w:kern w:val="0"/>
                <w:lang w:val="zh-TW"/>
              </w:rPr>
              <w:t>－</w:t>
            </w:r>
            <w:r>
              <w:rPr>
                <w:rFonts w:ascii="新細明體" w:hAnsi="新細明體"/>
                <w:b/>
                <w:color w:val="0000FF"/>
                <w:spacing w:val="14"/>
                <w:kern w:val="0"/>
                <w:lang w:val="zh-TW"/>
              </w:rPr>
              <w:t>現代服務業</w:t>
            </w:r>
          </w:p>
          <w:p w14:paraId="7581475C" w14:textId="77777777" w:rsidR="00052596" w:rsidRDefault="00000000">
            <w:pPr>
              <w:overflowPunct w:val="0"/>
              <w:autoSpaceDE w:val="0"/>
              <w:spacing w:before="72" w:after="72" w:line="30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亞洲開發中國家在全球產業分工體系，向來扮演代工角色，並以出口拓銷歐美市場，作為推動經濟成長的重要引擎。展望未來，由於歐美經濟前景的不確定性，亞洲地區過去高度仰賴歐美市場的經濟發展模式，恐難以持續。亞洲開發銀行(ADB)2012年報告指出，危機亦是轉機，亞洲開發中國家應趁勢調整經濟結構，擴大開發亞洲區域內市場，並加速發展服務業。其中，加速發展現代服務業(modern services)，更可促使服務業在經濟成長與創造就業上，發揮更大效益。</w:t>
            </w:r>
          </w:p>
          <w:p w14:paraId="7B9B8F87" w14:textId="77777777" w:rsidR="00052596" w:rsidRDefault="00000000">
            <w:pPr>
              <w:overflowPunct w:val="0"/>
              <w:autoSpaceDE w:val="0"/>
              <w:spacing w:before="72" w:after="24" w:line="300" w:lineRule="exact"/>
              <w:ind w:left="72"/>
              <w:jc w:val="both"/>
              <w:textAlignment w:val="center"/>
            </w:pPr>
            <w:r>
              <w:rPr>
                <w:rFonts w:ascii="新細明體" w:hAnsi="新細明體"/>
                <w:b/>
                <w:bCs/>
                <w:color w:val="0000FF"/>
                <w:spacing w:val="8"/>
                <w:kern w:val="0"/>
                <w:sz w:val="22"/>
                <w:szCs w:val="22"/>
              </w:rPr>
              <w:t>(一)現代服務業深具發展空間</w:t>
            </w:r>
          </w:p>
          <w:p w14:paraId="19DE18AB" w14:textId="77777777" w:rsidR="00052596" w:rsidRDefault="00000000">
            <w:pPr>
              <w:overflowPunct w:val="0"/>
              <w:autoSpaceDE w:val="0"/>
              <w:spacing w:before="24" w:after="24" w:line="288" w:lineRule="exact"/>
              <w:ind w:left="716"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－亞洲開發中國家服務業占GDP的比例，雖已由1990年之45.2%，提升至2010年的48.5%，惟相較OECD國家服務業比率高達75%，仍深具發展空間。</w:t>
            </w:r>
          </w:p>
          <w:p w14:paraId="78651DE0" w14:textId="77777777" w:rsidR="00052596" w:rsidRDefault="00000000">
            <w:pPr>
              <w:overflowPunct w:val="0"/>
              <w:autoSpaceDE w:val="0"/>
              <w:spacing w:before="72" w:after="72" w:line="300" w:lineRule="exact"/>
              <w:ind w:left="716"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－亞洲開發中國家的服務業，主要以批發、零售、餐飲等傳統服務業為主，資通訊、金融、專業商業服務(professional business services)等現代服務業占GDP比率偏低；個別國家(地區)中，除新加坡、南韓及香港的現代服務業約占2成，與OECD國家相當外，中國大陸、印度、印尼、臺灣及泰國約介於8%至12%之間，顯示亞洲開發中國家現代服務業仍待提升。</w:t>
            </w:r>
          </w:p>
          <w:p w14:paraId="5A381EB2" w14:textId="77777777" w:rsidR="00052596" w:rsidRDefault="00000000">
            <w:pPr>
              <w:overflowPunct w:val="0"/>
              <w:autoSpaceDE w:val="0"/>
              <w:spacing w:before="72" w:after="24" w:line="300" w:lineRule="exact"/>
              <w:ind w:left="72"/>
              <w:jc w:val="both"/>
              <w:textAlignment w:val="center"/>
            </w:pPr>
            <w:r>
              <w:rPr>
                <w:rFonts w:ascii="新細明體" w:hAnsi="新細明體"/>
                <w:b/>
                <w:bCs/>
                <w:color w:val="0000FF"/>
                <w:spacing w:val="8"/>
                <w:kern w:val="0"/>
                <w:sz w:val="22"/>
                <w:szCs w:val="22"/>
              </w:rPr>
              <w:t>(二)現階段服務業發展面臨瓶頸</w:t>
            </w:r>
          </w:p>
          <w:p w14:paraId="35FE8A7A" w14:textId="77777777" w:rsidR="00052596" w:rsidRDefault="00000000">
            <w:pPr>
              <w:overflowPunct w:val="0"/>
              <w:autoSpaceDE w:val="0"/>
              <w:spacing w:before="24" w:after="24" w:line="300" w:lineRule="exact"/>
              <w:ind w:left="716"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－亞洲開發中國家勞動生產力低的傳統服務業，無法順利轉型、升級為動態高階(dynamic high-end service)的現代服務業，主要原因包括：缺乏發展現代服務業所需的高階技術人力資源，支援性ICT等服務業發展的基礎建設投資不足，以及服務業相關法規制度與保護措施有待改革。</w:t>
            </w:r>
          </w:p>
          <w:p w14:paraId="01132ECF" w14:textId="77777777" w:rsidR="00052596" w:rsidRDefault="00000000">
            <w:pPr>
              <w:overflowPunct w:val="0"/>
              <w:autoSpaceDE w:val="0"/>
              <w:spacing w:before="24" w:after="24" w:line="300" w:lineRule="exact"/>
              <w:ind w:left="716"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亞洲開發中國家服務業能否扮演促進經濟成長與擴增就業的引擎，關鍵在於如何突破人力資源、基礎建設不足，以及法規限制等障礙，營造健全的發展環境，以及加速朝現代服務業發展，俾有效提升產業生產力與附加價值。</w:t>
            </w:r>
          </w:p>
          <w:p w14:paraId="57F76F6C" w14:textId="77777777" w:rsidR="00052596" w:rsidRDefault="00000000">
            <w:pPr>
              <w:overflowPunct w:val="0"/>
              <w:autoSpaceDE w:val="0"/>
              <w:spacing w:before="72" w:after="24" w:line="300" w:lineRule="exact"/>
              <w:ind w:left="72"/>
              <w:jc w:val="both"/>
              <w:textAlignment w:val="center"/>
              <w:rPr>
                <w:rFonts w:ascii="新細明體" w:hAnsi="新細明體"/>
                <w:b/>
                <w:bCs/>
                <w:color w:val="0000FF"/>
                <w:spacing w:val="8"/>
                <w:kern w:val="0"/>
                <w:sz w:val="22"/>
                <w:szCs w:val="22"/>
              </w:rPr>
            </w:pPr>
            <w:r>
              <w:rPr>
                <w:rFonts w:ascii="新細明體" w:hAnsi="新細明體"/>
                <w:b/>
                <w:bCs/>
                <w:color w:val="0000FF"/>
                <w:spacing w:val="8"/>
                <w:kern w:val="0"/>
                <w:sz w:val="22"/>
                <w:szCs w:val="22"/>
              </w:rPr>
              <w:t>(三)發展現代服務業創造經濟效益</w:t>
            </w:r>
          </w:p>
          <w:p w14:paraId="4A7A733A" w14:textId="77777777" w:rsidR="00052596" w:rsidRDefault="00000000">
            <w:pPr>
              <w:overflowPunct w:val="0"/>
              <w:autoSpaceDE w:val="0"/>
              <w:spacing w:before="24" w:after="24" w:line="300" w:lineRule="exact"/>
              <w:ind w:left="716" w:right="72" w:hanging="236"/>
              <w:jc w:val="both"/>
              <w:textAlignment w:val="center"/>
            </w:pPr>
            <w:r>
              <w:rPr>
                <w:rFonts w:ascii="新細明體" w:hAnsi="新細明體"/>
                <w:bCs/>
                <w:spacing w:val="8"/>
                <w:kern w:val="0"/>
                <w:sz w:val="22"/>
                <w:szCs w:val="22"/>
              </w:rPr>
              <w:t>－推</w:t>
            </w:r>
            <w:r>
              <w:rPr>
                <w:rFonts w:ascii="新細明體" w:hAnsi="新細明體"/>
                <w:bCs/>
                <w:spacing w:val="6"/>
                <w:kern w:val="0"/>
                <w:sz w:val="22"/>
                <w:szCs w:val="22"/>
              </w:rPr>
              <w:t>動跨部門合作(cross-sector synergies)，提升整體競爭力：透過服務業與製造業的跨部門合作，一方面發揮雙向互利的外溢效果(spillover effect)，另方面採用更符合成本效益(c</w:t>
            </w:r>
            <w:r>
              <w:rPr>
                <w:rFonts w:ascii="新細明體" w:hAnsi="新細明體"/>
                <w:bCs/>
                <w:spacing w:val="8"/>
                <w:kern w:val="0"/>
                <w:sz w:val="22"/>
                <w:szCs w:val="22"/>
              </w:rPr>
              <w:t>ost-effective)的專業分工模式，以提升整體產業競爭力。</w:t>
            </w:r>
          </w:p>
          <w:p w14:paraId="56A35A13" w14:textId="77777777" w:rsidR="00052596" w:rsidRDefault="00000000">
            <w:pPr>
              <w:overflowPunct w:val="0"/>
              <w:autoSpaceDE w:val="0"/>
              <w:spacing w:before="24" w:after="24" w:line="300" w:lineRule="exact"/>
              <w:ind w:left="716"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擴大就業機會，促進經濟包容性成長：隨著工資水準提高，製造業朝資本密集的自動化發展後，人力需求縮減。加速發展勞力密集服務業，將有助於創造就業機會，吸收製造部門釋出的人力，且可擴大勞動參與層面，廣泛提升各階層的生活品質，促進經濟包容性成長。</w:t>
            </w:r>
          </w:p>
          <w:p w14:paraId="53C37B38" w14:textId="77777777" w:rsidR="00052596" w:rsidRDefault="00000000">
            <w:pPr>
              <w:overflowPunct w:val="0"/>
              <w:autoSpaceDE w:val="0"/>
              <w:spacing w:before="24" w:after="24" w:line="300" w:lineRule="exact"/>
              <w:ind w:left="716"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提升服務業經濟引擎，再平衡(rebalance)經濟成長：因應歐美主要出口市場經濟前景的不確定性，亞洲開發中國家加速發展服務業與推動服務貿易，有助多元化經濟成長引擎，降低經濟高度暴露於歐美市場的風險，導引經濟平衡發展。</w:t>
            </w:r>
          </w:p>
          <w:p w14:paraId="0D5AF7E7" w14:textId="77777777" w:rsidR="00052596" w:rsidRDefault="00000000">
            <w:pPr>
              <w:overflowPunct w:val="0"/>
              <w:autoSpaceDE w:val="0"/>
              <w:spacing w:before="120" w:line="300" w:lineRule="exact"/>
              <w:ind w:left="1112" w:right="72" w:hanging="392"/>
              <w:jc w:val="both"/>
              <w:textAlignment w:val="center"/>
              <w:rPr>
                <w:rFonts w:ascii="新細明體" w:hAnsi="新細明體"/>
                <w:spacing w:val="-2"/>
                <w:kern w:val="0"/>
                <w:sz w:val="20"/>
                <w:szCs w:val="22"/>
              </w:rPr>
            </w:pPr>
            <w:r>
              <w:rPr>
                <w:rFonts w:ascii="新細明體" w:hAnsi="新細明體"/>
                <w:spacing w:val="-2"/>
                <w:kern w:val="0"/>
                <w:sz w:val="20"/>
                <w:szCs w:val="22"/>
              </w:rPr>
              <w:t>註：現代服務業係相對傳統服務業而言，ADB報告所指現代服務業涵蓋資通訊、金融，及專業商業服務業。</w:t>
            </w:r>
          </w:p>
          <w:p w14:paraId="75E50340" w14:textId="77777777" w:rsidR="00052596" w:rsidRDefault="00000000">
            <w:pPr>
              <w:overflowPunct w:val="0"/>
              <w:autoSpaceDE w:val="0"/>
              <w:spacing w:line="300" w:lineRule="exact"/>
              <w:ind w:left="340" w:right="72" w:hanging="196"/>
              <w:jc w:val="both"/>
              <w:textAlignment w:val="center"/>
            </w:pPr>
            <w:r>
              <w:rPr>
                <w:rFonts w:ascii="新細明體" w:hAnsi="新細明體"/>
                <w:spacing w:val="-2"/>
                <w:kern w:val="0"/>
                <w:sz w:val="20"/>
                <w:szCs w:val="22"/>
              </w:rPr>
              <w:t xml:space="preserve">資料來源：ADB., </w:t>
            </w:r>
            <w:r>
              <w:rPr>
                <w:rFonts w:ascii="新細明體" w:hAnsi="新細明體"/>
                <w:i/>
                <w:spacing w:val="-2"/>
                <w:kern w:val="0"/>
                <w:sz w:val="20"/>
                <w:szCs w:val="22"/>
              </w:rPr>
              <w:t>Asian Development Outlook 2012 Update,</w:t>
            </w:r>
            <w:r>
              <w:rPr>
                <w:rFonts w:ascii="新細明體" w:hAnsi="新細明體"/>
                <w:spacing w:val="-2"/>
                <w:kern w:val="0"/>
                <w:sz w:val="20"/>
                <w:szCs w:val="22"/>
              </w:rPr>
              <w:t xml:space="preserve"> 2012.</w:t>
            </w:r>
          </w:p>
        </w:tc>
      </w:tr>
    </w:tbl>
    <w:p w14:paraId="2B9E6284" w14:textId="77777777" w:rsidR="00052596" w:rsidRDefault="00000000">
      <w:pPr>
        <w:overflowPunct w:val="0"/>
        <w:autoSpaceDE w:val="0"/>
        <w:snapToGrid w:val="0"/>
        <w:spacing w:after="240" w:line="280" w:lineRule="exact"/>
        <w:jc w:val="center"/>
        <w:textAlignment w:val="center"/>
      </w:pPr>
      <w:r>
        <w:rPr>
          <w:rFonts w:eastAsia="標楷體"/>
          <w:b/>
          <w:color w:val="0000FF"/>
          <w:kern w:val="0"/>
          <w:sz w:val="26"/>
          <w:szCs w:val="26"/>
        </w:rPr>
        <w:lastRenderedPageBreak/>
        <w:t>表</w:t>
      </w:r>
      <w:r>
        <w:rPr>
          <w:rFonts w:eastAsia="標楷體"/>
          <w:b/>
          <w:color w:val="0000FF"/>
          <w:kern w:val="0"/>
          <w:sz w:val="26"/>
          <w:szCs w:val="26"/>
        </w:rPr>
        <w:t>1.1.4</w:t>
      </w:r>
      <w:r>
        <w:rPr>
          <w:rFonts w:eastAsia="標楷體"/>
          <w:b/>
          <w:color w:val="0000FF"/>
          <w:kern w:val="0"/>
          <w:sz w:val="26"/>
          <w:szCs w:val="26"/>
        </w:rPr>
        <w:t xml:space="preserve">　亞洲國家出口產品</w:t>
      </w:r>
      <w:r>
        <w:rPr>
          <w:rFonts w:ascii="標楷體" w:eastAsia="標楷體" w:hAnsi="標楷體"/>
          <w:b/>
          <w:color w:val="0000FF"/>
          <w:kern w:val="0"/>
          <w:sz w:val="26"/>
          <w:szCs w:val="26"/>
        </w:rPr>
        <w:t>(</w:t>
      </w:r>
      <w:r>
        <w:rPr>
          <w:rFonts w:eastAsia="標楷體"/>
          <w:b/>
          <w:color w:val="0000FF"/>
          <w:kern w:val="0"/>
          <w:sz w:val="26"/>
          <w:szCs w:val="26"/>
        </w:rPr>
        <w:t>依生產階段別</w:t>
      </w:r>
      <w:r>
        <w:rPr>
          <w:rFonts w:ascii="標楷體" w:eastAsia="標楷體" w:hAnsi="標楷體"/>
          <w:b/>
          <w:color w:val="0000FF"/>
          <w:kern w:val="0"/>
          <w:sz w:val="26"/>
          <w:szCs w:val="26"/>
        </w:rPr>
        <w:t>)</w:t>
      </w:r>
      <w:r>
        <w:rPr>
          <w:rFonts w:eastAsia="標楷體"/>
          <w:b/>
          <w:color w:val="0000FF"/>
          <w:kern w:val="0"/>
          <w:sz w:val="26"/>
          <w:szCs w:val="26"/>
        </w:rPr>
        <w:t>地區結構</w:t>
      </w:r>
    </w:p>
    <w:p w14:paraId="763628E8" w14:textId="77777777" w:rsidR="00052596" w:rsidRDefault="00000000">
      <w:pPr>
        <w:tabs>
          <w:tab w:val="left" w:pos="960"/>
          <w:tab w:val="left" w:pos="1920"/>
          <w:tab w:val="left" w:pos="2880"/>
          <w:tab w:val="left" w:pos="3840"/>
          <w:tab w:val="left" w:pos="4800"/>
          <w:tab w:val="left" w:pos="5760"/>
        </w:tabs>
        <w:overflowPunct w:val="0"/>
        <w:autoSpaceDE w:val="0"/>
        <w:spacing w:line="340" w:lineRule="exact"/>
        <w:ind w:left="205" w:right="-283" w:hanging="205"/>
        <w:jc w:val="right"/>
        <w:textAlignment w:val="center"/>
        <w:rPr>
          <w:rFonts w:eastAsia="標楷體"/>
          <w:bCs/>
          <w:spacing w:val="4"/>
          <w:kern w:val="0"/>
          <w:sz w:val="22"/>
          <w:szCs w:val="22"/>
        </w:rPr>
      </w:pPr>
      <w:r>
        <w:rPr>
          <w:rFonts w:eastAsia="標楷體"/>
          <w:bCs/>
          <w:spacing w:val="4"/>
          <w:kern w:val="0"/>
          <w:sz w:val="22"/>
          <w:szCs w:val="22"/>
        </w:rPr>
        <w:t>單位：</w:t>
      </w:r>
      <w:r>
        <w:rPr>
          <w:rFonts w:eastAsia="標楷體"/>
          <w:bCs/>
          <w:spacing w:val="4"/>
          <w:kern w:val="0"/>
          <w:sz w:val="22"/>
          <w:szCs w:val="22"/>
        </w:rPr>
        <w:t>%</w:t>
      </w:r>
    </w:p>
    <w:tbl>
      <w:tblPr>
        <w:tblW w:w="9150" w:type="dxa"/>
        <w:jc w:val="center"/>
        <w:tblCellMar>
          <w:left w:w="10" w:type="dxa"/>
          <w:right w:w="10" w:type="dxa"/>
        </w:tblCellMar>
        <w:tblLook w:val="04A0" w:firstRow="1" w:lastRow="0" w:firstColumn="1" w:lastColumn="0" w:noHBand="0" w:noVBand="1"/>
      </w:tblPr>
      <w:tblGrid>
        <w:gridCol w:w="1232"/>
        <w:gridCol w:w="776"/>
        <w:gridCol w:w="826"/>
        <w:gridCol w:w="776"/>
        <w:gridCol w:w="794"/>
        <w:gridCol w:w="794"/>
        <w:gridCol w:w="794"/>
        <w:gridCol w:w="794"/>
        <w:gridCol w:w="794"/>
        <w:gridCol w:w="794"/>
        <w:gridCol w:w="776"/>
      </w:tblGrid>
      <w:tr w:rsidR="00052596" w14:paraId="0D117C5D" w14:textId="77777777">
        <w:tblPrEx>
          <w:tblCellMar>
            <w:top w:w="0" w:type="dxa"/>
            <w:bottom w:w="0" w:type="dxa"/>
          </w:tblCellMar>
        </w:tblPrEx>
        <w:trPr>
          <w:trHeight w:val="570"/>
          <w:jc w:val="center"/>
        </w:trPr>
        <w:tc>
          <w:tcPr>
            <w:tcW w:w="1232" w:type="dxa"/>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16CC4D03"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ind w:left="101" w:hanging="89"/>
              <w:jc w:val="center"/>
              <w:textAlignment w:val="center"/>
              <w:rPr>
                <w:rFonts w:eastAsia="標楷體"/>
                <w:bCs/>
                <w:spacing w:val="4"/>
                <w:kern w:val="0"/>
                <w:szCs w:val="24"/>
              </w:rPr>
            </w:pPr>
            <w:r>
              <w:rPr>
                <w:rFonts w:eastAsia="標楷體"/>
                <w:bCs/>
                <w:spacing w:val="4"/>
                <w:kern w:val="0"/>
                <w:szCs w:val="24"/>
              </w:rPr>
              <w:t>目標市場</w:t>
            </w:r>
          </w:p>
        </w:tc>
        <w:tc>
          <w:tcPr>
            <w:tcW w:w="1602" w:type="dxa"/>
            <w:gridSpan w:val="2"/>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36B321F7"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ind w:right="120"/>
              <w:jc w:val="center"/>
              <w:textAlignment w:val="center"/>
            </w:pPr>
            <w:r>
              <w:rPr>
                <w:rFonts w:eastAsia="標楷體"/>
                <w:spacing w:val="4"/>
                <w:kern w:val="0"/>
                <w:szCs w:val="24"/>
              </w:rPr>
              <w:t>初級產品</w:t>
            </w:r>
            <w:r>
              <w:rPr>
                <w:rFonts w:ascii="標楷體" w:eastAsia="標楷體" w:hAnsi="標楷體"/>
                <w:spacing w:val="4"/>
                <w:kern w:val="0"/>
                <w:sz w:val="20"/>
              </w:rPr>
              <w:t>(</w:t>
            </w:r>
            <w:r>
              <w:rPr>
                <w:rFonts w:eastAsia="標楷體"/>
                <w:spacing w:val="4"/>
                <w:kern w:val="0"/>
                <w:sz w:val="20"/>
              </w:rPr>
              <w:t>Primary Goods</w:t>
            </w:r>
            <w:r>
              <w:rPr>
                <w:rFonts w:ascii="標楷體" w:eastAsia="標楷體" w:hAnsi="標楷體"/>
                <w:spacing w:val="4"/>
                <w:kern w:val="0"/>
                <w:sz w:val="20"/>
              </w:rPr>
              <w:t>)</w:t>
            </w:r>
          </w:p>
        </w:tc>
        <w:tc>
          <w:tcPr>
            <w:tcW w:w="1570" w:type="dxa"/>
            <w:gridSpan w:val="2"/>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112ACB36"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ind w:right="120"/>
              <w:jc w:val="center"/>
              <w:textAlignment w:val="center"/>
            </w:pPr>
            <w:r>
              <w:rPr>
                <w:rFonts w:eastAsia="標楷體"/>
                <w:spacing w:val="4"/>
                <w:kern w:val="0"/>
                <w:szCs w:val="24"/>
              </w:rPr>
              <w:t>中間財</w:t>
            </w:r>
            <w:r>
              <w:rPr>
                <w:rFonts w:ascii="標楷體" w:eastAsia="標楷體" w:hAnsi="標楷體"/>
                <w:spacing w:val="4"/>
                <w:kern w:val="0"/>
                <w:sz w:val="20"/>
              </w:rPr>
              <w:t>(</w:t>
            </w:r>
            <w:r>
              <w:rPr>
                <w:rFonts w:eastAsia="標楷體"/>
                <w:spacing w:val="4"/>
                <w:kern w:val="0"/>
                <w:sz w:val="20"/>
              </w:rPr>
              <w:t>Intermediate Goods</w:t>
            </w:r>
            <w:r>
              <w:rPr>
                <w:rFonts w:ascii="標楷體" w:eastAsia="標楷體" w:hAnsi="標楷體"/>
                <w:spacing w:val="4"/>
                <w:kern w:val="0"/>
                <w:sz w:val="20"/>
              </w:rPr>
              <w:t>)</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31C29F39"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center"/>
              <w:textAlignment w:val="center"/>
              <w:rPr>
                <w:rFonts w:eastAsia="標楷體"/>
                <w:spacing w:val="4"/>
                <w:kern w:val="0"/>
                <w:szCs w:val="24"/>
              </w:rPr>
            </w:pPr>
            <w:r>
              <w:rPr>
                <w:rFonts w:eastAsia="標楷體"/>
                <w:spacing w:val="4"/>
                <w:kern w:val="0"/>
                <w:szCs w:val="24"/>
              </w:rPr>
              <w:t>資本財</w:t>
            </w:r>
          </w:p>
          <w:p w14:paraId="126327EC"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center"/>
              <w:textAlignment w:val="center"/>
            </w:pPr>
            <w:r>
              <w:rPr>
                <w:rFonts w:ascii="標楷體" w:eastAsia="標楷體" w:hAnsi="標楷體"/>
                <w:spacing w:val="4"/>
                <w:kern w:val="0"/>
                <w:sz w:val="20"/>
              </w:rPr>
              <w:t>(</w:t>
            </w:r>
            <w:r>
              <w:rPr>
                <w:rFonts w:eastAsia="標楷體"/>
                <w:spacing w:val="4"/>
                <w:kern w:val="0"/>
                <w:sz w:val="20"/>
              </w:rPr>
              <w:t>Capital Goods</w:t>
            </w:r>
            <w:r>
              <w:rPr>
                <w:rFonts w:ascii="標楷體" w:eastAsia="標楷體" w:hAnsi="標楷體"/>
                <w:spacing w:val="4"/>
                <w:kern w:val="0"/>
                <w:sz w:val="20"/>
              </w:rPr>
              <w:t>)</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00FF56E4" w14:textId="77777777" w:rsidR="00052596" w:rsidRDefault="00000000">
            <w:pPr>
              <w:overflowPunct w:val="0"/>
              <w:autoSpaceDE w:val="0"/>
              <w:spacing w:line="300" w:lineRule="exact"/>
              <w:jc w:val="center"/>
              <w:textAlignment w:val="center"/>
            </w:pPr>
            <w:r>
              <w:rPr>
                <w:rFonts w:eastAsia="標楷體"/>
                <w:spacing w:val="4"/>
                <w:kern w:val="0"/>
                <w:szCs w:val="24"/>
              </w:rPr>
              <w:t>消費財</w:t>
            </w:r>
            <w:r>
              <w:rPr>
                <w:rFonts w:ascii="標楷體" w:eastAsia="標楷體" w:hAnsi="標楷體"/>
                <w:spacing w:val="4"/>
                <w:kern w:val="0"/>
                <w:sz w:val="20"/>
              </w:rPr>
              <w:t>(</w:t>
            </w:r>
            <w:r>
              <w:rPr>
                <w:rFonts w:eastAsia="標楷體"/>
                <w:spacing w:val="4"/>
                <w:kern w:val="0"/>
                <w:sz w:val="20"/>
              </w:rPr>
              <w:t>Consumption</w:t>
            </w:r>
          </w:p>
          <w:p w14:paraId="5EB5073F" w14:textId="77777777" w:rsidR="00052596" w:rsidRDefault="00000000">
            <w:pPr>
              <w:overflowPunct w:val="0"/>
              <w:autoSpaceDE w:val="0"/>
              <w:spacing w:line="300" w:lineRule="exact"/>
              <w:jc w:val="center"/>
              <w:textAlignment w:val="center"/>
            </w:pPr>
            <w:r>
              <w:rPr>
                <w:rFonts w:eastAsia="標楷體"/>
                <w:spacing w:val="4"/>
                <w:kern w:val="0"/>
                <w:sz w:val="20"/>
              </w:rPr>
              <w:t>Goods</w:t>
            </w:r>
            <w:r>
              <w:rPr>
                <w:rFonts w:ascii="標楷體" w:eastAsia="標楷體" w:hAnsi="標楷體"/>
                <w:spacing w:val="4"/>
                <w:kern w:val="0"/>
                <w:sz w:val="20"/>
              </w:rPr>
              <w:t>)</w:t>
            </w:r>
          </w:p>
        </w:tc>
        <w:tc>
          <w:tcPr>
            <w:tcW w:w="1570" w:type="dxa"/>
            <w:gridSpan w:val="2"/>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61E3F259" w14:textId="77777777" w:rsidR="00052596" w:rsidRDefault="00000000">
            <w:pPr>
              <w:overflowPunct w:val="0"/>
              <w:autoSpaceDE w:val="0"/>
              <w:spacing w:line="300" w:lineRule="exact"/>
              <w:jc w:val="center"/>
              <w:textAlignment w:val="center"/>
              <w:rPr>
                <w:rFonts w:eastAsia="標楷體"/>
                <w:spacing w:val="4"/>
                <w:kern w:val="0"/>
                <w:szCs w:val="24"/>
              </w:rPr>
            </w:pPr>
            <w:r>
              <w:rPr>
                <w:rFonts w:eastAsia="標楷體"/>
                <w:spacing w:val="4"/>
                <w:kern w:val="0"/>
                <w:szCs w:val="24"/>
              </w:rPr>
              <w:t>總出口</w:t>
            </w:r>
          </w:p>
          <w:p w14:paraId="00D52C4F" w14:textId="77777777" w:rsidR="00052596" w:rsidRDefault="00000000">
            <w:pPr>
              <w:overflowPunct w:val="0"/>
              <w:autoSpaceDE w:val="0"/>
              <w:spacing w:line="300" w:lineRule="exact"/>
              <w:jc w:val="center"/>
              <w:textAlignment w:val="center"/>
            </w:pPr>
            <w:r>
              <w:rPr>
                <w:rFonts w:ascii="標楷體" w:eastAsia="標楷體" w:hAnsi="標楷體"/>
                <w:spacing w:val="4"/>
                <w:kern w:val="0"/>
                <w:sz w:val="20"/>
              </w:rPr>
              <w:t>(</w:t>
            </w:r>
            <w:r>
              <w:rPr>
                <w:rFonts w:eastAsia="標楷體"/>
                <w:spacing w:val="4"/>
                <w:kern w:val="0"/>
                <w:sz w:val="20"/>
              </w:rPr>
              <w:t>Total Exports</w:t>
            </w:r>
            <w:r>
              <w:rPr>
                <w:rFonts w:ascii="標楷體" w:eastAsia="標楷體" w:hAnsi="標楷體"/>
                <w:spacing w:val="4"/>
                <w:kern w:val="0"/>
                <w:sz w:val="20"/>
              </w:rPr>
              <w:t>)</w:t>
            </w:r>
          </w:p>
        </w:tc>
      </w:tr>
      <w:tr w:rsidR="00052596" w14:paraId="18BAD387" w14:textId="77777777">
        <w:tblPrEx>
          <w:tblCellMar>
            <w:top w:w="0" w:type="dxa"/>
            <w:bottom w:w="0" w:type="dxa"/>
          </w:tblCellMar>
        </w:tblPrEx>
        <w:trPr>
          <w:jc w:val="center"/>
        </w:trPr>
        <w:tc>
          <w:tcPr>
            <w:tcW w:w="1232" w:type="dxa"/>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72DCAEF6" w14:textId="77777777" w:rsidR="00052596" w:rsidRDefault="00052596">
            <w:pPr>
              <w:tabs>
                <w:tab w:val="left" w:pos="960"/>
                <w:tab w:val="left" w:pos="1920"/>
                <w:tab w:val="left" w:pos="2880"/>
                <w:tab w:val="left" w:pos="3840"/>
                <w:tab w:val="left" w:pos="4800"/>
                <w:tab w:val="left" w:pos="5760"/>
              </w:tabs>
              <w:overflowPunct w:val="0"/>
              <w:autoSpaceDE w:val="0"/>
              <w:spacing w:line="300" w:lineRule="exact"/>
              <w:ind w:left="101" w:hanging="89"/>
              <w:jc w:val="center"/>
              <w:textAlignment w:val="center"/>
              <w:rPr>
                <w:rFonts w:eastAsia="標楷體"/>
                <w:bCs/>
                <w:spacing w:val="4"/>
                <w:kern w:val="0"/>
                <w:szCs w:val="24"/>
              </w:rPr>
            </w:pPr>
          </w:p>
        </w:tc>
        <w:tc>
          <w:tcPr>
            <w:tcW w:w="776"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1730FB09"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ind w:right="120"/>
              <w:jc w:val="center"/>
              <w:textAlignment w:val="center"/>
              <w:rPr>
                <w:rFonts w:eastAsia="標楷體"/>
                <w:kern w:val="0"/>
                <w:sz w:val="22"/>
                <w:szCs w:val="22"/>
              </w:rPr>
            </w:pPr>
            <w:r>
              <w:rPr>
                <w:rFonts w:eastAsia="標楷體"/>
                <w:kern w:val="0"/>
                <w:sz w:val="22"/>
                <w:szCs w:val="22"/>
              </w:rPr>
              <w:t>2000</w:t>
            </w:r>
          </w:p>
        </w:tc>
        <w:tc>
          <w:tcPr>
            <w:tcW w:w="826"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4D1B341A"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ind w:right="120"/>
              <w:jc w:val="center"/>
              <w:textAlignment w:val="center"/>
              <w:rPr>
                <w:rFonts w:eastAsia="標楷體"/>
                <w:kern w:val="0"/>
                <w:sz w:val="22"/>
                <w:szCs w:val="22"/>
              </w:rPr>
            </w:pPr>
            <w:r>
              <w:rPr>
                <w:rFonts w:eastAsia="標楷體"/>
                <w:kern w:val="0"/>
                <w:sz w:val="22"/>
                <w:szCs w:val="22"/>
              </w:rPr>
              <w:t>2010</w:t>
            </w:r>
          </w:p>
        </w:tc>
        <w:tc>
          <w:tcPr>
            <w:tcW w:w="776"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27AAAD40"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ind w:right="120"/>
              <w:jc w:val="center"/>
              <w:textAlignment w:val="center"/>
              <w:rPr>
                <w:rFonts w:eastAsia="標楷體"/>
                <w:kern w:val="0"/>
                <w:sz w:val="22"/>
                <w:szCs w:val="22"/>
              </w:rPr>
            </w:pPr>
            <w:r>
              <w:rPr>
                <w:rFonts w:eastAsia="標楷體"/>
                <w:kern w:val="0"/>
                <w:sz w:val="22"/>
                <w:szCs w:val="22"/>
              </w:rPr>
              <w:t>2000</w:t>
            </w:r>
          </w:p>
        </w:tc>
        <w:tc>
          <w:tcPr>
            <w:tcW w:w="794"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59C547FD"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ind w:right="120"/>
              <w:jc w:val="center"/>
              <w:textAlignment w:val="center"/>
              <w:rPr>
                <w:rFonts w:eastAsia="標楷體"/>
                <w:kern w:val="0"/>
                <w:sz w:val="22"/>
                <w:szCs w:val="22"/>
              </w:rPr>
            </w:pPr>
            <w:r>
              <w:rPr>
                <w:rFonts w:eastAsia="標楷體"/>
                <w:kern w:val="0"/>
                <w:sz w:val="22"/>
                <w:szCs w:val="22"/>
              </w:rPr>
              <w:t>2010</w:t>
            </w:r>
          </w:p>
        </w:tc>
        <w:tc>
          <w:tcPr>
            <w:tcW w:w="794"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0067A9A7"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center"/>
              <w:textAlignment w:val="center"/>
              <w:rPr>
                <w:rFonts w:eastAsia="標楷體"/>
                <w:kern w:val="0"/>
                <w:sz w:val="22"/>
                <w:szCs w:val="22"/>
              </w:rPr>
            </w:pPr>
            <w:r>
              <w:rPr>
                <w:rFonts w:eastAsia="標楷體"/>
                <w:kern w:val="0"/>
                <w:sz w:val="22"/>
                <w:szCs w:val="22"/>
              </w:rPr>
              <w:t>2000</w:t>
            </w:r>
          </w:p>
        </w:tc>
        <w:tc>
          <w:tcPr>
            <w:tcW w:w="794"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23E41EFF"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center"/>
              <w:textAlignment w:val="center"/>
              <w:rPr>
                <w:rFonts w:eastAsia="標楷體"/>
                <w:kern w:val="0"/>
                <w:sz w:val="22"/>
                <w:szCs w:val="22"/>
              </w:rPr>
            </w:pPr>
            <w:r>
              <w:rPr>
                <w:rFonts w:eastAsia="標楷體"/>
                <w:kern w:val="0"/>
                <w:sz w:val="22"/>
                <w:szCs w:val="22"/>
              </w:rPr>
              <w:t>2010</w:t>
            </w:r>
          </w:p>
        </w:tc>
        <w:tc>
          <w:tcPr>
            <w:tcW w:w="794"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0185E061" w14:textId="77777777" w:rsidR="00052596" w:rsidRDefault="00000000">
            <w:pPr>
              <w:overflowPunct w:val="0"/>
              <w:autoSpaceDE w:val="0"/>
              <w:spacing w:line="300" w:lineRule="exact"/>
              <w:jc w:val="center"/>
              <w:textAlignment w:val="center"/>
              <w:rPr>
                <w:rFonts w:eastAsia="標楷體"/>
                <w:kern w:val="0"/>
                <w:sz w:val="22"/>
                <w:szCs w:val="22"/>
              </w:rPr>
            </w:pPr>
            <w:r>
              <w:rPr>
                <w:rFonts w:eastAsia="標楷體"/>
                <w:kern w:val="0"/>
                <w:sz w:val="22"/>
                <w:szCs w:val="22"/>
              </w:rPr>
              <w:t>2000</w:t>
            </w:r>
          </w:p>
        </w:tc>
        <w:tc>
          <w:tcPr>
            <w:tcW w:w="794"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07FD8C89" w14:textId="77777777" w:rsidR="00052596" w:rsidRDefault="00000000">
            <w:pPr>
              <w:overflowPunct w:val="0"/>
              <w:autoSpaceDE w:val="0"/>
              <w:spacing w:line="300" w:lineRule="exact"/>
              <w:jc w:val="center"/>
              <w:textAlignment w:val="center"/>
              <w:rPr>
                <w:rFonts w:eastAsia="標楷體"/>
                <w:kern w:val="0"/>
                <w:sz w:val="22"/>
                <w:szCs w:val="22"/>
              </w:rPr>
            </w:pPr>
            <w:r>
              <w:rPr>
                <w:rFonts w:eastAsia="標楷體"/>
                <w:kern w:val="0"/>
                <w:sz w:val="22"/>
                <w:szCs w:val="22"/>
              </w:rPr>
              <w:t>2010</w:t>
            </w:r>
          </w:p>
        </w:tc>
        <w:tc>
          <w:tcPr>
            <w:tcW w:w="794" w:type="dxa"/>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25050617" w14:textId="77777777" w:rsidR="00052596" w:rsidRDefault="00000000">
            <w:pPr>
              <w:overflowPunct w:val="0"/>
              <w:autoSpaceDE w:val="0"/>
              <w:spacing w:line="300" w:lineRule="exact"/>
              <w:jc w:val="center"/>
              <w:textAlignment w:val="center"/>
              <w:rPr>
                <w:rFonts w:eastAsia="標楷體"/>
                <w:kern w:val="0"/>
                <w:sz w:val="22"/>
                <w:szCs w:val="22"/>
              </w:rPr>
            </w:pPr>
            <w:r>
              <w:rPr>
                <w:rFonts w:eastAsia="標楷體"/>
                <w:kern w:val="0"/>
                <w:sz w:val="22"/>
                <w:szCs w:val="22"/>
              </w:rPr>
              <w:t>2000</w:t>
            </w:r>
          </w:p>
        </w:tc>
        <w:tc>
          <w:tcPr>
            <w:tcW w:w="776" w:type="dxa"/>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4CC766AD" w14:textId="77777777" w:rsidR="00052596" w:rsidRDefault="00000000">
            <w:pPr>
              <w:overflowPunct w:val="0"/>
              <w:autoSpaceDE w:val="0"/>
              <w:spacing w:line="300" w:lineRule="exact"/>
              <w:jc w:val="center"/>
              <w:textAlignment w:val="center"/>
              <w:rPr>
                <w:rFonts w:eastAsia="標楷體"/>
                <w:kern w:val="0"/>
                <w:sz w:val="22"/>
                <w:szCs w:val="22"/>
              </w:rPr>
            </w:pPr>
            <w:r>
              <w:rPr>
                <w:rFonts w:eastAsia="標楷體"/>
                <w:kern w:val="0"/>
                <w:sz w:val="22"/>
                <w:szCs w:val="22"/>
              </w:rPr>
              <w:t>2010</w:t>
            </w:r>
          </w:p>
        </w:tc>
      </w:tr>
      <w:tr w:rsidR="00052596" w14:paraId="3CCF0826" w14:textId="77777777">
        <w:tblPrEx>
          <w:tblCellMar>
            <w:top w:w="0" w:type="dxa"/>
            <w:bottom w:w="0" w:type="dxa"/>
          </w:tblCellMar>
        </w:tblPrEx>
        <w:trPr>
          <w:jc w:val="center"/>
        </w:trPr>
        <w:tc>
          <w:tcPr>
            <w:tcW w:w="1232" w:type="dxa"/>
            <w:tcBorders>
              <w:top w:val="single" w:sz="4" w:space="0" w:color="000000"/>
              <w:right w:val="single" w:sz="4" w:space="0" w:color="000000"/>
            </w:tcBorders>
            <w:shd w:val="clear" w:color="auto" w:fill="FFF0E1"/>
            <w:tcMar>
              <w:top w:w="0" w:type="dxa"/>
              <w:left w:w="108" w:type="dxa"/>
              <w:bottom w:w="0" w:type="dxa"/>
              <w:right w:w="108" w:type="dxa"/>
            </w:tcMar>
          </w:tcPr>
          <w:p w14:paraId="5251A793"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both"/>
              <w:textAlignment w:val="center"/>
              <w:rPr>
                <w:rFonts w:eastAsia="標楷體"/>
                <w:bCs/>
                <w:spacing w:val="4"/>
                <w:kern w:val="0"/>
                <w:szCs w:val="24"/>
              </w:rPr>
            </w:pPr>
            <w:r>
              <w:rPr>
                <w:rFonts w:eastAsia="標楷體"/>
                <w:bCs/>
                <w:spacing w:val="4"/>
                <w:kern w:val="0"/>
                <w:szCs w:val="24"/>
              </w:rPr>
              <w:t>亞洲</w:t>
            </w:r>
          </w:p>
        </w:tc>
        <w:tc>
          <w:tcPr>
            <w:tcW w:w="776"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2196A1D3"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60.5</w:t>
            </w:r>
          </w:p>
        </w:tc>
        <w:tc>
          <w:tcPr>
            <w:tcW w:w="826"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2ACAD2F3"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69.5</w:t>
            </w:r>
          </w:p>
        </w:tc>
        <w:tc>
          <w:tcPr>
            <w:tcW w:w="776"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420B9011"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55.5</w:t>
            </w:r>
          </w:p>
        </w:tc>
        <w:tc>
          <w:tcPr>
            <w:tcW w:w="794"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50A2A335"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61.4</w:t>
            </w:r>
          </w:p>
        </w:tc>
        <w:tc>
          <w:tcPr>
            <w:tcW w:w="794"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0A5C0997"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36.2</w:t>
            </w:r>
          </w:p>
        </w:tc>
        <w:tc>
          <w:tcPr>
            <w:tcW w:w="794"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07E89776"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46.3</w:t>
            </w:r>
          </w:p>
        </w:tc>
        <w:tc>
          <w:tcPr>
            <w:tcW w:w="794"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tcPr>
          <w:p w14:paraId="010746CA"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30.5</w:t>
            </w:r>
          </w:p>
        </w:tc>
        <w:tc>
          <w:tcPr>
            <w:tcW w:w="794"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tcPr>
          <w:p w14:paraId="0F335A59"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33.1</w:t>
            </w:r>
          </w:p>
        </w:tc>
        <w:tc>
          <w:tcPr>
            <w:tcW w:w="794" w:type="dxa"/>
            <w:tcBorders>
              <w:top w:val="single" w:sz="4" w:space="0" w:color="000000"/>
              <w:left w:val="single" w:sz="4" w:space="0" w:color="000000"/>
            </w:tcBorders>
            <w:shd w:val="clear" w:color="auto" w:fill="FFF0E1"/>
            <w:tcMar>
              <w:top w:w="0" w:type="dxa"/>
              <w:left w:w="108" w:type="dxa"/>
              <w:bottom w:w="0" w:type="dxa"/>
              <w:right w:w="108" w:type="dxa"/>
            </w:tcMar>
          </w:tcPr>
          <w:p w14:paraId="401DCD31"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45.5</w:t>
            </w:r>
          </w:p>
        </w:tc>
        <w:tc>
          <w:tcPr>
            <w:tcW w:w="776" w:type="dxa"/>
            <w:tcBorders>
              <w:top w:val="single" w:sz="4" w:space="0" w:color="000000"/>
              <w:left w:val="single" w:sz="4" w:space="0" w:color="000000"/>
            </w:tcBorders>
            <w:shd w:val="clear" w:color="auto" w:fill="FFF0E1"/>
            <w:tcMar>
              <w:top w:w="0" w:type="dxa"/>
              <w:left w:w="108" w:type="dxa"/>
              <w:bottom w:w="0" w:type="dxa"/>
              <w:right w:w="108" w:type="dxa"/>
            </w:tcMar>
          </w:tcPr>
          <w:p w14:paraId="5255B35E"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52.6</w:t>
            </w:r>
          </w:p>
        </w:tc>
      </w:tr>
      <w:tr w:rsidR="00052596" w14:paraId="0ECF120B" w14:textId="77777777">
        <w:tblPrEx>
          <w:tblCellMar>
            <w:top w:w="0" w:type="dxa"/>
            <w:bottom w:w="0" w:type="dxa"/>
          </w:tblCellMar>
        </w:tblPrEx>
        <w:trPr>
          <w:jc w:val="center"/>
        </w:trPr>
        <w:tc>
          <w:tcPr>
            <w:tcW w:w="1232" w:type="dxa"/>
            <w:tcBorders>
              <w:right w:val="single" w:sz="4" w:space="0" w:color="000000"/>
            </w:tcBorders>
            <w:shd w:val="clear" w:color="auto" w:fill="FFF0E1"/>
            <w:tcMar>
              <w:top w:w="0" w:type="dxa"/>
              <w:left w:w="108" w:type="dxa"/>
              <w:bottom w:w="0" w:type="dxa"/>
              <w:right w:w="108" w:type="dxa"/>
            </w:tcMar>
          </w:tcPr>
          <w:p w14:paraId="6D785BF7"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both"/>
              <w:textAlignment w:val="center"/>
              <w:rPr>
                <w:rFonts w:eastAsia="標楷體"/>
                <w:bCs/>
                <w:spacing w:val="4"/>
                <w:kern w:val="0"/>
                <w:szCs w:val="24"/>
              </w:rPr>
            </w:pPr>
            <w:r>
              <w:rPr>
                <w:rFonts w:eastAsia="標楷體"/>
                <w:bCs/>
                <w:spacing w:val="4"/>
                <w:kern w:val="0"/>
                <w:szCs w:val="24"/>
              </w:rPr>
              <w:t>G2</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D6CFB7B"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15.9</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8F87521"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18.8</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EB2257E"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28.9</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3551695"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19.7</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2503ABA"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45.3</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AE9E149"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32.1</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2974A70E"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53.0</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7B398F89"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41.9</w:t>
            </w:r>
          </w:p>
        </w:tc>
        <w:tc>
          <w:tcPr>
            <w:tcW w:w="794" w:type="dxa"/>
            <w:tcBorders>
              <w:left w:val="single" w:sz="4" w:space="0" w:color="000000"/>
            </w:tcBorders>
            <w:shd w:val="clear" w:color="auto" w:fill="FFF0E1"/>
            <w:tcMar>
              <w:top w:w="0" w:type="dxa"/>
              <w:left w:w="108" w:type="dxa"/>
              <w:bottom w:w="0" w:type="dxa"/>
              <w:right w:w="108" w:type="dxa"/>
            </w:tcMar>
          </w:tcPr>
          <w:p w14:paraId="6A447799"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37.6</w:t>
            </w:r>
          </w:p>
        </w:tc>
        <w:tc>
          <w:tcPr>
            <w:tcW w:w="776" w:type="dxa"/>
            <w:tcBorders>
              <w:left w:val="single" w:sz="4" w:space="0" w:color="000000"/>
            </w:tcBorders>
            <w:shd w:val="clear" w:color="auto" w:fill="FFF0E1"/>
            <w:tcMar>
              <w:top w:w="0" w:type="dxa"/>
              <w:left w:w="108" w:type="dxa"/>
              <w:bottom w:w="0" w:type="dxa"/>
              <w:right w:w="108" w:type="dxa"/>
            </w:tcMar>
          </w:tcPr>
          <w:p w14:paraId="5FAD1A19"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26.8</w:t>
            </w:r>
          </w:p>
        </w:tc>
      </w:tr>
      <w:tr w:rsidR="00052596" w14:paraId="001801EE" w14:textId="77777777">
        <w:tblPrEx>
          <w:tblCellMar>
            <w:top w:w="0" w:type="dxa"/>
            <w:bottom w:w="0" w:type="dxa"/>
          </w:tblCellMar>
        </w:tblPrEx>
        <w:trPr>
          <w:jc w:val="center"/>
        </w:trPr>
        <w:tc>
          <w:tcPr>
            <w:tcW w:w="1232" w:type="dxa"/>
            <w:tcBorders>
              <w:right w:val="single" w:sz="4" w:space="0" w:color="000000"/>
            </w:tcBorders>
            <w:shd w:val="clear" w:color="auto" w:fill="FFF0E1"/>
            <w:tcMar>
              <w:top w:w="0" w:type="dxa"/>
              <w:left w:w="108" w:type="dxa"/>
              <w:bottom w:w="0" w:type="dxa"/>
              <w:right w:w="108" w:type="dxa"/>
            </w:tcMar>
          </w:tcPr>
          <w:p w14:paraId="38F3E51F"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ind w:firstLine="248"/>
              <w:jc w:val="both"/>
              <w:textAlignment w:val="center"/>
              <w:rPr>
                <w:rFonts w:eastAsia="標楷體"/>
                <w:bCs/>
                <w:spacing w:val="4"/>
                <w:kern w:val="0"/>
                <w:szCs w:val="24"/>
              </w:rPr>
            </w:pPr>
            <w:r>
              <w:rPr>
                <w:rFonts w:eastAsia="標楷體"/>
                <w:bCs/>
                <w:spacing w:val="4"/>
                <w:kern w:val="0"/>
                <w:szCs w:val="24"/>
              </w:rPr>
              <w:t>歐盟</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FA9A7C8"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10.6</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A969579"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16.0</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DF1197F"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11.8</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56C1578"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10.6</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E809202"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19.4</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56E2268"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15.8</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3D2AB4CA"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18.6</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2A668E63"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18.2</w:t>
            </w:r>
          </w:p>
        </w:tc>
        <w:tc>
          <w:tcPr>
            <w:tcW w:w="794" w:type="dxa"/>
            <w:tcBorders>
              <w:left w:val="single" w:sz="4" w:space="0" w:color="000000"/>
            </w:tcBorders>
            <w:shd w:val="clear" w:color="auto" w:fill="FFF0E1"/>
            <w:tcMar>
              <w:top w:w="0" w:type="dxa"/>
              <w:left w:w="108" w:type="dxa"/>
              <w:bottom w:w="0" w:type="dxa"/>
              <w:right w:w="108" w:type="dxa"/>
            </w:tcMar>
          </w:tcPr>
          <w:p w14:paraId="3B71401C"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14.9</w:t>
            </w:r>
          </w:p>
        </w:tc>
        <w:tc>
          <w:tcPr>
            <w:tcW w:w="776" w:type="dxa"/>
            <w:tcBorders>
              <w:left w:val="single" w:sz="4" w:space="0" w:color="000000"/>
            </w:tcBorders>
            <w:shd w:val="clear" w:color="auto" w:fill="FFF0E1"/>
            <w:tcMar>
              <w:top w:w="0" w:type="dxa"/>
              <w:left w:w="108" w:type="dxa"/>
              <w:bottom w:w="0" w:type="dxa"/>
              <w:right w:w="108" w:type="dxa"/>
            </w:tcMar>
          </w:tcPr>
          <w:p w14:paraId="02B54B57"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13.6</w:t>
            </w:r>
          </w:p>
        </w:tc>
      </w:tr>
      <w:tr w:rsidR="00052596" w14:paraId="603F2313" w14:textId="77777777">
        <w:tblPrEx>
          <w:tblCellMar>
            <w:top w:w="0" w:type="dxa"/>
            <w:bottom w:w="0" w:type="dxa"/>
          </w:tblCellMar>
        </w:tblPrEx>
        <w:trPr>
          <w:jc w:val="center"/>
        </w:trPr>
        <w:tc>
          <w:tcPr>
            <w:tcW w:w="1232" w:type="dxa"/>
            <w:tcBorders>
              <w:right w:val="single" w:sz="4" w:space="0" w:color="000000"/>
            </w:tcBorders>
            <w:shd w:val="clear" w:color="auto" w:fill="FFF0E1"/>
            <w:tcMar>
              <w:top w:w="0" w:type="dxa"/>
              <w:left w:w="108" w:type="dxa"/>
              <w:bottom w:w="0" w:type="dxa"/>
              <w:right w:w="108" w:type="dxa"/>
            </w:tcMar>
          </w:tcPr>
          <w:p w14:paraId="340EB937"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both"/>
              <w:textAlignment w:val="center"/>
              <w:rPr>
                <w:rFonts w:eastAsia="標楷體"/>
                <w:bCs/>
                <w:spacing w:val="4"/>
                <w:kern w:val="0"/>
                <w:szCs w:val="24"/>
              </w:rPr>
            </w:pPr>
            <w:r>
              <w:rPr>
                <w:rFonts w:eastAsia="標楷體"/>
                <w:bCs/>
                <w:spacing w:val="4"/>
                <w:kern w:val="0"/>
                <w:szCs w:val="24"/>
              </w:rPr>
              <w:t xml:space="preserve">  </w:t>
            </w:r>
            <w:r>
              <w:rPr>
                <w:rFonts w:eastAsia="標楷體"/>
                <w:bCs/>
                <w:spacing w:val="4"/>
                <w:kern w:val="0"/>
                <w:szCs w:val="24"/>
              </w:rPr>
              <w:t>美國</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3E454D5"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5.3</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99740CA"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2.7</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A9D5991"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17.1</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181D91C"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9.1</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D72BAF3"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25.8</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57AC377"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16.3</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51A94EC6"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34.4</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673FD1A7"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23.6</w:t>
            </w:r>
          </w:p>
        </w:tc>
        <w:tc>
          <w:tcPr>
            <w:tcW w:w="794" w:type="dxa"/>
            <w:tcBorders>
              <w:left w:val="single" w:sz="4" w:space="0" w:color="000000"/>
            </w:tcBorders>
            <w:shd w:val="clear" w:color="auto" w:fill="FFF0E1"/>
            <w:tcMar>
              <w:top w:w="0" w:type="dxa"/>
              <w:left w:w="108" w:type="dxa"/>
              <w:bottom w:w="0" w:type="dxa"/>
              <w:right w:w="108" w:type="dxa"/>
            </w:tcMar>
          </w:tcPr>
          <w:p w14:paraId="165AD7B3"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22.7</w:t>
            </w:r>
          </w:p>
        </w:tc>
        <w:tc>
          <w:tcPr>
            <w:tcW w:w="776" w:type="dxa"/>
            <w:tcBorders>
              <w:left w:val="single" w:sz="4" w:space="0" w:color="000000"/>
            </w:tcBorders>
            <w:shd w:val="clear" w:color="auto" w:fill="FFF0E1"/>
            <w:tcMar>
              <w:top w:w="0" w:type="dxa"/>
              <w:left w:w="108" w:type="dxa"/>
              <w:bottom w:w="0" w:type="dxa"/>
              <w:right w:w="108" w:type="dxa"/>
            </w:tcMar>
          </w:tcPr>
          <w:p w14:paraId="3611B450"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13.1</w:t>
            </w:r>
          </w:p>
        </w:tc>
      </w:tr>
      <w:tr w:rsidR="00052596" w14:paraId="0BAD23D2" w14:textId="77777777">
        <w:tblPrEx>
          <w:tblCellMar>
            <w:top w:w="0" w:type="dxa"/>
            <w:bottom w:w="0" w:type="dxa"/>
          </w:tblCellMar>
        </w:tblPrEx>
        <w:trPr>
          <w:jc w:val="center"/>
        </w:trPr>
        <w:tc>
          <w:tcPr>
            <w:tcW w:w="1232" w:type="dxa"/>
            <w:tcBorders>
              <w:right w:val="single" w:sz="4" w:space="0" w:color="000000"/>
            </w:tcBorders>
            <w:shd w:val="clear" w:color="auto" w:fill="FFF0E1"/>
            <w:tcMar>
              <w:top w:w="0" w:type="dxa"/>
              <w:left w:w="108" w:type="dxa"/>
              <w:bottom w:w="0" w:type="dxa"/>
              <w:right w:w="108" w:type="dxa"/>
            </w:tcMar>
          </w:tcPr>
          <w:p w14:paraId="71316AB6"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both"/>
              <w:textAlignment w:val="center"/>
              <w:rPr>
                <w:rFonts w:eastAsia="標楷體"/>
                <w:bCs/>
                <w:spacing w:val="4"/>
                <w:kern w:val="0"/>
                <w:szCs w:val="24"/>
              </w:rPr>
            </w:pPr>
            <w:r>
              <w:rPr>
                <w:rFonts w:eastAsia="標楷體"/>
                <w:bCs/>
                <w:spacing w:val="4"/>
                <w:kern w:val="0"/>
                <w:szCs w:val="24"/>
              </w:rPr>
              <w:t>非洲</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FD7CE04"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0.4</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50739B5"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0.5</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13DAED1"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0.9</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6686E81"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1.9</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F6417E4"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1.6</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DF5552C"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3.3</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47D186E6"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1.4</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4C310098"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3.1</w:t>
            </w:r>
          </w:p>
        </w:tc>
        <w:tc>
          <w:tcPr>
            <w:tcW w:w="794" w:type="dxa"/>
            <w:tcBorders>
              <w:left w:val="single" w:sz="4" w:space="0" w:color="000000"/>
            </w:tcBorders>
            <w:shd w:val="clear" w:color="auto" w:fill="FFF0E1"/>
            <w:tcMar>
              <w:top w:w="0" w:type="dxa"/>
              <w:left w:w="108" w:type="dxa"/>
              <w:bottom w:w="0" w:type="dxa"/>
              <w:right w:w="108" w:type="dxa"/>
            </w:tcMar>
          </w:tcPr>
          <w:p w14:paraId="0EF0954C"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1.1</w:t>
            </w:r>
          </w:p>
        </w:tc>
        <w:tc>
          <w:tcPr>
            <w:tcW w:w="776" w:type="dxa"/>
            <w:tcBorders>
              <w:left w:val="single" w:sz="4" w:space="0" w:color="000000"/>
            </w:tcBorders>
            <w:shd w:val="clear" w:color="auto" w:fill="FFF0E1"/>
            <w:tcMar>
              <w:top w:w="0" w:type="dxa"/>
              <w:left w:w="108" w:type="dxa"/>
              <w:bottom w:w="0" w:type="dxa"/>
              <w:right w:w="108" w:type="dxa"/>
            </w:tcMar>
          </w:tcPr>
          <w:p w14:paraId="3E9C426D"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2.4</w:t>
            </w:r>
          </w:p>
        </w:tc>
      </w:tr>
      <w:tr w:rsidR="00052596" w14:paraId="4DF45412" w14:textId="77777777">
        <w:tblPrEx>
          <w:tblCellMar>
            <w:top w:w="0" w:type="dxa"/>
            <w:bottom w:w="0" w:type="dxa"/>
          </w:tblCellMar>
        </w:tblPrEx>
        <w:trPr>
          <w:jc w:val="center"/>
        </w:trPr>
        <w:tc>
          <w:tcPr>
            <w:tcW w:w="1232" w:type="dxa"/>
            <w:tcBorders>
              <w:right w:val="single" w:sz="4" w:space="0" w:color="000000"/>
            </w:tcBorders>
            <w:shd w:val="clear" w:color="auto" w:fill="FFF0E1"/>
            <w:tcMar>
              <w:top w:w="0" w:type="dxa"/>
              <w:left w:w="108" w:type="dxa"/>
              <w:bottom w:w="0" w:type="dxa"/>
              <w:right w:w="108" w:type="dxa"/>
            </w:tcMar>
          </w:tcPr>
          <w:p w14:paraId="0C43E910"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both"/>
              <w:textAlignment w:val="center"/>
              <w:rPr>
                <w:rFonts w:eastAsia="標楷體"/>
                <w:bCs/>
                <w:spacing w:val="4"/>
                <w:kern w:val="0"/>
                <w:szCs w:val="24"/>
              </w:rPr>
            </w:pPr>
            <w:r>
              <w:rPr>
                <w:rFonts w:eastAsia="標楷體"/>
                <w:bCs/>
                <w:spacing w:val="4"/>
                <w:kern w:val="0"/>
                <w:szCs w:val="24"/>
              </w:rPr>
              <w:t>拉丁美洲</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450C003"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2.5</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8E30B94"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9401A76"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2.4</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B43F7B6"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3.5</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982C899"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4.8</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9567A5C"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6.5</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35A10107"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2.9</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7CB128B4"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4.2</w:t>
            </w:r>
          </w:p>
        </w:tc>
        <w:tc>
          <w:tcPr>
            <w:tcW w:w="794" w:type="dxa"/>
            <w:tcBorders>
              <w:left w:val="single" w:sz="4" w:space="0" w:color="000000"/>
            </w:tcBorders>
            <w:shd w:val="clear" w:color="auto" w:fill="FFF0E1"/>
            <w:tcMar>
              <w:top w:w="0" w:type="dxa"/>
              <w:left w:w="108" w:type="dxa"/>
              <w:bottom w:w="0" w:type="dxa"/>
              <w:right w:w="108" w:type="dxa"/>
            </w:tcMar>
          </w:tcPr>
          <w:p w14:paraId="33738651"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3.0</w:t>
            </w:r>
          </w:p>
        </w:tc>
        <w:tc>
          <w:tcPr>
            <w:tcW w:w="776" w:type="dxa"/>
            <w:tcBorders>
              <w:left w:val="single" w:sz="4" w:space="0" w:color="000000"/>
            </w:tcBorders>
            <w:shd w:val="clear" w:color="auto" w:fill="FFF0E1"/>
            <w:tcMar>
              <w:top w:w="0" w:type="dxa"/>
              <w:left w:w="108" w:type="dxa"/>
              <w:bottom w:w="0" w:type="dxa"/>
              <w:right w:w="108" w:type="dxa"/>
            </w:tcMar>
          </w:tcPr>
          <w:p w14:paraId="71F48DE4"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4.2</w:t>
            </w:r>
          </w:p>
        </w:tc>
      </w:tr>
      <w:tr w:rsidR="00052596" w14:paraId="67A03842" w14:textId="77777777">
        <w:tblPrEx>
          <w:tblCellMar>
            <w:top w:w="0" w:type="dxa"/>
            <w:bottom w:w="0" w:type="dxa"/>
          </w:tblCellMar>
        </w:tblPrEx>
        <w:trPr>
          <w:jc w:val="center"/>
        </w:trPr>
        <w:tc>
          <w:tcPr>
            <w:tcW w:w="1232" w:type="dxa"/>
            <w:tcBorders>
              <w:right w:val="single" w:sz="4" w:space="0" w:color="000000"/>
            </w:tcBorders>
            <w:shd w:val="clear" w:color="auto" w:fill="FFF0E1"/>
            <w:tcMar>
              <w:top w:w="0" w:type="dxa"/>
              <w:left w:w="108" w:type="dxa"/>
              <w:bottom w:w="0" w:type="dxa"/>
              <w:right w:w="108" w:type="dxa"/>
            </w:tcMar>
          </w:tcPr>
          <w:p w14:paraId="314A1447"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both"/>
              <w:textAlignment w:val="center"/>
              <w:rPr>
                <w:rFonts w:eastAsia="標楷體"/>
                <w:bCs/>
                <w:spacing w:val="4"/>
                <w:kern w:val="0"/>
                <w:szCs w:val="24"/>
              </w:rPr>
            </w:pPr>
            <w:r>
              <w:rPr>
                <w:rFonts w:eastAsia="標楷體"/>
                <w:bCs/>
                <w:spacing w:val="4"/>
                <w:kern w:val="0"/>
                <w:szCs w:val="24"/>
              </w:rPr>
              <w:t>中東</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1F8A430"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1.9</w:t>
            </w:r>
          </w:p>
        </w:tc>
        <w:tc>
          <w:tcPr>
            <w:tcW w:w="82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ABF8859"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2.3</w:t>
            </w:r>
          </w:p>
        </w:tc>
        <w:tc>
          <w:tcPr>
            <w:tcW w:w="776"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0DEA00A"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2.2</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7AE8B14"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4.2</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E1A6A3C"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2.4</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66A762F"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3.7</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2D44C29D"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4.3</w:t>
            </w:r>
          </w:p>
        </w:tc>
        <w:tc>
          <w:tcPr>
            <w:tcW w:w="794" w:type="dxa"/>
            <w:tcBorders>
              <w:left w:val="single" w:sz="4" w:space="0" w:color="000000"/>
              <w:right w:val="single" w:sz="4" w:space="0" w:color="000000"/>
            </w:tcBorders>
            <w:shd w:val="clear" w:color="auto" w:fill="FFF0E1"/>
            <w:tcMar>
              <w:top w:w="0" w:type="dxa"/>
              <w:left w:w="108" w:type="dxa"/>
              <w:bottom w:w="0" w:type="dxa"/>
              <w:right w:w="108" w:type="dxa"/>
            </w:tcMar>
          </w:tcPr>
          <w:p w14:paraId="41EADD32"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7.8</w:t>
            </w:r>
          </w:p>
        </w:tc>
        <w:tc>
          <w:tcPr>
            <w:tcW w:w="794" w:type="dxa"/>
            <w:tcBorders>
              <w:left w:val="single" w:sz="4" w:space="0" w:color="000000"/>
            </w:tcBorders>
            <w:shd w:val="clear" w:color="auto" w:fill="FFF0E1"/>
            <w:tcMar>
              <w:top w:w="0" w:type="dxa"/>
              <w:left w:w="108" w:type="dxa"/>
              <w:bottom w:w="0" w:type="dxa"/>
              <w:right w:w="108" w:type="dxa"/>
            </w:tcMar>
          </w:tcPr>
          <w:p w14:paraId="6A34B109"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2.7</w:t>
            </w:r>
          </w:p>
        </w:tc>
        <w:tc>
          <w:tcPr>
            <w:tcW w:w="776" w:type="dxa"/>
            <w:tcBorders>
              <w:left w:val="single" w:sz="4" w:space="0" w:color="000000"/>
            </w:tcBorders>
            <w:shd w:val="clear" w:color="auto" w:fill="FFF0E1"/>
            <w:tcMar>
              <w:top w:w="0" w:type="dxa"/>
              <w:left w:w="108" w:type="dxa"/>
              <w:bottom w:w="0" w:type="dxa"/>
              <w:right w:w="108" w:type="dxa"/>
            </w:tcMar>
          </w:tcPr>
          <w:p w14:paraId="0278995D"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4.6</w:t>
            </w:r>
          </w:p>
        </w:tc>
      </w:tr>
      <w:tr w:rsidR="00052596" w14:paraId="3A764D86" w14:textId="77777777">
        <w:tblPrEx>
          <w:tblCellMar>
            <w:top w:w="0" w:type="dxa"/>
            <w:bottom w:w="0" w:type="dxa"/>
          </w:tblCellMar>
        </w:tblPrEx>
        <w:trPr>
          <w:jc w:val="center"/>
        </w:trPr>
        <w:tc>
          <w:tcPr>
            <w:tcW w:w="1232" w:type="dxa"/>
            <w:tcBorders>
              <w:bottom w:val="single" w:sz="4" w:space="0" w:color="000000"/>
              <w:right w:val="single" w:sz="4" w:space="0" w:color="000000"/>
            </w:tcBorders>
            <w:shd w:val="clear" w:color="auto" w:fill="FFF0E1"/>
            <w:tcMar>
              <w:top w:w="0" w:type="dxa"/>
              <w:left w:w="108" w:type="dxa"/>
              <w:bottom w:w="0" w:type="dxa"/>
              <w:right w:w="108" w:type="dxa"/>
            </w:tcMar>
          </w:tcPr>
          <w:p w14:paraId="089B3405"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both"/>
              <w:textAlignment w:val="center"/>
              <w:rPr>
                <w:rFonts w:eastAsia="標楷體"/>
                <w:bCs/>
                <w:spacing w:val="4"/>
                <w:kern w:val="0"/>
                <w:szCs w:val="24"/>
              </w:rPr>
            </w:pPr>
            <w:r>
              <w:rPr>
                <w:rFonts w:eastAsia="標楷體"/>
                <w:bCs/>
                <w:spacing w:val="4"/>
                <w:kern w:val="0"/>
                <w:szCs w:val="24"/>
              </w:rPr>
              <w:t>其他</w:t>
            </w:r>
          </w:p>
        </w:tc>
        <w:tc>
          <w:tcPr>
            <w:tcW w:w="776"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4527477B"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18.8</w:t>
            </w:r>
          </w:p>
        </w:tc>
        <w:tc>
          <w:tcPr>
            <w:tcW w:w="826"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0EEE2536"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7.9</w:t>
            </w:r>
          </w:p>
        </w:tc>
        <w:tc>
          <w:tcPr>
            <w:tcW w:w="776"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61162ED4"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10.1</w:t>
            </w:r>
          </w:p>
        </w:tc>
        <w:tc>
          <w:tcPr>
            <w:tcW w:w="794"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2B0F6D48"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9.3</w:t>
            </w:r>
          </w:p>
        </w:tc>
        <w:tc>
          <w:tcPr>
            <w:tcW w:w="794"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09E03D13"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9.9</w:t>
            </w:r>
          </w:p>
        </w:tc>
        <w:tc>
          <w:tcPr>
            <w:tcW w:w="794"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7A93B42D"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8.1</w:t>
            </w:r>
          </w:p>
        </w:tc>
        <w:tc>
          <w:tcPr>
            <w:tcW w:w="794"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0F741DFC"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7.9</w:t>
            </w:r>
          </w:p>
        </w:tc>
        <w:tc>
          <w:tcPr>
            <w:tcW w:w="794"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74AEF4EE"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w:t>
            </w:r>
          </w:p>
        </w:tc>
        <w:tc>
          <w:tcPr>
            <w:tcW w:w="794" w:type="dxa"/>
            <w:tcBorders>
              <w:left w:val="single" w:sz="4" w:space="0" w:color="000000"/>
              <w:bottom w:val="single" w:sz="4" w:space="0" w:color="000000"/>
            </w:tcBorders>
            <w:shd w:val="clear" w:color="auto" w:fill="FFF0E1"/>
            <w:tcMar>
              <w:top w:w="0" w:type="dxa"/>
              <w:left w:w="108" w:type="dxa"/>
              <w:bottom w:w="0" w:type="dxa"/>
              <w:right w:w="108" w:type="dxa"/>
            </w:tcMar>
          </w:tcPr>
          <w:p w14:paraId="76F74AFD"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10.1</w:t>
            </w:r>
          </w:p>
        </w:tc>
        <w:tc>
          <w:tcPr>
            <w:tcW w:w="776" w:type="dxa"/>
            <w:tcBorders>
              <w:left w:val="single" w:sz="4" w:space="0" w:color="000000"/>
              <w:bottom w:val="single" w:sz="4" w:space="0" w:color="000000"/>
            </w:tcBorders>
            <w:shd w:val="clear" w:color="auto" w:fill="FFF0E1"/>
            <w:tcMar>
              <w:top w:w="0" w:type="dxa"/>
              <w:left w:w="108" w:type="dxa"/>
              <w:bottom w:w="0" w:type="dxa"/>
              <w:right w:w="108" w:type="dxa"/>
            </w:tcMar>
          </w:tcPr>
          <w:p w14:paraId="0804C7EC"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9.4</w:t>
            </w:r>
          </w:p>
        </w:tc>
      </w:tr>
      <w:tr w:rsidR="00052596" w14:paraId="4ABD72A3" w14:textId="77777777">
        <w:tblPrEx>
          <w:tblCellMar>
            <w:top w:w="0" w:type="dxa"/>
            <w:bottom w:w="0" w:type="dxa"/>
          </w:tblCellMar>
        </w:tblPrEx>
        <w:trPr>
          <w:jc w:val="center"/>
        </w:trPr>
        <w:tc>
          <w:tcPr>
            <w:tcW w:w="1232" w:type="dxa"/>
            <w:tcBorders>
              <w:top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6788EEA3"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both"/>
              <w:textAlignment w:val="center"/>
              <w:rPr>
                <w:rFonts w:eastAsia="標楷體"/>
                <w:bCs/>
                <w:spacing w:val="4"/>
                <w:kern w:val="0"/>
                <w:szCs w:val="24"/>
              </w:rPr>
            </w:pPr>
            <w:r>
              <w:rPr>
                <w:rFonts w:eastAsia="標楷體"/>
                <w:bCs/>
                <w:spacing w:val="4"/>
                <w:kern w:val="0"/>
                <w:szCs w:val="24"/>
              </w:rPr>
              <w:t>合計</w:t>
            </w:r>
          </w:p>
        </w:tc>
        <w:tc>
          <w:tcPr>
            <w:tcW w:w="776" w:type="dxa"/>
            <w:tcBorders>
              <w:top w:val="single" w:sz="4" w:space="0" w:color="000000"/>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0B37BEB5"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center"/>
              <w:textAlignment w:val="center"/>
              <w:rPr>
                <w:rFonts w:eastAsia="標楷體"/>
                <w:spacing w:val="4"/>
                <w:kern w:val="0"/>
                <w:szCs w:val="24"/>
              </w:rPr>
            </w:pPr>
            <w:r>
              <w:rPr>
                <w:rFonts w:eastAsia="標楷體"/>
                <w:spacing w:val="4"/>
                <w:kern w:val="0"/>
                <w:szCs w:val="24"/>
              </w:rPr>
              <w:t>100.0</w:t>
            </w:r>
          </w:p>
        </w:tc>
        <w:tc>
          <w:tcPr>
            <w:tcW w:w="826" w:type="dxa"/>
            <w:tcBorders>
              <w:top w:val="single" w:sz="4" w:space="0" w:color="000000"/>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749BD0E9"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100.0</w:t>
            </w:r>
          </w:p>
        </w:tc>
        <w:tc>
          <w:tcPr>
            <w:tcW w:w="776" w:type="dxa"/>
            <w:tcBorders>
              <w:top w:val="single" w:sz="4" w:space="0" w:color="000000"/>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18AA6C77"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100.0</w:t>
            </w:r>
          </w:p>
        </w:tc>
        <w:tc>
          <w:tcPr>
            <w:tcW w:w="794" w:type="dxa"/>
            <w:tcBorders>
              <w:top w:val="single" w:sz="4" w:space="0" w:color="000000"/>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5D0FC168"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100.0</w:t>
            </w:r>
          </w:p>
        </w:tc>
        <w:tc>
          <w:tcPr>
            <w:tcW w:w="794" w:type="dxa"/>
            <w:tcBorders>
              <w:top w:val="single" w:sz="4" w:space="0" w:color="000000"/>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407BAB1E"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100.0</w:t>
            </w:r>
          </w:p>
        </w:tc>
        <w:tc>
          <w:tcPr>
            <w:tcW w:w="794" w:type="dxa"/>
            <w:tcBorders>
              <w:top w:val="single" w:sz="4" w:space="0" w:color="000000"/>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63606CCC" w14:textId="77777777" w:rsidR="00052596" w:rsidRDefault="00000000">
            <w:pPr>
              <w:tabs>
                <w:tab w:val="left" w:pos="960"/>
                <w:tab w:val="left" w:pos="1920"/>
                <w:tab w:val="left" w:pos="2880"/>
                <w:tab w:val="left" w:pos="3840"/>
                <w:tab w:val="left" w:pos="4800"/>
                <w:tab w:val="left" w:pos="5760"/>
              </w:tabs>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100.0</w:t>
            </w:r>
          </w:p>
        </w:tc>
        <w:tc>
          <w:tcPr>
            <w:tcW w:w="794" w:type="dxa"/>
            <w:tcBorders>
              <w:top w:val="single" w:sz="4" w:space="0" w:color="000000"/>
              <w:left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053AB238"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100.0</w:t>
            </w:r>
          </w:p>
        </w:tc>
        <w:tc>
          <w:tcPr>
            <w:tcW w:w="794" w:type="dxa"/>
            <w:tcBorders>
              <w:top w:val="single" w:sz="4" w:space="0" w:color="000000"/>
              <w:left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37D3B53B"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100.0</w:t>
            </w:r>
          </w:p>
        </w:tc>
        <w:tc>
          <w:tcPr>
            <w:tcW w:w="794" w:type="dxa"/>
            <w:tcBorders>
              <w:top w:val="single" w:sz="4" w:space="0" w:color="000000"/>
              <w:left w:val="single" w:sz="4" w:space="0" w:color="000000"/>
              <w:bottom w:val="single" w:sz="4" w:space="0" w:color="000000"/>
            </w:tcBorders>
            <w:shd w:val="clear" w:color="auto" w:fill="FFF0E1"/>
            <w:tcMar>
              <w:top w:w="0" w:type="dxa"/>
              <w:left w:w="108" w:type="dxa"/>
              <w:bottom w:w="0" w:type="dxa"/>
              <w:right w:w="108" w:type="dxa"/>
            </w:tcMar>
          </w:tcPr>
          <w:p w14:paraId="4FDC7CB0"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100.0</w:t>
            </w:r>
          </w:p>
        </w:tc>
        <w:tc>
          <w:tcPr>
            <w:tcW w:w="776" w:type="dxa"/>
            <w:tcBorders>
              <w:top w:val="single" w:sz="4" w:space="0" w:color="000000"/>
              <w:left w:val="single" w:sz="4" w:space="0" w:color="000000"/>
              <w:bottom w:val="single" w:sz="4" w:space="0" w:color="000000"/>
            </w:tcBorders>
            <w:shd w:val="clear" w:color="auto" w:fill="FFF0E1"/>
            <w:tcMar>
              <w:top w:w="0" w:type="dxa"/>
              <w:left w:w="108" w:type="dxa"/>
              <w:bottom w:w="0" w:type="dxa"/>
              <w:right w:w="108" w:type="dxa"/>
            </w:tcMar>
          </w:tcPr>
          <w:p w14:paraId="58A84720" w14:textId="77777777" w:rsidR="00052596" w:rsidRDefault="00000000">
            <w:pPr>
              <w:overflowPunct w:val="0"/>
              <w:autoSpaceDE w:val="0"/>
              <w:spacing w:line="300" w:lineRule="exact"/>
              <w:jc w:val="right"/>
              <w:textAlignment w:val="center"/>
              <w:rPr>
                <w:rFonts w:eastAsia="標楷體"/>
                <w:spacing w:val="4"/>
                <w:kern w:val="0"/>
                <w:szCs w:val="24"/>
              </w:rPr>
            </w:pPr>
            <w:r>
              <w:rPr>
                <w:rFonts w:eastAsia="標楷體"/>
                <w:spacing w:val="4"/>
                <w:kern w:val="0"/>
                <w:szCs w:val="24"/>
              </w:rPr>
              <w:t>100.0</w:t>
            </w:r>
          </w:p>
        </w:tc>
      </w:tr>
    </w:tbl>
    <w:p w14:paraId="60E3B326" w14:textId="77777777" w:rsidR="00052596" w:rsidRDefault="00000000">
      <w:pPr>
        <w:tabs>
          <w:tab w:val="left" w:pos="426"/>
        </w:tabs>
        <w:overflowPunct w:val="0"/>
        <w:autoSpaceDE w:val="0"/>
        <w:spacing w:before="72" w:line="280" w:lineRule="exact"/>
        <w:ind w:left="991" w:right="-283" w:hanging="425"/>
        <w:jc w:val="both"/>
        <w:textAlignment w:val="center"/>
      </w:pPr>
      <w:r>
        <w:rPr>
          <w:rFonts w:eastAsia="標楷體"/>
          <w:kern w:val="0"/>
          <w:sz w:val="22"/>
          <w:szCs w:val="22"/>
        </w:rPr>
        <w:t>註：初級產品包括食物</w:t>
      </w:r>
      <w:r>
        <w:rPr>
          <w:rFonts w:ascii="新細明體" w:hAnsi="新細明體"/>
          <w:kern w:val="0"/>
          <w:sz w:val="22"/>
          <w:szCs w:val="22"/>
        </w:rPr>
        <w:t>、</w:t>
      </w:r>
      <w:r>
        <w:rPr>
          <w:rFonts w:eastAsia="標楷體"/>
          <w:kern w:val="0"/>
          <w:sz w:val="22"/>
          <w:szCs w:val="22"/>
        </w:rPr>
        <w:t>飲料</w:t>
      </w:r>
      <w:r>
        <w:rPr>
          <w:rFonts w:ascii="新細明體" w:hAnsi="新細明體"/>
          <w:kern w:val="0"/>
          <w:sz w:val="22"/>
          <w:szCs w:val="22"/>
        </w:rPr>
        <w:t>、</w:t>
      </w:r>
      <w:r>
        <w:rPr>
          <w:rFonts w:eastAsia="標楷體"/>
          <w:kern w:val="0"/>
          <w:sz w:val="22"/>
          <w:szCs w:val="22"/>
        </w:rPr>
        <w:t>燃料、潤滑油及初級工業產品</w:t>
      </w:r>
      <w:r>
        <w:rPr>
          <w:rFonts w:ascii="標楷體" w:eastAsia="標楷體" w:hAnsi="標楷體"/>
          <w:kern w:val="0"/>
          <w:sz w:val="22"/>
          <w:szCs w:val="22"/>
        </w:rPr>
        <w:t>(</w:t>
      </w:r>
      <w:r>
        <w:rPr>
          <w:rFonts w:eastAsia="標楷體"/>
          <w:kern w:val="0"/>
          <w:sz w:val="22"/>
          <w:szCs w:val="22"/>
        </w:rPr>
        <w:t>primary industrial supplies for industry</w:t>
      </w:r>
      <w:r>
        <w:rPr>
          <w:rFonts w:ascii="標楷體" w:eastAsia="標楷體" w:hAnsi="標楷體"/>
          <w:kern w:val="0"/>
          <w:sz w:val="22"/>
          <w:szCs w:val="22"/>
        </w:rPr>
        <w:t>)</w:t>
      </w:r>
      <w:r>
        <w:rPr>
          <w:rFonts w:eastAsia="標楷體"/>
          <w:kern w:val="0"/>
          <w:sz w:val="22"/>
          <w:szCs w:val="22"/>
        </w:rPr>
        <w:t>等；中間財包括產業生產過程中的產品</w:t>
      </w:r>
      <w:r>
        <w:rPr>
          <w:rFonts w:ascii="新細明體" w:hAnsi="新細明體"/>
          <w:kern w:val="0"/>
          <w:sz w:val="22"/>
          <w:szCs w:val="22"/>
        </w:rPr>
        <w:t>、</w:t>
      </w:r>
      <w:r>
        <w:rPr>
          <w:rFonts w:eastAsia="標楷體"/>
          <w:kern w:val="0"/>
          <w:sz w:val="22"/>
          <w:szCs w:val="22"/>
        </w:rPr>
        <w:t>資本財及運輸設備的零組件等；資本財係指用以投入生產製造使用的機器及設備等；消費財係指家戶及政府部門所購買的最終財貨。</w:t>
      </w:r>
    </w:p>
    <w:p w14:paraId="1A5CB424" w14:textId="77777777" w:rsidR="00052596" w:rsidRDefault="00000000">
      <w:pPr>
        <w:overflowPunct w:val="0"/>
        <w:autoSpaceDE w:val="0"/>
        <w:spacing w:line="280" w:lineRule="exact"/>
        <w:ind w:left="1090" w:hanging="1232"/>
        <w:jc w:val="both"/>
        <w:textAlignment w:val="center"/>
      </w:pPr>
      <w:r>
        <w:rPr>
          <w:rFonts w:eastAsia="標楷體"/>
          <w:kern w:val="0"/>
          <w:sz w:val="22"/>
          <w:szCs w:val="22"/>
        </w:rPr>
        <w:t>資料來源：</w:t>
      </w:r>
      <w:r>
        <w:rPr>
          <w:rFonts w:eastAsia="標楷體"/>
          <w:kern w:val="0"/>
          <w:sz w:val="22"/>
          <w:szCs w:val="22"/>
        </w:rPr>
        <w:t xml:space="preserve">ADB., </w:t>
      </w:r>
      <w:r>
        <w:rPr>
          <w:rFonts w:eastAsia="標楷體"/>
          <w:i/>
          <w:kern w:val="0"/>
          <w:sz w:val="22"/>
          <w:szCs w:val="22"/>
        </w:rPr>
        <w:t>Asian Economic Integration Monitor,</w:t>
      </w:r>
      <w:r>
        <w:rPr>
          <w:rFonts w:eastAsia="標楷體"/>
          <w:kern w:val="0"/>
          <w:sz w:val="22"/>
          <w:szCs w:val="22"/>
        </w:rPr>
        <w:t xml:space="preserve"> Jul. 2012.</w:t>
      </w:r>
    </w:p>
    <w:p w14:paraId="71777BCD" w14:textId="77777777" w:rsidR="00052596" w:rsidRDefault="00000000">
      <w:pPr>
        <w:tabs>
          <w:tab w:val="left" w:pos="960"/>
          <w:tab w:val="left" w:pos="1920"/>
          <w:tab w:val="left" w:pos="2880"/>
          <w:tab w:val="left" w:pos="3840"/>
          <w:tab w:val="left" w:pos="4800"/>
          <w:tab w:val="left" w:pos="5760"/>
        </w:tabs>
        <w:overflowPunct w:val="0"/>
        <w:autoSpaceDE w:val="0"/>
        <w:spacing w:before="240" w:line="420" w:lineRule="exact"/>
        <w:ind w:left="1080" w:hanging="288"/>
        <w:jc w:val="both"/>
        <w:textAlignment w:val="center"/>
        <w:rPr>
          <w:rFonts w:eastAsia="標楷體"/>
          <w:spacing w:val="4"/>
          <w:kern w:val="0"/>
          <w:sz w:val="28"/>
          <w:szCs w:val="26"/>
        </w:rPr>
      </w:pPr>
      <w:r>
        <w:rPr>
          <w:rFonts w:eastAsia="標楷體"/>
          <w:spacing w:val="4"/>
          <w:kern w:val="0"/>
          <w:sz w:val="28"/>
          <w:szCs w:val="26"/>
        </w:rPr>
        <w:t>－</w:t>
      </w:r>
      <w:r>
        <w:rPr>
          <w:rFonts w:eastAsia="標楷體"/>
          <w:spacing w:val="4"/>
          <w:kern w:val="0"/>
          <w:sz w:val="28"/>
          <w:szCs w:val="26"/>
        </w:rPr>
        <w:t>2009</w:t>
      </w:r>
      <w:r>
        <w:rPr>
          <w:rFonts w:eastAsia="標楷體"/>
          <w:spacing w:val="4"/>
          <w:kern w:val="0"/>
          <w:sz w:val="28"/>
          <w:szCs w:val="26"/>
        </w:rPr>
        <w:t>年，中國大陸、日本及南韓舉行貿易部長會議，三國同意自</w:t>
      </w:r>
      <w:r>
        <w:rPr>
          <w:rFonts w:eastAsia="標楷體"/>
          <w:spacing w:val="4"/>
          <w:kern w:val="0"/>
          <w:sz w:val="28"/>
          <w:szCs w:val="26"/>
        </w:rPr>
        <w:t>2010</w:t>
      </w:r>
      <w:r>
        <w:rPr>
          <w:rFonts w:eastAsia="標楷體"/>
          <w:spacing w:val="4"/>
          <w:kern w:val="0"/>
          <w:sz w:val="28"/>
          <w:szCs w:val="26"/>
        </w:rPr>
        <w:t>上半年起展開</w:t>
      </w:r>
      <w:r>
        <w:rPr>
          <w:rFonts w:eastAsia="標楷體"/>
          <w:spacing w:val="4"/>
          <w:kern w:val="0"/>
          <w:sz w:val="28"/>
          <w:szCs w:val="26"/>
        </w:rPr>
        <w:t>FTA</w:t>
      </w:r>
      <w:r>
        <w:rPr>
          <w:rFonts w:eastAsia="標楷體"/>
          <w:spacing w:val="4"/>
          <w:kern w:val="0"/>
          <w:sz w:val="28"/>
          <w:szCs w:val="26"/>
        </w:rPr>
        <w:t>產官學研究，並於</w:t>
      </w:r>
      <w:r>
        <w:rPr>
          <w:rFonts w:eastAsia="標楷體"/>
          <w:spacing w:val="4"/>
          <w:kern w:val="0"/>
          <w:sz w:val="28"/>
          <w:szCs w:val="26"/>
        </w:rPr>
        <w:t>2011</w:t>
      </w:r>
      <w:r>
        <w:rPr>
          <w:rFonts w:eastAsia="標楷體"/>
          <w:spacing w:val="4"/>
          <w:kern w:val="0"/>
          <w:sz w:val="28"/>
          <w:szCs w:val="26"/>
        </w:rPr>
        <w:t>年底宣布完成。</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5</w:t>
      </w:r>
      <w:r>
        <w:rPr>
          <w:rFonts w:eastAsia="標楷體"/>
          <w:spacing w:val="4"/>
          <w:kern w:val="0"/>
          <w:sz w:val="28"/>
          <w:szCs w:val="26"/>
        </w:rPr>
        <w:t>月，中國大陸與南韓已展開雙邊</w:t>
      </w:r>
      <w:r>
        <w:rPr>
          <w:rFonts w:eastAsia="標楷體"/>
          <w:spacing w:val="4"/>
          <w:kern w:val="0"/>
          <w:sz w:val="28"/>
          <w:szCs w:val="26"/>
        </w:rPr>
        <w:t>FTA</w:t>
      </w:r>
      <w:r>
        <w:rPr>
          <w:rFonts w:eastAsia="標楷體"/>
          <w:spacing w:val="4"/>
          <w:kern w:val="0"/>
          <w:sz w:val="28"/>
          <w:szCs w:val="26"/>
        </w:rPr>
        <w:t>談判，預定</w:t>
      </w:r>
      <w:r>
        <w:rPr>
          <w:rFonts w:eastAsia="標楷體"/>
          <w:spacing w:val="4"/>
          <w:kern w:val="0"/>
          <w:sz w:val="28"/>
          <w:szCs w:val="26"/>
        </w:rPr>
        <w:t>2</w:t>
      </w:r>
      <w:r>
        <w:rPr>
          <w:rFonts w:eastAsia="標楷體"/>
          <w:spacing w:val="4"/>
          <w:kern w:val="0"/>
          <w:sz w:val="28"/>
          <w:szCs w:val="26"/>
        </w:rPr>
        <w:t>年內完成，同年</w:t>
      </w:r>
      <w:r>
        <w:rPr>
          <w:rFonts w:eastAsia="標楷體"/>
          <w:spacing w:val="4"/>
          <w:kern w:val="0"/>
          <w:sz w:val="28"/>
          <w:szCs w:val="26"/>
        </w:rPr>
        <w:t>11</w:t>
      </w:r>
      <w:r>
        <w:rPr>
          <w:rFonts w:eastAsia="標楷體"/>
          <w:spacing w:val="4"/>
          <w:kern w:val="0"/>
          <w:sz w:val="28"/>
          <w:szCs w:val="26"/>
        </w:rPr>
        <w:t>月第</w:t>
      </w:r>
      <w:r>
        <w:rPr>
          <w:rFonts w:eastAsia="標楷體"/>
          <w:spacing w:val="4"/>
          <w:kern w:val="0"/>
          <w:sz w:val="28"/>
          <w:szCs w:val="26"/>
        </w:rPr>
        <w:t>7</w:t>
      </w:r>
      <w:r>
        <w:rPr>
          <w:rFonts w:eastAsia="標楷體"/>
          <w:spacing w:val="4"/>
          <w:kern w:val="0"/>
          <w:sz w:val="28"/>
          <w:szCs w:val="26"/>
        </w:rPr>
        <w:t>屆</w:t>
      </w:r>
      <w:r>
        <w:rPr>
          <w:rFonts w:eastAsia="標楷體"/>
          <w:spacing w:val="4"/>
          <w:kern w:val="0"/>
          <w:sz w:val="28"/>
          <w:szCs w:val="26"/>
        </w:rPr>
        <w:t>EAS</w:t>
      </w:r>
      <w:r>
        <w:rPr>
          <w:rFonts w:eastAsia="標楷體"/>
          <w:spacing w:val="4"/>
          <w:kern w:val="0"/>
          <w:sz w:val="28"/>
          <w:szCs w:val="26"/>
        </w:rPr>
        <w:t>，中國大陸、日本、南韓三國宣布啟動</w:t>
      </w:r>
      <w:r>
        <w:rPr>
          <w:rFonts w:eastAsia="標楷體"/>
          <w:spacing w:val="4"/>
          <w:kern w:val="0"/>
          <w:sz w:val="28"/>
          <w:szCs w:val="26"/>
        </w:rPr>
        <w:t>FTA</w:t>
      </w:r>
      <w:r>
        <w:rPr>
          <w:rFonts w:eastAsia="標楷體"/>
          <w:spacing w:val="4"/>
          <w:kern w:val="0"/>
          <w:sz w:val="28"/>
          <w:szCs w:val="26"/>
        </w:rPr>
        <w:t>談判，預定</w:t>
      </w:r>
      <w:r>
        <w:rPr>
          <w:rFonts w:eastAsia="標楷體"/>
          <w:spacing w:val="4"/>
          <w:kern w:val="0"/>
          <w:sz w:val="28"/>
          <w:szCs w:val="26"/>
        </w:rPr>
        <w:t>2013</w:t>
      </w:r>
      <w:r>
        <w:rPr>
          <w:rFonts w:eastAsia="標楷體"/>
          <w:spacing w:val="4"/>
          <w:kern w:val="0"/>
          <w:sz w:val="28"/>
          <w:szCs w:val="26"/>
        </w:rPr>
        <w:t>年初展開首輪談判。顯示東北亞刻逐步突破障礙，朝單一自由貿易區目標邁進。</w:t>
      </w:r>
    </w:p>
    <w:p w14:paraId="0FD5668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w:t>
      </w:r>
      <w:r>
        <w:rPr>
          <w:rFonts w:eastAsia="標楷體"/>
          <w:spacing w:val="4"/>
          <w:kern w:val="0"/>
          <w:sz w:val="28"/>
          <w:szCs w:val="26"/>
        </w:rPr>
        <w:t>TPP</w:t>
      </w:r>
      <w:r>
        <w:rPr>
          <w:rFonts w:eastAsia="標楷體"/>
          <w:spacing w:val="4"/>
          <w:kern w:val="0"/>
          <w:sz w:val="28"/>
          <w:szCs w:val="26"/>
        </w:rPr>
        <w:t>由新加坡、紐西蘭、汶萊、智利等</w:t>
      </w:r>
      <w:r>
        <w:rPr>
          <w:rFonts w:eastAsia="標楷體"/>
          <w:spacing w:val="4"/>
          <w:kern w:val="0"/>
          <w:sz w:val="28"/>
          <w:szCs w:val="26"/>
        </w:rPr>
        <w:t>4</w:t>
      </w:r>
      <w:r>
        <w:rPr>
          <w:rFonts w:eastAsia="標楷體"/>
          <w:spacing w:val="4"/>
          <w:kern w:val="0"/>
          <w:sz w:val="28"/>
          <w:szCs w:val="26"/>
        </w:rPr>
        <w:t>個</w:t>
      </w:r>
      <w:r>
        <w:rPr>
          <w:rFonts w:eastAsia="標楷體"/>
          <w:spacing w:val="4"/>
          <w:kern w:val="0"/>
          <w:sz w:val="28"/>
          <w:szCs w:val="26"/>
        </w:rPr>
        <w:t>APEC</w:t>
      </w:r>
      <w:r>
        <w:rPr>
          <w:rFonts w:eastAsia="標楷體"/>
          <w:spacing w:val="4"/>
          <w:kern w:val="0"/>
          <w:sz w:val="28"/>
          <w:szCs w:val="26"/>
        </w:rPr>
        <w:t>會員體於</w:t>
      </w:r>
      <w:r>
        <w:rPr>
          <w:rFonts w:eastAsia="標楷體"/>
          <w:spacing w:val="4"/>
          <w:kern w:val="0"/>
          <w:sz w:val="28"/>
          <w:szCs w:val="26"/>
        </w:rPr>
        <w:t>2005</w:t>
      </w:r>
      <w:r>
        <w:rPr>
          <w:rFonts w:eastAsia="標楷體"/>
          <w:spacing w:val="4"/>
          <w:kern w:val="0"/>
          <w:sz w:val="28"/>
          <w:szCs w:val="26"/>
        </w:rPr>
        <w:t>年首先簽署，</w:t>
      </w:r>
      <w:r>
        <w:rPr>
          <w:rFonts w:eastAsia="標楷體"/>
          <w:spacing w:val="4"/>
          <w:kern w:val="0"/>
          <w:sz w:val="28"/>
          <w:szCs w:val="26"/>
        </w:rPr>
        <w:t>2006</w:t>
      </w:r>
      <w:r>
        <w:rPr>
          <w:rFonts w:eastAsia="標楷體"/>
          <w:spacing w:val="4"/>
          <w:kern w:val="0"/>
          <w:sz w:val="28"/>
          <w:szCs w:val="26"/>
        </w:rPr>
        <w:t>年生效，為第</w:t>
      </w:r>
      <w:r>
        <w:rPr>
          <w:rFonts w:eastAsia="標楷體"/>
          <w:spacing w:val="4"/>
          <w:kern w:val="0"/>
          <w:sz w:val="28"/>
          <w:szCs w:val="26"/>
        </w:rPr>
        <w:t>1</w:t>
      </w:r>
      <w:r>
        <w:rPr>
          <w:rFonts w:eastAsia="標楷體"/>
          <w:spacing w:val="4"/>
          <w:kern w:val="0"/>
          <w:sz w:val="28"/>
          <w:szCs w:val="26"/>
        </w:rPr>
        <w:t>個橫跨太平洋兩岸多國參與的高品質</w:t>
      </w:r>
      <w:r>
        <w:rPr>
          <w:rFonts w:eastAsia="標楷體"/>
          <w:spacing w:val="4"/>
          <w:kern w:val="0"/>
          <w:sz w:val="28"/>
          <w:szCs w:val="26"/>
        </w:rPr>
        <w:t>FTA</w:t>
      </w:r>
      <w:r>
        <w:rPr>
          <w:rFonts w:eastAsia="標楷體"/>
          <w:spacing w:val="4"/>
          <w:kern w:val="0"/>
          <w:sz w:val="28"/>
          <w:szCs w:val="26"/>
        </w:rPr>
        <w:t>。美國為鞏固在亞太地區的政經影響力，</w:t>
      </w:r>
      <w:r>
        <w:rPr>
          <w:rFonts w:eastAsia="標楷體"/>
          <w:spacing w:val="4"/>
          <w:kern w:val="0"/>
          <w:sz w:val="28"/>
          <w:szCs w:val="26"/>
        </w:rPr>
        <w:t>2009</w:t>
      </w:r>
      <w:r>
        <w:rPr>
          <w:rFonts w:eastAsia="標楷體"/>
          <w:spacing w:val="4"/>
          <w:kern w:val="0"/>
          <w:sz w:val="28"/>
          <w:szCs w:val="26"/>
        </w:rPr>
        <w:t>年起積極在</w:t>
      </w:r>
      <w:r>
        <w:rPr>
          <w:rFonts w:eastAsia="標楷體"/>
          <w:spacing w:val="4"/>
          <w:kern w:val="0"/>
          <w:sz w:val="28"/>
          <w:szCs w:val="26"/>
        </w:rPr>
        <w:t>APEC</w:t>
      </w:r>
      <w:r>
        <w:rPr>
          <w:rFonts w:eastAsia="標楷體"/>
          <w:spacing w:val="4"/>
          <w:kern w:val="0"/>
          <w:sz w:val="28"/>
          <w:szCs w:val="26"/>
        </w:rPr>
        <w:t>架構下，致力推動</w:t>
      </w:r>
      <w:r>
        <w:rPr>
          <w:rFonts w:eastAsia="標楷體"/>
          <w:spacing w:val="4"/>
          <w:kern w:val="0"/>
          <w:sz w:val="28"/>
          <w:szCs w:val="26"/>
        </w:rPr>
        <w:t>TPP</w:t>
      </w:r>
      <w:r>
        <w:rPr>
          <w:rFonts w:eastAsia="標楷體"/>
          <w:spacing w:val="4"/>
          <w:kern w:val="0"/>
          <w:sz w:val="28"/>
          <w:szCs w:val="26"/>
        </w:rPr>
        <w:t>成為邁向亞太自由貿易區</w:t>
      </w:r>
      <w:r>
        <w:rPr>
          <w:rFonts w:ascii="標楷體" w:eastAsia="標楷體" w:hAnsi="標楷體"/>
          <w:spacing w:val="4"/>
          <w:kern w:val="0"/>
          <w:sz w:val="28"/>
          <w:szCs w:val="26"/>
        </w:rPr>
        <w:t>(</w:t>
      </w:r>
      <w:r>
        <w:rPr>
          <w:rFonts w:eastAsia="標楷體"/>
          <w:spacing w:val="4"/>
          <w:kern w:val="0"/>
          <w:sz w:val="28"/>
          <w:szCs w:val="26"/>
        </w:rPr>
        <w:t>Free Trade Area of the Asia-Pacific</w:t>
      </w:r>
      <w:r>
        <w:rPr>
          <w:rFonts w:eastAsia="標楷體"/>
          <w:spacing w:val="4"/>
          <w:kern w:val="0"/>
          <w:sz w:val="28"/>
          <w:szCs w:val="26"/>
        </w:rPr>
        <w:t>；</w:t>
      </w:r>
      <w:r>
        <w:rPr>
          <w:rFonts w:eastAsia="標楷體"/>
          <w:spacing w:val="4"/>
          <w:kern w:val="0"/>
          <w:sz w:val="28"/>
          <w:szCs w:val="26"/>
        </w:rPr>
        <w:t>FTAAP</w:t>
      </w:r>
      <w:r>
        <w:rPr>
          <w:rFonts w:ascii="標楷體" w:eastAsia="標楷體" w:hAnsi="標楷體"/>
          <w:spacing w:val="4"/>
          <w:kern w:val="0"/>
          <w:sz w:val="28"/>
          <w:szCs w:val="26"/>
        </w:rPr>
        <w:t>)</w:t>
      </w:r>
      <w:r>
        <w:rPr>
          <w:rFonts w:eastAsia="標楷體"/>
          <w:spacing w:val="4"/>
          <w:kern w:val="0"/>
          <w:sz w:val="28"/>
          <w:szCs w:val="26"/>
        </w:rPr>
        <w:t>的平臺，並已帶動澳洲、秘魯、越南、馬來西亞相繼加入；</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6</w:t>
      </w:r>
      <w:r>
        <w:rPr>
          <w:rFonts w:eastAsia="標楷體"/>
          <w:spacing w:val="4"/>
          <w:kern w:val="0"/>
          <w:sz w:val="28"/>
          <w:szCs w:val="26"/>
        </w:rPr>
        <w:t>月加拿大、墨西哥已獲</w:t>
      </w:r>
      <w:r>
        <w:rPr>
          <w:rFonts w:eastAsia="標楷體"/>
          <w:spacing w:val="4"/>
          <w:kern w:val="0"/>
          <w:sz w:val="28"/>
          <w:szCs w:val="26"/>
        </w:rPr>
        <w:t>TPP</w:t>
      </w:r>
      <w:r>
        <w:rPr>
          <w:rFonts w:eastAsia="標楷體"/>
          <w:spacing w:val="4"/>
          <w:kern w:val="0"/>
          <w:sz w:val="28"/>
          <w:szCs w:val="26"/>
        </w:rPr>
        <w:t>成員國一致同意加入成為談判國家</w:t>
      </w:r>
      <w:r>
        <w:rPr>
          <w:rFonts w:ascii="微軟正黑體" w:eastAsia="微軟正黑體" w:hAnsi="微軟正黑體"/>
          <w:spacing w:val="4"/>
          <w:kern w:val="0"/>
          <w:sz w:val="28"/>
          <w:szCs w:val="26"/>
        </w:rPr>
        <w:t>，</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12</w:t>
      </w:r>
      <w:r>
        <w:rPr>
          <w:rFonts w:eastAsia="標楷體"/>
          <w:spacing w:val="4"/>
          <w:kern w:val="0"/>
          <w:sz w:val="28"/>
          <w:szCs w:val="26"/>
        </w:rPr>
        <w:t>月已正式參與談判。此外，泰國於</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11</w:t>
      </w:r>
      <w:r>
        <w:rPr>
          <w:rFonts w:eastAsia="標楷體"/>
          <w:spacing w:val="4"/>
          <w:kern w:val="0"/>
          <w:sz w:val="28"/>
          <w:szCs w:val="26"/>
        </w:rPr>
        <w:t>月中旬，接獲美國邀請加入</w:t>
      </w:r>
      <w:r>
        <w:rPr>
          <w:rFonts w:eastAsia="標楷體"/>
          <w:spacing w:val="4"/>
          <w:kern w:val="0"/>
          <w:sz w:val="28"/>
          <w:szCs w:val="26"/>
        </w:rPr>
        <w:t>TPP</w:t>
      </w:r>
      <w:r>
        <w:rPr>
          <w:rFonts w:eastAsia="標楷體"/>
          <w:spacing w:val="4"/>
          <w:kern w:val="0"/>
          <w:sz w:val="28"/>
          <w:szCs w:val="26"/>
        </w:rPr>
        <w:t>談判。</w:t>
      </w:r>
    </w:p>
    <w:tbl>
      <w:tblPr>
        <w:tblW w:w="8692" w:type="dxa"/>
        <w:jc w:val="center"/>
        <w:tblCellMar>
          <w:left w:w="10" w:type="dxa"/>
          <w:right w:w="10" w:type="dxa"/>
        </w:tblCellMar>
        <w:tblLook w:val="04A0" w:firstRow="1" w:lastRow="0" w:firstColumn="1" w:lastColumn="0" w:noHBand="0" w:noVBand="1"/>
      </w:tblPr>
      <w:tblGrid>
        <w:gridCol w:w="8692"/>
      </w:tblGrid>
      <w:tr w:rsidR="00052596" w14:paraId="2D4DCE30" w14:textId="77777777">
        <w:tblPrEx>
          <w:tblCellMar>
            <w:top w:w="0" w:type="dxa"/>
            <w:bottom w:w="0" w:type="dxa"/>
          </w:tblCellMar>
        </w:tblPrEx>
        <w:trPr>
          <w:trHeight w:val="12744"/>
          <w:jc w:val="center"/>
        </w:trPr>
        <w:tc>
          <w:tcPr>
            <w:tcW w:w="8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C0B77" w14:textId="77777777" w:rsidR="00052596" w:rsidRDefault="00000000">
            <w:pPr>
              <w:overflowPunct w:val="0"/>
              <w:autoSpaceDE w:val="0"/>
              <w:spacing w:before="120" w:after="120" w:line="320" w:lineRule="exact"/>
              <w:jc w:val="center"/>
              <w:textAlignment w:val="center"/>
            </w:pPr>
            <w:r>
              <w:rPr>
                <w:rFonts w:ascii="新細明體" w:hAnsi="新細明體"/>
                <w:b/>
                <w:color w:val="0000FF"/>
                <w:spacing w:val="14"/>
                <w:kern w:val="0"/>
                <w:sz w:val="26"/>
                <w:szCs w:val="26"/>
                <w:lang w:val="zh-TW"/>
              </w:rPr>
              <w:lastRenderedPageBreak/>
              <w:t>TPP vs RCEP</w:t>
            </w:r>
          </w:p>
          <w:p w14:paraId="16E07859" w14:textId="77777777" w:rsidR="00052596" w:rsidRDefault="00000000">
            <w:pPr>
              <w:overflowPunct w:val="0"/>
              <w:autoSpaceDE w:val="0"/>
              <w:spacing w:before="48" w:after="48" w:line="30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由於杜哈回合(DDA)談判停滯，WTO多邊貿易談判陷入僵局，亞洲地區掀起洽簽FTA狂熱，區域內FTA簽署數快速增加。近年，亞太區域經濟整合呈現二大發展趨勢，一為美國強力主導的「跨太平洋夥伴協定」(TPP)，另為中國大陸積極參與的「東協區域全面經濟夥伴關係架構」(RCEP)。</w:t>
            </w:r>
          </w:p>
          <w:p w14:paraId="3C75B6F0" w14:textId="77777777" w:rsidR="00052596" w:rsidRDefault="00000000">
            <w:pPr>
              <w:overflowPunct w:val="0"/>
              <w:autoSpaceDE w:val="0"/>
              <w:spacing w:before="48" w:after="48" w:line="300" w:lineRule="exact"/>
              <w:ind w:left="236"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－TPP為21世紀「高品質、高標準」的FTA，具有全面自由化(full liberalization)、法規調適(regulatory cooperation and coherence)、廣泛(comprehensive)，以及與時俱進(living)等特色。談判內涵除包括傳統的關稅減讓、跨境服務等議題外，亦涵蓋法規調適、能力建構、中小企業、供應鏈管理、競爭政策等議題。迄2012年12月，包括紐西蘭、智利、新加坡、汶萊、美國、澳洲、秘魯、越南、馬來西亞、加拿大、墨西哥等11國正式參與談判。</w:t>
            </w:r>
          </w:p>
          <w:p w14:paraId="0AF7EF68" w14:textId="77777777" w:rsidR="00052596" w:rsidRDefault="00000000">
            <w:pPr>
              <w:overflowPunct w:val="0"/>
              <w:autoSpaceDE w:val="0"/>
              <w:spacing w:before="48" w:after="48" w:line="300" w:lineRule="exact"/>
              <w:ind w:left="220" w:right="72" w:hanging="220"/>
              <w:jc w:val="both"/>
              <w:textAlignment w:val="center"/>
              <w:rPr>
                <w:rFonts w:ascii="新細明體" w:hAnsi="新細明體"/>
                <w:bCs/>
                <w:kern w:val="0"/>
                <w:sz w:val="22"/>
                <w:szCs w:val="22"/>
              </w:rPr>
            </w:pPr>
            <w:r>
              <w:rPr>
                <w:rFonts w:ascii="新細明體" w:hAnsi="新細明體"/>
                <w:bCs/>
                <w:kern w:val="0"/>
                <w:sz w:val="22"/>
                <w:szCs w:val="22"/>
              </w:rPr>
              <w:t>－RCEP由東協10國加上中國大陸、日本、南韓、澳洲、紐西蘭、印度等所謂「東協+6」相關國家參與談判，規劃整合現有「東協+3」及「東協+6」談判進程為單一機制，並已於2012年11月中旬舉行的第7屆「東亞峰會」(EAS)正式宣布啟動談判。</w:t>
            </w:r>
          </w:p>
          <w:p w14:paraId="64A81091" w14:textId="77777777" w:rsidR="00052596" w:rsidRDefault="00000000">
            <w:pPr>
              <w:overflowPunct w:val="0"/>
              <w:autoSpaceDE w:val="0"/>
              <w:spacing w:before="240" w:after="48" w:line="300" w:lineRule="exact"/>
              <w:jc w:val="center"/>
              <w:textAlignment w:val="center"/>
            </w:pPr>
            <w:r>
              <w:rPr>
                <w:rFonts w:ascii="新細明體" w:hAnsi="新細明體"/>
                <w:b/>
                <w:bCs/>
                <w:color w:val="0000FF"/>
                <w:spacing w:val="8"/>
                <w:kern w:val="0"/>
                <w:sz w:val="22"/>
                <w:szCs w:val="22"/>
              </w:rPr>
              <w:t>亞太區域經濟整合組態</w:t>
            </w:r>
          </w:p>
          <w:p w14:paraId="1E9075D3" w14:textId="77777777" w:rsidR="00052596" w:rsidRDefault="00000000">
            <w:pPr>
              <w:overflowPunct w:val="0"/>
              <w:autoSpaceDE w:val="0"/>
              <w:spacing w:before="168" w:after="120" w:line="240" w:lineRule="atLeast"/>
              <w:ind w:left="240" w:right="72" w:hanging="240"/>
              <w:jc w:val="center"/>
              <w:textAlignment w:val="center"/>
            </w:pPr>
            <w:r>
              <w:rPr>
                <w:noProof/>
              </w:rPr>
              <mc:AlternateContent>
                <mc:Choice Requires="wps">
                  <w:drawing>
                    <wp:anchor distT="0" distB="0" distL="114300" distR="114300" simplePos="0" relativeHeight="251628032" behindDoc="0" locked="0" layoutInCell="1" allowOverlap="1" wp14:anchorId="05DDDA3B" wp14:editId="2B09BB90">
                      <wp:simplePos x="0" y="0"/>
                      <wp:positionH relativeFrom="column">
                        <wp:posOffset>3067683</wp:posOffset>
                      </wp:positionH>
                      <wp:positionV relativeFrom="paragraph">
                        <wp:posOffset>2059301</wp:posOffset>
                      </wp:positionV>
                      <wp:extent cx="556256" cy="207011"/>
                      <wp:effectExtent l="0" t="0" r="0" b="2539"/>
                      <wp:wrapNone/>
                      <wp:docPr id="79" name="文字方塊 81"/>
                      <wp:cNvGraphicFramePr/>
                      <a:graphic xmlns:a="http://schemas.openxmlformats.org/drawingml/2006/main">
                        <a:graphicData uri="http://schemas.microsoft.com/office/word/2010/wordprocessingShape">
                          <wps:wsp>
                            <wps:cNvSpPr txBox="1"/>
                            <wps:spPr>
                              <a:xfrm>
                                <a:off x="0" y="0"/>
                                <a:ext cx="556256" cy="207011"/>
                              </a:xfrm>
                              <a:prstGeom prst="rect">
                                <a:avLst/>
                              </a:prstGeom>
                              <a:noFill/>
                              <a:ln>
                                <a:noFill/>
                                <a:prstDash/>
                              </a:ln>
                            </wps:spPr>
                            <wps:txbx>
                              <w:txbxContent>
                                <w:p w14:paraId="1F4AA294" w14:textId="77777777" w:rsidR="00052596" w:rsidRDefault="00000000">
                                  <w:pPr>
                                    <w:rPr>
                                      <w:rFonts w:ascii="新細明體" w:hAnsi="新細明體"/>
                                      <w:b/>
                                      <w:sz w:val="14"/>
                                      <w:szCs w:val="14"/>
                                    </w:rPr>
                                  </w:pPr>
                                  <w:r>
                                    <w:rPr>
                                      <w:rFonts w:ascii="新細明體" w:hAnsi="新細明體"/>
                                      <w:b/>
                                      <w:sz w:val="14"/>
                                      <w:szCs w:val="14"/>
                                    </w:rPr>
                                    <w:t>臺灣</w:t>
                                  </w:r>
                                </w:p>
                              </w:txbxContent>
                            </wps:txbx>
                            <wps:bodyPr wrap="square" lIns="91440" tIns="45720" rIns="91440" bIns="45720" anchor="t">
                              <a:spAutoFit/>
                            </wps:bodyPr>
                          </wps:wsp>
                        </a:graphicData>
                      </a:graphic>
                    </wp:anchor>
                  </w:drawing>
                </mc:Choice>
                <mc:Fallback>
                  <w:pict>
                    <v:shape w14:anchorId="05DDDA3B" id="文字方塊 81" o:spid="_x0000_s1029" type="#_x0000_t202" style="position:absolute;left:0;text-align:left;margin-left:241.55pt;margin-top:162.15pt;width:43.8pt;height:16.3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" filled="f" stroked="f">
                      <v:textbox style="mso-fit-shape-to-text:t">
                        <w:txbxContent>
                          <w:p w14:paraId="1F4AA294" w14:textId="77777777" w:rsidR="00052596" w:rsidRDefault="00000000">
                            <w:pPr>
                              <w:rPr>
                                <w:rFonts w:ascii="新細明體" w:hAnsi="新細明體"/>
                                <w:b/>
                                <w:sz w:val="14"/>
                                <w:szCs w:val="14"/>
                              </w:rPr>
                            </w:pPr>
                            <w:r>
                              <w:rPr>
                                <w:rFonts w:ascii="新細明體" w:hAnsi="新細明體"/>
                                <w:b/>
                                <w:sz w:val="14"/>
                                <w:szCs w:val="14"/>
                              </w:rPr>
                              <w:t>臺灣</w:t>
                            </w:r>
                          </w:p>
                        </w:txbxContent>
                      </v:textbox>
                    </v:shape>
                  </w:pict>
                </mc:Fallback>
              </mc:AlternateContent>
            </w:r>
            <w:r>
              <w:rPr>
                <w:rFonts w:ascii="新細明體" w:hAnsi="新細明體"/>
                <w:bCs/>
                <w:spacing w:val="8"/>
                <w:kern w:val="0"/>
                <w:sz w:val="22"/>
                <w:szCs w:val="22"/>
              </w:rPr>
              <w:object w:dxaOrig="6463" w:dyaOrig="3868" w14:anchorId="2F6D4AA5">
                <v:shape id="Picture 2" o:spid="_x0000_i1025" type="#_x0000_t75" style="width:323.15pt;height:193.4pt;visibility:visible;mso-wrap-style:square" o:ole="">
                  <v:imagedata r:id="rId16" o:title=""/>
                </v:shape>
                <o:OLEObject Type="Embed" ProgID="PBrush" ShapeID="Picture 2" DrawAspect="Content" ObjectID="_1720853755" r:id="rId17"/>
              </w:object>
            </w:r>
          </w:p>
          <w:p w14:paraId="2704EFC1" w14:textId="77777777" w:rsidR="00052596" w:rsidRDefault="00000000">
            <w:pPr>
              <w:overflowPunct w:val="0"/>
              <w:autoSpaceDE w:val="0"/>
              <w:spacing w:before="240" w:after="48" w:line="300" w:lineRule="exact"/>
              <w:jc w:val="center"/>
              <w:textAlignment w:val="center"/>
              <w:rPr>
                <w:rFonts w:ascii="新細明體" w:hAnsi="新細明體"/>
                <w:b/>
                <w:bCs/>
                <w:color w:val="0000FF"/>
                <w:spacing w:val="8"/>
                <w:kern w:val="0"/>
                <w:sz w:val="22"/>
                <w:szCs w:val="22"/>
              </w:rPr>
            </w:pPr>
            <w:r>
              <w:rPr>
                <w:rFonts w:ascii="新細明體" w:hAnsi="新細明體"/>
                <w:b/>
                <w:bCs/>
                <w:color w:val="0000FF"/>
                <w:spacing w:val="8"/>
                <w:kern w:val="0"/>
                <w:sz w:val="22"/>
                <w:szCs w:val="22"/>
              </w:rPr>
              <w:t>TPP談判議題</w:t>
            </w:r>
          </w:p>
          <w:tbl>
            <w:tblPr>
              <w:tblW w:w="7837" w:type="dxa"/>
              <w:jc w:val="center"/>
              <w:tblCellMar>
                <w:left w:w="10" w:type="dxa"/>
                <w:right w:w="10" w:type="dxa"/>
              </w:tblCellMar>
              <w:tblLook w:val="04A0" w:firstRow="1" w:lastRow="0" w:firstColumn="1" w:lastColumn="0" w:noHBand="0" w:noVBand="1"/>
            </w:tblPr>
            <w:tblGrid>
              <w:gridCol w:w="2162"/>
              <w:gridCol w:w="5675"/>
            </w:tblGrid>
            <w:tr w:rsidR="00052596" w14:paraId="5A49D0B3" w14:textId="77777777">
              <w:tblPrEx>
                <w:tblCellMar>
                  <w:top w:w="0" w:type="dxa"/>
                  <w:bottom w:w="0" w:type="dxa"/>
                </w:tblCellMar>
              </w:tblPrEx>
              <w:trPr>
                <w:jc w:val="center"/>
              </w:trPr>
              <w:tc>
                <w:tcPr>
                  <w:tcW w:w="21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E7943" w14:textId="77777777" w:rsidR="00052596" w:rsidRDefault="00000000">
                  <w:pPr>
                    <w:overflowPunct w:val="0"/>
                    <w:autoSpaceDE w:val="0"/>
                    <w:spacing w:line="280" w:lineRule="exact"/>
                    <w:ind w:right="72"/>
                    <w:jc w:val="center"/>
                    <w:textAlignment w:val="center"/>
                    <w:rPr>
                      <w:rFonts w:ascii="新細明體" w:hAnsi="新細明體"/>
                      <w:bCs/>
                      <w:spacing w:val="8"/>
                      <w:kern w:val="0"/>
                      <w:sz w:val="21"/>
                      <w:szCs w:val="21"/>
                    </w:rPr>
                  </w:pPr>
                  <w:r>
                    <w:rPr>
                      <w:rFonts w:ascii="新細明體" w:hAnsi="新細明體"/>
                      <w:bCs/>
                      <w:spacing w:val="8"/>
                      <w:kern w:val="0"/>
                      <w:sz w:val="21"/>
                      <w:szCs w:val="21"/>
                    </w:rPr>
                    <w:t>型　態</w:t>
                  </w:r>
                </w:p>
              </w:tc>
              <w:tc>
                <w:tcPr>
                  <w:tcW w:w="5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2EB105" w14:textId="77777777" w:rsidR="00052596" w:rsidRDefault="00000000">
                  <w:pPr>
                    <w:overflowPunct w:val="0"/>
                    <w:autoSpaceDE w:val="0"/>
                    <w:spacing w:line="280" w:lineRule="exact"/>
                    <w:ind w:right="72"/>
                    <w:jc w:val="center"/>
                    <w:textAlignment w:val="center"/>
                    <w:rPr>
                      <w:rFonts w:ascii="新細明體" w:hAnsi="新細明體"/>
                      <w:bCs/>
                      <w:spacing w:val="8"/>
                      <w:kern w:val="0"/>
                      <w:sz w:val="21"/>
                      <w:szCs w:val="21"/>
                    </w:rPr>
                  </w:pPr>
                  <w:r>
                    <w:rPr>
                      <w:rFonts w:ascii="新細明體" w:hAnsi="新細明體"/>
                      <w:bCs/>
                      <w:spacing w:val="8"/>
                      <w:kern w:val="0"/>
                      <w:sz w:val="21"/>
                      <w:szCs w:val="21"/>
                    </w:rPr>
                    <w:t>議　題</w:t>
                  </w:r>
                </w:p>
              </w:tc>
            </w:tr>
            <w:tr w:rsidR="00052596" w14:paraId="6560B6D0" w14:textId="77777777">
              <w:tblPrEx>
                <w:tblCellMar>
                  <w:top w:w="0" w:type="dxa"/>
                  <w:bottom w:w="0" w:type="dxa"/>
                </w:tblCellMar>
              </w:tblPrEx>
              <w:trPr>
                <w:jc w:val="center"/>
              </w:trPr>
              <w:tc>
                <w:tcPr>
                  <w:tcW w:w="21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85298" w14:textId="77777777" w:rsidR="00052596" w:rsidRDefault="00000000">
                  <w:pPr>
                    <w:overflowPunct w:val="0"/>
                    <w:autoSpaceDE w:val="0"/>
                    <w:spacing w:line="280" w:lineRule="exact"/>
                    <w:ind w:right="72"/>
                    <w:jc w:val="center"/>
                    <w:textAlignment w:val="center"/>
                    <w:rPr>
                      <w:rFonts w:ascii="新細明體" w:hAnsi="新細明體"/>
                      <w:bCs/>
                      <w:spacing w:val="8"/>
                      <w:kern w:val="0"/>
                      <w:sz w:val="21"/>
                      <w:szCs w:val="21"/>
                    </w:rPr>
                  </w:pPr>
                  <w:r>
                    <w:rPr>
                      <w:rFonts w:ascii="新細明體" w:hAnsi="新細明體"/>
                      <w:bCs/>
                      <w:spacing w:val="8"/>
                      <w:kern w:val="0"/>
                      <w:sz w:val="21"/>
                      <w:szCs w:val="21"/>
                    </w:rPr>
                    <w:t>邊境自由化</w:t>
                  </w:r>
                </w:p>
                <w:p w14:paraId="71E57CD0" w14:textId="77777777" w:rsidR="00052596" w:rsidRDefault="00000000">
                  <w:pPr>
                    <w:overflowPunct w:val="0"/>
                    <w:autoSpaceDE w:val="0"/>
                    <w:spacing w:line="280" w:lineRule="exact"/>
                    <w:ind w:right="72"/>
                    <w:jc w:val="center"/>
                    <w:textAlignment w:val="center"/>
                    <w:rPr>
                      <w:rFonts w:ascii="新細明體" w:hAnsi="新細明體"/>
                      <w:bCs/>
                      <w:spacing w:val="8"/>
                      <w:kern w:val="0"/>
                      <w:sz w:val="21"/>
                      <w:szCs w:val="21"/>
                    </w:rPr>
                  </w:pPr>
                  <w:r>
                    <w:rPr>
                      <w:rFonts w:ascii="新細明體" w:hAnsi="新細明體"/>
                      <w:bCs/>
                      <w:spacing w:val="8"/>
                      <w:kern w:val="0"/>
                      <w:sz w:val="21"/>
                      <w:szCs w:val="21"/>
                    </w:rPr>
                    <w:t>(on the border)</w:t>
                  </w:r>
                </w:p>
              </w:tc>
              <w:tc>
                <w:tcPr>
                  <w:tcW w:w="5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F23179" w14:textId="77777777" w:rsidR="00052596" w:rsidRDefault="00000000">
                  <w:pPr>
                    <w:overflowPunct w:val="0"/>
                    <w:autoSpaceDE w:val="0"/>
                    <w:spacing w:line="280" w:lineRule="exact"/>
                    <w:ind w:left="237" w:right="72" w:hanging="237"/>
                    <w:jc w:val="both"/>
                    <w:textAlignment w:val="center"/>
                    <w:rPr>
                      <w:rFonts w:ascii="新細明體" w:hAnsi="新細明體"/>
                      <w:bCs/>
                      <w:spacing w:val="8"/>
                      <w:kern w:val="0"/>
                      <w:sz w:val="21"/>
                      <w:szCs w:val="21"/>
                    </w:rPr>
                  </w:pPr>
                  <w:r>
                    <w:rPr>
                      <w:rFonts w:ascii="新細明體" w:hAnsi="新細明體"/>
                      <w:bCs/>
                      <w:spacing w:val="8"/>
                      <w:kern w:val="0"/>
                      <w:sz w:val="21"/>
                      <w:szCs w:val="21"/>
                    </w:rPr>
                    <w:t>－全面性貨品市場進入、紡織品、技術性貿易障礙、衛生及檢疫標準、關務、貿易救濟、原產地規則等</w:t>
                  </w:r>
                </w:p>
              </w:tc>
            </w:tr>
            <w:tr w:rsidR="00052596" w14:paraId="3DD868B0" w14:textId="77777777">
              <w:tblPrEx>
                <w:tblCellMar>
                  <w:top w:w="0" w:type="dxa"/>
                  <w:bottom w:w="0" w:type="dxa"/>
                </w:tblCellMar>
              </w:tblPrEx>
              <w:trPr>
                <w:jc w:val="center"/>
              </w:trPr>
              <w:tc>
                <w:tcPr>
                  <w:tcW w:w="21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22AD2" w14:textId="77777777" w:rsidR="00052596" w:rsidRDefault="00000000">
                  <w:pPr>
                    <w:overflowPunct w:val="0"/>
                    <w:autoSpaceDE w:val="0"/>
                    <w:spacing w:line="280" w:lineRule="exact"/>
                    <w:ind w:right="72"/>
                    <w:jc w:val="center"/>
                    <w:textAlignment w:val="center"/>
                    <w:rPr>
                      <w:rFonts w:ascii="新細明體" w:hAnsi="新細明體"/>
                      <w:bCs/>
                      <w:spacing w:val="8"/>
                      <w:kern w:val="0"/>
                      <w:sz w:val="21"/>
                      <w:szCs w:val="21"/>
                    </w:rPr>
                  </w:pPr>
                  <w:r>
                    <w:rPr>
                      <w:rFonts w:ascii="新細明體" w:hAnsi="新細明體"/>
                      <w:bCs/>
                      <w:spacing w:val="8"/>
                      <w:kern w:val="0"/>
                      <w:sz w:val="21"/>
                      <w:szCs w:val="21"/>
                    </w:rPr>
                    <w:t>境內自由化(Behind the border)</w:t>
                  </w:r>
                </w:p>
              </w:tc>
              <w:tc>
                <w:tcPr>
                  <w:tcW w:w="5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418B49" w14:textId="77777777" w:rsidR="00052596" w:rsidRDefault="00000000">
                  <w:pPr>
                    <w:overflowPunct w:val="0"/>
                    <w:autoSpaceDE w:val="0"/>
                    <w:spacing w:line="280" w:lineRule="exact"/>
                    <w:ind w:left="228" w:right="72" w:hanging="228"/>
                    <w:jc w:val="both"/>
                    <w:textAlignment w:val="center"/>
                    <w:rPr>
                      <w:rFonts w:ascii="新細明體" w:hAnsi="新細明體"/>
                      <w:bCs/>
                      <w:spacing w:val="8"/>
                      <w:kern w:val="0"/>
                      <w:sz w:val="21"/>
                      <w:szCs w:val="21"/>
                    </w:rPr>
                  </w:pPr>
                  <w:r>
                    <w:rPr>
                      <w:rFonts w:ascii="新細明體" w:hAnsi="新細明體"/>
                      <w:bCs/>
                      <w:spacing w:val="8"/>
                      <w:kern w:val="0"/>
                      <w:sz w:val="21"/>
                      <w:szCs w:val="21"/>
                    </w:rPr>
                    <w:t>－服務業相關議題：跨境服務、電子商務、金融服務、電信、娛樂、文化與運動、運輸服務等</w:t>
                  </w:r>
                </w:p>
                <w:p w14:paraId="668956EB" w14:textId="77777777" w:rsidR="00052596" w:rsidRDefault="00000000">
                  <w:pPr>
                    <w:overflowPunct w:val="0"/>
                    <w:autoSpaceDE w:val="0"/>
                    <w:spacing w:line="280" w:lineRule="exact"/>
                    <w:ind w:left="228" w:right="72" w:hanging="228"/>
                    <w:jc w:val="both"/>
                    <w:textAlignment w:val="center"/>
                    <w:rPr>
                      <w:rFonts w:ascii="新細明體" w:hAnsi="新細明體"/>
                      <w:bCs/>
                      <w:spacing w:val="8"/>
                      <w:kern w:val="0"/>
                      <w:sz w:val="21"/>
                      <w:szCs w:val="21"/>
                    </w:rPr>
                  </w:pPr>
                  <w:r>
                    <w:rPr>
                      <w:rFonts w:ascii="新細明體" w:hAnsi="新細明體"/>
                      <w:bCs/>
                      <w:spacing w:val="8"/>
                      <w:kern w:val="0"/>
                      <w:sz w:val="21"/>
                      <w:szCs w:val="21"/>
                    </w:rPr>
                    <w:t>－其他議題：競爭、環境、勞工、智財權、政府採購、中小企業、國有企業、經商便利度、法規調適等</w:t>
                  </w:r>
                </w:p>
              </w:tc>
            </w:tr>
            <w:tr w:rsidR="00052596" w14:paraId="3C257C99" w14:textId="77777777">
              <w:tblPrEx>
                <w:tblCellMar>
                  <w:top w:w="0" w:type="dxa"/>
                  <w:bottom w:w="0" w:type="dxa"/>
                </w:tblCellMar>
              </w:tblPrEx>
              <w:trPr>
                <w:jc w:val="center"/>
              </w:trPr>
              <w:tc>
                <w:tcPr>
                  <w:tcW w:w="21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4F052" w14:textId="77777777" w:rsidR="00052596" w:rsidRDefault="00000000">
                  <w:pPr>
                    <w:overflowPunct w:val="0"/>
                    <w:autoSpaceDE w:val="0"/>
                    <w:spacing w:line="280" w:lineRule="exact"/>
                    <w:ind w:right="72"/>
                    <w:jc w:val="center"/>
                    <w:textAlignment w:val="center"/>
                    <w:rPr>
                      <w:rFonts w:ascii="新細明體" w:hAnsi="新細明體"/>
                      <w:bCs/>
                      <w:spacing w:val="8"/>
                      <w:kern w:val="0"/>
                      <w:sz w:val="21"/>
                      <w:szCs w:val="21"/>
                    </w:rPr>
                  </w:pPr>
                  <w:r>
                    <w:rPr>
                      <w:rFonts w:ascii="新細明體" w:hAnsi="新細明體"/>
                      <w:bCs/>
                      <w:spacing w:val="8"/>
                      <w:kern w:val="0"/>
                      <w:sz w:val="21"/>
                      <w:szCs w:val="21"/>
                    </w:rPr>
                    <w:t>跨境自由化(Across the border)</w:t>
                  </w:r>
                </w:p>
              </w:tc>
              <w:tc>
                <w:tcPr>
                  <w:tcW w:w="5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F43F19" w14:textId="77777777" w:rsidR="00052596" w:rsidRDefault="00000000">
                  <w:pPr>
                    <w:overflowPunct w:val="0"/>
                    <w:autoSpaceDE w:val="0"/>
                    <w:spacing w:line="280" w:lineRule="exact"/>
                    <w:ind w:left="237" w:right="72" w:hanging="237"/>
                    <w:jc w:val="both"/>
                    <w:textAlignment w:val="center"/>
                    <w:rPr>
                      <w:rFonts w:ascii="新細明體" w:hAnsi="新細明體"/>
                      <w:bCs/>
                      <w:spacing w:val="8"/>
                      <w:kern w:val="0"/>
                      <w:sz w:val="21"/>
                      <w:szCs w:val="21"/>
                    </w:rPr>
                  </w:pPr>
                  <w:r>
                    <w:rPr>
                      <w:rFonts w:ascii="新細明體" w:hAnsi="新細明體"/>
                      <w:bCs/>
                      <w:spacing w:val="8"/>
                      <w:kern w:val="0"/>
                      <w:sz w:val="21"/>
                      <w:szCs w:val="21"/>
                    </w:rPr>
                    <w:t>－投資(金流)、臨時入境許可(人才流)、能力建構、供應鏈管理</w:t>
                  </w:r>
                </w:p>
              </w:tc>
            </w:tr>
          </w:tbl>
          <w:p w14:paraId="0529BD3F" w14:textId="77777777" w:rsidR="00052596" w:rsidRDefault="00000000">
            <w:pPr>
              <w:overflowPunct w:val="0"/>
              <w:autoSpaceDE w:val="0"/>
              <w:spacing w:after="120" w:line="300" w:lineRule="exact"/>
              <w:ind w:firstLine="407"/>
              <w:jc w:val="both"/>
              <w:textAlignment w:val="center"/>
              <w:rPr>
                <w:rFonts w:ascii="新細明體" w:hAnsi="新細明體"/>
                <w:bCs/>
                <w:spacing w:val="8"/>
                <w:kern w:val="0"/>
                <w:sz w:val="21"/>
                <w:szCs w:val="21"/>
              </w:rPr>
            </w:pPr>
            <w:r>
              <w:rPr>
                <w:rFonts w:ascii="新細明體" w:hAnsi="新細明體"/>
                <w:bCs/>
                <w:spacing w:val="8"/>
                <w:kern w:val="0"/>
                <w:sz w:val="21"/>
                <w:szCs w:val="21"/>
              </w:rPr>
              <w:t>資料來源：經建會整理。</w:t>
            </w:r>
          </w:p>
        </w:tc>
      </w:tr>
    </w:tbl>
    <w:p w14:paraId="1CEBD909" w14:textId="77777777" w:rsidR="00052596" w:rsidRDefault="00000000">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三、新興經濟體跨國企業全球布局</w:t>
      </w:r>
    </w:p>
    <w:p w14:paraId="1EF200B1"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近年來，新興經濟體跨國企業已逐步躋身世界級企業，對全球經貿影響日趨深遠。尤其是</w:t>
      </w:r>
      <w:r>
        <w:rPr>
          <w:rFonts w:eastAsia="標楷體"/>
          <w:spacing w:val="4"/>
          <w:kern w:val="0"/>
          <w:sz w:val="28"/>
          <w:szCs w:val="26"/>
        </w:rPr>
        <w:t>2008</w:t>
      </w:r>
      <w:r>
        <w:rPr>
          <w:rFonts w:eastAsia="標楷體"/>
          <w:spacing w:val="4"/>
          <w:kern w:val="0"/>
          <w:sz w:val="28"/>
          <w:szCs w:val="26"/>
        </w:rPr>
        <w:t>年全球金融危機後，先進經濟體經濟成長動能減弱，新興經濟體跨國企業積極藉由對外投資，一方面掌握全球原物料資源，另方面則取得關鍵零組件或技術，逐步強化其競爭優勢。</w:t>
      </w:r>
    </w:p>
    <w:p w14:paraId="451158A6" w14:textId="77777777" w:rsidR="00052596" w:rsidRDefault="00000000">
      <w:pPr>
        <w:tabs>
          <w:tab w:val="left" w:pos="1920"/>
          <w:tab w:val="left" w:pos="2880"/>
          <w:tab w:val="left" w:pos="3840"/>
          <w:tab w:val="left" w:pos="4800"/>
          <w:tab w:val="left" w:pos="5760"/>
        </w:tabs>
        <w:overflowPunct w:val="0"/>
        <w:autoSpaceDE w:val="0"/>
        <w:spacing w:line="420" w:lineRule="exact"/>
        <w:ind w:left="530" w:hanging="314"/>
        <w:jc w:val="both"/>
        <w:textAlignment w:val="center"/>
      </w:pPr>
      <w:r>
        <w:rPr>
          <w:rFonts w:ascii="標楷體" w:eastAsia="標楷體" w:hAnsi="標楷體"/>
          <w:spacing w:val="4"/>
          <w:kern w:val="0"/>
          <w:sz w:val="28"/>
          <w:szCs w:val="22"/>
        </w:rPr>
        <w:t>－</w:t>
      </w:r>
      <w:r>
        <w:rPr>
          <w:rFonts w:eastAsia="標楷體"/>
          <w:spacing w:val="4"/>
          <w:kern w:val="0"/>
          <w:sz w:val="28"/>
          <w:szCs w:val="22"/>
        </w:rPr>
        <w:t>新興經濟體跨國企業躋身世界前</w:t>
      </w:r>
      <w:r>
        <w:rPr>
          <w:rFonts w:eastAsia="標楷體"/>
          <w:spacing w:val="4"/>
          <w:kern w:val="0"/>
          <w:sz w:val="28"/>
          <w:szCs w:val="22"/>
        </w:rPr>
        <w:t>500</w:t>
      </w:r>
      <w:r>
        <w:rPr>
          <w:rFonts w:eastAsia="標楷體"/>
          <w:spacing w:val="4"/>
          <w:kern w:val="0"/>
          <w:sz w:val="28"/>
          <w:szCs w:val="22"/>
        </w:rPr>
        <w:t>大企業激增：財星雜誌</w:t>
      </w:r>
      <w:r>
        <w:rPr>
          <w:rFonts w:ascii="標楷體" w:eastAsia="標楷體" w:hAnsi="標楷體"/>
          <w:spacing w:val="4"/>
          <w:kern w:val="0"/>
          <w:sz w:val="28"/>
          <w:szCs w:val="22"/>
        </w:rPr>
        <w:t>(</w:t>
      </w:r>
      <w:r>
        <w:rPr>
          <w:rFonts w:eastAsia="標楷體"/>
          <w:spacing w:val="4"/>
          <w:kern w:val="0"/>
          <w:sz w:val="28"/>
          <w:szCs w:val="22"/>
        </w:rPr>
        <w:t>Fortune</w:t>
      </w:r>
      <w:r>
        <w:rPr>
          <w:rFonts w:ascii="標楷體" w:eastAsia="標楷體" w:hAnsi="標楷體"/>
          <w:spacing w:val="4"/>
          <w:kern w:val="0"/>
          <w:sz w:val="28"/>
          <w:szCs w:val="22"/>
        </w:rPr>
        <w:t>)</w:t>
      </w:r>
      <w:r>
        <w:rPr>
          <w:rFonts w:eastAsia="標楷體"/>
          <w:spacing w:val="4"/>
          <w:kern w:val="0"/>
          <w:sz w:val="28"/>
          <w:szCs w:val="22"/>
        </w:rPr>
        <w:t>公布</w:t>
      </w:r>
      <w:r>
        <w:rPr>
          <w:rFonts w:eastAsia="標楷體"/>
          <w:spacing w:val="4"/>
          <w:kern w:val="0"/>
          <w:sz w:val="28"/>
          <w:szCs w:val="22"/>
        </w:rPr>
        <w:t>2012</w:t>
      </w:r>
      <w:r>
        <w:rPr>
          <w:rFonts w:eastAsia="標楷體"/>
          <w:spacing w:val="4"/>
          <w:kern w:val="0"/>
          <w:sz w:val="28"/>
          <w:szCs w:val="22"/>
        </w:rPr>
        <w:t>年根據營業額排名之全球前</w:t>
      </w:r>
      <w:r>
        <w:rPr>
          <w:rFonts w:eastAsia="標楷體"/>
          <w:spacing w:val="4"/>
          <w:kern w:val="0"/>
          <w:sz w:val="28"/>
          <w:szCs w:val="22"/>
        </w:rPr>
        <w:t>500</w:t>
      </w:r>
      <w:r>
        <w:rPr>
          <w:rFonts w:eastAsia="標楷體"/>
          <w:spacing w:val="4"/>
          <w:kern w:val="0"/>
          <w:sz w:val="28"/>
          <w:szCs w:val="22"/>
        </w:rPr>
        <w:t>大企業，新興經濟體所占家數由</w:t>
      </w:r>
      <w:r>
        <w:rPr>
          <w:rFonts w:eastAsia="標楷體"/>
          <w:spacing w:val="4"/>
          <w:kern w:val="0"/>
          <w:sz w:val="28"/>
          <w:szCs w:val="22"/>
        </w:rPr>
        <w:t>1995</w:t>
      </w:r>
      <w:r>
        <w:rPr>
          <w:rFonts w:eastAsia="標楷體"/>
          <w:spacing w:val="4"/>
          <w:kern w:val="0"/>
          <w:sz w:val="28"/>
          <w:szCs w:val="22"/>
        </w:rPr>
        <w:t>年的</w:t>
      </w:r>
      <w:r>
        <w:rPr>
          <w:rFonts w:eastAsia="標楷體"/>
          <w:spacing w:val="4"/>
          <w:kern w:val="0"/>
          <w:sz w:val="28"/>
          <w:szCs w:val="22"/>
        </w:rPr>
        <w:t>20</w:t>
      </w:r>
      <w:r>
        <w:rPr>
          <w:rFonts w:eastAsia="標楷體"/>
          <w:spacing w:val="4"/>
          <w:kern w:val="0"/>
          <w:sz w:val="28"/>
          <w:szCs w:val="22"/>
        </w:rPr>
        <w:t>家增至</w:t>
      </w:r>
      <w:r>
        <w:rPr>
          <w:rFonts w:eastAsia="標楷體"/>
          <w:spacing w:val="4"/>
          <w:kern w:val="0"/>
          <w:sz w:val="28"/>
          <w:szCs w:val="22"/>
        </w:rPr>
        <w:t>127</w:t>
      </w:r>
      <w:r>
        <w:rPr>
          <w:rFonts w:eastAsia="標楷體"/>
          <w:spacing w:val="4"/>
          <w:kern w:val="0"/>
          <w:sz w:val="28"/>
          <w:szCs w:val="22"/>
        </w:rPr>
        <w:t>家；其中，中國大陸有</w:t>
      </w:r>
      <w:r>
        <w:rPr>
          <w:rFonts w:eastAsia="標楷體"/>
          <w:spacing w:val="4"/>
          <w:kern w:val="0"/>
          <w:sz w:val="28"/>
          <w:szCs w:val="22"/>
        </w:rPr>
        <w:t>73</w:t>
      </w:r>
      <w:r>
        <w:rPr>
          <w:rFonts w:eastAsia="標楷體"/>
          <w:spacing w:val="4"/>
          <w:kern w:val="0"/>
          <w:sz w:val="28"/>
          <w:szCs w:val="22"/>
        </w:rPr>
        <w:t>家企業躋身排名行列，僅次於美國的</w:t>
      </w:r>
      <w:r>
        <w:rPr>
          <w:rFonts w:eastAsia="標楷體"/>
          <w:spacing w:val="4"/>
          <w:kern w:val="0"/>
          <w:sz w:val="28"/>
          <w:szCs w:val="22"/>
        </w:rPr>
        <w:t>132</w:t>
      </w:r>
      <w:r>
        <w:rPr>
          <w:rFonts w:eastAsia="標楷體"/>
          <w:spacing w:val="4"/>
          <w:kern w:val="0"/>
          <w:sz w:val="28"/>
          <w:szCs w:val="22"/>
        </w:rPr>
        <w:t>家，且中國石油化工集團</w:t>
      </w:r>
      <w:r>
        <w:rPr>
          <w:rFonts w:ascii="標楷體" w:eastAsia="標楷體" w:hAnsi="標楷體"/>
          <w:spacing w:val="4"/>
          <w:kern w:val="0"/>
          <w:sz w:val="28"/>
          <w:szCs w:val="22"/>
        </w:rPr>
        <w:t>(</w:t>
      </w:r>
      <w:r>
        <w:rPr>
          <w:rFonts w:eastAsia="標楷體"/>
          <w:spacing w:val="4"/>
          <w:kern w:val="0"/>
          <w:sz w:val="28"/>
          <w:szCs w:val="22"/>
        </w:rPr>
        <w:t>第</w:t>
      </w:r>
      <w:r>
        <w:rPr>
          <w:rFonts w:eastAsia="標楷體"/>
          <w:spacing w:val="4"/>
          <w:kern w:val="0"/>
          <w:sz w:val="28"/>
          <w:szCs w:val="22"/>
        </w:rPr>
        <w:t>5</w:t>
      </w:r>
      <w:r>
        <w:rPr>
          <w:rFonts w:eastAsia="標楷體"/>
          <w:spacing w:val="4"/>
          <w:kern w:val="0"/>
          <w:sz w:val="28"/>
          <w:szCs w:val="22"/>
        </w:rPr>
        <w:t>名</w:t>
      </w:r>
      <w:r>
        <w:rPr>
          <w:rFonts w:ascii="標楷體" w:eastAsia="標楷體" w:hAnsi="標楷體"/>
          <w:spacing w:val="4"/>
          <w:kern w:val="0"/>
          <w:sz w:val="28"/>
          <w:szCs w:val="22"/>
        </w:rPr>
        <w:t>)</w:t>
      </w:r>
      <w:r>
        <w:rPr>
          <w:rFonts w:eastAsia="標楷體"/>
          <w:spacing w:val="4"/>
          <w:kern w:val="0"/>
          <w:sz w:val="28"/>
          <w:szCs w:val="22"/>
        </w:rPr>
        <w:t>、中國石油天然氣集團</w:t>
      </w:r>
      <w:r>
        <w:rPr>
          <w:rFonts w:ascii="標楷體" w:eastAsia="標楷體" w:hAnsi="標楷體"/>
          <w:spacing w:val="4"/>
          <w:kern w:val="0"/>
          <w:sz w:val="28"/>
          <w:szCs w:val="22"/>
        </w:rPr>
        <w:t>(</w:t>
      </w:r>
      <w:r>
        <w:rPr>
          <w:rFonts w:eastAsia="標楷體"/>
          <w:spacing w:val="4"/>
          <w:kern w:val="0"/>
          <w:sz w:val="28"/>
          <w:szCs w:val="22"/>
        </w:rPr>
        <w:t>第</w:t>
      </w:r>
      <w:r>
        <w:rPr>
          <w:rFonts w:eastAsia="標楷體"/>
          <w:spacing w:val="4"/>
          <w:kern w:val="0"/>
          <w:sz w:val="28"/>
          <w:szCs w:val="22"/>
        </w:rPr>
        <w:t>6</w:t>
      </w:r>
      <w:r>
        <w:rPr>
          <w:rFonts w:eastAsia="標楷體"/>
          <w:spacing w:val="4"/>
          <w:kern w:val="0"/>
          <w:sz w:val="28"/>
          <w:szCs w:val="22"/>
        </w:rPr>
        <w:t>名</w:t>
      </w:r>
      <w:r>
        <w:rPr>
          <w:rFonts w:ascii="標楷體" w:eastAsia="標楷體" w:hAnsi="標楷體"/>
          <w:spacing w:val="4"/>
          <w:kern w:val="0"/>
          <w:sz w:val="28"/>
          <w:szCs w:val="22"/>
        </w:rPr>
        <w:t>)</w:t>
      </w:r>
      <w:r>
        <w:rPr>
          <w:rFonts w:eastAsia="標楷體"/>
          <w:spacing w:val="4"/>
          <w:kern w:val="0"/>
          <w:sz w:val="28"/>
          <w:szCs w:val="22"/>
        </w:rPr>
        <w:t>，以及中國國家電網</w:t>
      </w:r>
      <w:r>
        <w:rPr>
          <w:rFonts w:ascii="標楷體" w:eastAsia="標楷體" w:hAnsi="標楷體"/>
          <w:spacing w:val="4"/>
          <w:kern w:val="0"/>
          <w:sz w:val="28"/>
          <w:szCs w:val="22"/>
        </w:rPr>
        <w:t>(</w:t>
      </w:r>
      <w:r>
        <w:rPr>
          <w:rFonts w:eastAsia="標楷體"/>
          <w:spacing w:val="4"/>
          <w:kern w:val="0"/>
          <w:sz w:val="28"/>
          <w:szCs w:val="22"/>
        </w:rPr>
        <w:t>第</w:t>
      </w:r>
      <w:r>
        <w:rPr>
          <w:rFonts w:eastAsia="標楷體"/>
          <w:spacing w:val="4"/>
          <w:kern w:val="0"/>
          <w:sz w:val="28"/>
          <w:szCs w:val="22"/>
        </w:rPr>
        <w:t>7</w:t>
      </w:r>
      <w:r>
        <w:rPr>
          <w:rFonts w:eastAsia="標楷體"/>
          <w:spacing w:val="4"/>
          <w:kern w:val="0"/>
          <w:sz w:val="28"/>
          <w:szCs w:val="22"/>
        </w:rPr>
        <w:t>名</w:t>
      </w:r>
      <w:r>
        <w:rPr>
          <w:rFonts w:ascii="標楷體" w:eastAsia="標楷體" w:hAnsi="標楷體"/>
          <w:spacing w:val="4"/>
          <w:kern w:val="0"/>
          <w:sz w:val="28"/>
          <w:szCs w:val="22"/>
        </w:rPr>
        <w:t>)</w:t>
      </w:r>
      <w:r>
        <w:rPr>
          <w:rFonts w:eastAsia="標楷體"/>
          <w:spacing w:val="4"/>
          <w:kern w:val="0"/>
          <w:sz w:val="28"/>
          <w:szCs w:val="22"/>
        </w:rPr>
        <w:t>更晉升全球前</w:t>
      </w:r>
      <w:r>
        <w:rPr>
          <w:rFonts w:eastAsia="標楷體"/>
          <w:spacing w:val="4"/>
          <w:kern w:val="0"/>
          <w:sz w:val="28"/>
          <w:szCs w:val="22"/>
        </w:rPr>
        <w:t>10</w:t>
      </w:r>
      <w:r>
        <w:rPr>
          <w:rFonts w:eastAsia="標楷體"/>
          <w:spacing w:val="4"/>
          <w:kern w:val="0"/>
          <w:sz w:val="28"/>
          <w:szCs w:val="22"/>
        </w:rPr>
        <w:t>大跨國企業。</w:t>
      </w:r>
      <w:r>
        <w:rPr>
          <w:rFonts w:eastAsia="標楷體"/>
          <w:spacing w:val="4"/>
          <w:kern w:val="0"/>
          <w:sz w:val="28"/>
          <w:szCs w:val="22"/>
        </w:rPr>
        <w:t>2012</w:t>
      </w:r>
      <w:r>
        <w:rPr>
          <w:rFonts w:eastAsia="標楷體"/>
          <w:spacing w:val="4"/>
          <w:kern w:val="0"/>
          <w:sz w:val="28"/>
          <w:szCs w:val="22"/>
        </w:rPr>
        <w:t>年亞洲上榜的國家除中國大陸外，依序為南韓</w:t>
      </w:r>
      <w:r>
        <w:rPr>
          <w:rFonts w:eastAsia="標楷體"/>
          <w:spacing w:val="4"/>
          <w:kern w:val="0"/>
          <w:sz w:val="28"/>
          <w:szCs w:val="22"/>
        </w:rPr>
        <w:t>13</w:t>
      </w:r>
      <w:r>
        <w:rPr>
          <w:rFonts w:eastAsia="標楷體"/>
          <w:spacing w:val="4"/>
          <w:kern w:val="0"/>
          <w:sz w:val="28"/>
          <w:szCs w:val="22"/>
        </w:rPr>
        <w:t>家、印度</w:t>
      </w:r>
      <w:r>
        <w:rPr>
          <w:rFonts w:eastAsia="標楷體"/>
          <w:spacing w:val="4"/>
          <w:kern w:val="0"/>
          <w:sz w:val="28"/>
          <w:szCs w:val="22"/>
        </w:rPr>
        <w:t>8</w:t>
      </w:r>
      <w:r>
        <w:rPr>
          <w:rFonts w:eastAsia="標楷體"/>
          <w:spacing w:val="4"/>
          <w:kern w:val="0"/>
          <w:sz w:val="28"/>
          <w:szCs w:val="22"/>
        </w:rPr>
        <w:t>家、臺灣</w:t>
      </w:r>
      <w:r>
        <w:rPr>
          <w:rFonts w:eastAsia="標楷體"/>
          <w:spacing w:val="4"/>
          <w:kern w:val="0"/>
          <w:sz w:val="28"/>
          <w:szCs w:val="22"/>
        </w:rPr>
        <w:t>6</w:t>
      </w:r>
      <w:r>
        <w:rPr>
          <w:rFonts w:eastAsia="標楷體"/>
          <w:spacing w:val="4"/>
          <w:kern w:val="0"/>
          <w:sz w:val="28"/>
          <w:szCs w:val="22"/>
        </w:rPr>
        <w:t>家</w:t>
      </w:r>
      <w:r>
        <w:rPr>
          <w:rFonts w:ascii="標楷體" w:eastAsia="標楷體" w:hAnsi="標楷體"/>
          <w:spacing w:val="4"/>
          <w:kern w:val="0"/>
          <w:sz w:val="28"/>
          <w:szCs w:val="22"/>
        </w:rPr>
        <w:t>(</w:t>
      </w:r>
      <w:r>
        <w:rPr>
          <w:rFonts w:eastAsia="標楷體"/>
          <w:spacing w:val="4"/>
          <w:kern w:val="0"/>
          <w:sz w:val="28"/>
          <w:szCs w:val="22"/>
        </w:rPr>
        <w:t>詳圖</w:t>
      </w:r>
      <w:r>
        <w:rPr>
          <w:rFonts w:eastAsia="標楷體"/>
          <w:spacing w:val="4"/>
          <w:kern w:val="0"/>
          <w:sz w:val="28"/>
          <w:szCs w:val="22"/>
        </w:rPr>
        <w:t>1.1.2</w:t>
      </w:r>
      <w:r>
        <w:rPr>
          <w:rFonts w:ascii="標楷體" w:eastAsia="標楷體" w:hAnsi="標楷體"/>
          <w:spacing w:val="4"/>
          <w:kern w:val="0"/>
          <w:sz w:val="28"/>
          <w:szCs w:val="22"/>
        </w:rPr>
        <w:t>)</w:t>
      </w:r>
      <w:r>
        <w:rPr>
          <w:rFonts w:eastAsia="標楷體"/>
          <w:spacing w:val="4"/>
          <w:kern w:val="0"/>
          <w:sz w:val="28"/>
          <w:szCs w:val="22"/>
        </w:rPr>
        <w:t>。</w:t>
      </w:r>
    </w:p>
    <w:p w14:paraId="4582A3A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30" w:hanging="314"/>
        <w:jc w:val="both"/>
        <w:textAlignment w:val="center"/>
      </w:pPr>
      <w:r>
        <w:rPr>
          <w:rFonts w:ascii="標楷體" w:eastAsia="標楷體" w:hAnsi="標楷體"/>
          <w:spacing w:val="4"/>
          <w:kern w:val="0"/>
          <w:sz w:val="28"/>
          <w:szCs w:val="22"/>
        </w:rPr>
        <w:t>－</w:t>
      </w:r>
      <w:r>
        <w:rPr>
          <w:rFonts w:eastAsia="標楷體"/>
          <w:spacing w:val="4"/>
          <w:kern w:val="0"/>
          <w:sz w:val="28"/>
          <w:szCs w:val="22"/>
        </w:rPr>
        <w:t>新興經濟體跨國企業競逐全球生產資源：近年來，中國大陸等新興經濟體由於經濟快速成長，原物料需求殷切，政府乃鼓勵國內大型跨國企業進行全球布局，積極掌控國際石油與原物料等重要生產資源；舉如：中國石油天然氣集團</w:t>
      </w:r>
      <w:r>
        <w:rPr>
          <w:rFonts w:ascii="標楷體" w:eastAsia="標楷體" w:hAnsi="標楷體"/>
          <w:spacing w:val="4"/>
          <w:kern w:val="0"/>
          <w:sz w:val="28"/>
          <w:szCs w:val="22"/>
        </w:rPr>
        <w:t>(</w:t>
      </w:r>
      <w:r>
        <w:rPr>
          <w:rFonts w:eastAsia="標楷體"/>
          <w:spacing w:val="4"/>
          <w:kern w:val="0"/>
          <w:sz w:val="28"/>
          <w:szCs w:val="22"/>
        </w:rPr>
        <w:t>China National Petroleum Corporation</w:t>
      </w:r>
      <w:r>
        <w:rPr>
          <w:rFonts w:ascii="標楷體" w:eastAsia="標楷體" w:hAnsi="標楷體"/>
          <w:spacing w:val="4"/>
          <w:kern w:val="0"/>
          <w:sz w:val="28"/>
          <w:szCs w:val="22"/>
        </w:rPr>
        <w:t>)</w:t>
      </w:r>
      <w:r>
        <w:rPr>
          <w:rFonts w:eastAsia="標楷體"/>
          <w:spacing w:val="4"/>
          <w:kern w:val="0"/>
          <w:sz w:val="28"/>
          <w:szCs w:val="22"/>
        </w:rPr>
        <w:t>透過對外投資積極爭取參與海外油田開發，已成為全球參與伊拉克油田開發的兩家海外企業之一。</w:t>
      </w:r>
    </w:p>
    <w:p w14:paraId="3FCE401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30" w:hanging="314"/>
        <w:jc w:val="both"/>
        <w:textAlignment w:val="center"/>
      </w:pPr>
      <w:r>
        <w:rPr>
          <w:rFonts w:ascii="標楷體" w:eastAsia="標楷體" w:hAnsi="標楷體"/>
          <w:spacing w:val="4"/>
          <w:kern w:val="0"/>
          <w:sz w:val="28"/>
          <w:szCs w:val="22"/>
        </w:rPr>
        <w:t>－</w:t>
      </w:r>
      <w:r>
        <w:rPr>
          <w:rFonts w:eastAsia="標楷體"/>
          <w:spacing w:val="4"/>
          <w:kern w:val="0"/>
          <w:sz w:val="28"/>
          <w:szCs w:val="22"/>
        </w:rPr>
        <w:t>新興經濟體跨國企業推展策略性投資計畫：為掌握全球營運致勝關鍵，近年來新興經濟體跨國企業積極對外進行策略性投資計畫，透過新設據點與併購企業等營運模式，達到規模經濟、提高市場知名度，拓展營銷網絡等效益，以強化競爭優勢。舉如：</w:t>
      </w:r>
      <w:r>
        <w:rPr>
          <w:rFonts w:eastAsia="標楷體"/>
          <w:spacing w:val="4"/>
          <w:kern w:val="0"/>
          <w:sz w:val="28"/>
          <w:szCs w:val="22"/>
        </w:rPr>
        <w:t>2010</w:t>
      </w:r>
      <w:r>
        <w:rPr>
          <w:rFonts w:eastAsia="標楷體"/>
          <w:spacing w:val="4"/>
          <w:kern w:val="0"/>
          <w:sz w:val="28"/>
          <w:szCs w:val="22"/>
        </w:rPr>
        <w:t>年</w:t>
      </w:r>
      <w:r>
        <w:rPr>
          <w:rFonts w:eastAsia="標楷體"/>
          <w:spacing w:val="4"/>
          <w:kern w:val="0"/>
          <w:sz w:val="28"/>
          <w:szCs w:val="22"/>
        </w:rPr>
        <w:t>3</w:t>
      </w:r>
      <w:r>
        <w:rPr>
          <w:rFonts w:eastAsia="標楷體"/>
          <w:spacing w:val="4"/>
          <w:kern w:val="0"/>
          <w:sz w:val="28"/>
          <w:szCs w:val="22"/>
        </w:rPr>
        <w:t>月，中國大陸吉利汽車</w:t>
      </w:r>
      <w:r>
        <w:rPr>
          <w:rFonts w:ascii="標楷體" w:eastAsia="標楷體" w:hAnsi="標楷體"/>
          <w:spacing w:val="4"/>
          <w:kern w:val="0"/>
          <w:sz w:val="28"/>
          <w:szCs w:val="22"/>
        </w:rPr>
        <w:t>(</w:t>
      </w:r>
      <w:r>
        <w:rPr>
          <w:rFonts w:eastAsia="標楷體"/>
          <w:spacing w:val="4"/>
          <w:kern w:val="0"/>
          <w:sz w:val="28"/>
          <w:szCs w:val="22"/>
        </w:rPr>
        <w:t>Geely</w:t>
      </w:r>
      <w:r>
        <w:rPr>
          <w:rFonts w:ascii="標楷體" w:eastAsia="標楷體" w:hAnsi="標楷體"/>
          <w:spacing w:val="4"/>
          <w:kern w:val="0"/>
          <w:sz w:val="28"/>
          <w:szCs w:val="22"/>
        </w:rPr>
        <w:t>)</w:t>
      </w:r>
      <w:r>
        <w:rPr>
          <w:rFonts w:eastAsia="標楷體"/>
          <w:spacing w:val="4"/>
          <w:kern w:val="0"/>
          <w:sz w:val="28"/>
          <w:szCs w:val="22"/>
        </w:rPr>
        <w:t>以</w:t>
      </w:r>
      <w:r>
        <w:rPr>
          <w:rFonts w:eastAsia="標楷體"/>
          <w:spacing w:val="4"/>
          <w:kern w:val="0"/>
          <w:sz w:val="28"/>
          <w:szCs w:val="22"/>
        </w:rPr>
        <w:t>18</w:t>
      </w:r>
      <w:r>
        <w:rPr>
          <w:rFonts w:eastAsia="標楷體"/>
          <w:spacing w:val="4"/>
          <w:kern w:val="0"/>
          <w:sz w:val="28"/>
          <w:szCs w:val="22"/>
        </w:rPr>
        <w:t>億美元收購福特旗下的富豪汽車</w:t>
      </w:r>
      <w:r>
        <w:rPr>
          <w:rFonts w:ascii="標楷體" w:eastAsia="標楷體" w:hAnsi="標楷體"/>
          <w:spacing w:val="4"/>
          <w:kern w:val="0"/>
          <w:sz w:val="28"/>
          <w:szCs w:val="22"/>
        </w:rPr>
        <w:t>(</w:t>
      </w:r>
      <w:r>
        <w:rPr>
          <w:rFonts w:eastAsia="標楷體"/>
          <w:spacing w:val="4"/>
          <w:kern w:val="0"/>
          <w:sz w:val="28"/>
          <w:szCs w:val="22"/>
        </w:rPr>
        <w:t>Volvo</w:t>
      </w:r>
      <w:r>
        <w:rPr>
          <w:rFonts w:ascii="標楷體" w:eastAsia="標楷體" w:hAnsi="標楷體"/>
          <w:spacing w:val="4"/>
          <w:kern w:val="0"/>
          <w:sz w:val="28"/>
          <w:szCs w:val="22"/>
        </w:rPr>
        <w:t>)</w:t>
      </w:r>
      <w:r>
        <w:rPr>
          <w:rFonts w:eastAsia="標楷體"/>
          <w:spacing w:val="4"/>
          <w:kern w:val="0"/>
          <w:sz w:val="28"/>
          <w:szCs w:val="22"/>
        </w:rPr>
        <w:t>股權；同年</w:t>
      </w:r>
      <w:r>
        <w:rPr>
          <w:rFonts w:eastAsia="標楷體"/>
          <w:spacing w:val="4"/>
          <w:kern w:val="0"/>
          <w:sz w:val="28"/>
          <w:szCs w:val="22"/>
        </w:rPr>
        <w:t>6</w:t>
      </w:r>
      <w:r>
        <w:rPr>
          <w:rFonts w:eastAsia="標楷體"/>
          <w:spacing w:val="4"/>
          <w:kern w:val="0"/>
          <w:sz w:val="28"/>
          <w:szCs w:val="22"/>
        </w:rPr>
        <w:t>月，上海電氣集團</w:t>
      </w:r>
      <w:r>
        <w:rPr>
          <w:rFonts w:ascii="標楷體" w:eastAsia="標楷體" w:hAnsi="標楷體"/>
          <w:spacing w:val="4"/>
          <w:kern w:val="0"/>
          <w:sz w:val="28"/>
          <w:szCs w:val="22"/>
        </w:rPr>
        <w:t>(</w:t>
      </w:r>
      <w:r>
        <w:rPr>
          <w:rFonts w:eastAsia="標楷體"/>
          <w:spacing w:val="4"/>
          <w:kern w:val="0"/>
          <w:sz w:val="28"/>
          <w:szCs w:val="22"/>
        </w:rPr>
        <w:t>Shanghai Electric Group</w:t>
      </w:r>
      <w:r>
        <w:rPr>
          <w:rFonts w:ascii="標楷體" w:eastAsia="標楷體" w:hAnsi="標楷體"/>
          <w:spacing w:val="4"/>
          <w:kern w:val="0"/>
          <w:sz w:val="28"/>
          <w:szCs w:val="22"/>
        </w:rPr>
        <w:t>)</w:t>
      </w:r>
      <w:r>
        <w:rPr>
          <w:rFonts w:eastAsia="標楷體"/>
          <w:spacing w:val="4"/>
          <w:kern w:val="0"/>
          <w:sz w:val="28"/>
          <w:szCs w:val="22"/>
        </w:rPr>
        <w:t>以</w:t>
      </w:r>
      <w:r>
        <w:rPr>
          <w:rFonts w:eastAsia="標楷體"/>
          <w:spacing w:val="4"/>
          <w:kern w:val="0"/>
          <w:sz w:val="28"/>
          <w:szCs w:val="22"/>
        </w:rPr>
        <w:t>15</w:t>
      </w:r>
      <w:r>
        <w:rPr>
          <w:rFonts w:eastAsia="標楷體"/>
          <w:spacing w:val="4"/>
          <w:kern w:val="0"/>
          <w:sz w:val="28"/>
          <w:szCs w:val="22"/>
        </w:rPr>
        <w:t>億美元，收購高斯國際公司</w:t>
      </w:r>
      <w:r>
        <w:rPr>
          <w:rFonts w:ascii="標楷體" w:eastAsia="標楷體" w:hAnsi="標楷體"/>
          <w:spacing w:val="4"/>
          <w:kern w:val="0"/>
          <w:sz w:val="28"/>
          <w:szCs w:val="22"/>
        </w:rPr>
        <w:t>(</w:t>
      </w:r>
      <w:r>
        <w:rPr>
          <w:rFonts w:eastAsia="標楷體"/>
          <w:spacing w:val="4"/>
          <w:kern w:val="0"/>
          <w:sz w:val="28"/>
          <w:szCs w:val="22"/>
        </w:rPr>
        <w:t>Goss International</w:t>
      </w:r>
      <w:r>
        <w:rPr>
          <w:rFonts w:ascii="標楷體" w:eastAsia="標楷體" w:hAnsi="標楷體"/>
          <w:spacing w:val="4"/>
          <w:kern w:val="0"/>
          <w:sz w:val="28"/>
          <w:szCs w:val="22"/>
        </w:rPr>
        <w:t>)</w:t>
      </w:r>
      <w:r>
        <w:rPr>
          <w:rFonts w:eastAsia="標楷體"/>
          <w:spacing w:val="4"/>
          <w:kern w:val="0"/>
          <w:sz w:val="28"/>
          <w:szCs w:val="22"/>
        </w:rPr>
        <w:t>，並與西門子</w:t>
      </w:r>
      <w:r>
        <w:rPr>
          <w:rFonts w:ascii="標楷體" w:eastAsia="標楷體" w:hAnsi="標楷體"/>
          <w:spacing w:val="4"/>
          <w:kern w:val="0"/>
          <w:sz w:val="28"/>
          <w:szCs w:val="22"/>
        </w:rPr>
        <w:t>(</w:t>
      </w:r>
      <w:r>
        <w:rPr>
          <w:rFonts w:eastAsia="標楷體"/>
          <w:spacing w:val="4"/>
          <w:kern w:val="0"/>
          <w:sz w:val="28"/>
          <w:szCs w:val="22"/>
        </w:rPr>
        <w:t>Siemens</w:t>
      </w:r>
      <w:r>
        <w:rPr>
          <w:rFonts w:ascii="標楷體" w:eastAsia="標楷體" w:hAnsi="標楷體"/>
          <w:spacing w:val="4"/>
          <w:kern w:val="0"/>
          <w:sz w:val="28"/>
          <w:szCs w:val="22"/>
        </w:rPr>
        <w:t>)</w:t>
      </w:r>
      <w:r>
        <w:rPr>
          <w:rFonts w:eastAsia="標楷體"/>
          <w:spacing w:val="4"/>
          <w:kern w:val="0"/>
          <w:sz w:val="28"/>
          <w:szCs w:val="22"/>
        </w:rPr>
        <w:t>、三菱</w:t>
      </w:r>
      <w:r>
        <w:rPr>
          <w:rFonts w:ascii="標楷體" w:eastAsia="標楷體" w:hAnsi="標楷體"/>
          <w:spacing w:val="4"/>
          <w:kern w:val="0"/>
          <w:sz w:val="28"/>
          <w:szCs w:val="22"/>
        </w:rPr>
        <w:t>(</w:t>
      </w:r>
      <w:r>
        <w:rPr>
          <w:rFonts w:eastAsia="標楷體"/>
          <w:spacing w:val="4"/>
          <w:kern w:val="0"/>
          <w:sz w:val="28"/>
          <w:szCs w:val="22"/>
        </w:rPr>
        <w:t>Mitsubishi</w:t>
      </w:r>
      <w:r>
        <w:rPr>
          <w:rFonts w:ascii="標楷體" w:eastAsia="標楷體" w:hAnsi="標楷體"/>
          <w:spacing w:val="4"/>
          <w:kern w:val="0"/>
          <w:sz w:val="28"/>
          <w:szCs w:val="22"/>
        </w:rPr>
        <w:t>)</w:t>
      </w:r>
      <w:r>
        <w:rPr>
          <w:rFonts w:eastAsia="標楷體"/>
          <w:spacing w:val="4"/>
          <w:kern w:val="0"/>
          <w:sz w:val="28"/>
          <w:szCs w:val="22"/>
        </w:rPr>
        <w:t>合資。</w:t>
      </w:r>
    </w:p>
    <w:p w14:paraId="667CE806" w14:textId="77777777" w:rsidR="00052596" w:rsidRDefault="00052596">
      <w:pPr>
        <w:pageBreakBefore/>
        <w:widowControl/>
      </w:pPr>
    </w:p>
    <w:p w14:paraId="60DE2730" w14:textId="77777777" w:rsidR="00052596" w:rsidRDefault="00000000">
      <w:pPr>
        <w:overflowPunct w:val="0"/>
        <w:autoSpaceDE w:val="0"/>
        <w:snapToGrid w:val="0"/>
        <w:spacing w:after="240" w:line="280" w:lineRule="exact"/>
        <w:jc w:val="center"/>
        <w:textAlignment w:val="center"/>
        <w:rPr>
          <w:rFonts w:eastAsia="標楷體"/>
          <w:b/>
          <w:color w:val="0000FF"/>
          <w:kern w:val="0"/>
          <w:sz w:val="26"/>
          <w:szCs w:val="26"/>
        </w:rPr>
      </w:pPr>
      <w:r>
        <w:rPr>
          <w:rFonts w:eastAsia="標楷體"/>
          <w:b/>
          <w:color w:val="0000FF"/>
          <w:kern w:val="0"/>
          <w:sz w:val="26"/>
          <w:szCs w:val="26"/>
        </w:rPr>
        <w:t>圖</w:t>
      </w:r>
      <w:r>
        <w:rPr>
          <w:rFonts w:eastAsia="標楷體"/>
          <w:b/>
          <w:color w:val="0000FF"/>
          <w:kern w:val="0"/>
          <w:sz w:val="26"/>
          <w:szCs w:val="26"/>
        </w:rPr>
        <w:t>1.1.2</w:t>
      </w:r>
      <w:r>
        <w:rPr>
          <w:rFonts w:eastAsia="標楷體"/>
          <w:b/>
          <w:color w:val="0000FF"/>
          <w:kern w:val="0"/>
          <w:sz w:val="26"/>
          <w:szCs w:val="26"/>
        </w:rPr>
        <w:t xml:space="preserve">　名列全球</w:t>
      </w:r>
      <w:r>
        <w:rPr>
          <w:rFonts w:eastAsia="標楷體"/>
          <w:b/>
          <w:color w:val="0000FF"/>
          <w:kern w:val="0"/>
          <w:sz w:val="26"/>
          <w:szCs w:val="26"/>
        </w:rPr>
        <w:t>500</w:t>
      </w:r>
      <w:r>
        <w:rPr>
          <w:rFonts w:eastAsia="標楷體"/>
          <w:b/>
          <w:color w:val="0000FF"/>
          <w:kern w:val="0"/>
          <w:sz w:val="26"/>
          <w:szCs w:val="26"/>
        </w:rPr>
        <w:t>大之新興經濟體跨國企業分布</w:t>
      </w:r>
    </w:p>
    <w:p w14:paraId="459243B0" w14:textId="77777777" w:rsidR="00052596" w:rsidRDefault="00000000">
      <w:pPr>
        <w:overflowPunct w:val="0"/>
        <w:autoSpaceDE w:val="0"/>
        <w:spacing w:before="240" w:line="420" w:lineRule="exact"/>
        <w:jc w:val="center"/>
        <w:textAlignment w:val="center"/>
      </w:pPr>
      <w:r>
        <w:rPr>
          <w:rFonts w:eastAsia="標楷體"/>
          <w:b/>
          <w:spacing w:val="4"/>
          <w:kern w:val="0"/>
          <w:sz w:val="28"/>
          <w:szCs w:val="26"/>
        </w:rPr>
        <w:t xml:space="preserve">                                              </w:t>
      </w:r>
      <w:r>
        <w:rPr>
          <w:rFonts w:ascii="標楷體" w:eastAsia="標楷體" w:hAnsi="標楷體"/>
          <w:spacing w:val="4"/>
          <w:kern w:val="0"/>
          <w:sz w:val="22"/>
          <w:szCs w:val="22"/>
        </w:rPr>
        <w:t>單位：家數</w:t>
      </w:r>
    </w:p>
    <w:p w14:paraId="173B9C51" w14:textId="77777777" w:rsidR="00052596" w:rsidRDefault="00000000">
      <w:pPr>
        <w:wordWrap w:val="0"/>
        <w:spacing w:before="120" w:after="120" w:line="240" w:lineRule="atLeast"/>
        <w:ind w:left="480" w:hanging="480"/>
        <w:jc w:val="right"/>
      </w:pPr>
      <w:r>
        <w:rPr>
          <w:noProof/>
        </w:rPr>
        <mc:AlternateContent>
          <mc:Choice Requires="wps">
            <w:drawing>
              <wp:anchor distT="0" distB="0" distL="114300" distR="114300" simplePos="0" relativeHeight="251625984" behindDoc="0" locked="0" layoutInCell="1" allowOverlap="1" wp14:anchorId="0ED572C9" wp14:editId="2DA15081">
                <wp:simplePos x="0" y="0"/>
                <wp:positionH relativeFrom="column">
                  <wp:posOffset>291465</wp:posOffset>
                </wp:positionH>
                <wp:positionV relativeFrom="paragraph">
                  <wp:posOffset>1602742</wp:posOffset>
                </wp:positionV>
                <wp:extent cx="2181228" cy="472443"/>
                <wp:effectExtent l="0" t="0" r="0" b="3807"/>
                <wp:wrapNone/>
                <wp:docPr id="80" name="文字方塊 307"/>
                <wp:cNvGraphicFramePr/>
                <a:graphic xmlns:a="http://schemas.openxmlformats.org/drawingml/2006/main">
                  <a:graphicData uri="http://schemas.microsoft.com/office/word/2010/wordprocessingShape">
                    <wps:wsp>
                      <wps:cNvSpPr txBox="1"/>
                      <wps:spPr>
                        <a:xfrm>
                          <a:off x="0" y="0"/>
                          <a:ext cx="2181228" cy="472443"/>
                        </a:xfrm>
                        <a:prstGeom prst="rect">
                          <a:avLst/>
                        </a:prstGeom>
                        <a:noFill/>
                        <a:ln>
                          <a:noFill/>
                          <a:prstDash/>
                        </a:ln>
                      </wps:spPr>
                      <wps:txbx>
                        <w:txbxContent>
                          <w:p w14:paraId="31857B37" w14:textId="77777777" w:rsidR="00052596" w:rsidRDefault="00000000">
                            <w:pPr>
                              <w:spacing w:line="300" w:lineRule="exact"/>
                              <w:rPr>
                                <w:rFonts w:eastAsia="標楷體"/>
                                <w:sz w:val="23"/>
                                <w:szCs w:val="23"/>
                              </w:rPr>
                            </w:pPr>
                            <w:r>
                              <w:rPr>
                                <w:rFonts w:eastAsia="標楷體"/>
                                <w:sz w:val="23"/>
                                <w:szCs w:val="23"/>
                              </w:rPr>
                              <w:t>1995  2005  2008  2012</w:t>
                            </w:r>
                            <w:r>
                              <w:rPr>
                                <w:rFonts w:eastAsia="標楷體"/>
                                <w:sz w:val="23"/>
                                <w:szCs w:val="23"/>
                              </w:rPr>
                              <w:t>年</w:t>
                            </w:r>
                          </w:p>
                          <w:p w14:paraId="68D4CBFD" w14:textId="77777777" w:rsidR="00052596" w:rsidRDefault="00000000">
                            <w:pPr>
                              <w:spacing w:line="300" w:lineRule="exact"/>
                            </w:pPr>
                            <w:r>
                              <w:rPr>
                                <w:rFonts w:ascii="標楷體" w:eastAsia="標楷體" w:hAnsi="標楷體"/>
                                <w:sz w:val="23"/>
                                <w:szCs w:val="23"/>
                              </w:rPr>
                              <w:t>(</w:t>
                            </w:r>
                            <w:r>
                              <w:rPr>
                                <w:rFonts w:eastAsia="標楷體"/>
                                <w:sz w:val="23"/>
                                <w:szCs w:val="23"/>
                              </w:rPr>
                              <w:t>20</w:t>
                            </w:r>
                            <w:r>
                              <w:rPr>
                                <w:rFonts w:ascii="標楷體" w:eastAsia="標楷體" w:hAnsi="標楷體"/>
                                <w:sz w:val="23"/>
                                <w:szCs w:val="23"/>
                              </w:rPr>
                              <w:t>)</w:t>
                            </w:r>
                            <w:r>
                              <w:rPr>
                                <w:rFonts w:eastAsia="標楷體"/>
                                <w:sz w:val="23"/>
                                <w:szCs w:val="23"/>
                              </w:rPr>
                              <w:t xml:space="preserve">  </w:t>
                            </w:r>
                            <w:r>
                              <w:rPr>
                                <w:rFonts w:ascii="標楷體" w:eastAsia="標楷體" w:hAnsi="標楷體"/>
                                <w:sz w:val="23"/>
                                <w:szCs w:val="23"/>
                              </w:rPr>
                              <w:t>(</w:t>
                            </w:r>
                            <w:r>
                              <w:rPr>
                                <w:rFonts w:eastAsia="標楷體"/>
                                <w:sz w:val="23"/>
                                <w:szCs w:val="23"/>
                              </w:rPr>
                              <w:t>47</w:t>
                            </w:r>
                            <w:r>
                              <w:rPr>
                                <w:rFonts w:ascii="標楷體" w:eastAsia="標楷體" w:hAnsi="標楷體"/>
                                <w:sz w:val="23"/>
                                <w:szCs w:val="23"/>
                              </w:rPr>
                              <w:t>)</w:t>
                            </w:r>
                            <w:r>
                              <w:rPr>
                                <w:rFonts w:eastAsia="標楷體"/>
                                <w:sz w:val="23"/>
                                <w:szCs w:val="23"/>
                              </w:rPr>
                              <w:t xml:space="preserve">  </w:t>
                            </w:r>
                            <w:r>
                              <w:rPr>
                                <w:rFonts w:ascii="標楷體" w:eastAsia="標楷體" w:hAnsi="標楷體"/>
                                <w:sz w:val="23"/>
                                <w:szCs w:val="23"/>
                              </w:rPr>
                              <w:t>(</w:t>
                            </w:r>
                            <w:r>
                              <w:rPr>
                                <w:rFonts w:eastAsia="標楷體"/>
                                <w:sz w:val="23"/>
                                <w:szCs w:val="23"/>
                              </w:rPr>
                              <w:t>78</w:t>
                            </w:r>
                            <w:r>
                              <w:rPr>
                                <w:rFonts w:ascii="標楷體" w:eastAsia="標楷體" w:hAnsi="標楷體"/>
                                <w:sz w:val="23"/>
                                <w:szCs w:val="23"/>
                              </w:rPr>
                              <w:t>)</w:t>
                            </w:r>
                            <w:r>
                              <w:rPr>
                                <w:rFonts w:eastAsia="標楷體"/>
                                <w:sz w:val="23"/>
                                <w:szCs w:val="23"/>
                              </w:rPr>
                              <w:t xml:space="preserve">  </w:t>
                            </w:r>
                            <w:r>
                              <w:rPr>
                                <w:rFonts w:ascii="標楷體" w:eastAsia="標楷體" w:hAnsi="標楷體"/>
                                <w:sz w:val="23"/>
                                <w:szCs w:val="23"/>
                              </w:rPr>
                              <w:t>(</w:t>
                            </w:r>
                            <w:r>
                              <w:rPr>
                                <w:rFonts w:eastAsia="標楷體"/>
                                <w:sz w:val="23"/>
                                <w:szCs w:val="23"/>
                              </w:rPr>
                              <w:t>127</w:t>
                            </w:r>
                            <w:r>
                              <w:rPr>
                                <w:rFonts w:ascii="標楷體" w:eastAsia="標楷體" w:hAnsi="標楷體"/>
                                <w:sz w:val="23"/>
                                <w:szCs w:val="23"/>
                              </w:rPr>
                              <w:t>)</w:t>
                            </w:r>
                          </w:p>
                        </w:txbxContent>
                      </wps:txbx>
                      <wps:bodyPr wrap="square" lIns="91440" tIns="45720" rIns="91440" bIns="45720" anchor="t">
                        <a:spAutoFit/>
                      </wps:bodyPr>
                    </wps:wsp>
                  </a:graphicData>
                </a:graphic>
              </wp:anchor>
            </w:drawing>
          </mc:Choice>
          <mc:Fallback>
            <w:pict>
              <v:shape w14:anchorId="0ED572C9" id="文字方塊 307" o:spid="_x0000_s1030" type="#_x0000_t202" style="position:absolute;left:0;text-align:left;margin-left:22.95pt;margin-top:126.2pt;width:171.75pt;height:37.2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" filled="f" stroked="f">
                <v:textbox style="mso-fit-shape-to-text:t">
                  <w:txbxContent>
                    <w:p w14:paraId="31857B37" w14:textId="77777777" w:rsidR="00052596" w:rsidRDefault="00000000">
                      <w:pPr>
                        <w:spacing w:line="300" w:lineRule="exact"/>
                        <w:rPr>
                          <w:rFonts w:eastAsia="標楷體"/>
                          <w:sz w:val="23"/>
                          <w:szCs w:val="23"/>
                        </w:rPr>
                      </w:pPr>
                      <w:r>
                        <w:rPr>
                          <w:rFonts w:eastAsia="標楷體"/>
                          <w:sz w:val="23"/>
                          <w:szCs w:val="23"/>
                        </w:rPr>
                        <w:t>1995  2005  2008  2012</w:t>
                      </w:r>
                      <w:r>
                        <w:rPr>
                          <w:rFonts w:eastAsia="標楷體"/>
                          <w:sz w:val="23"/>
                          <w:szCs w:val="23"/>
                        </w:rPr>
                        <w:t>年</w:t>
                      </w:r>
                    </w:p>
                    <w:p w14:paraId="68D4CBFD" w14:textId="77777777" w:rsidR="00052596" w:rsidRDefault="00000000">
                      <w:pPr>
                        <w:spacing w:line="300" w:lineRule="exact"/>
                      </w:pPr>
                      <w:r>
                        <w:rPr>
                          <w:rFonts w:ascii="標楷體" w:eastAsia="標楷體" w:hAnsi="標楷體"/>
                          <w:sz w:val="23"/>
                          <w:szCs w:val="23"/>
                        </w:rPr>
                        <w:t>(</w:t>
                      </w:r>
                      <w:r>
                        <w:rPr>
                          <w:rFonts w:eastAsia="標楷體"/>
                          <w:sz w:val="23"/>
                          <w:szCs w:val="23"/>
                        </w:rPr>
                        <w:t>20</w:t>
                      </w:r>
                      <w:r>
                        <w:rPr>
                          <w:rFonts w:ascii="標楷體" w:eastAsia="標楷體" w:hAnsi="標楷體"/>
                          <w:sz w:val="23"/>
                          <w:szCs w:val="23"/>
                        </w:rPr>
                        <w:t>)</w:t>
                      </w:r>
                      <w:r>
                        <w:rPr>
                          <w:rFonts w:eastAsia="標楷體"/>
                          <w:sz w:val="23"/>
                          <w:szCs w:val="23"/>
                        </w:rPr>
                        <w:t xml:space="preserve">  </w:t>
                      </w:r>
                      <w:r>
                        <w:rPr>
                          <w:rFonts w:ascii="標楷體" w:eastAsia="標楷體" w:hAnsi="標楷體"/>
                          <w:sz w:val="23"/>
                          <w:szCs w:val="23"/>
                        </w:rPr>
                        <w:t>(</w:t>
                      </w:r>
                      <w:r>
                        <w:rPr>
                          <w:rFonts w:eastAsia="標楷體"/>
                          <w:sz w:val="23"/>
                          <w:szCs w:val="23"/>
                        </w:rPr>
                        <w:t>47</w:t>
                      </w:r>
                      <w:r>
                        <w:rPr>
                          <w:rFonts w:ascii="標楷體" w:eastAsia="標楷體" w:hAnsi="標楷體"/>
                          <w:sz w:val="23"/>
                          <w:szCs w:val="23"/>
                        </w:rPr>
                        <w:t>)</w:t>
                      </w:r>
                      <w:r>
                        <w:rPr>
                          <w:rFonts w:eastAsia="標楷體"/>
                          <w:sz w:val="23"/>
                          <w:szCs w:val="23"/>
                        </w:rPr>
                        <w:t xml:space="preserve">  </w:t>
                      </w:r>
                      <w:r>
                        <w:rPr>
                          <w:rFonts w:ascii="標楷體" w:eastAsia="標楷體" w:hAnsi="標楷體"/>
                          <w:sz w:val="23"/>
                          <w:szCs w:val="23"/>
                        </w:rPr>
                        <w:t>(</w:t>
                      </w:r>
                      <w:r>
                        <w:rPr>
                          <w:rFonts w:eastAsia="標楷體"/>
                          <w:sz w:val="23"/>
                          <w:szCs w:val="23"/>
                        </w:rPr>
                        <w:t>78</w:t>
                      </w:r>
                      <w:r>
                        <w:rPr>
                          <w:rFonts w:ascii="標楷體" w:eastAsia="標楷體" w:hAnsi="標楷體"/>
                          <w:sz w:val="23"/>
                          <w:szCs w:val="23"/>
                        </w:rPr>
                        <w:t>)</w:t>
                      </w:r>
                      <w:r>
                        <w:rPr>
                          <w:rFonts w:eastAsia="標楷體"/>
                          <w:sz w:val="23"/>
                          <w:szCs w:val="23"/>
                        </w:rPr>
                        <w:t xml:space="preserve">  </w:t>
                      </w:r>
                      <w:r>
                        <w:rPr>
                          <w:rFonts w:ascii="標楷體" w:eastAsia="標楷體" w:hAnsi="標楷體"/>
                          <w:sz w:val="23"/>
                          <w:szCs w:val="23"/>
                        </w:rPr>
                        <w:t>(</w:t>
                      </w:r>
                      <w:r>
                        <w:rPr>
                          <w:rFonts w:eastAsia="標楷體"/>
                          <w:sz w:val="23"/>
                          <w:szCs w:val="23"/>
                        </w:rPr>
                        <w:t>127</w:t>
                      </w:r>
                      <w:r>
                        <w:rPr>
                          <w:rFonts w:ascii="標楷體" w:eastAsia="標楷體" w:hAnsi="標楷體"/>
                          <w:sz w:val="23"/>
                          <w:szCs w:val="23"/>
                        </w:rPr>
                        <w:t>)</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209A2348" wp14:editId="54484065">
                <wp:simplePos x="0" y="0"/>
                <wp:positionH relativeFrom="column">
                  <wp:posOffset>107313</wp:posOffset>
                </wp:positionH>
                <wp:positionV relativeFrom="paragraph">
                  <wp:posOffset>1618616</wp:posOffset>
                </wp:positionV>
                <wp:extent cx="1875150" cy="3813"/>
                <wp:effectExtent l="0" t="0" r="10800" b="34287"/>
                <wp:wrapNone/>
                <wp:docPr id="81" name="直線接點 80"/>
                <wp:cNvGraphicFramePr/>
                <a:graphic xmlns:a="http://schemas.openxmlformats.org/drawingml/2006/main">
                  <a:graphicData uri="http://schemas.microsoft.com/office/word/2010/wordprocessingShape">
                    <wps:wsp>
                      <wps:cNvSpPr/>
                      <wps:spPr>
                        <a:xfrm>
                          <a:off x="0" y="0"/>
                          <a:ext cx="1875150" cy="3813"/>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12701">
                          <a:solidFill>
                            <a:srgbClr val="F68E38"/>
                          </a:solidFill>
                          <a:prstDash val="solid"/>
                          <a:round/>
                        </a:ln>
                      </wps:spPr>
                      <wps:bodyPr lIns="0" tIns="0" rIns="0" bIns="0"/>
                    </wps:wsp>
                  </a:graphicData>
                </a:graphic>
              </wp:anchor>
            </w:drawing>
          </mc:Choice>
          <mc:Fallback>
            <w:pict>
              <v:shape w14:anchorId="3F57DD89" id="直線接點 80" o:spid="_x0000_s1026" style="position:absolute;margin-left:8.45pt;margin-top:127.45pt;width:147.65pt;height:.3pt;z-index:251627008;visibility:visible;mso-wrap-style:square;mso-wrap-distance-left:9pt;mso-wrap-distance-top:0;mso-wrap-distance-right:9pt;mso-wrap-distance-bottom:0;mso-position-horizontal:absolute;mso-position-horizontal-relative:text;mso-position-vertical:absolute;mso-position-vertical-relative:text;v-text-anchor:top" coordsize="1875150,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" path="m,l1875150,3813e" filled="f" strokecolor="#f68e38" strokeweight=".35281mm">
                <v:path arrowok="t" o:connecttype="custom" o:connectlocs="937575,0;1875150,1907;937575,3813;0,1907;0,0;1875150,3813" o:connectangles="270,0,90,180,90,270" textboxrect="0,0,1875150,3813"/>
              </v:shape>
            </w:pict>
          </mc:Fallback>
        </mc:AlternateContent>
      </w:r>
      <w:r>
        <w:rPr>
          <w:noProof/>
        </w:rPr>
        <mc:AlternateContent>
          <mc:Choice Requires="wps">
            <w:drawing>
              <wp:anchor distT="0" distB="0" distL="114300" distR="114300" simplePos="0" relativeHeight="251624960" behindDoc="0" locked="0" layoutInCell="1" allowOverlap="1" wp14:anchorId="72DB4837" wp14:editId="616E6AE7">
                <wp:simplePos x="0" y="0"/>
                <wp:positionH relativeFrom="column">
                  <wp:posOffset>1744976</wp:posOffset>
                </wp:positionH>
                <wp:positionV relativeFrom="paragraph">
                  <wp:posOffset>168277</wp:posOffset>
                </wp:positionV>
                <wp:extent cx="220342" cy="1449067"/>
                <wp:effectExtent l="0" t="0" r="27308" b="17783"/>
                <wp:wrapNone/>
                <wp:docPr id="82" name="矩形 79"/>
                <wp:cNvGraphicFramePr/>
                <a:graphic xmlns:a="http://schemas.openxmlformats.org/drawingml/2006/main">
                  <a:graphicData uri="http://schemas.microsoft.com/office/word/2010/wordprocessingShape">
                    <wps:wsp>
                      <wps:cNvSpPr/>
                      <wps:spPr>
                        <a:xfrm>
                          <a:off x="0" y="0"/>
                          <a:ext cx="220342" cy="1449067"/>
                        </a:xfrm>
                        <a:prstGeom prst="rect">
                          <a:avLst/>
                        </a:prstGeom>
                        <a:solidFill>
                          <a:srgbClr val="FFC0B3"/>
                        </a:solidFill>
                        <a:ln w="9528">
                          <a:solidFill>
                            <a:srgbClr val="F68E38"/>
                          </a:solidFill>
                          <a:prstDash val="solid"/>
                          <a:miter/>
                        </a:ln>
                      </wps:spPr>
                      <wps:bodyPr lIns="0" tIns="0" rIns="0" bIns="0"/>
                    </wps:wsp>
                  </a:graphicData>
                </a:graphic>
              </wp:anchor>
            </w:drawing>
          </mc:Choice>
          <mc:Fallback>
            <w:pict>
              <v:rect w14:anchorId="1BA184BA" id="矩形 79" o:spid="_x0000_s1026" style="position:absolute;margin-left:137.4pt;margin-top:13.25pt;width:17.35pt;height:114.1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" fillcolor="#ffc0b3" strokecolor="#f68e38" strokeweight=".26467mm">
                <v:textbox inset="0,0,0,0"/>
              </v:rect>
            </w:pict>
          </mc:Fallback>
        </mc:AlternateContent>
      </w:r>
      <w:r>
        <w:rPr>
          <w:noProof/>
        </w:rPr>
        <mc:AlternateContent>
          <mc:Choice Requires="wps">
            <w:drawing>
              <wp:anchor distT="0" distB="0" distL="114300" distR="114300" simplePos="0" relativeHeight="251622912" behindDoc="0" locked="0" layoutInCell="1" allowOverlap="1" wp14:anchorId="640802BF" wp14:editId="225E49A2">
                <wp:simplePos x="0" y="0"/>
                <wp:positionH relativeFrom="column">
                  <wp:posOffset>871222</wp:posOffset>
                </wp:positionH>
                <wp:positionV relativeFrom="paragraph">
                  <wp:posOffset>1059817</wp:posOffset>
                </wp:positionV>
                <wp:extent cx="220342" cy="554985"/>
                <wp:effectExtent l="0" t="0" r="27308" b="16515"/>
                <wp:wrapNone/>
                <wp:docPr id="83" name="矩形 78"/>
                <wp:cNvGraphicFramePr/>
                <a:graphic xmlns:a="http://schemas.openxmlformats.org/drawingml/2006/main">
                  <a:graphicData uri="http://schemas.microsoft.com/office/word/2010/wordprocessingShape">
                    <wps:wsp>
                      <wps:cNvSpPr/>
                      <wps:spPr>
                        <a:xfrm>
                          <a:off x="0" y="0"/>
                          <a:ext cx="220342" cy="554985"/>
                        </a:xfrm>
                        <a:prstGeom prst="rect">
                          <a:avLst/>
                        </a:prstGeom>
                        <a:solidFill>
                          <a:srgbClr val="FFE6CD"/>
                        </a:solidFill>
                        <a:ln w="9528">
                          <a:solidFill>
                            <a:srgbClr val="F68E38"/>
                          </a:solidFill>
                          <a:prstDash val="solid"/>
                          <a:miter/>
                        </a:ln>
                      </wps:spPr>
                      <wps:bodyPr lIns="0" tIns="0" rIns="0" bIns="0"/>
                    </wps:wsp>
                  </a:graphicData>
                </a:graphic>
              </wp:anchor>
            </w:drawing>
          </mc:Choice>
          <mc:Fallback>
            <w:pict>
              <v:rect w14:anchorId="02AD4A43" id="矩形 78" o:spid="_x0000_s1026" style="position:absolute;margin-left:68.6pt;margin-top:83.45pt;width:17.35pt;height:43.7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" fillcolor="#ffe6cd" strokecolor="#f68e38" strokeweight=".26467mm">
                <v:textbox inset="0,0,0,0"/>
              </v:rect>
            </w:pict>
          </mc:Fallback>
        </mc:AlternateContent>
      </w:r>
      <w:r>
        <w:rPr>
          <w:noProof/>
        </w:rPr>
        <mc:AlternateContent>
          <mc:Choice Requires="wps">
            <w:drawing>
              <wp:anchor distT="0" distB="0" distL="114300" distR="114300" simplePos="0" relativeHeight="251623936" behindDoc="0" locked="0" layoutInCell="1" allowOverlap="1" wp14:anchorId="163B8314" wp14:editId="042044BA">
                <wp:simplePos x="0" y="0"/>
                <wp:positionH relativeFrom="column">
                  <wp:posOffset>1310636</wp:posOffset>
                </wp:positionH>
                <wp:positionV relativeFrom="paragraph">
                  <wp:posOffset>721361</wp:posOffset>
                </wp:positionV>
                <wp:extent cx="219712" cy="898526"/>
                <wp:effectExtent l="0" t="0" r="27938" b="15874"/>
                <wp:wrapNone/>
                <wp:docPr id="84" name="矩形 77"/>
                <wp:cNvGraphicFramePr/>
                <a:graphic xmlns:a="http://schemas.openxmlformats.org/drawingml/2006/main">
                  <a:graphicData uri="http://schemas.microsoft.com/office/word/2010/wordprocessingShape">
                    <wps:wsp>
                      <wps:cNvSpPr/>
                      <wps:spPr>
                        <a:xfrm>
                          <a:off x="0" y="0"/>
                          <a:ext cx="219712" cy="898526"/>
                        </a:xfrm>
                        <a:prstGeom prst="rect">
                          <a:avLst/>
                        </a:prstGeom>
                        <a:solidFill>
                          <a:srgbClr val="FFE6CD"/>
                        </a:solidFill>
                        <a:ln w="9528">
                          <a:solidFill>
                            <a:srgbClr val="F68E38"/>
                          </a:solidFill>
                          <a:prstDash val="solid"/>
                          <a:miter/>
                        </a:ln>
                      </wps:spPr>
                      <wps:bodyPr lIns="0" tIns="0" rIns="0" bIns="0"/>
                    </wps:wsp>
                  </a:graphicData>
                </a:graphic>
              </wp:anchor>
            </w:drawing>
          </mc:Choice>
          <mc:Fallback>
            <w:pict>
              <v:rect w14:anchorId="0B548159" id="矩形 77" o:spid="_x0000_s1026" style="position:absolute;margin-left:103.2pt;margin-top:56.8pt;width:17.3pt;height:70.7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" fillcolor="#ffe6cd" strokecolor="#f68e38" strokeweight=".26467mm">
                <v:textbox inset="0,0,0,0"/>
              </v:rect>
            </w:pict>
          </mc:Fallback>
        </mc:AlternateContent>
      </w:r>
      <w:r>
        <w:rPr>
          <w:noProof/>
        </w:rPr>
        <mc:AlternateContent>
          <mc:Choice Requires="wps">
            <w:drawing>
              <wp:anchor distT="0" distB="0" distL="114300" distR="114300" simplePos="0" relativeHeight="251621888" behindDoc="0" locked="0" layoutInCell="1" allowOverlap="1" wp14:anchorId="64F9385C" wp14:editId="47F40261">
                <wp:simplePos x="0" y="0"/>
                <wp:positionH relativeFrom="column">
                  <wp:posOffset>424811</wp:posOffset>
                </wp:positionH>
                <wp:positionV relativeFrom="paragraph">
                  <wp:posOffset>1339211</wp:posOffset>
                </wp:positionV>
                <wp:extent cx="220342" cy="277492"/>
                <wp:effectExtent l="0" t="0" r="27308" b="27308"/>
                <wp:wrapNone/>
                <wp:docPr id="85" name="矩形 76"/>
                <wp:cNvGraphicFramePr/>
                <a:graphic xmlns:a="http://schemas.openxmlformats.org/drawingml/2006/main">
                  <a:graphicData uri="http://schemas.microsoft.com/office/word/2010/wordprocessingShape">
                    <wps:wsp>
                      <wps:cNvSpPr/>
                      <wps:spPr>
                        <a:xfrm>
                          <a:off x="0" y="0"/>
                          <a:ext cx="220342" cy="277492"/>
                        </a:xfrm>
                        <a:prstGeom prst="rect">
                          <a:avLst/>
                        </a:prstGeom>
                        <a:solidFill>
                          <a:srgbClr val="FFE6CD"/>
                        </a:solidFill>
                        <a:ln w="9528">
                          <a:solidFill>
                            <a:srgbClr val="F68E38"/>
                          </a:solidFill>
                          <a:prstDash val="solid"/>
                          <a:miter/>
                        </a:ln>
                      </wps:spPr>
                      <wps:bodyPr lIns="0" tIns="0" rIns="0" bIns="0"/>
                    </wps:wsp>
                  </a:graphicData>
                </a:graphic>
              </wp:anchor>
            </w:drawing>
          </mc:Choice>
          <mc:Fallback>
            <w:pict>
              <v:rect w14:anchorId="6EA41BB1" id="矩形 76" o:spid="_x0000_s1026" style="position:absolute;margin-left:33.45pt;margin-top:105.45pt;width:17.35pt;height:21.8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" fillcolor="#ffe6cd" strokecolor="#f68e38" strokeweight=".26467mm">
                <v:textbox inset="0,0,0,0"/>
              </v:rect>
            </w:pict>
          </mc:Fallback>
        </mc:AlternateContent>
      </w:r>
      <w:r>
        <w:rPr>
          <w:rFonts w:eastAsia="標楷體"/>
          <w:b/>
          <w:sz w:val="30"/>
          <w:szCs w:val="30"/>
        </w:rPr>
        <w:object w:dxaOrig="5023" w:dyaOrig="3717" w14:anchorId="770C1EB9">
          <v:shape id="圖表 16" o:spid="_x0000_i1026" type="#_x0000_t75" style="width:251.15pt;height:185.85pt;visibility:visible;mso-wrap-style:square" o:ole="">
            <v:imagedata r:id="rId18" o:title=""/>
          </v:shape>
          <o:OLEObject Type="Embed" ProgID="Excel.Chart.8" ShapeID="圖表 16" DrawAspect="Content" ObjectID="_1720853756" r:id="rId19"/>
        </w:object>
      </w:r>
    </w:p>
    <w:p w14:paraId="64E8A00C" w14:textId="77777777" w:rsidR="00052596" w:rsidRDefault="00000000">
      <w:pPr>
        <w:overflowPunct w:val="0"/>
        <w:autoSpaceDE w:val="0"/>
        <w:spacing w:line="240" w:lineRule="atLeast"/>
        <w:ind w:firstLine="682"/>
        <w:rPr>
          <w:rFonts w:eastAsia="標楷體"/>
          <w:bCs/>
          <w:sz w:val="22"/>
          <w:szCs w:val="22"/>
        </w:rPr>
      </w:pPr>
      <w:r>
        <w:rPr>
          <w:rFonts w:eastAsia="標楷體"/>
          <w:bCs/>
          <w:sz w:val="22"/>
          <w:szCs w:val="22"/>
        </w:rPr>
        <w:t>註：括弧內為跨國企業家數。</w:t>
      </w:r>
    </w:p>
    <w:p w14:paraId="4B50D748" w14:textId="77777777" w:rsidR="00052596" w:rsidRDefault="00000000">
      <w:pPr>
        <w:overflowPunct w:val="0"/>
        <w:autoSpaceDE w:val="0"/>
        <w:spacing w:after="120" w:line="240" w:lineRule="atLeast"/>
        <w:ind w:left="440" w:hanging="440"/>
        <w:rPr>
          <w:rFonts w:eastAsia="標楷體"/>
          <w:bCs/>
          <w:sz w:val="22"/>
          <w:szCs w:val="22"/>
        </w:rPr>
      </w:pPr>
      <w:r>
        <w:rPr>
          <w:rFonts w:eastAsia="標楷體"/>
          <w:bCs/>
          <w:sz w:val="22"/>
          <w:szCs w:val="22"/>
        </w:rPr>
        <w:t>資料來源：</w:t>
      </w:r>
      <w:r>
        <w:rPr>
          <w:rFonts w:eastAsia="標楷體"/>
          <w:bCs/>
          <w:sz w:val="22"/>
          <w:szCs w:val="22"/>
        </w:rPr>
        <w:t>Fortune, Global 500</w:t>
      </w:r>
      <w:r>
        <w:rPr>
          <w:rFonts w:eastAsia="標楷體"/>
          <w:bCs/>
          <w:sz w:val="22"/>
          <w:szCs w:val="22"/>
        </w:rPr>
        <w:t>，各年。</w:t>
      </w:r>
    </w:p>
    <w:p w14:paraId="775FC6B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05720FD"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參、人口高齡化衝擊與因應</w:t>
      </w:r>
    </w:p>
    <w:p w14:paraId="199960E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C275356"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由於人類預期壽命延長、婦女生育率降低，全球人口結構高齡化現象已日益普遍。依聯合國「二十一世紀人口高齡化：成就與挑戰」報告預估，全球高齡人口</w:t>
      </w:r>
      <w:r>
        <w:rPr>
          <w:rFonts w:ascii="標楷體" w:eastAsia="標楷體" w:hAnsi="標楷體"/>
          <w:spacing w:val="4"/>
          <w:kern w:val="0"/>
          <w:sz w:val="28"/>
          <w:szCs w:val="26"/>
        </w:rPr>
        <w:t>(</w:t>
      </w:r>
      <w:r>
        <w:rPr>
          <w:rFonts w:eastAsia="標楷體"/>
          <w:spacing w:val="4"/>
          <w:kern w:val="0"/>
          <w:sz w:val="28"/>
          <w:szCs w:val="26"/>
        </w:rPr>
        <w:t>60</w:t>
      </w:r>
      <w:r>
        <w:rPr>
          <w:rFonts w:eastAsia="標楷體"/>
          <w:spacing w:val="4"/>
          <w:kern w:val="0"/>
          <w:sz w:val="28"/>
          <w:szCs w:val="26"/>
        </w:rPr>
        <w:t>歲以上</w:t>
      </w:r>
      <w:r>
        <w:rPr>
          <w:rFonts w:ascii="標楷體" w:eastAsia="標楷體" w:hAnsi="標楷體"/>
          <w:spacing w:val="4"/>
          <w:kern w:val="0"/>
          <w:sz w:val="28"/>
          <w:szCs w:val="26"/>
        </w:rPr>
        <w:t>)</w:t>
      </w:r>
      <w:r>
        <w:rPr>
          <w:rFonts w:eastAsia="標楷體"/>
          <w:spacing w:val="4"/>
          <w:kern w:val="0"/>
          <w:sz w:val="28"/>
          <w:szCs w:val="26"/>
        </w:rPr>
        <w:t>將由</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8.1</w:t>
      </w:r>
      <w:r>
        <w:rPr>
          <w:rFonts w:eastAsia="標楷體"/>
          <w:spacing w:val="4"/>
          <w:kern w:val="0"/>
          <w:sz w:val="28"/>
          <w:szCs w:val="26"/>
        </w:rPr>
        <w:t>億人劇增至</w:t>
      </w:r>
      <w:r>
        <w:rPr>
          <w:rFonts w:eastAsia="標楷體"/>
          <w:spacing w:val="4"/>
          <w:kern w:val="0"/>
          <w:sz w:val="28"/>
          <w:szCs w:val="26"/>
        </w:rPr>
        <w:t>2050</w:t>
      </w:r>
      <w:r>
        <w:rPr>
          <w:rFonts w:eastAsia="標楷體"/>
          <w:spacing w:val="4"/>
          <w:kern w:val="0"/>
          <w:sz w:val="28"/>
          <w:szCs w:val="26"/>
        </w:rPr>
        <w:t>年的</w:t>
      </w:r>
      <w:r>
        <w:rPr>
          <w:rFonts w:eastAsia="標楷體"/>
          <w:spacing w:val="4"/>
          <w:kern w:val="0"/>
          <w:sz w:val="28"/>
          <w:szCs w:val="26"/>
        </w:rPr>
        <w:t>20.3</w:t>
      </w:r>
      <w:r>
        <w:rPr>
          <w:rFonts w:eastAsia="標楷體"/>
          <w:spacing w:val="4"/>
          <w:kern w:val="0"/>
          <w:sz w:val="28"/>
          <w:szCs w:val="26"/>
        </w:rPr>
        <w:t>億人。由於醫藥發達，衛生條件改善，加以婦女生育率可能持續下降，未來全球人口結構高齡化現象恐難以逆轉。而隨著第二次世界大戰後，推動經濟蓬勃發展的嬰兒潮世代陸續屆臨退休，將對全球經濟、社會及政治產生重大衝擊。為減輕人口高齡化的嚴重衝擊，各國已相繼提出因應對策。</w:t>
      </w:r>
    </w:p>
    <w:p w14:paraId="7BB4E6C6"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一、人口高齡化趨勢及展望</w:t>
      </w:r>
    </w:p>
    <w:p w14:paraId="660646A5"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聯合國預估，全球人口結構高齡化加速，高齡人口占總人口比重將由</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11%</w:t>
      </w:r>
      <w:r>
        <w:rPr>
          <w:rFonts w:eastAsia="標楷體"/>
          <w:spacing w:val="4"/>
          <w:kern w:val="0"/>
          <w:sz w:val="28"/>
          <w:szCs w:val="26"/>
        </w:rPr>
        <w:t>，倍增至</w:t>
      </w:r>
      <w:r>
        <w:rPr>
          <w:rFonts w:eastAsia="標楷體"/>
          <w:spacing w:val="4"/>
          <w:kern w:val="0"/>
          <w:sz w:val="28"/>
          <w:szCs w:val="26"/>
        </w:rPr>
        <w:t>2050</w:t>
      </w:r>
      <w:r>
        <w:rPr>
          <w:rFonts w:eastAsia="標楷體"/>
          <w:spacing w:val="4"/>
          <w:kern w:val="0"/>
          <w:sz w:val="28"/>
          <w:szCs w:val="26"/>
        </w:rPr>
        <w:t>年的</w:t>
      </w:r>
      <w:r>
        <w:rPr>
          <w:rFonts w:eastAsia="標楷體"/>
          <w:spacing w:val="4"/>
          <w:kern w:val="0"/>
          <w:sz w:val="28"/>
          <w:szCs w:val="26"/>
        </w:rPr>
        <w:t>22%</w:t>
      </w:r>
      <w:r>
        <w:rPr>
          <w:rFonts w:eastAsia="標楷體"/>
          <w:spacing w:val="4"/>
          <w:kern w:val="0"/>
          <w:sz w:val="28"/>
          <w:szCs w:val="26"/>
        </w:rPr>
        <w:t>。其中，已開發經濟體人口高齡化程度較嚴重，而開發中經濟體高齡化速度則較快。</w:t>
      </w:r>
    </w:p>
    <w:p w14:paraId="19D1069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(一)人口結構高齡化原因</w:t>
      </w:r>
    </w:p>
    <w:p w14:paraId="02F61F0E"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lastRenderedPageBreak/>
        <w:t>由於醫療衛生水準進步，人類平均餘命不斷延長，加上婦女生育率普遍降低，少子女化問題日益嚴重，全球高齡社會正加速報到。</w:t>
      </w:r>
    </w:p>
    <w:p w14:paraId="371213E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－婦女生育率降低：</w:t>
      </w:r>
      <w:r>
        <w:rPr>
          <w:rFonts w:eastAsia="標楷體"/>
          <w:spacing w:val="4"/>
          <w:kern w:val="0"/>
          <w:sz w:val="28"/>
          <w:szCs w:val="26"/>
        </w:rPr>
        <w:t>2010-2015</w:t>
      </w:r>
      <w:r>
        <w:rPr>
          <w:rFonts w:eastAsia="標楷體"/>
          <w:spacing w:val="4"/>
          <w:kern w:val="0"/>
          <w:sz w:val="28"/>
          <w:szCs w:val="26"/>
        </w:rPr>
        <w:t>年，每位婦女平均生育嬰兒已由</w:t>
      </w:r>
      <w:r>
        <w:rPr>
          <w:rFonts w:eastAsia="標楷體"/>
          <w:spacing w:val="4"/>
          <w:kern w:val="0"/>
          <w:sz w:val="28"/>
          <w:szCs w:val="26"/>
        </w:rPr>
        <w:t>1950-1955</w:t>
      </w:r>
      <w:r>
        <w:rPr>
          <w:rFonts w:eastAsia="標楷體"/>
          <w:spacing w:val="4"/>
          <w:kern w:val="0"/>
          <w:sz w:val="28"/>
          <w:szCs w:val="26"/>
        </w:rPr>
        <w:t>年間的</w:t>
      </w:r>
      <w:r>
        <w:rPr>
          <w:rFonts w:eastAsia="標楷體"/>
          <w:spacing w:val="4"/>
          <w:kern w:val="0"/>
          <w:sz w:val="28"/>
          <w:szCs w:val="26"/>
        </w:rPr>
        <w:t>5</w:t>
      </w:r>
      <w:r>
        <w:rPr>
          <w:rFonts w:eastAsia="標楷體"/>
          <w:spacing w:val="4"/>
          <w:kern w:val="0"/>
          <w:sz w:val="28"/>
          <w:szCs w:val="26"/>
        </w:rPr>
        <w:t>人降至</w:t>
      </w:r>
      <w:r>
        <w:rPr>
          <w:rFonts w:eastAsia="標楷體"/>
          <w:spacing w:val="4"/>
          <w:kern w:val="0"/>
          <w:sz w:val="28"/>
          <w:szCs w:val="26"/>
        </w:rPr>
        <w:t>2.5</w:t>
      </w:r>
      <w:r>
        <w:rPr>
          <w:rFonts w:eastAsia="標楷體"/>
          <w:spacing w:val="4"/>
          <w:kern w:val="0"/>
          <w:sz w:val="28"/>
          <w:szCs w:val="26"/>
        </w:rPr>
        <w:t>人，預期至</w:t>
      </w:r>
      <w:r>
        <w:rPr>
          <w:rFonts w:eastAsia="標楷體"/>
          <w:spacing w:val="4"/>
          <w:kern w:val="0"/>
          <w:sz w:val="28"/>
          <w:szCs w:val="26"/>
        </w:rPr>
        <w:t>2045-2050</w:t>
      </w:r>
      <w:r>
        <w:rPr>
          <w:rFonts w:eastAsia="標楷體"/>
          <w:spacing w:val="4"/>
          <w:kern w:val="0"/>
          <w:sz w:val="28"/>
          <w:szCs w:val="26"/>
        </w:rPr>
        <w:t>年間將進一步降至</w:t>
      </w:r>
      <w:r>
        <w:rPr>
          <w:rFonts w:eastAsia="標楷體"/>
          <w:spacing w:val="4"/>
          <w:kern w:val="0"/>
          <w:sz w:val="28"/>
          <w:szCs w:val="26"/>
        </w:rPr>
        <w:t>2</w:t>
      </w:r>
      <w:r>
        <w:rPr>
          <w:rFonts w:eastAsia="標楷體"/>
          <w:spacing w:val="4"/>
          <w:kern w:val="0"/>
          <w:sz w:val="28"/>
          <w:szCs w:val="26"/>
        </w:rPr>
        <w:t>人。影響所及，</w:t>
      </w:r>
      <w:r>
        <w:rPr>
          <w:rFonts w:eastAsia="標楷體"/>
          <w:spacing w:val="4"/>
          <w:kern w:val="0"/>
          <w:sz w:val="28"/>
          <w:szCs w:val="26"/>
        </w:rPr>
        <w:t>1990</w:t>
      </w:r>
      <w:r>
        <w:rPr>
          <w:rFonts w:eastAsia="標楷體"/>
          <w:spacing w:val="4"/>
          <w:kern w:val="0"/>
          <w:sz w:val="28"/>
          <w:szCs w:val="26"/>
        </w:rPr>
        <w:t>年以後全球</w:t>
      </w:r>
      <w:r>
        <w:rPr>
          <w:rFonts w:eastAsia="標楷體"/>
          <w:spacing w:val="4"/>
          <w:kern w:val="0"/>
          <w:sz w:val="28"/>
          <w:szCs w:val="26"/>
        </w:rPr>
        <w:t>0-4</w:t>
      </w:r>
      <w:r>
        <w:rPr>
          <w:rFonts w:eastAsia="標楷體"/>
          <w:spacing w:val="4"/>
          <w:kern w:val="0"/>
          <w:sz w:val="28"/>
          <w:szCs w:val="26"/>
        </w:rPr>
        <w:t>歲幼兒人口已不再增加，</w:t>
      </w:r>
      <w:r>
        <w:rPr>
          <w:rFonts w:eastAsia="標楷體"/>
          <w:spacing w:val="4"/>
          <w:kern w:val="0"/>
          <w:sz w:val="28"/>
          <w:szCs w:val="26"/>
        </w:rPr>
        <w:t>2000</w:t>
      </w:r>
      <w:r>
        <w:rPr>
          <w:rFonts w:eastAsia="標楷體"/>
          <w:spacing w:val="4"/>
          <w:kern w:val="0"/>
          <w:sz w:val="28"/>
          <w:szCs w:val="26"/>
        </w:rPr>
        <w:t>年以後</w:t>
      </w:r>
      <w:r>
        <w:rPr>
          <w:rFonts w:eastAsia="標楷體"/>
          <w:spacing w:val="4"/>
          <w:kern w:val="0"/>
          <w:sz w:val="28"/>
          <w:szCs w:val="26"/>
        </w:rPr>
        <w:t>0-14</w:t>
      </w:r>
      <w:r>
        <w:rPr>
          <w:rFonts w:eastAsia="標楷體"/>
          <w:spacing w:val="4"/>
          <w:kern w:val="0"/>
          <w:sz w:val="28"/>
          <w:szCs w:val="26"/>
        </w:rPr>
        <w:t>歲幼年人口成長亦呈停滯。</w:t>
      </w:r>
    </w:p>
    <w:p w14:paraId="4B92917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－人類平均壽命延長：預估</w:t>
      </w:r>
      <w:r>
        <w:rPr>
          <w:rFonts w:eastAsia="標楷體"/>
          <w:spacing w:val="4"/>
          <w:kern w:val="0"/>
          <w:sz w:val="28"/>
          <w:szCs w:val="26"/>
        </w:rPr>
        <w:t>2010-2015</w:t>
      </w:r>
      <w:r>
        <w:rPr>
          <w:rFonts w:eastAsia="標楷體"/>
          <w:spacing w:val="4"/>
          <w:kern w:val="0"/>
          <w:sz w:val="28"/>
          <w:szCs w:val="26"/>
        </w:rPr>
        <w:t>年，已開發經濟體國民平均壽命為</w:t>
      </w:r>
      <w:r>
        <w:rPr>
          <w:rFonts w:eastAsia="標楷體"/>
          <w:spacing w:val="4"/>
          <w:kern w:val="0"/>
          <w:sz w:val="28"/>
          <w:szCs w:val="26"/>
        </w:rPr>
        <w:t>78</w:t>
      </w:r>
      <w:r>
        <w:rPr>
          <w:rFonts w:eastAsia="標楷體"/>
          <w:spacing w:val="4"/>
          <w:kern w:val="0"/>
          <w:sz w:val="28"/>
          <w:szCs w:val="26"/>
        </w:rPr>
        <w:t>歲，將較</w:t>
      </w:r>
      <w:r>
        <w:rPr>
          <w:rFonts w:eastAsia="標楷體"/>
          <w:spacing w:val="4"/>
          <w:kern w:val="0"/>
          <w:sz w:val="28"/>
          <w:szCs w:val="26"/>
        </w:rPr>
        <w:t>1900</w:t>
      </w:r>
      <w:r>
        <w:rPr>
          <w:rFonts w:eastAsia="標楷體"/>
          <w:spacing w:val="4"/>
          <w:kern w:val="0"/>
          <w:sz w:val="28"/>
          <w:szCs w:val="26"/>
        </w:rPr>
        <w:t>年時提高近</w:t>
      </w:r>
      <w:r>
        <w:rPr>
          <w:rFonts w:eastAsia="標楷體"/>
          <w:spacing w:val="4"/>
          <w:kern w:val="0"/>
          <w:sz w:val="28"/>
          <w:szCs w:val="26"/>
        </w:rPr>
        <w:t>30</w:t>
      </w:r>
      <w:r>
        <w:rPr>
          <w:rFonts w:eastAsia="標楷體"/>
          <w:spacing w:val="4"/>
          <w:kern w:val="0"/>
          <w:sz w:val="28"/>
          <w:szCs w:val="26"/>
        </w:rPr>
        <w:t>歲，開發中經濟體則為</w:t>
      </w:r>
      <w:r>
        <w:rPr>
          <w:rFonts w:eastAsia="標楷體"/>
          <w:spacing w:val="4"/>
          <w:kern w:val="0"/>
          <w:sz w:val="28"/>
          <w:szCs w:val="26"/>
        </w:rPr>
        <w:t>68</w:t>
      </w:r>
      <w:r>
        <w:rPr>
          <w:rFonts w:eastAsia="標楷體"/>
          <w:spacing w:val="4"/>
          <w:kern w:val="0"/>
          <w:sz w:val="28"/>
          <w:szCs w:val="26"/>
        </w:rPr>
        <w:t>歲；</w:t>
      </w:r>
      <w:r>
        <w:rPr>
          <w:rFonts w:eastAsia="標楷體"/>
          <w:spacing w:val="4"/>
          <w:kern w:val="0"/>
          <w:sz w:val="28"/>
          <w:szCs w:val="26"/>
        </w:rPr>
        <w:t>2045-2050</w:t>
      </w:r>
      <w:r>
        <w:rPr>
          <w:rFonts w:eastAsia="標楷體"/>
          <w:spacing w:val="4"/>
          <w:kern w:val="0"/>
          <w:sz w:val="28"/>
          <w:szCs w:val="26"/>
        </w:rPr>
        <w:t>年，預期已開發經濟體人口平均預期壽命將增為</w:t>
      </w:r>
      <w:r>
        <w:rPr>
          <w:rFonts w:eastAsia="標楷體"/>
          <w:spacing w:val="4"/>
          <w:kern w:val="0"/>
          <w:sz w:val="28"/>
          <w:szCs w:val="26"/>
        </w:rPr>
        <w:t>83</w:t>
      </w:r>
      <w:r>
        <w:rPr>
          <w:rFonts w:eastAsia="標楷體"/>
          <w:spacing w:val="4"/>
          <w:kern w:val="0"/>
          <w:sz w:val="28"/>
          <w:szCs w:val="26"/>
        </w:rPr>
        <w:t>歲，開發中經濟體則為</w:t>
      </w:r>
      <w:r>
        <w:rPr>
          <w:rFonts w:eastAsia="標楷體"/>
          <w:spacing w:val="4"/>
          <w:kern w:val="0"/>
          <w:sz w:val="28"/>
          <w:szCs w:val="26"/>
        </w:rPr>
        <w:t>74</w:t>
      </w:r>
      <w:r>
        <w:rPr>
          <w:rFonts w:eastAsia="標楷體"/>
          <w:spacing w:val="4"/>
          <w:kern w:val="0"/>
          <w:sz w:val="28"/>
          <w:szCs w:val="26"/>
        </w:rPr>
        <w:t>歲。</w:t>
      </w:r>
    </w:p>
    <w:p w14:paraId="50E4299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(二)全球人口結構高齡化趨勢</w:t>
      </w:r>
    </w:p>
    <w:p w14:paraId="5C1CAD78"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2012-2050</w:t>
      </w:r>
      <w:r>
        <w:rPr>
          <w:rFonts w:eastAsia="標楷體"/>
          <w:spacing w:val="4"/>
          <w:kern w:val="0"/>
          <w:sz w:val="28"/>
          <w:szCs w:val="26"/>
        </w:rPr>
        <w:t>年全球人口不僅將持續高齡化，且</w:t>
      </w:r>
      <w:r>
        <w:rPr>
          <w:rFonts w:eastAsia="標楷體"/>
          <w:spacing w:val="4"/>
          <w:kern w:val="0"/>
          <w:sz w:val="28"/>
          <w:szCs w:val="26"/>
        </w:rPr>
        <w:t>80</w:t>
      </w:r>
      <w:r>
        <w:rPr>
          <w:rFonts w:eastAsia="標楷體"/>
          <w:spacing w:val="4"/>
          <w:kern w:val="0"/>
          <w:sz w:val="28"/>
          <w:szCs w:val="26"/>
        </w:rPr>
        <w:t>歲以上的高齡人口將以更快速度增加，而</w:t>
      </w:r>
      <w:r>
        <w:rPr>
          <w:rFonts w:eastAsia="標楷體"/>
          <w:spacing w:val="4"/>
          <w:kern w:val="0"/>
          <w:sz w:val="28"/>
          <w:szCs w:val="26"/>
        </w:rPr>
        <w:t>60</w:t>
      </w:r>
      <w:r>
        <w:rPr>
          <w:rFonts w:eastAsia="標楷體"/>
          <w:spacing w:val="4"/>
          <w:kern w:val="0"/>
          <w:sz w:val="28"/>
          <w:szCs w:val="26"/>
        </w:rPr>
        <w:t>歲以上人口占總人口比重超過</w:t>
      </w:r>
      <w:r>
        <w:rPr>
          <w:rFonts w:eastAsia="標楷體"/>
          <w:spacing w:val="4"/>
          <w:kern w:val="0"/>
          <w:sz w:val="28"/>
          <w:szCs w:val="26"/>
        </w:rPr>
        <w:t>3</w:t>
      </w:r>
      <w:r>
        <w:rPr>
          <w:rFonts w:eastAsia="標楷體"/>
          <w:spacing w:val="4"/>
          <w:kern w:val="0"/>
          <w:sz w:val="28"/>
          <w:szCs w:val="26"/>
        </w:rPr>
        <w:t>成的國家亦將大幅增加。其中，開發中經濟體人口高齡化速度將超過已開發經濟體，另已開發經濟體</w:t>
      </w:r>
      <w:r>
        <w:rPr>
          <w:rFonts w:eastAsia="標楷體"/>
          <w:spacing w:val="4"/>
          <w:kern w:val="0"/>
          <w:sz w:val="28"/>
          <w:szCs w:val="26"/>
        </w:rPr>
        <w:t>15-64</w:t>
      </w:r>
      <w:r>
        <w:rPr>
          <w:rFonts w:eastAsia="標楷體"/>
          <w:spacing w:val="4"/>
          <w:kern w:val="0"/>
          <w:sz w:val="28"/>
          <w:szCs w:val="26"/>
        </w:rPr>
        <w:t>歲勞動人口數量將下降。</w:t>
      </w:r>
    </w:p>
    <w:p w14:paraId="5337BB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－全球人口結構高齡化速度加快：預估</w:t>
      </w:r>
      <w:r>
        <w:rPr>
          <w:rFonts w:eastAsia="標楷體"/>
          <w:spacing w:val="4"/>
          <w:kern w:val="0"/>
          <w:sz w:val="28"/>
          <w:szCs w:val="26"/>
        </w:rPr>
        <w:t>2050</w:t>
      </w:r>
      <w:r>
        <w:rPr>
          <w:rFonts w:eastAsia="標楷體"/>
          <w:spacing w:val="4"/>
          <w:kern w:val="0"/>
          <w:sz w:val="28"/>
          <w:szCs w:val="26"/>
        </w:rPr>
        <w:t>年全球高齡人口將由</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8.1</w:t>
      </w:r>
      <w:r>
        <w:rPr>
          <w:rFonts w:eastAsia="標楷體"/>
          <w:spacing w:val="4"/>
          <w:kern w:val="0"/>
          <w:sz w:val="28"/>
          <w:szCs w:val="26"/>
        </w:rPr>
        <w:t>億人，增加</w:t>
      </w:r>
      <w:r>
        <w:rPr>
          <w:rFonts w:eastAsia="標楷體"/>
          <w:spacing w:val="4"/>
          <w:kern w:val="0"/>
          <w:sz w:val="28"/>
          <w:szCs w:val="26"/>
        </w:rPr>
        <w:t>2.5</w:t>
      </w:r>
      <w:r>
        <w:rPr>
          <w:rFonts w:eastAsia="標楷體"/>
          <w:spacing w:val="4"/>
          <w:kern w:val="0"/>
          <w:sz w:val="28"/>
          <w:szCs w:val="26"/>
        </w:rPr>
        <w:t>倍至</w:t>
      </w:r>
      <w:r>
        <w:rPr>
          <w:rFonts w:eastAsia="標楷體"/>
          <w:spacing w:val="4"/>
          <w:kern w:val="0"/>
          <w:sz w:val="28"/>
          <w:szCs w:val="26"/>
        </w:rPr>
        <w:t>20.3</w:t>
      </w:r>
      <w:r>
        <w:rPr>
          <w:rFonts w:eastAsia="標楷體"/>
          <w:spacing w:val="4"/>
          <w:kern w:val="0"/>
          <w:sz w:val="28"/>
          <w:szCs w:val="26"/>
        </w:rPr>
        <w:t>億人；其中，</w:t>
      </w:r>
      <w:r>
        <w:rPr>
          <w:rFonts w:eastAsia="標楷體"/>
          <w:spacing w:val="4"/>
          <w:kern w:val="0"/>
          <w:sz w:val="28"/>
          <w:szCs w:val="26"/>
        </w:rPr>
        <w:t>80</w:t>
      </w:r>
      <w:r>
        <w:rPr>
          <w:rFonts w:eastAsia="標楷體"/>
          <w:spacing w:val="4"/>
          <w:kern w:val="0"/>
          <w:sz w:val="28"/>
          <w:szCs w:val="26"/>
        </w:rPr>
        <w:t>歲以上人口將由</w:t>
      </w:r>
      <w:r>
        <w:rPr>
          <w:rFonts w:eastAsia="標楷體"/>
          <w:spacing w:val="4"/>
          <w:kern w:val="0"/>
          <w:sz w:val="28"/>
          <w:szCs w:val="26"/>
        </w:rPr>
        <w:t>1.1</w:t>
      </w:r>
      <w:r>
        <w:rPr>
          <w:rFonts w:eastAsia="標楷體"/>
          <w:spacing w:val="4"/>
          <w:kern w:val="0"/>
          <w:sz w:val="28"/>
          <w:szCs w:val="26"/>
        </w:rPr>
        <w:t>億人，增加</w:t>
      </w:r>
      <w:r>
        <w:rPr>
          <w:rFonts w:eastAsia="標楷體"/>
          <w:spacing w:val="4"/>
          <w:kern w:val="0"/>
          <w:sz w:val="28"/>
          <w:szCs w:val="26"/>
        </w:rPr>
        <w:t>3.6</w:t>
      </w:r>
      <w:r>
        <w:rPr>
          <w:rFonts w:eastAsia="標楷體"/>
          <w:spacing w:val="4"/>
          <w:kern w:val="0"/>
          <w:sz w:val="28"/>
          <w:szCs w:val="26"/>
        </w:rPr>
        <w:t>倍至</w:t>
      </w:r>
      <w:r>
        <w:rPr>
          <w:rFonts w:eastAsia="標楷體"/>
          <w:spacing w:val="4"/>
          <w:kern w:val="0"/>
          <w:sz w:val="28"/>
          <w:szCs w:val="26"/>
        </w:rPr>
        <w:t>4.0</w:t>
      </w:r>
      <w:r>
        <w:rPr>
          <w:rFonts w:eastAsia="標楷體"/>
          <w:spacing w:val="4"/>
          <w:kern w:val="0"/>
          <w:sz w:val="28"/>
          <w:szCs w:val="26"/>
        </w:rPr>
        <w:t>億人；百歲以上人瑞亦將由</w:t>
      </w:r>
      <w:r>
        <w:rPr>
          <w:rFonts w:eastAsia="標楷體"/>
          <w:spacing w:val="4"/>
          <w:kern w:val="0"/>
          <w:sz w:val="28"/>
          <w:szCs w:val="26"/>
        </w:rPr>
        <w:t>34.3</w:t>
      </w:r>
      <w:r>
        <w:rPr>
          <w:rFonts w:eastAsia="標楷體"/>
          <w:spacing w:val="4"/>
          <w:kern w:val="0"/>
          <w:sz w:val="28"/>
          <w:szCs w:val="26"/>
        </w:rPr>
        <w:t>萬人，增加將近</w:t>
      </w:r>
      <w:r>
        <w:rPr>
          <w:rFonts w:eastAsia="標楷體"/>
          <w:spacing w:val="4"/>
          <w:kern w:val="0"/>
          <w:sz w:val="28"/>
          <w:szCs w:val="26"/>
        </w:rPr>
        <w:t>10</w:t>
      </w:r>
      <w:r>
        <w:rPr>
          <w:rFonts w:eastAsia="標楷體"/>
          <w:spacing w:val="4"/>
          <w:kern w:val="0"/>
          <w:sz w:val="28"/>
          <w:szCs w:val="26"/>
        </w:rPr>
        <w:t>倍至</w:t>
      </w:r>
      <w:r>
        <w:rPr>
          <w:rFonts w:eastAsia="標楷體"/>
          <w:spacing w:val="4"/>
          <w:kern w:val="0"/>
          <w:sz w:val="28"/>
          <w:szCs w:val="26"/>
        </w:rPr>
        <w:t>320</w:t>
      </w:r>
      <w:r>
        <w:rPr>
          <w:rFonts w:eastAsia="標楷體"/>
          <w:spacing w:val="4"/>
          <w:kern w:val="0"/>
          <w:sz w:val="28"/>
          <w:szCs w:val="26"/>
        </w:rPr>
        <w:t>萬人。預估在</w:t>
      </w:r>
      <w:r>
        <w:rPr>
          <w:rFonts w:eastAsia="標楷體"/>
          <w:spacing w:val="4"/>
          <w:kern w:val="0"/>
          <w:sz w:val="28"/>
          <w:szCs w:val="26"/>
        </w:rPr>
        <w:t>2050</w:t>
      </w:r>
      <w:r>
        <w:rPr>
          <w:rFonts w:eastAsia="標楷體"/>
          <w:spacing w:val="4"/>
          <w:kern w:val="0"/>
          <w:sz w:val="28"/>
          <w:szCs w:val="26"/>
        </w:rPr>
        <w:t>年以前，全球高齡人口將首度超過</w:t>
      </w:r>
      <w:r>
        <w:rPr>
          <w:rFonts w:eastAsia="標楷體"/>
          <w:spacing w:val="4"/>
          <w:kern w:val="0"/>
          <w:sz w:val="28"/>
          <w:szCs w:val="26"/>
        </w:rPr>
        <w:t>15</w:t>
      </w:r>
      <w:r>
        <w:rPr>
          <w:rFonts w:eastAsia="標楷體"/>
          <w:spacing w:val="4"/>
          <w:kern w:val="0"/>
          <w:sz w:val="28"/>
          <w:szCs w:val="26"/>
        </w:rPr>
        <w:t>歲以下的幼年人口。</w:t>
      </w:r>
    </w:p>
    <w:p w14:paraId="1C117424" w14:textId="77777777" w:rsidR="00052596" w:rsidRDefault="00000000">
      <w:pPr>
        <w:overflowPunct w:val="0"/>
        <w:autoSpaceDE w:val="0"/>
        <w:snapToGrid w:val="0"/>
        <w:spacing w:before="360" w:after="240" w:line="280" w:lineRule="exact"/>
        <w:jc w:val="center"/>
        <w:textAlignment w:val="center"/>
        <w:rPr>
          <w:rFonts w:eastAsia="標楷體"/>
          <w:b/>
          <w:color w:val="0000FF"/>
          <w:kern w:val="0"/>
          <w:sz w:val="26"/>
          <w:szCs w:val="26"/>
        </w:rPr>
      </w:pPr>
      <w:r>
        <w:rPr>
          <w:rFonts w:eastAsia="標楷體"/>
          <w:b/>
          <w:color w:val="0000FF"/>
          <w:kern w:val="0"/>
          <w:sz w:val="26"/>
          <w:szCs w:val="26"/>
        </w:rPr>
        <w:t>表</w:t>
      </w:r>
      <w:r>
        <w:rPr>
          <w:rFonts w:eastAsia="標楷體"/>
          <w:b/>
          <w:color w:val="0000FF"/>
          <w:kern w:val="0"/>
          <w:sz w:val="26"/>
          <w:szCs w:val="26"/>
        </w:rPr>
        <w:t>1.1.5</w:t>
      </w:r>
      <w:r>
        <w:rPr>
          <w:rFonts w:eastAsia="標楷體"/>
          <w:b/>
          <w:color w:val="0000FF"/>
          <w:kern w:val="0"/>
          <w:sz w:val="26"/>
          <w:szCs w:val="26"/>
        </w:rPr>
        <w:t xml:space="preserve">　全球人口結構高齡化重要數據</w:t>
      </w:r>
    </w:p>
    <w:tbl>
      <w:tblPr>
        <w:tblW w:w="8007" w:type="dxa"/>
        <w:tblInd w:w="542" w:type="dxa"/>
        <w:tblLayout w:type="fixed"/>
        <w:tblCellMar>
          <w:left w:w="10" w:type="dxa"/>
          <w:right w:w="10" w:type="dxa"/>
        </w:tblCellMar>
        <w:tblLook w:val="04A0" w:firstRow="1" w:lastRow="0" w:firstColumn="1" w:lastColumn="0" w:noHBand="0" w:noVBand="1"/>
      </w:tblPr>
      <w:tblGrid>
        <w:gridCol w:w="5085"/>
        <w:gridCol w:w="1461"/>
        <w:gridCol w:w="1461"/>
      </w:tblGrid>
      <w:tr w:rsidR="00052596" w14:paraId="55F620F4" w14:textId="77777777">
        <w:tblPrEx>
          <w:tblCellMar>
            <w:top w:w="0" w:type="dxa"/>
            <w:bottom w:w="0" w:type="dxa"/>
          </w:tblCellMar>
        </w:tblPrEx>
        <w:trPr>
          <w:trHeight w:hRule="exact" w:val="391"/>
        </w:trPr>
        <w:tc>
          <w:tcPr>
            <w:tcW w:w="508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4A15C8C" w14:textId="77777777" w:rsidR="00052596" w:rsidRDefault="00052596">
            <w:pPr>
              <w:snapToGrid w:val="0"/>
              <w:spacing w:line="360" w:lineRule="exact"/>
              <w:jc w:val="both"/>
              <w:rPr>
                <w:rFonts w:eastAsia="標楷體"/>
                <w:kern w:val="0"/>
              </w:rPr>
            </w:pP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684E0A" w14:textId="77777777" w:rsidR="00052596" w:rsidRDefault="00000000">
            <w:pPr>
              <w:snapToGrid w:val="0"/>
              <w:spacing w:line="240" w:lineRule="atLeast"/>
              <w:jc w:val="center"/>
              <w:rPr>
                <w:rFonts w:eastAsia="標楷體"/>
                <w:kern w:val="0"/>
              </w:rPr>
            </w:pPr>
            <w:r>
              <w:rPr>
                <w:rFonts w:eastAsia="標楷體"/>
                <w:kern w:val="0"/>
              </w:rPr>
              <w:t>2012</w:t>
            </w:r>
          </w:p>
        </w:tc>
        <w:tc>
          <w:tcPr>
            <w:tcW w:w="1461"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center"/>
          </w:tcPr>
          <w:p w14:paraId="45868DAE" w14:textId="77777777" w:rsidR="00052596" w:rsidRDefault="00000000">
            <w:pPr>
              <w:snapToGrid w:val="0"/>
              <w:spacing w:line="240" w:lineRule="atLeast"/>
              <w:jc w:val="center"/>
              <w:rPr>
                <w:rFonts w:eastAsia="標楷體"/>
                <w:kern w:val="0"/>
              </w:rPr>
            </w:pPr>
            <w:r>
              <w:rPr>
                <w:rFonts w:eastAsia="標楷體"/>
                <w:kern w:val="0"/>
              </w:rPr>
              <w:t>2050</w:t>
            </w:r>
          </w:p>
        </w:tc>
      </w:tr>
      <w:tr w:rsidR="00052596" w14:paraId="14FF6539" w14:textId="77777777">
        <w:tblPrEx>
          <w:tblCellMar>
            <w:top w:w="0" w:type="dxa"/>
            <w:bottom w:w="0" w:type="dxa"/>
          </w:tblCellMar>
        </w:tblPrEx>
        <w:trPr>
          <w:trHeight w:hRule="exact" w:val="426"/>
        </w:trPr>
        <w:tc>
          <w:tcPr>
            <w:tcW w:w="5085" w:type="dxa"/>
            <w:tcBorders>
              <w:top w:val="single" w:sz="4" w:space="0" w:color="000000"/>
              <w:right w:val="single" w:sz="4" w:space="0" w:color="000000"/>
            </w:tcBorders>
            <w:shd w:val="clear" w:color="auto" w:fill="auto"/>
            <w:noWrap/>
            <w:tcMar>
              <w:top w:w="0" w:type="dxa"/>
              <w:left w:w="108" w:type="dxa"/>
              <w:bottom w:w="0" w:type="dxa"/>
              <w:right w:w="108" w:type="dxa"/>
            </w:tcMar>
            <w:vAlign w:val="center"/>
          </w:tcPr>
          <w:p w14:paraId="5E5B1B30" w14:textId="77777777" w:rsidR="00052596" w:rsidRDefault="00000000">
            <w:pPr>
              <w:snapToGrid w:val="0"/>
              <w:spacing w:line="360" w:lineRule="exact"/>
              <w:jc w:val="both"/>
            </w:pPr>
            <w:r>
              <w:rPr>
                <w:rFonts w:eastAsia="標楷體"/>
                <w:kern w:val="0"/>
              </w:rPr>
              <w:t>全球高齡人口數量</w:t>
            </w:r>
            <w:r>
              <w:rPr>
                <w:rFonts w:ascii="標楷體" w:eastAsia="標楷體" w:hAnsi="標楷體"/>
                <w:kern w:val="0"/>
              </w:rPr>
              <w:t>(千人)</w:t>
            </w:r>
          </w:p>
        </w:tc>
        <w:tc>
          <w:tcPr>
            <w:tcW w:w="1461" w:type="dxa"/>
            <w:tcBorders>
              <w:top w:val="single" w:sz="4" w:space="0" w:color="000000"/>
              <w:left w:val="single" w:sz="4" w:space="0" w:color="000000"/>
              <w:right w:val="single" w:sz="4" w:space="0" w:color="000000"/>
            </w:tcBorders>
            <w:shd w:val="clear" w:color="auto" w:fill="auto"/>
            <w:noWrap/>
            <w:tcMar>
              <w:top w:w="0" w:type="dxa"/>
              <w:left w:w="108" w:type="dxa"/>
              <w:bottom w:w="0" w:type="dxa"/>
              <w:right w:w="108" w:type="dxa"/>
            </w:tcMar>
            <w:vAlign w:val="center"/>
          </w:tcPr>
          <w:p w14:paraId="682EE583" w14:textId="77777777" w:rsidR="00052596" w:rsidRDefault="00000000">
            <w:pPr>
              <w:snapToGrid w:val="0"/>
              <w:spacing w:line="360" w:lineRule="exact"/>
              <w:jc w:val="center"/>
              <w:rPr>
                <w:rFonts w:eastAsia="標楷體"/>
                <w:kern w:val="0"/>
              </w:rPr>
            </w:pPr>
            <w:r>
              <w:rPr>
                <w:rFonts w:eastAsia="標楷體"/>
                <w:kern w:val="0"/>
              </w:rPr>
              <w:t>809,743</w:t>
            </w:r>
          </w:p>
        </w:tc>
        <w:tc>
          <w:tcPr>
            <w:tcW w:w="1461" w:type="dxa"/>
            <w:tcBorders>
              <w:top w:val="single" w:sz="4" w:space="0" w:color="000000"/>
              <w:left w:val="single" w:sz="4" w:space="0" w:color="000000"/>
            </w:tcBorders>
            <w:shd w:val="clear" w:color="auto" w:fill="auto"/>
            <w:noWrap/>
            <w:tcMar>
              <w:top w:w="0" w:type="dxa"/>
              <w:left w:w="108" w:type="dxa"/>
              <w:bottom w:w="0" w:type="dxa"/>
              <w:right w:w="108" w:type="dxa"/>
            </w:tcMar>
            <w:vAlign w:val="center"/>
          </w:tcPr>
          <w:p w14:paraId="6A27D410" w14:textId="77777777" w:rsidR="00052596" w:rsidRDefault="00000000">
            <w:pPr>
              <w:snapToGrid w:val="0"/>
              <w:spacing w:line="360" w:lineRule="exact"/>
              <w:jc w:val="center"/>
              <w:rPr>
                <w:rFonts w:eastAsia="標楷體"/>
                <w:kern w:val="0"/>
              </w:rPr>
            </w:pPr>
            <w:r>
              <w:rPr>
                <w:rFonts w:eastAsia="標楷體"/>
                <w:kern w:val="0"/>
              </w:rPr>
              <w:t>2,031,337</w:t>
            </w:r>
          </w:p>
        </w:tc>
      </w:tr>
      <w:tr w:rsidR="00052596" w14:paraId="02CBA05A" w14:textId="77777777">
        <w:tblPrEx>
          <w:tblCellMar>
            <w:top w:w="0" w:type="dxa"/>
            <w:bottom w:w="0" w:type="dxa"/>
          </w:tblCellMar>
        </w:tblPrEx>
        <w:trPr>
          <w:trHeight w:hRule="exact" w:val="408"/>
        </w:trPr>
        <w:tc>
          <w:tcPr>
            <w:tcW w:w="5085" w:type="dxa"/>
            <w:tcBorders>
              <w:right w:val="single" w:sz="4" w:space="0" w:color="000000"/>
            </w:tcBorders>
            <w:shd w:val="clear" w:color="auto" w:fill="auto"/>
            <w:noWrap/>
            <w:tcMar>
              <w:top w:w="0" w:type="dxa"/>
              <w:left w:w="108" w:type="dxa"/>
              <w:bottom w:w="0" w:type="dxa"/>
              <w:right w:w="108" w:type="dxa"/>
            </w:tcMar>
            <w:vAlign w:val="center"/>
          </w:tcPr>
          <w:p w14:paraId="24DAF567" w14:textId="77777777" w:rsidR="00052596" w:rsidRDefault="00000000">
            <w:pPr>
              <w:snapToGrid w:val="0"/>
              <w:spacing w:line="360" w:lineRule="exact"/>
              <w:jc w:val="both"/>
            </w:pPr>
            <w:r>
              <w:rPr>
                <w:rFonts w:eastAsia="標楷體"/>
                <w:kern w:val="0"/>
              </w:rPr>
              <w:t>全球高齡人口占總人口百分比</w:t>
            </w:r>
            <w:r>
              <w:rPr>
                <w:rFonts w:ascii="標楷體" w:eastAsia="標楷體" w:hAnsi="標楷體"/>
                <w:kern w:val="0"/>
              </w:rPr>
              <w:t>(</w:t>
            </w:r>
            <w:r>
              <w:rPr>
                <w:rFonts w:eastAsia="標楷體"/>
                <w:kern w:val="0"/>
              </w:rPr>
              <w:t>%</w:t>
            </w:r>
            <w:r>
              <w:rPr>
                <w:rFonts w:ascii="標楷體" w:eastAsia="標楷體" w:hAnsi="標楷體"/>
                <w:kern w:val="0"/>
              </w:rPr>
              <w:t>)</w:t>
            </w:r>
          </w:p>
        </w:tc>
        <w:tc>
          <w:tcPr>
            <w:tcW w:w="1461"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7F054502" w14:textId="77777777" w:rsidR="00052596" w:rsidRDefault="00000000">
            <w:pPr>
              <w:snapToGrid w:val="0"/>
              <w:spacing w:line="360" w:lineRule="exact"/>
              <w:jc w:val="center"/>
              <w:rPr>
                <w:rFonts w:eastAsia="標楷體"/>
                <w:kern w:val="0"/>
              </w:rPr>
            </w:pPr>
            <w:r>
              <w:rPr>
                <w:rFonts w:eastAsia="標楷體"/>
                <w:kern w:val="0"/>
              </w:rPr>
              <w:t>11</w:t>
            </w:r>
          </w:p>
        </w:tc>
        <w:tc>
          <w:tcPr>
            <w:tcW w:w="1461" w:type="dxa"/>
            <w:tcBorders>
              <w:left w:val="single" w:sz="4" w:space="0" w:color="000000"/>
            </w:tcBorders>
            <w:shd w:val="clear" w:color="auto" w:fill="auto"/>
            <w:noWrap/>
            <w:tcMar>
              <w:top w:w="0" w:type="dxa"/>
              <w:left w:w="108" w:type="dxa"/>
              <w:bottom w:w="0" w:type="dxa"/>
              <w:right w:w="108" w:type="dxa"/>
            </w:tcMar>
            <w:vAlign w:val="center"/>
          </w:tcPr>
          <w:p w14:paraId="083560B4" w14:textId="77777777" w:rsidR="00052596" w:rsidRDefault="00000000">
            <w:pPr>
              <w:snapToGrid w:val="0"/>
              <w:spacing w:line="360" w:lineRule="exact"/>
              <w:jc w:val="center"/>
              <w:rPr>
                <w:rFonts w:eastAsia="標楷體"/>
                <w:kern w:val="0"/>
              </w:rPr>
            </w:pPr>
            <w:r>
              <w:rPr>
                <w:rFonts w:eastAsia="標楷體"/>
                <w:kern w:val="0"/>
              </w:rPr>
              <w:t>22</w:t>
            </w:r>
          </w:p>
        </w:tc>
      </w:tr>
      <w:tr w:rsidR="00052596" w14:paraId="67BCD62C" w14:textId="77777777">
        <w:tblPrEx>
          <w:tblCellMar>
            <w:top w:w="0" w:type="dxa"/>
            <w:bottom w:w="0" w:type="dxa"/>
          </w:tblCellMar>
        </w:tblPrEx>
        <w:trPr>
          <w:trHeight w:hRule="exact" w:val="427"/>
        </w:trPr>
        <w:tc>
          <w:tcPr>
            <w:tcW w:w="5085" w:type="dxa"/>
            <w:tcBorders>
              <w:right w:val="single" w:sz="4" w:space="0" w:color="000000"/>
            </w:tcBorders>
            <w:shd w:val="clear" w:color="auto" w:fill="auto"/>
            <w:noWrap/>
            <w:tcMar>
              <w:top w:w="0" w:type="dxa"/>
              <w:left w:w="108" w:type="dxa"/>
              <w:bottom w:w="0" w:type="dxa"/>
              <w:right w:w="108" w:type="dxa"/>
            </w:tcMar>
            <w:vAlign w:val="center"/>
          </w:tcPr>
          <w:p w14:paraId="58D350B2" w14:textId="77777777" w:rsidR="00052596" w:rsidRDefault="00000000">
            <w:pPr>
              <w:snapToGrid w:val="0"/>
              <w:spacing w:line="360" w:lineRule="exact"/>
              <w:jc w:val="both"/>
            </w:pPr>
            <w:r>
              <w:rPr>
                <w:rFonts w:eastAsia="標楷體"/>
                <w:kern w:val="0"/>
              </w:rPr>
              <w:t>全球</w:t>
            </w:r>
            <w:r>
              <w:rPr>
                <w:rFonts w:eastAsia="標楷體"/>
                <w:kern w:val="0"/>
              </w:rPr>
              <w:t>80</w:t>
            </w:r>
            <w:r>
              <w:rPr>
                <w:rFonts w:eastAsia="標楷體"/>
                <w:kern w:val="0"/>
              </w:rPr>
              <w:t>歲以上人口占高齡人口百分</w:t>
            </w:r>
            <w:r>
              <w:rPr>
                <w:rFonts w:ascii="標楷體" w:eastAsia="標楷體" w:hAnsi="標楷體"/>
                <w:kern w:val="0"/>
              </w:rPr>
              <w:t>比(</w:t>
            </w:r>
            <w:r>
              <w:rPr>
                <w:rFonts w:eastAsia="標楷體"/>
                <w:kern w:val="0"/>
              </w:rPr>
              <w:t>%</w:t>
            </w:r>
            <w:r>
              <w:rPr>
                <w:rFonts w:ascii="標楷體" w:eastAsia="標楷體" w:hAnsi="標楷體"/>
                <w:kern w:val="0"/>
              </w:rPr>
              <w:t>)</w:t>
            </w:r>
          </w:p>
        </w:tc>
        <w:tc>
          <w:tcPr>
            <w:tcW w:w="1461"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3DCB98C1" w14:textId="77777777" w:rsidR="00052596" w:rsidRDefault="00000000">
            <w:pPr>
              <w:snapToGrid w:val="0"/>
              <w:spacing w:line="360" w:lineRule="exact"/>
              <w:jc w:val="center"/>
              <w:rPr>
                <w:rFonts w:eastAsia="標楷體"/>
                <w:kern w:val="0"/>
              </w:rPr>
            </w:pPr>
            <w:r>
              <w:rPr>
                <w:rFonts w:eastAsia="標楷體"/>
                <w:kern w:val="0"/>
              </w:rPr>
              <w:t>14</w:t>
            </w:r>
          </w:p>
        </w:tc>
        <w:tc>
          <w:tcPr>
            <w:tcW w:w="1461" w:type="dxa"/>
            <w:tcBorders>
              <w:left w:val="single" w:sz="4" w:space="0" w:color="000000"/>
            </w:tcBorders>
            <w:shd w:val="clear" w:color="auto" w:fill="auto"/>
            <w:noWrap/>
            <w:tcMar>
              <w:top w:w="0" w:type="dxa"/>
              <w:left w:w="108" w:type="dxa"/>
              <w:bottom w:w="0" w:type="dxa"/>
              <w:right w:w="108" w:type="dxa"/>
            </w:tcMar>
            <w:vAlign w:val="center"/>
          </w:tcPr>
          <w:p w14:paraId="46AFF7A9" w14:textId="77777777" w:rsidR="00052596" w:rsidRDefault="00000000">
            <w:pPr>
              <w:snapToGrid w:val="0"/>
              <w:spacing w:line="360" w:lineRule="exact"/>
              <w:jc w:val="center"/>
              <w:rPr>
                <w:rFonts w:eastAsia="標楷體"/>
                <w:kern w:val="0"/>
              </w:rPr>
            </w:pPr>
            <w:r>
              <w:rPr>
                <w:rFonts w:eastAsia="標楷體"/>
                <w:kern w:val="0"/>
              </w:rPr>
              <w:t>20</w:t>
            </w:r>
          </w:p>
        </w:tc>
      </w:tr>
      <w:tr w:rsidR="00052596" w14:paraId="5B134BC1" w14:textId="77777777">
        <w:tblPrEx>
          <w:tblCellMar>
            <w:top w:w="0" w:type="dxa"/>
            <w:bottom w:w="0" w:type="dxa"/>
          </w:tblCellMar>
        </w:tblPrEx>
        <w:trPr>
          <w:trHeight w:hRule="exact" w:val="419"/>
        </w:trPr>
        <w:tc>
          <w:tcPr>
            <w:tcW w:w="508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27156A3" w14:textId="77777777" w:rsidR="00052596" w:rsidRDefault="00000000">
            <w:pPr>
              <w:snapToGrid w:val="0"/>
              <w:spacing w:line="360" w:lineRule="exact"/>
              <w:jc w:val="both"/>
            </w:pPr>
            <w:r>
              <w:rPr>
                <w:rFonts w:eastAsia="標楷體"/>
                <w:kern w:val="0"/>
              </w:rPr>
              <w:t>全球高齡人口兩性比重</w:t>
            </w:r>
            <w:r>
              <w:rPr>
                <w:rFonts w:ascii="標楷體" w:eastAsia="標楷體" w:hAnsi="標楷體"/>
                <w:kern w:val="0"/>
              </w:rPr>
              <w:t>((</w:t>
            </w:r>
            <w:r>
              <w:rPr>
                <w:rFonts w:eastAsia="標楷體"/>
                <w:kern w:val="0"/>
              </w:rPr>
              <w:t>男性／女性</w:t>
            </w:r>
            <w:r>
              <w:rPr>
                <w:rFonts w:ascii="標楷體" w:eastAsia="標楷體" w:hAnsi="標楷體"/>
                <w:kern w:val="0"/>
              </w:rPr>
              <w:t>)</w:t>
            </w:r>
            <w:r>
              <w:rPr>
                <w:rFonts w:eastAsia="標楷體"/>
                <w:kern w:val="0"/>
              </w:rPr>
              <w:t>*100</w:t>
            </w:r>
            <w:r>
              <w:rPr>
                <w:rFonts w:ascii="標楷體" w:eastAsia="標楷體" w:hAnsi="標楷體"/>
                <w:kern w:val="0"/>
              </w:rPr>
              <w:t>)</w:t>
            </w:r>
          </w:p>
        </w:tc>
        <w:tc>
          <w:tcPr>
            <w:tcW w:w="146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1158055" w14:textId="77777777" w:rsidR="00052596" w:rsidRDefault="00000000">
            <w:pPr>
              <w:snapToGrid w:val="0"/>
              <w:spacing w:line="360" w:lineRule="exact"/>
              <w:jc w:val="center"/>
              <w:rPr>
                <w:rFonts w:eastAsia="標楷體"/>
                <w:kern w:val="0"/>
              </w:rPr>
            </w:pPr>
            <w:r>
              <w:rPr>
                <w:rFonts w:eastAsia="標楷體"/>
                <w:kern w:val="0"/>
              </w:rPr>
              <w:t>84</w:t>
            </w:r>
          </w:p>
        </w:tc>
        <w:tc>
          <w:tcPr>
            <w:tcW w:w="1461" w:type="dxa"/>
            <w:tcBorders>
              <w:left w:val="single" w:sz="4" w:space="0" w:color="000000"/>
              <w:bottom w:val="single" w:sz="4" w:space="0" w:color="000000"/>
            </w:tcBorders>
            <w:shd w:val="clear" w:color="auto" w:fill="auto"/>
            <w:noWrap/>
            <w:tcMar>
              <w:top w:w="0" w:type="dxa"/>
              <w:left w:w="108" w:type="dxa"/>
              <w:bottom w:w="0" w:type="dxa"/>
              <w:right w:w="108" w:type="dxa"/>
            </w:tcMar>
            <w:vAlign w:val="center"/>
          </w:tcPr>
          <w:p w14:paraId="10E923E9" w14:textId="77777777" w:rsidR="00052596" w:rsidRDefault="00000000">
            <w:pPr>
              <w:snapToGrid w:val="0"/>
              <w:spacing w:line="360" w:lineRule="exact"/>
              <w:jc w:val="center"/>
              <w:rPr>
                <w:rFonts w:eastAsia="標楷體"/>
                <w:kern w:val="0"/>
              </w:rPr>
            </w:pPr>
            <w:r>
              <w:rPr>
                <w:rFonts w:eastAsia="標楷體"/>
                <w:kern w:val="0"/>
              </w:rPr>
              <w:t>86</w:t>
            </w:r>
          </w:p>
        </w:tc>
      </w:tr>
    </w:tbl>
    <w:p w14:paraId="0E4E081A" w14:textId="77777777" w:rsidR="00052596" w:rsidRDefault="00000000">
      <w:pPr>
        <w:overflowPunct w:val="0"/>
        <w:autoSpaceDE w:val="0"/>
        <w:spacing w:before="72" w:after="120" w:line="280" w:lineRule="exact"/>
        <w:ind w:left="1480" w:hanging="1000"/>
        <w:jc w:val="both"/>
        <w:textAlignment w:val="center"/>
      </w:pPr>
      <w:r>
        <w:rPr>
          <w:rFonts w:ascii="標楷體" w:eastAsia="標楷體" w:hAnsi="標楷體"/>
          <w:kern w:val="0"/>
          <w:sz w:val="20"/>
        </w:rPr>
        <w:t>資料來源：</w:t>
      </w:r>
      <w:r>
        <w:rPr>
          <w:rFonts w:eastAsia="華康楷書體W5"/>
          <w:kern w:val="0"/>
          <w:sz w:val="20"/>
        </w:rPr>
        <w:t>Population Aging and Development 2012, United Nations.</w:t>
      </w:r>
    </w:p>
    <w:p w14:paraId="629990E1" w14:textId="77777777" w:rsidR="00052596" w:rsidRDefault="00000000">
      <w:pPr>
        <w:tabs>
          <w:tab w:val="left" w:pos="960"/>
          <w:tab w:val="left" w:pos="1920"/>
          <w:tab w:val="left" w:pos="2880"/>
          <w:tab w:val="left" w:pos="3840"/>
          <w:tab w:val="left" w:pos="4800"/>
          <w:tab w:val="left" w:pos="5760"/>
        </w:tabs>
        <w:overflowPunct w:val="0"/>
        <w:autoSpaceDE w:val="0"/>
        <w:spacing w:before="360" w:line="420" w:lineRule="exact"/>
        <w:ind w:left="1080" w:hanging="288"/>
        <w:jc w:val="both"/>
        <w:textAlignment w:val="center"/>
        <w:rPr>
          <w:rFonts w:eastAsia="標楷體"/>
          <w:spacing w:val="4"/>
          <w:kern w:val="0"/>
          <w:sz w:val="28"/>
          <w:szCs w:val="26"/>
        </w:rPr>
      </w:pPr>
      <w:r>
        <w:rPr>
          <w:rFonts w:eastAsia="標楷體"/>
          <w:spacing w:val="4"/>
          <w:kern w:val="0"/>
          <w:sz w:val="28"/>
          <w:szCs w:val="26"/>
        </w:rPr>
        <w:lastRenderedPageBreak/>
        <w:t>－高齡人口占總人口比重超過</w:t>
      </w:r>
      <w:r>
        <w:rPr>
          <w:rFonts w:eastAsia="標楷體"/>
          <w:spacing w:val="4"/>
          <w:kern w:val="0"/>
          <w:sz w:val="28"/>
          <w:szCs w:val="26"/>
        </w:rPr>
        <w:t>3</w:t>
      </w:r>
      <w:r>
        <w:rPr>
          <w:rFonts w:eastAsia="標楷體"/>
          <w:spacing w:val="4"/>
          <w:kern w:val="0"/>
          <w:sz w:val="28"/>
          <w:szCs w:val="26"/>
        </w:rPr>
        <w:t>成的國家數大幅增加：</w:t>
      </w:r>
      <w:r>
        <w:rPr>
          <w:rFonts w:eastAsia="標楷體"/>
          <w:spacing w:val="4"/>
          <w:kern w:val="0"/>
          <w:sz w:val="28"/>
          <w:szCs w:val="26"/>
        </w:rPr>
        <w:t>2012</w:t>
      </w:r>
      <w:r>
        <w:rPr>
          <w:rFonts w:eastAsia="標楷體"/>
          <w:spacing w:val="4"/>
          <w:kern w:val="0"/>
          <w:sz w:val="28"/>
          <w:szCs w:val="26"/>
        </w:rPr>
        <w:t>年，高齡人口比重超過</w:t>
      </w:r>
      <w:r>
        <w:rPr>
          <w:rFonts w:eastAsia="標楷體"/>
          <w:spacing w:val="4"/>
          <w:kern w:val="0"/>
          <w:sz w:val="28"/>
          <w:szCs w:val="26"/>
        </w:rPr>
        <w:t>3</w:t>
      </w:r>
      <w:r>
        <w:rPr>
          <w:rFonts w:eastAsia="標楷體"/>
          <w:spacing w:val="4"/>
          <w:kern w:val="0"/>
          <w:sz w:val="28"/>
          <w:szCs w:val="26"/>
        </w:rPr>
        <w:t>成的國家僅有日本，至</w:t>
      </w:r>
      <w:r>
        <w:rPr>
          <w:rFonts w:eastAsia="標楷體"/>
          <w:spacing w:val="4"/>
          <w:kern w:val="0"/>
          <w:sz w:val="28"/>
          <w:szCs w:val="26"/>
        </w:rPr>
        <w:t>2050</w:t>
      </w:r>
      <w:r>
        <w:rPr>
          <w:rFonts w:eastAsia="標楷體"/>
          <w:spacing w:val="4"/>
          <w:kern w:val="0"/>
          <w:sz w:val="28"/>
          <w:szCs w:val="26"/>
        </w:rPr>
        <w:t>年，將多達</w:t>
      </w:r>
      <w:r>
        <w:rPr>
          <w:rFonts w:eastAsia="標楷體"/>
          <w:spacing w:val="4"/>
          <w:kern w:val="0"/>
          <w:sz w:val="28"/>
          <w:szCs w:val="26"/>
        </w:rPr>
        <w:t>64</w:t>
      </w:r>
      <w:r>
        <w:rPr>
          <w:rFonts w:eastAsia="標楷體"/>
          <w:spacing w:val="4"/>
          <w:kern w:val="0"/>
          <w:sz w:val="28"/>
          <w:szCs w:val="26"/>
        </w:rPr>
        <w:t>個國家，其中日本高齡人口比重更將升達</w:t>
      </w:r>
      <w:r>
        <w:rPr>
          <w:rFonts w:eastAsia="標楷體"/>
          <w:spacing w:val="4"/>
          <w:kern w:val="0"/>
          <w:sz w:val="28"/>
          <w:szCs w:val="26"/>
        </w:rPr>
        <w:t>41.5%</w:t>
      </w:r>
      <w:r>
        <w:rPr>
          <w:rFonts w:eastAsia="標楷體"/>
          <w:spacing w:val="4"/>
          <w:kern w:val="0"/>
          <w:sz w:val="28"/>
          <w:szCs w:val="26"/>
        </w:rPr>
        <w:t>。</w:t>
      </w:r>
    </w:p>
    <w:p w14:paraId="3857F3DC" w14:textId="77777777" w:rsidR="00052596" w:rsidRDefault="00000000">
      <w:pPr>
        <w:overflowPunct w:val="0"/>
        <w:autoSpaceDE w:val="0"/>
        <w:snapToGrid w:val="0"/>
        <w:spacing w:before="240" w:after="24" w:line="280" w:lineRule="exact"/>
        <w:jc w:val="center"/>
        <w:textAlignment w:val="center"/>
        <w:rPr>
          <w:rFonts w:eastAsia="標楷體"/>
          <w:b/>
          <w:color w:val="0000FF"/>
          <w:kern w:val="0"/>
          <w:sz w:val="26"/>
          <w:szCs w:val="26"/>
        </w:rPr>
      </w:pPr>
      <w:r>
        <w:rPr>
          <w:rFonts w:eastAsia="標楷體"/>
          <w:b/>
          <w:color w:val="0000FF"/>
          <w:kern w:val="0"/>
          <w:sz w:val="26"/>
          <w:szCs w:val="26"/>
        </w:rPr>
        <w:t>表</w:t>
      </w:r>
      <w:r>
        <w:rPr>
          <w:rFonts w:eastAsia="標楷體"/>
          <w:b/>
          <w:color w:val="0000FF"/>
          <w:kern w:val="0"/>
          <w:sz w:val="26"/>
          <w:szCs w:val="26"/>
        </w:rPr>
        <w:t>1.1.6</w:t>
      </w:r>
      <w:r>
        <w:rPr>
          <w:rFonts w:eastAsia="標楷體"/>
          <w:b/>
          <w:color w:val="0000FF"/>
          <w:kern w:val="0"/>
          <w:sz w:val="26"/>
          <w:szCs w:val="26"/>
        </w:rPr>
        <w:t xml:space="preserve">　高齡人口比重最高的國家</w:t>
      </w:r>
    </w:p>
    <w:p w14:paraId="21331CE2" w14:textId="77777777" w:rsidR="00052596" w:rsidRDefault="00000000">
      <w:pPr>
        <w:widowControl/>
        <w:tabs>
          <w:tab w:val="left" w:pos="960"/>
          <w:tab w:val="left" w:pos="1920"/>
          <w:tab w:val="left" w:pos="2880"/>
          <w:tab w:val="left" w:pos="3840"/>
          <w:tab w:val="left" w:pos="4800"/>
          <w:tab w:val="left" w:pos="5760"/>
        </w:tabs>
        <w:overflowPunct w:val="0"/>
        <w:autoSpaceDE w:val="0"/>
        <w:snapToGrid w:val="0"/>
        <w:spacing w:line="240" w:lineRule="exact"/>
        <w:ind w:right="281"/>
        <w:jc w:val="right"/>
        <w:textAlignment w:val="center"/>
        <w:rPr>
          <w:rFonts w:eastAsia="標楷體"/>
          <w:kern w:val="0"/>
          <w:sz w:val="20"/>
        </w:rPr>
      </w:pPr>
      <w:r>
        <w:rPr>
          <w:rFonts w:eastAsia="標楷體"/>
          <w:kern w:val="0"/>
          <w:sz w:val="20"/>
        </w:rPr>
        <w:t>單位：</w:t>
      </w:r>
      <w:r>
        <w:rPr>
          <w:rFonts w:eastAsia="標楷體"/>
          <w:kern w:val="0"/>
          <w:sz w:val="20"/>
        </w:rPr>
        <w:t>%</w:t>
      </w:r>
    </w:p>
    <w:tbl>
      <w:tblPr>
        <w:tblW w:w="4708" w:type="pct"/>
        <w:jc w:val="center"/>
        <w:tblCellMar>
          <w:left w:w="10" w:type="dxa"/>
          <w:right w:w="10" w:type="dxa"/>
        </w:tblCellMar>
        <w:tblLook w:val="04A0" w:firstRow="1" w:lastRow="0" w:firstColumn="1" w:lastColumn="0" w:noHBand="0" w:noVBand="1"/>
      </w:tblPr>
      <w:tblGrid>
        <w:gridCol w:w="1756"/>
        <w:gridCol w:w="2322"/>
        <w:gridCol w:w="1744"/>
        <w:gridCol w:w="2186"/>
      </w:tblGrid>
      <w:tr w:rsidR="00052596" w14:paraId="29A34A90" w14:textId="77777777">
        <w:tblPrEx>
          <w:tblCellMar>
            <w:top w:w="0" w:type="dxa"/>
            <w:bottom w:w="0" w:type="dxa"/>
          </w:tblCellMar>
        </w:tblPrEx>
        <w:trPr>
          <w:trHeight w:hRule="exact" w:val="312"/>
          <w:jc w:val="center"/>
        </w:trPr>
        <w:tc>
          <w:tcPr>
            <w:tcW w:w="4183"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7DB66" w14:textId="77777777" w:rsidR="00052596" w:rsidRDefault="00000000">
            <w:pPr>
              <w:snapToGrid w:val="0"/>
              <w:spacing w:line="240" w:lineRule="atLeast"/>
              <w:jc w:val="center"/>
              <w:rPr>
                <w:rFonts w:eastAsia="標楷體"/>
                <w:bCs/>
                <w:kern w:val="0"/>
              </w:rPr>
            </w:pPr>
            <w:r>
              <w:rPr>
                <w:rFonts w:eastAsia="標楷體"/>
                <w:bCs/>
                <w:kern w:val="0"/>
              </w:rPr>
              <w:t>2012</w:t>
            </w:r>
          </w:p>
        </w:tc>
        <w:tc>
          <w:tcPr>
            <w:tcW w:w="402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D8B4F8" w14:textId="77777777" w:rsidR="00052596" w:rsidRDefault="00000000">
            <w:pPr>
              <w:snapToGrid w:val="0"/>
              <w:spacing w:line="240" w:lineRule="atLeast"/>
              <w:jc w:val="center"/>
              <w:rPr>
                <w:rFonts w:eastAsia="標楷體"/>
                <w:bCs/>
                <w:kern w:val="0"/>
              </w:rPr>
            </w:pPr>
            <w:r>
              <w:rPr>
                <w:rFonts w:eastAsia="標楷體"/>
                <w:bCs/>
                <w:kern w:val="0"/>
              </w:rPr>
              <w:t>2050</w:t>
            </w:r>
          </w:p>
        </w:tc>
      </w:tr>
      <w:tr w:rsidR="00052596" w14:paraId="4F18A7D5" w14:textId="77777777">
        <w:tblPrEx>
          <w:tblCellMar>
            <w:top w:w="0" w:type="dxa"/>
            <w:bottom w:w="0" w:type="dxa"/>
          </w:tblCellMar>
        </w:tblPrEx>
        <w:trPr>
          <w:trHeight w:hRule="exact" w:val="312"/>
          <w:jc w:val="center"/>
        </w:trPr>
        <w:tc>
          <w:tcPr>
            <w:tcW w:w="18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04030" w14:textId="77777777" w:rsidR="00052596" w:rsidRDefault="00000000">
            <w:pPr>
              <w:snapToGrid w:val="0"/>
              <w:spacing w:line="240" w:lineRule="atLeast"/>
              <w:jc w:val="center"/>
              <w:rPr>
                <w:rFonts w:eastAsia="標楷體"/>
                <w:bCs/>
                <w:kern w:val="0"/>
              </w:rPr>
            </w:pPr>
            <w:r>
              <w:rPr>
                <w:rFonts w:eastAsia="標楷體"/>
                <w:bCs/>
                <w:kern w:val="0"/>
              </w:rPr>
              <w:t>國家</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B7564" w14:textId="77777777" w:rsidR="00052596" w:rsidRDefault="00000000">
            <w:pPr>
              <w:snapToGrid w:val="0"/>
              <w:spacing w:line="240" w:lineRule="atLeast"/>
              <w:jc w:val="center"/>
              <w:rPr>
                <w:rFonts w:eastAsia="標楷體"/>
                <w:bCs/>
                <w:kern w:val="0"/>
              </w:rPr>
            </w:pPr>
            <w:r>
              <w:rPr>
                <w:rFonts w:eastAsia="標楷體"/>
                <w:bCs/>
                <w:kern w:val="0"/>
              </w:rPr>
              <w:t>60</w:t>
            </w:r>
            <w:r>
              <w:rPr>
                <w:rFonts w:eastAsia="標楷體"/>
                <w:bCs/>
                <w:kern w:val="0"/>
              </w:rPr>
              <w:t>歲以上人口比重</w:t>
            </w: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32BDC" w14:textId="77777777" w:rsidR="00052596" w:rsidRDefault="00000000">
            <w:pPr>
              <w:snapToGrid w:val="0"/>
              <w:spacing w:line="240" w:lineRule="atLeast"/>
              <w:jc w:val="center"/>
              <w:rPr>
                <w:rFonts w:eastAsia="標楷體"/>
                <w:bCs/>
                <w:kern w:val="0"/>
              </w:rPr>
            </w:pPr>
            <w:r>
              <w:rPr>
                <w:rFonts w:eastAsia="標楷體"/>
                <w:bCs/>
                <w:kern w:val="0"/>
              </w:rPr>
              <w:t>國家</w:t>
            </w:r>
          </w:p>
        </w:tc>
        <w:tc>
          <w:tcPr>
            <w:tcW w:w="22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A6690C" w14:textId="77777777" w:rsidR="00052596" w:rsidRDefault="00000000">
            <w:pPr>
              <w:snapToGrid w:val="0"/>
              <w:spacing w:line="240" w:lineRule="atLeast"/>
              <w:jc w:val="center"/>
              <w:rPr>
                <w:rFonts w:eastAsia="標楷體"/>
                <w:bCs/>
                <w:kern w:val="0"/>
              </w:rPr>
            </w:pPr>
            <w:r>
              <w:rPr>
                <w:rFonts w:eastAsia="標楷體"/>
                <w:bCs/>
                <w:kern w:val="0"/>
              </w:rPr>
              <w:t>60</w:t>
            </w:r>
            <w:r>
              <w:rPr>
                <w:rFonts w:eastAsia="標楷體"/>
                <w:bCs/>
                <w:kern w:val="0"/>
              </w:rPr>
              <w:t>歲以上人口比重</w:t>
            </w:r>
          </w:p>
        </w:tc>
      </w:tr>
      <w:tr w:rsidR="00052596" w14:paraId="4DEE9545" w14:textId="77777777">
        <w:tblPrEx>
          <w:tblCellMar>
            <w:top w:w="0" w:type="dxa"/>
            <w:bottom w:w="0" w:type="dxa"/>
          </w:tblCellMar>
        </w:tblPrEx>
        <w:trPr>
          <w:trHeight w:hRule="exact" w:val="312"/>
          <w:jc w:val="center"/>
        </w:trPr>
        <w:tc>
          <w:tcPr>
            <w:tcW w:w="1802"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7FEB723D" w14:textId="77777777" w:rsidR="00052596" w:rsidRDefault="00000000">
            <w:pPr>
              <w:snapToGrid w:val="0"/>
              <w:spacing w:line="290" w:lineRule="exact"/>
              <w:jc w:val="center"/>
              <w:rPr>
                <w:rFonts w:eastAsia="標楷體"/>
                <w:bCs/>
                <w:kern w:val="0"/>
              </w:rPr>
            </w:pPr>
            <w:r>
              <w:rPr>
                <w:rFonts w:eastAsia="標楷體"/>
                <w:bCs/>
                <w:kern w:val="0"/>
              </w:rPr>
              <w:t>日本</w:t>
            </w:r>
          </w:p>
        </w:tc>
        <w:tc>
          <w:tcPr>
            <w:tcW w:w="238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68A8287" w14:textId="77777777" w:rsidR="00052596" w:rsidRDefault="00000000">
            <w:pPr>
              <w:snapToGrid w:val="0"/>
              <w:spacing w:line="290" w:lineRule="exact"/>
              <w:jc w:val="center"/>
              <w:rPr>
                <w:rFonts w:eastAsia="標楷體"/>
                <w:bCs/>
                <w:kern w:val="0"/>
              </w:rPr>
            </w:pPr>
            <w:r>
              <w:rPr>
                <w:rFonts w:eastAsia="標楷體"/>
                <w:bCs/>
                <w:kern w:val="0"/>
              </w:rPr>
              <w:t>31.6</w:t>
            </w:r>
          </w:p>
        </w:tc>
        <w:tc>
          <w:tcPr>
            <w:tcW w:w="178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ABE2BF8" w14:textId="77777777" w:rsidR="00052596" w:rsidRDefault="00000000">
            <w:pPr>
              <w:snapToGrid w:val="0"/>
              <w:spacing w:line="290" w:lineRule="exact"/>
              <w:jc w:val="center"/>
              <w:rPr>
                <w:rFonts w:eastAsia="標楷體"/>
                <w:bCs/>
                <w:kern w:val="0"/>
              </w:rPr>
            </w:pPr>
            <w:r>
              <w:rPr>
                <w:rFonts w:eastAsia="標楷體"/>
                <w:bCs/>
                <w:kern w:val="0"/>
              </w:rPr>
              <w:t>日本</w:t>
            </w:r>
          </w:p>
        </w:tc>
        <w:tc>
          <w:tcPr>
            <w:tcW w:w="2240"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3CA9820A" w14:textId="77777777" w:rsidR="00052596" w:rsidRDefault="00000000">
            <w:pPr>
              <w:snapToGrid w:val="0"/>
              <w:spacing w:line="290" w:lineRule="exact"/>
              <w:jc w:val="center"/>
              <w:rPr>
                <w:rFonts w:eastAsia="標楷體"/>
                <w:bCs/>
                <w:kern w:val="0"/>
              </w:rPr>
            </w:pPr>
            <w:r>
              <w:rPr>
                <w:rFonts w:eastAsia="標楷體"/>
                <w:bCs/>
                <w:kern w:val="0"/>
              </w:rPr>
              <w:t>41.5</w:t>
            </w:r>
          </w:p>
        </w:tc>
      </w:tr>
      <w:tr w:rsidR="00052596" w14:paraId="765B9DC7" w14:textId="77777777">
        <w:tblPrEx>
          <w:tblCellMar>
            <w:top w:w="0" w:type="dxa"/>
            <w:bottom w:w="0" w:type="dxa"/>
          </w:tblCellMar>
        </w:tblPrEx>
        <w:trPr>
          <w:trHeight w:hRule="exact" w:val="312"/>
          <w:jc w:val="center"/>
        </w:trPr>
        <w:tc>
          <w:tcPr>
            <w:tcW w:w="1802" w:type="dxa"/>
            <w:tcBorders>
              <w:right w:val="single" w:sz="4" w:space="0" w:color="000000"/>
            </w:tcBorders>
            <w:shd w:val="clear" w:color="auto" w:fill="auto"/>
            <w:tcMar>
              <w:top w:w="0" w:type="dxa"/>
              <w:left w:w="108" w:type="dxa"/>
              <w:bottom w:w="0" w:type="dxa"/>
              <w:right w:w="108" w:type="dxa"/>
            </w:tcMar>
            <w:vAlign w:val="center"/>
          </w:tcPr>
          <w:p w14:paraId="54E15786" w14:textId="77777777" w:rsidR="00052596" w:rsidRDefault="00000000">
            <w:pPr>
              <w:snapToGrid w:val="0"/>
              <w:spacing w:line="290" w:lineRule="exact"/>
              <w:jc w:val="center"/>
              <w:rPr>
                <w:rFonts w:eastAsia="標楷體"/>
                <w:bCs/>
                <w:kern w:val="0"/>
              </w:rPr>
            </w:pPr>
            <w:r>
              <w:rPr>
                <w:rFonts w:eastAsia="標楷體"/>
                <w:bCs/>
                <w:kern w:val="0"/>
              </w:rPr>
              <w:t>義大利</w:t>
            </w:r>
          </w:p>
        </w:tc>
        <w:tc>
          <w:tcPr>
            <w:tcW w:w="238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E79940" w14:textId="77777777" w:rsidR="00052596" w:rsidRDefault="00000000">
            <w:pPr>
              <w:snapToGrid w:val="0"/>
              <w:spacing w:line="290" w:lineRule="exact"/>
              <w:jc w:val="center"/>
              <w:rPr>
                <w:rFonts w:eastAsia="標楷體"/>
                <w:bCs/>
                <w:kern w:val="0"/>
              </w:rPr>
            </w:pPr>
            <w:r>
              <w:rPr>
                <w:rFonts w:eastAsia="標楷體"/>
                <w:bCs/>
                <w:kern w:val="0"/>
              </w:rPr>
              <w:t>27.0</w:t>
            </w:r>
          </w:p>
        </w:tc>
        <w:tc>
          <w:tcPr>
            <w:tcW w:w="178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EF29D4" w14:textId="77777777" w:rsidR="00052596" w:rsidRDefault="00000000">
            <w:pPr>
              <w:snapToGrid w:val="0"/>
              <w:spacing w:line="290" w:lineRule="exact"/>
              <w:jc w:val="center"/>
              <w:rPr>
                <w:rFonts w:eastAsia="標楷體"/>
                <w:bCs/>
                <w:kern w:val="0"/>
              </w:rPr>
            </w:pPr>
            <w:r>
              <w:rPr>
                <w:rFonts w:eastAsia="標楷體"/>
                <w:bCs/>
                <w:kern w:val="0"/>
              </w:rPr>
              <w:t>葡萄牙</w:t>
            </w:r>
          </w:p>
        </w:tc>
        <w:tc>
          <w:tcPr>
            <w:tcW w:w="2240" w:type="dxa"/>
            <w:tcBorders>
              <w:left w:val="single" w:sz="4" w:space="0" w:color="000000"/>
            </w:tcBorders>
            <w:shd w:val="clear" w:color="auto" w:fill="auto"/>
            <w:tcMar>
              <w:top w:w="0" w:type="dxa"/>
              <w:left w:w="108" w:type="dxa"/>
              <w:bottom w:w="0" w:type="dxa"/>
              <w:right w:w="108" w:type="dxa"/>
            </w:tcMar>
            <w:vAlign w:val="center"/>
          </w:tcPr>
          <w:p w14:paraId="60249456" w14:textId="77777777" w:rsidR="00052596" w:rsidRDefault="00000000">
            <w:pPr>
              <w:snapToGrid w:val="0"/>
              <w:spacing w:line="290" w:lineRule="exact"/>
              <w:jc w:val="center"/>
              <w:rPr>
                <w:rFonts w:eastAsia="標楷體"/>
                <w:bCs/>
                <w:kern w:val="0"/>
              </w:rPr>
            </w:pPr>
            <w:r>
              <w:rPr>
                <w:rFonts w:eastAsia="標楷體"/>
                <w:bCs/>
                <w:kern w:val="0"/>
              </w:rPr>
              <w:t>40.4</w:t>
            </w:r>
          </w:p>
        </w:tc>
      </w:tr>
      <w:tr w:rsidR="00052596" w14:paraId="0A3BE5B2" w14:textId="77777777">
        <w:tblPrEx>
          <w:tblCellMar>
            <w:top w:w="0" w:type="dxa"/>
            <w:bottom w:w="0" w:type="dxa"/>
          </w:tblCellMar>
        </w:tblPrEx>
        <w:trPr>
          <w:trHeight w:hRule="exact" w:val="624"/>
          <w:jc w:val="center"/>
        </w:trPr>
        <w:tc>
          <w:tcPr>
            <w:tcW w:w="1802" w:type="dxa"/>
            <w:tcBorders>
              <w:right w:val="single" w:sz="4" w:space="0" w:color="000000"/>
            </w:tcBorders>
            <w:shd w:val="clear" w:color="auto" w:fill="auto"/>
            <w:tcMar>
              <w:top w:w="0" w:type="dxa"/>
              <w:left w:w="108" w:type="dxa"/>
              <w:bottom w:w="0" w:type="dxa"/>
              <w:right w:w="108" w:type="dxa"/>
            </w:tcMar>
            <w:vAlign w:val="center"/>
          </w:tcPr>
          <w:p w14:paraId="33C0C2C5" w14:textId="77777777" w:rsidR="00052596" w:rsidRDefault="00000000">
            <w:pPr>
              <w:snapToGrid w:val="0"/>
              <w:spacing w:line="290" w:lineRule="exact"/>
              <w:jc w:val="center"/>
              <w:rPr>
                <w:rFonts w:eastAsia="標楷體"/>
                <w:bCs/>
                <w:kern w:val="0"/>
              </w:rPr>
            </w:pPr>
            <w:r>
              <w:rPr>
                <w:rFonts w:eastAsia="標楷體"/>
                <w:bCs/>
                <w:kern w:val="0"/>
              </w:rPr>
              <w:t>德國</w:t>
            </w:r>
          </w:p>
        </w:tc>
        <w:tc>
          <w:tcPr>
            <w:tcW w:w="238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FCD391" w14:textId="77777777" w:rsidR="00052596" w:rsidRDefault="00000000">
            <w:pPr>
              <w:snapToGrid w:val="0"/>
              <w:spacing w:line="290" w:lineRule="exact"/>
              <w:jc w:val="center"/>
              <w:rPr>
                <w:rFonts w:eastAsia="標楷體"/>
                <w:bCs/>
                <w:kern w:val="0"/>
              </w:rPr>
            </w:pPr>
            <w:r>
              <w:rPr>
                <w:rFonts w:eastAsia="標楷體"/>
                <w:bCs/>
                <w:kern w:val="0"/>
              </w:rPr>
              <w:t>26.7</w:t>
            </w:r>
          </w:p>
        </w:tc>
        <w:tc>
          <w:tcPr>
            <w:tcW w:w="178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4D068A" w14:textId="77777777" w:rsidR="00052596" w:rsidRDefault="00000000">
            <w:pPr>
              <w:snapToGrid w:val="0"/>
              <w:spacing w:line="290" w:lineRule="exact"/>
              <w:jc w:val="center"/>
              <w:rPr>
                <w:rFonts w:eastAsia="標楷體"/>
                <w:bCs/>
                <w:kern w:val="0"/>
              </w:rPr>
            </w:pPr>
            <w:r>
              <w:rPr>
                <w:rFonts w:eastAsia="標楷體"/>
                <w:bCs/>
                <w:kern w:val="0"/>
              </w:rPr>
              <w:t>波士尼亞及</w:t>
            </w:r>
          </w:p>
          <w:p w14:paraId="1000C410" w14:textId="77777777" w:rsidR="00052596" w:rsidRDefault="00000000">
            <w:pPr>
              <w:snapToGrid w:val="0"/>
              <w:spacing w:line="290" w:lineRule="exact"/>
              <w:jc w:val="center"/>
              <w:rPr>
                <w:rFonts w:eastAsia="標楷體"/>
                <w:bCs/>
                <w:kern w:val="0"/>
              </w:rPr>
            </w:pPr>
            <w:r>
              <w:rPr>
                <w:rFonts w:eastAsia="標楷體"/>
                <w:bCs/>
                <w:kern w:val="0"/>
              </w:rPr>
              <w:t>赫塞哥維納</w:t>
            </w:r>
          </w:p>
        </w:tc>
        <w:tc>
          <w:tcPr>
            <w:tcW w:w="2240" w:type="dxa"/>
            <w:tcBorders>
              <w:left w:val="single" w:sz="4" w:space="0" w:color="000000"/>
            </w:tcBorders>
            <w:shd w:val="clear" w:color="auto" w:fill="auto"/>
            <w:tcMar>
              <w:top w:w="0" w:type="dxa"/>
              <w:left w:w="108" w:type="dxa"/>
              <w:bottom w:w="0" w:type="dxa"/>
              <w:right w:w="108" w:type="dxa"/>
            </w:tcMar>
            <w:vAlign w:val="center"/>
          </w:tcPr>
          <w:p w14:paraId="086E4AE5" w14:textId="77777777" w:rsidR="00052596" w:rsidRDefault="00000000">
            <w:pPr>
              <w:snapToGrid w:val="0"/>
              <w:spacing w:line="290" w:lineRule="exact"/>
              <w:jc w:val="center"/>
              <w:rPr>
                <w:rFonts w:eastAsia="標楷體"/>
                <w:bCs/>
                <w:kern w:val="0"/>
              </w:rPr>
            </w:pPr>
            <w:r>
              <w:rPr>
                <w:rFonts w:eastAsia="標楷體"/>
                <w:bCs/>
                <w:kern w:val="0"/>
              </w:rPr>
              <w:t>40.4</w:t>
            </w:r>
          </w:p>
        </w:tc>
      </w:tr>
      <w:tr w:rsidR="00052596" w14:paraId="5A418F66" w14:textId="77777777">
        <w:tblPrEx>
          <w:tblCellMar>
            <w:top w:w="0" w:type="dxa"/>
            <w:bottom w:w="0" w:type="dxa"/>
          </w:tblCellMar>
        </w:tblPrEx>
        <w:trPr>
          <w:trHeight w:hRule="exact" w:val="312"/>
          <w:jc w:val="center"/>
        </w:trPr>
        <w:tc>
          <w:tcPr>
            <w:tcW w:w="1802" w:type="dxa"/>
            <w:tcBorders>
              <w:right w:val="single" w:sz="4" w:space="0" w:color="000000"/>
            </w:tcBorders>
            <w:shd w:val="clear" w:color="auto" w:fill="auto"/>
            <w:tcMar>
              <w:top w:w="0" w:type="dxa"/>
              <w:left w:w="108" w:type="dxa"/>
              <w:bottom w:w="0" w:type="dxa"/>
              <w:right w:w="108" w:type="dxa"/>
            </w:tcMar>
            <w:vAlign w:val="center"/>
          </w:tcPr>
          <w:p w14:paraId="36E7A17A" w14:textId="77777777" w:rsidR="00052596" w:rsidRDefault="00000000">
            <w:pPr>
              <w:snapToGrid w:val="0"/>
              <w:spacing w:line="290" w:lineRule="exact"/>
              <w:jc w:val="center"/>
              <w:rPr>
                <w:rFonts w:eastAsia="標楷體"/>
                <w:bCs/>
                <w:kern w:val="0"/>
              </w:rPr>
            </w:pPr>
            <w:r>
              <w:rPr>
                <w:rFonts w:eastAsia="標楷體"/>
                <w:bCs/>
                <w:kern w:val="0"/>
              </w:rPr>
              <w:t>芬蘭</w:t>
            </w:r>
          </w:p>
        </w:tc>
        <w:tc>
          <w:tcPr>
            <w:tcW w:w="238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2A878E" w14:textId="77777777" w:rsidR="00052596" w:rsidRDefault="00000000">
            <w:pPr>
              <w:snapToGrid w:val="0"/>
              <w:spacing w:line="290" w:lineRule="exact"/>
              <w:jc w:val="center"/>
              <w:rPr>
                <w:rFonts w:eastAsia="標楷體"/>
                <w:bCs/>
                <w:kern w:val="0"/>
              </w:rPr>
            </w:pPr>
            <w:r>
              <w:rPr>
                <w:rFonts w:eastAsia="標楷體"/>
                <w:bCs/>
                <w:kern w:val="0"/>
              </w:rPr>
              <w:t>25.8</w:t>
            </w:r>
          </w:p>
        </w:tc>
        <w:tc>
          <w:tcPr>
            <w:tcW w:w="178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9F424E" w14:textId="77777777" w:rsidR="00052596" w:rsidRDefault="00000000">
            <w:pPr>
              <w:snapToGrid w:val="0"/>
              <w:spacing w:line="290" w:lineRule="exact"/>
              <w:jc w:val="center"/>
              <w:rPr>
                <w:rFonts w:eastAsia="標楷體"/>
                <w:bCs/>
                <w:kern w:val="0"/>
              </w:rPr>
            </w:pPr>
            <w:r>
              <w:rPr>
                <w:rFonts w:eastAsia="標楷體"/>
                <w:bCs/>
                <w:kern w:val="0"/>
              </w:rPr>
              <w:t>古巴</w:t>
            </w:r>
          </w:p>
        </w:tc>
        <w:tc>
          <w:tcPr>
            <w:tcW w:w="2240" w:type="dxa"/>
            <w:tcBorders>
              <w:left w:val="single" w:sz="4" w:space="0" w:color="000000"/>
            </w:tcBorders>
            <w:shd w:val="clear" w:color="auto" w:fill="auto"/>
            <w:tcMar>
              <w:top w:w="0" w:type="dxa"/>
              <w:left w:w="108" w:type="dxa"/>
              <w:bottom w:w="0" w:type="dxa"/>
              <w:right w:w="108" w:type="dxa"/>
            </w:tcMar>
            <w:vAlign w:val="center"/>
          </w:tcPr>
          <w:p w14:paraId="71BF7D94" w14:textId="77777777" w:rsidR="00052596" w:rsidRDefault="00000000">
            <w:pPr>
              <w:snapToGrid w:val="0"/>
              <w:spacing w:line="290" w:lineRule="exact"/>
              <w:jc w:val="center"/>
              <w:rPr>
                <w:rFonts w:eastAsia="標楷體"/>
                <w:bCs/>
                <w:kern w:val="0"/>
              </w:rPr>
            </w:pPr>
            <w:r>
              <w:rPr>
                <w:rFonts w:eastAsia="標楷體"/>
                <w:bCs/>
                <w:kern w:val="0"/>
              </w:rPr>
              <w:t>39.2</w:t>
            </w:r>
          </w:p>
        </w:tc>
      </w:tr>
      <w:tr w:rsidR="00052596" w14:paraId="286C21CA" w14:textId="77777777">
        <w:tblPrEx>
          <w:tblCellMar>
            <w:top w:w="0" w:type="dxa"/>
            <w:bottom w:w="0" w:type="dxa"/>
          </w:tblCellMar>
        </w:tblPrEx>
        <w:trPr>
          <w:trHeight w:hRule="exact" w:val="312"/>
          <w:jc w:val="center"/>
        </w:trPr>
        <w:tc>
          <w:tcPr>
            <w:tcW w:w="1802" w:type="dxa"/>
            <w:tcBorders>
              <w:right w:val="single" w:sz="4" w:space="0" w:color="000000"/>
            </w:tcBorders>
            <w:shd w:val="clear" w:color="auto" w:fill="auto"/>
            <w:tcMar>
              <w:top w:w="0" w:type="dxa"/>
              <w:left w:w="108" w:type="dxa"/>
              <w:bottom w:w="0" w:type="dxa"/>
              <w:right w:w="108" w:type="dxa"/>
            </w:tcMar>
            <w:vAlign w:val="center"/>
          </w:tcPr>
          <w:p w14:paraId="202726FB" w14:textId="77777777" w:rsidR="00052596" w:rsidRDefault="00000000">
            <w:pPr>
              <w:snapToGrid w:val="0"/>
              <w:spacing w:line="290" w:lineRule="exact"/>
              <w:jc w:val="center"/>
              <w:rPr>
                <w:rFonts w:eastAsia="標楷體"/>
                <w:bCs/>
                <w:kern w:val="0"/>
              </w:rPr>
            </w:pPr>
            <w:r>
              <w:rPr>
                <w:rFonts w:eastAsia="標楷體"/>
                <w:bCs/>
                <w:kern w:val="0"/>
              </w:rPr>
              <w:t>瑞典</w:t>
            </w:r>
          </w:p>
        </w:tc>
        <w:tc>
          <w:tcPr>
            <w:tcW w:w="238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0F2661" w14:textId="77777777" w:rsidR="00052596" w:rsidRDefault="00000000">
            <w:pPr>
              <w:snapToGrid w:val="0"/>
              <w:spacing w:line="290" w:lineRule="exact"/>
              <w:jc w:val="center"/>
              <w:rPr>
                <w:rFonts w:eastAsia="標楷體"/>
                <w:bCs/>
                <w:kern w:val="0"/>
              </w:rPr>
            </w:pPr>
            <w:r>
              <w:rPr>
                <w:rFonts w:eastAsia="標楷體"/>
                <w:bCs/>
                <w:kern w:val="0"/>
              </w:rPr>
              <w:t>25.4</w:t>
            </w:r>
          </w:p>
        </w:tc>
        <w:tc>
          <w:tcPr>
            <w:tcW w:w="178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401DBE" w14:textId="77777777" w:rsidR="00052596" w:rsidRDefault="00000000">
            <w:pPr>
              <w:snapToGrid w:val="0"/>
              <w:spacing w:line="290" w:lineRule="exact"/>
              <w:jc w:val="center"/>
              <w:rPr>
                <w:rFonts w:eastAsia="標楷體"/>
                <w:bCs/>
                <w:kern w:val="0"/>
              </w:rPr>
            </w:pPr>
            <w:r>
              <w:rPr>
                <w:rFonts w:eastAsia="標楷體"/>
                <w:bCs/>
                <w:kern w:val="0"/>
              </w:rPr>
              <w:t>韓國</w:t>
            </w:r>
          </w:p>
        </w:tc>
        <w:tc>
          <w:tcPr>
            <w:tcW w:w="2240" w:type="dxa"/>
            <w:tcBorders>
              <w:left w:val="single" w:sz="4" w:space="0" w:color="000000"/>
            </w:tcBorders>
            <w:shd w:val="clear" w:color="auto" w:fill="auto"/>
            <w:tcMar>
              <w:top w:w="0" w:type="dxa"/>
              <w:left w:w="108" w:type="dxa"/>
              <w:bottom w:w="0" w:type="dxa"/>
              <w:right w:w="108" w:type="dxa"/>
            </w:tcMar>
            <w:vAlign w:val="center"/>
          </w:tcPr>
          <w:p w14:paraId="37C1FF4E" w14:textId="77777777" w:rsidR="00052596" w:rsidRDefault="00000000">
            <w:pPr>
              <w:snapToGrid w:val="0"/>
              <w:spacing w:line="290" w:lineRule="exact"/>
              <w:jc w:val="center"/>
              <w:rPr>
                <w:rFonts w:eastAsia="標楷體"/>
                <w:bCs/>
                <w:kern w:val="0"/>
              </w:rPr>
            </w:pPr>
            <w:r>
              <w:rPr>
                <w:rFonts w:eastAsia="標楷體"/>
                <w:bCs/>
                <w:kern w:val="0"/>
              </w:rPr>
              <w:t>38.9</w:t>
            </w:r>
          </w:p>
        </w:tc>
      </w:tr>
      <w:tr w:rsidR="00052596" w14:paraId="5F8D19E2" w14:textId="77777777">
        <w:tblPrEx>
          <w:tblCellMar>
            <w:top w:w="0" w:type="dxa"/>
            <w:bottom w:w="0" w:type="dxa"/>
          </w:tblCellMar>
        </w:tblPrEx>
        <w:trPr>
          <w:trHeight w:hRule="exact" w:val="312"/>
          <w:jc w:val="center"/>
        </w:trPr>
        <w:tc>
          <w:tcPr>
            <w:tcW w:w="1802" w:type="dxa"/>
            <w:tcBorders>
              <w:right w:val="single" w:sz="4" w:space="0" w:color="000000"/>
            </w:tcBorders>
            <w:shd w:val="clear" w:color="auto" w:fill="auto"/>
            <w:tcMar>
              <w:top w:w="0" w:type="dxa"/>
              <w:left w:w="108" w:type="dxa"/>
              <w:bottom w:w="0" w:type="dxa"/>
              <w:right w:w="108" w:type="dxa"/>
            </w:tcMar>
            <w:vAlign w:val="center"/>
          </w:tcPr>
          <w:p w14:paraId="5758FCAD" w14:textId="77777777" w:rsidR="00052596" w:rsidRDefault="00000000">
            <w:pPr>
              <w:snapToGrid w:val="0"/>
              <w:spacing w:line="290" w:lineRule="exact"/>
              <w:jc w:val="center"/>
              <w:rPr>
                <w:rFonts w:eastAsia="標楷體"/>
                <w:bCs/>
                <w:kern w:val="0"/>
              </w:rPr>
            </w:pPr>
            <w:r>
              <w:rPr>
                <w:rFonts w:eastAsia="標楷體"/>
                <w:bCs/>
                <w:kern w:val="0"/>
              </w:rPr>
              <w:t>保加利亞</w:t>
            </w:r>
          </w:p>
        </w:tc>
        <w:tc>
          <w:tcPr>
            <w:tcW w:w="238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E25ED4" w14:textId="77777777" w:rsidR="00052596" w:rsidRDefault="00000000">
            <w:pPr>
              <w:snapToGrid w:val="0"/>
              <w:spacing w:line="290" w:lineRule="exact"/>
              <w:jc w:val="center"/>
              <w:rPr>
                <w:rFonts w:eastAsia="標楷體"/>
                <w:bCs/>
                <w:kern w:val="0"/>
              </w:rPr>
            </w:pPr>
            <w:r>
              <w:rPr>
                <w:rFonts w:eastAsia="標楷體"/>
                <w:bCs/>
                <w:kern w:val="0"/>
              </w:rPr>
              <w:t>25.0</w:t>
            </w:r>
          </w:p>
        </w:tc>
        <w:tc>
          <w:tcPr>
            <w:tcW w:w="178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5CA6AA" w14:textId="77777777" w:rsidR="00052596" w:rsidRDefault="00000000">
            <w:pPr>
              <w:snapToGrid w:val="0"/>
              <w:spacing w:line="290" w:lineRule="exact"/>
              <w:jc w:val="center"/>
              <w:rPr>
                <w:rFonts w:eastAsia="標楷體"/>
                <w:bCs/>
                <w:kern w:val="0"/>
              </w:rPr>
            </w:pPr>
            <w:r>
              <w:rPr>
                <w:rFonts w:eastAsia="標楷體"/>
                <w:bCs/>
                <w:kern w:val="0"/>
              </w:rPr>
              <w:t>義大利</w:t>
            </w:r>
          </w:p>
        </w:tc>
        <w:tc>
          <w:tcPr>
            <w:tcW w:w="2240" w:type="dxa"/>
            <w:tcBorders>
              <w:left w:val="single" w:sz="4" w:space="0" w:color="000000"/>
            </w:tcBorders>
            <w:shd w:val="clear" w:color="auto" w:fill="auto"/>
            <w:tcMar>
              <w:top w:w="0" w:type="dxa"/>
              <w:left w:w="108" w:type="dxa"/>
              <w:bottom w:w="0" w:type="dxa"/>
              <w:right w:w="108" w:type="dxa"/>
            </w:tcMar>
            <w:vAlign w:val="center"/>
          </w:tcPr>
          <w:p w14:paraId="2B726B5A" w14:textId="77777777" w:rsidR="00052596" w:rsidRDefault="00000000">
            <w:pPr>
              <w:snapToGrid w:val="0"/>
              <w:spacing w:line="290" w:lineRule="exact"/>
              <w:jc w:val="center"/>
              <w:rPr>
                <w:rFonts w:eastAsia="標楷體"/>
                <w:bCs/>
                <w:kern w:val="0"/>
              </w:rPr>
            </w:pPr>
            <w:r>
              <w:rPr>
                <w:rFonts w:eastAsia="標楷體"/>
                <w:bCs/>
                <w:kern w:val="0"/>
              </w:rPr>
              <w:t>38.4</w:t>
            </w:r>
          </w:p>
        </w:tc>
      </w:tr>
      <w:tr w:rsidR="00052596" w14:paraId="571EB05C" w14:textId="77777777">
        <w:tblPrEx>
          <w:tblCellMar>
            <w:top w:w="0" w:type="dxa"/>
            <w:bottom w:w="0" w:type="dxa"/>
          </w:tblCellMar>
        </w:tblPrEx>
        <w:trPr>
          <w:trHeight w:hRule="exact" w:val="312"/>
          <w:jc w:val="center"/>
        </w:trPr>
        <w:tc>
          <w:tcPr>
            <w:tcW w:w="1802" w:type="dxa"/>
            <w:tcBorders>
              <w:right w:val="single" w:sz="4" w:space="0" w:color="000000"/>
            </w:tcBorders>
            <w:shd w:val="clear" w:color="auto" w:fill="auto"/>
            <w:tcMar>
              <w:top w:w="0" w:type="dxa"/>
              <w:left w:w="108" w:type="dxa"/>
              <w:bottom w:w="0" w:type="dxa"/>
              <w:right w:w="108" w:type="dxa"/>
            </w:tcMar>
            <w:vAlign w:val="center"/>
          </w:tcPr>
          <w:p w14:paraId="4326EA2A" w14:textId="77777777" w:rsidR="00052596" w:rsidRDefault="00000000">
            <w:pPr>
              <w:snapToGrid w:val="0"/>
              <w:spacing w:line="290" w:lineRule="exact"/>
              <w:jc w:val="center"/>
              <w:rPr>
                <w:rFonts w:eastAsia="標楷體"/>
                <w:bCs/>
                <w:kern w:val="0"/>
              </w:rPr>
            </w:pPr>
            <w:r>
              <w:rPr>
                <w:rFonts w:eastAsia="標楷體"/>
                <w:bCs/>
                <w:kern w:val="0"/>
              </w:rPr>
              <w:t>希臘</w:t>
            </w:r>
          </w:p>
        </w:tc>
        <w:tc>
          <w:tcPr>
            <w:tcW w:w="238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F218C9" w14:textId="77777777" w:rsidR="00052596" w:rsidRDefault="00000000">
            <w:pPr>
              <w:snapToGrid w:val="0"/>
              <w:spacing w:line="290" w:lineRule="exact"/>
              <w:jc w:val="center"/>
              <w:rPr>
                <w:rFonts w:eastAsia="標楷體"/>
                <w:bCs/>
                <w:kern w:val="0"/>
              </w:rPr>
            </w:pPr>
            <w:r>
              <w:rPr>
                <w:rFonts w:eastAsia="標楷體"/>
                <w:bCs/>
                <w:kern w:val="0"/>
              </w:rPr>
              <w:t>24.7</w:t>
            </w:r>
          </w:p>
        </w:tc>
        <w:tc>
          <w:tcPr>
            <w:tcW w:w="178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ADB474" w14:textId="77777777" w:rsidR="00052596" w:rsidRDefault="00000000">
            <w:pPr>
              <w:snapToGrid w:val="0"/>
              <w:spacing w:line="290" w:lineRule="exact"/>
              <w:jc w:val="center"/>
              <w:rPr>
                <w:rFonts w:eastAsia="標楷體"/>
                <w:bCs/>
                <w:kern w:val="0"/>
              </w:rPr>
            </w:pPr>
            <w:r>
              <w:rPr>
                <w:rFonts w:eastAsia="標楷體"/>
                <w:bCs/>
                <w:kern w:val="0"/>
              </w:rPr>
              <w:t>西班牙</w:t>
            </w:r>
          </w:p>
        </w:tc>
        <w:tc>
          <w:tcPr>
            <w:tcW w:w="2240" w:type="dxa"/>
            <w:tcBorders>
              <w:left w:val="single" w:sz="4" w:space="0" w:color="000000"/>
            </w:tcBorders>
            <w:shd w:val="clear" w:color="auto" w:fill="auto"/>
            <w:tcMar>
              <w:top w:w="0" w:type="dxa"/>
              <w:left w:w="108" w:type="dxa"/>
              <w:bottom w:w="0" w:type="dxa"/>
              <w:right w:w="108" w:type="dxa"/>
            </w:tcMar>
            <w:vAlign w:val="center"/>
          </w:tcPr>
          <w:p w14:paraId="32F0B363" w14:textId="77777777" w:rsidR="00052596" w:rsidRDefault="00000000">
            <w:pPr>
              <w:snapToGrid w:val="0"/>
              <w:spacing w:line="290" w:lineRule="exact"/>
              <w:jc w:val="center"/>
              <w:rPr>
                <w:rFonts w:eastAsia="標楷體"/>
                <w:bCs/>
                <w:kern w:val="0"/>
              </w:rPr>
            </w:pPr>
            <w:r>
              <w:rPr>
                <w:rFonts w:eastAsia="標楷體"/>
                <w:bCs/>
                <w:kern w:val="0"/>
              </w:rPr>
              <w:t>38.3</w:t>
            </w:r>
          </w:p>
        </w:tc>
      </w:tr>
      <w:tr w:rsidR="00052596" w14:paraId="4EB3FFC3" w14:textId="77777777">
        <w:tblPrEx>
          <w:tblCellMar>
            <w:top w:w="0" w:type="dxa"/>
            <w:bottom w:w="0" w:type="dxa"/>
          </w:tblCellMar>
        </w:tblPrEx>
        <w:trPr>
          <w:trHeight w:hRule="exact" w:val="312"/>
          <w:jc w:val="center"/>
        </w:trPr>
        <w:tc>
          <w:tcPr>
            <w:tcW w:w="1802" w:type="dxa"/>
            <w:tcBorders>
              <w:right w:val="single" w:sz="4" w:space="0" w:color="000000"/>
            </w:tcBorders>
            <w:shd w:val="clear" w:color="auto" w:fill="auto"/>
            <w:tcMar>
              <w:top w:w="0" w:type="dxa"/>
              <w:left w:w="108" w:type="dxa"/>
              <w:bottom w:w="0" w:type="dxa"/>
              <w:right w:w="108" w:type="dxa"/>
            </w:tcMar>
            <w:vAlign w:val="center"/>
          </w:tcPr>
          <w:p w14:paraId="4F6099A1" w14:textId="77777777" w:rsidR="00052596" w:rsidRDefault="00000000">
            <w:pPr>
              <w:snapToGrid w:val="0"/>
              <w:spacing w:line="290" w:lineRule="exact"/>
              <w:jc w:val="center"/>
              <w:rPr>
                <w:rFonts w:eastAsia="標楷體"/>
                <w:bCs/>
                <w:kern w:val="0"/>
              </w:rPr>
            </w:pPr>
            <w:r>
              <w:rPr>
                <w:rFonts w:eastAsia="標楷體"/>
                <w:bCs/>
                <w:kern w:val="0"/>
              </w:rPr>
              <w:t>葡萄牙</w:t>
            </w:r>
          </w:p>
        </w:tc>
        <w:tc>
          <w:tcPr>
            <w:tcW w:w="238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F29805" w14:textId="77777777" w:rsidR="00052596" w:rsidRDefault="00000000">
            <w:pPr>
              <w:snapToGrid w:val="0"/>
              <w:spacing w:line="290" w:lineRule="exact"/>
              <w:jc w:val="center"/>
              <w:rPr>
                <w:rFonts w:eastAsia="標楷體"/>
                <w:bCs/>
                <w:kern w:val="0"/>
              </w:rPr>
            </w:pPr>
            <w:r>
              <w:rPr>
                <w:rFonts w:eastAsia="標楷體"/>
                <w:bCs/>
                <w:kern w:val="0"/>
              </w:rPr>
              <w:t>24.4</w:t>
            </w:r>
          </w:p>
        </w:tc>
        <w:tc>
          <w:tcPr>
            <w:tcW w:w="178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BECC30" w14:textId="77777777" w:rsidR="00052596" w:rsidRDefault="00000000">
            <w:pPr>
              <w:snapToGrid w:val="0"/>
              <w:spacing w:line="290" w:lineRule="exact"/>
              <w:jc w:val="center"/>
              <w:rPr>
                <w:rFonts w:eastAsia="標楷體"/>
                <w:bCs/>
                <w:kern w:val="0"/>
              </w:rPr>
            </w:pPr>
            <w:r>
              <w:rPr>
                <w:rFonts w:eastAsia="標楷體"/>
                <w:bCs/>
                <w:kern w:val="0"/>
              </w:rPr>
              <w:t>新加坡</w:t>
            </w:r>
          </w:p>
        </w:tc>
        <w:tc>
          <w:tcPr>
            <w:tcW w:w="2240" w:type="dxa"/>
            <w:tcBorders>
              <w:left w:val="single" w:sz="4" w:space="0" w:color="000000"/>
            </w:tcBorders>
            <w:shd w:val="clear" w:color="auto" w:fill="auto"/>
            <w:tcMar>
              <w:top w:w="0" w:type="dxa"/>
              <w:left w:w="108" w:type="dxa"/>
              <w:bottom w:w="0" w:type="dxa"/>
              <w:right w:w="108" w:type="dxa"/>
            </w:tcMar>
            <w:vAlign w:val="center"/>
          </w:tcPr>
          <w:p w14:paraId="72AC1524" w14:textId="77777777" w:rsidR="00052596" w:rsidRDefault="00000000">
            <w:pPr>
              <w:snapToGrid w:val="0"/>
              <w:spacing w:line="290" w:lineRule="exact"/>
              <w:jc w:val="center"/>
              <w:rPr>
                <w:rFonts w:eastAsia="標楷體"/>
                <w:bCs/>
                <w:kern w:val="0"/>
              </w:rPr>
            </w:pPr>
            <w:r>
              <w:rPr>
                <w:rFonts w:eastAsia="標楷體"/>
                <w:bCs/>
                <w:kern w:val="0"/>
              </w:rPr>
              <w:t>37.8</w:t>
            </w:r>
          </w:p>
        </w:tc>
      </w:tr>
      <w:tr w:rsidR="00052596" w14:paraId="60D1E8CD" w14:textId="77777777">
        <w:tblPrEx>
          <w:tblCellMar>
            <w:top w:w="0" w:type="dxa"/>
            <w:bottom w:w="0" w:type="dxa"/>
          </w:tblCellMar>
        </w:tblPrEx>
        <w:trPr>
          <w:trHeight w:hRule="exact" w:val="312"/>
          <w:jc w:val="center"/>
        </w:trPr>
        <w:tc>
          <w:tcPr>
            <w:tcW w:w="1802" w:type="dxa"/>
            <w:tcBorders>
              <w:right w:val="single" w:sz="4" w:space="0" w:color="000000"/>
            </w:tcBorders>
            <w:shd w:val="clear" w:color="auto" w:fill="auto"/>
            <w:tcMar>
              <w:top w:w="0" w:type="dxa"/>
              <w:left w:w="108" w:type="dxa"/>
              <w:bottom w:w="0" w:type="dxa"/>
              <w:right w:w="108" w:type="dxa"/>
            </w:tcMar>
            <w:vAlign w:val="center"/>
          </w:tcPr>
          <w:p w14:paraId="6A67B514" w14:textId="77777777" w:rsidR="00052596" w:rsidRDefault="00000000">
            <w:pPr>
              <w:snapToGrid w:val="0"/>
              <w:spacing w:line="290" w:lineRule="exact"/>
              <w:jc w:val="center"/>
              <w:rPr>
                <w:rFonts w:eastAsia="標楷體"/>
                <w:bCs/>
                <w:kern w:val="0"/>
              </w:rPr>
            </w:pPr>
            <w:r>
              <w:rPr>
                <w:rFonts w:eastAsia="標楷體"/>
                <w:bCs/>
                <w:kern w:val="0"/>
              </w:rPr>
              <w:t>克羅埃西亞</w:t>
            </w:r>
          </w:p>
        </w:tc>
        <w:tc>
          <w:tcPr>
            <w:tcW w:w="238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9AA6EB" w14:textId="77777777" w:rsidR="00052596" w:rsidRDefault="00000000">
            <w:pPr>
              <w:snapToGrid w:val="0"/>
              <w:spacing w:line="290" w:lineRule="exact"/>
              <w:jc w:val="center"/>
              <w:rPr>
                <w:rFonts w:eastAsia="標楷體"/>
                <w:bCs/>
                <w:kern w:val="0"/>
              </w:rPr>
            </w:pPr>
            <w:r>
              <w:rPr>
                <w:rFonts w:eastAsia="標楷體"/>
                <w:bCs/>
                <w:kern w:val="0"/>
              </w:rPr>
              <w:t>24.1</w:t>
            </w:r>
          </w:p>
        </w:tc>
        <w:tc>
          <w:tcPr>
            <w:tcW w:w="178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02595D" w14:textId="77777777" w:rsidR="00052596" w:rsidRDefault="00000000">
            <w:pPr>
              <w:snapToGrid w:val="0"/>
              <w:spacing w:line="290" w:lineRule="exact"/>
              <w:jc w:val="center"/>
              <w:rPr>
                <w:rFonts w:eastAsia="標楷體"/>
                <w:bCs/>
                <w:kern w:val="0"/>
              </w:rPr>
            </w:pPr>
            <w:r>
              <w:rPr>
                <w:rFonts w:eastAsia="標楷體"/>
                <w:bCs/>
                <w:kern w:val="0"/>
              </w:rPr>
              <w:t>德國</w:t>
            </w:r>
          </w:p>
        </w:tc>
        <w:tc>
          <w:tcPr>
            <w:tcW w:w="2240" w:type="dxa"/>
            <w:tcBorders>
              <w:left w:val="single" w:sz="4" w:space="0" w:color="000000"/>
            </w:tcBorders>
            <w:shd w:val="clear" w:color="auto" w:fill="auto"/>
            <w:tcMar>
              <w:top w:w="0" w:type="dxa"/>
              <w:left w:w="108" w:type="dxa"/>
              <w:bottom w:w="0" w:type="dxa"/>
              <w:right w:w="108" w:type="dxa"/>
            </w:tcMar>
            <w:vAlign w:val="center"/>
          </w:tcPr>
          <w:p w14:paraId="3C2B3661" w14:textId="77777777" w:rsidR="00052596" w:rsidRDefault="00000000">
            <w:pPr>
              <w:snapToGrid w:val="0"/>
              <w:spacing w:line="290" w:lineRule="exact"/>
              <w:jc w:val="center"/>
              <w:rPr>
                <w:rFonts w:eastAsia="標楷體"/>
                <w:bCs/>
                <w:kern w:val="0"/>
              </w:rPr>
            </w:pPr>
            <w:r>
              <w:rPr>
                <w:rFonts w:eastAsia="標楷體"/>
                <w:bCs/>
                <w:kern w:val="0"/>
              </w:rPr>
              <w:t>37.5</w:t>
            </w:r>
          </w:p>
        </w:tc>
      </w:tr>
      <w:tr w:rsidR="00052596" w14:paraId="550360B9" w14:textId="77777777">
        <w:tblPrEx>
          <w:tblCellMar>
            <w:top w:w="0" w:type="dxa"/>
            <w:bottom w:w="0" w:type="dxa"/>
          </w:tblCellMar>
        </w:tblPrEx>
        <w:trPr>
          <w:trHeight w:hRule="exact" w:val="312"/>
          <w:jc w:val="center"/>
        </w:trPr>
        <w:tc>
          <w:tcPr>
            <w:tcW w:w="180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FDCD7D6" w14:textId="77777777" w:rsidR="00052596" w:rsidRDefault="00000000">
            <w:pPr>
              <w:snapToGrid w:val="0"/>
              <w:spacing w:line="290" w:lineRule="exact"/>
              <w:jc w:val="center"/>
              <w:rPr>
                <w:rFonts w:eastAsia="標楷體"/>
                <w:bCs/>
                <w:kern w:val="0"/>
              </w:rPr>
            </w:pPr>
            <w:r>
              <w:rPr>
                <w:rFonts w:eastAsia="標楷體"/>
                <w:bCs/>
                <w:kern w:val="0"/>
              </w:rPr>
              <w:t>比利時</w:t>
            </w:r>
          </w:p>
        </w:tc>
        <w:tc>
          <w:tcPr>
            <w:tcW w:w="238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12502" w14:textId="77777777" w:rsidR="00052596" w:rsidRDefault="00000000">
            <w:pPr>
              <w:snapToGrid w:val="0"/>
              <w:spacing w:line="290" w:lineRule="exact"/>
              <w:jc w:val="center"/>
              <w:rPr>
                <w:rFonts w:eastAsia="標楷體"/>
                <w:bCs/>
                <w:kern w:val="0"/>
              </w:rPr>
            </w:pPr>
            <w:r>
              <w:rPr>
                <w:rFonts w:eastAsia="標楷體"/>
                <w:bCs/>
                <w:kern w:val="0"/>
              </w:rPr>
              <w:t>23.9</w:t>
            </w:r>
          </w:p>
        </w:tc>
        <w:tc>
          <w:tcPr>
            <w:tcW w:w="17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55F5E" w14:textId="77777777" w:rsidR="00052596" w:rsidRDefault="00000000">
            <w:pPr>
              <w:snapToGrid w:val="0"/>
              <w:spacing w:line="290" w:lineRule="exact"/>
              <w:jc w:val="center"/>
              <w:rPr>
                <w:rFonts w:eastAsia="標楷體"/>
                <w:bCs/>
                <w:kern w:val="0"/>
              </w:rPr>
            </w:pPr>
            <w:r>
              <w:rPr>
                <w:rFonts w:eastAsia="標楷體"/>
                <w:bCs/>
                <w:kern w:val="0"/>
              </w:rPr>
              <w:t>瑞士</w:t>
            </w:r>
          </w:p>
        </w:tc>
        <w:tc>
          <w:tcPr>
            <w:tcW w:w="224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3288857" w14:textId="77777777" w:rsidR="00052596" w:rsidRDefault="00000000">
            <w:pPr>
              <w:snapToGrid w:val="0"/>
              <w:spacing w:line="290" w:lineRule="exact"/>
              <w:jc w:val="center"/>
              <w:rPr>
                <w:rFonts w:eastAsia="標楷體"/>
                <w:bCs/>
                <w:kern w:val="0"/>
              </w:rPr>
            </w:pPr>
            <w:r>
              <w:rPr>
                <w:rFonts w:eastAsia="標楷體"/>
                <w:bCs/>
                <w:kern w:val="0"/>
              </w:rPr>
              <w:t>37.1</w:t>
            </w:r>
          </w:p>
        </w:tc>
      </w:tr>
    </w:tbl>
    <w:p w14:paraId="7DA2815B" w14:textId="77777777" w:rsidR="00052596" w:rsidRDefault="00000000">
      <w:pPr>
        <w:overflowPunct w:val="0"/>
        <w:autoSpaceDE w:val="0"/>
        <w:spacing w:before="24" w:line="280" w:lineRule="exact"/>
        <w:ind w:left="1050" w:hanging="882"/>
        <w:jc w:val="both"/>
        <w:textAlignment w:val="center"/>
      </w:pPr>
      <w:r>
        <w:rPr>
          <w:rFonts w:ascii="標楷體" w:eastAsia="標楷體" w:hAnsi="標楷體"/>
          <w:spacing w:val="-2"/>
          <w:kern w:val="0"/>
          <w:sz w:val="20"/>
        </w:rPr>
        <w:t>資料來源：</w:t>
      </w:r>
      <w:r>
        <w:rPr>
          <w:rFonts w:eastAsia="華康楷書體W5"/>
          <w:spacing w:val="-2"/>
          <w:kern w:val="0"/>
          <w:sz w:val="20"/>
        </w:rPr>
        <w:t>Aging in the Twenty-First Century</w:t>
      </w:r>
      <w:r>
        <w:rPr>
          <w:rFonts w:eastAsia="華康楷書體W5"/>
          <w:spacing w:val="-2"/>
          <w:kern w:val="0"/>
          <w:sz w:val="20"/>
        </w:rPr>
        <w:t>：</w:t>
      </w:r>
      <w:r>
        <w:rPr>
          <w:rFonts w:eastAsia="華康楷書體W5"/>
          <w:spacing w:val="-2"/>
          <w:kern w:val="0"/>
          <w:sz w:val="20"/>
        </w:rPr>
        <w:t>A Celebration and A Challenge, United Nations, 2012.</w:t>
      </w:r>
    </w:p>
    <w:p w14:paraId="5E496C54" w14:textId="77777777" w:rsidR="00052596" w:rsidRDefault="00000000">
      <w:pPr>
        <w:tabs>
          <w:tab w:val="left" w:pos="960"/>
          <w:tab w:val="left" w:pos="1920"/>
          <w:tab w:val="left" w:pos="2880"/>
          <w:tab w:val="left" w:pos="3840"/>
          <w:tab w:val="left" w:pos="4800"/>
          <w:tab w:val="left" w:pos="5760"/>
        </w:tabs>
        <w:overflowPunct w:val="0"/>
        <w:autoSpaceDE w:val="0"/>
        <w:spacing w:before="240" w:line="410" w:lineRule="exact"/>
        <w:ind w:left="1080" w:hanging="288"/>
        <w:jc w:val="both"/>
        <w:textAlignment w:val="center"/>
        <w:rPr>
          <w:rFonts w:eastAsia="標楷體"/>
          <w:spacing w:val="4"/>
          <w:kern w:val="0"/>
          <w:sz w:val="28"/>
          <w:szCs w:val="26"/>
        </w:rPr>
      </w:pPr>
      <w:r>
        <w:rPr>
          <w:rFonts w:eastAsia="標楷體"/>
          <w:spacing w:val="4"/>
          <w:kern w:val="0"/>
          <w:sz w:val="28"/>
          <w:szCs w:val="26"/>
        </w:rPr>
        <w:t>－開發中經濟體高齡人口成長率高於已開發經濟體：</w:t>
      </w:r>
      <w:r>
        <w:rPr>
          <w:rFonts w:eastAsia="標楷體"/>
          <w:spacing w:val="4"/>
          <w:kern w:val="0"/>
          <w:sz w:val="28"/>
          <w:szCs w:val="26"/>
        </w:rPr>
        <w:t>2050</w:t>
      </w:r>
      <w:r>
        <w:rPr>
          <w:rFonts w:eastAsia="標楷體"/>
          <w:spacing w:val="4"/>
          <w:kern w:val="0"/>
          <w:sz w:val="28"/>
          <w:szCs w:val="26"/>
        </w:rPr>
        <w:t>年已開發經濟體高齡人口將由</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2.79</w:t>
      </w:r>
      <w:r>
        <w:rPr>
          <w:rFonts w:eastAsia="標楷體"/>
          <w:spacing w:val="4"/>
          <w:kern w:val="0"/>
          <w:sz w:val="28"/>
          <w:szCs w:val="26"/>
        </w:rPr>
        <w:t>億增至</w:t>
      </w:r>
      <w:r>
        <w:rPr>
          <w:rFonts w:eastAsia="標楷體"/>
          <w:spacing w:val="4"/>
          <w:kern w:val="0"/>
          <w:sz w:val="28"/>
          <w:szCs w:val="26"/>
        </w:rPr>
        <w:t>4.18</w:t>
      </w:r>
      <w:r>
        <w:rPr>
          <w:rFonts w:eastAsia="標楷體"/>
          <w:spacing w:val="4"/>
          <w:kern w:val="0"/>
          <w:sz w:val="28"/>
          <w:szCs w:val="26"/>
        </w:rPr>
        <w:t>億人，平均年成長率</w:t>
      </w:r>
      <w:r>
        <w:rPr>
          <w:rFonts w:eastAsia="標楷體"/>
          <w:spacing w:val="4"/>
          <w:kern w:val="0"/>
          <w:sz w:val="28"/>
          <w:szCs w:val="26"/>
        </w:rPr>
        <w:t>1.07%</w:t>
      </w:r>
      <w:r>
        <w:rPr>
          <w:rFonts w:eastAsia="標楷體"/>
          <w:spacing w:val="4"/>
          <w:kern w:val="0"/>
          <w:sz w:val="28"/>
          <w:szCs w:val="26"/>
        </w:rPr>
        <w:t>；同期間，開發中經濟體高齡人口則將由</w:t>
      </w:r>
      <w:r>
        <w:rPr>
          <w:rFonts w:eastAsia="標楷體"/>
          <w:spacing w:val="4"/>
          <w:kern w:val="0"/>
          <w:sz w:val="28"/>
          <w:szCs w:val="26"/>
        </w:rPr>
        <w:t>5.30</w:t>
      </w:r>
      <w:r>
        <w:rPr>
          <w:rFonts w:eastAsia="標楷體"/>
          <w:spacing w:val="4"/>
          <w:kern w:val="0"/>
          <w:sz w:val="28"/>
          <w:szCs w:val="26"/>
        </w:rPr>
        <w:t>億人增至</w:t>
      </w:r>
      <w:r>
        <w:rPr>
          <w:rFonts w:eastAsia="標楷體"/>
          <w:spacing w:val="4"/>
          <w:kern w:val="0"/>
          <w:sz w:val="28"/>
          <w:szCs w:val="26"/>
        </w:rPr>
        <w:t>16.13</w:t>
      </w:r>
      <w:r>
        <w:rPr>
          <w:rFonts w:eastAsia="標楷體"/>
          <w:spacing w:val="4"/>
          <w:kern w:val="0"/>
          <w:sz w:val="28"/>
          <w:szCs w:val="26"/>
        </w:rPr>
        <w:t>億人，平均年成長率</w:t>
      </w:r>
      <w:r>
        <w:rPr>
          <w:rFonts w:eastAsia="標楷體"/>
          <w:spacing w:val="4"/>
          <w:kern w:val="0"/>
          <w:sz w:val="28"/>
          <w:szCs w:val="26"/>
        </w:rPr>
        <w:t>2.97%</w:t>
      </w:r>
      <w:r>
        <w:rPr>
          <w:rFonts w:eastAsia="標楷體"/>
          <w:spacing w:val="4"/>
          <w:kern w:val="0"/>
          <w:sz w:val="28"/>
          <w:szCs w:val="26"/>
        </w:rPr>
        <w:t>，占全球高齡人口比重將由三分之二提高至五分之四。至</w:t>
      </w:r>
      <w:r>
        <w:rPr>
          <w:rFonts w:eastAsia="標楷體"/>
          <w:spacing w:val="4"/>
          <w:kern w:val="0"/>
          <w:sz w:val="28"/>
          <w:szCs w:val="26"/>
        </w:rPr>
        <w:t>2050</w:t>
      </w:r>
      <w:r>
        <w:rPr>
          <w:rFonts w:eastAsia="標楷體"/>
          <w:spacing w:val="4"/>
          <w:kern w:val="0"/>
          <w:sz w:val="28"/>
          <w:szCs w:val="26"/>
        </w:rPr>
        <w:t>年，除非洲外，各洲高齡人口占總人口比重皆將超過</w:t>
      </w:r>
      <w:r>
        <w:rPr>
          <w:rFonts w:eastAsia="標楷體"/>
          <w:spacing w:val="4"/>
          <w:kern w:val="0"/>
          <w:sz w:val="28"/>
          <w:szCs w:val="26"/>
        </w:rPr>
        <w:t>2</w:t>
      </w:r>
      <w:r>
        <w:rPr>
          <w:rFonts w:eastAsia="標楷體"/>
          <w:spacing w:val="4"/>
          <w:kern w:val="0"/>
          <w:sz w:val="28"/>
          <w:szCs w:val="26"/>
        </w:rPr>
        <w:t>成。</w:t>
      </w:r>
    </w:p>
    <w:p w14:paraId="41CDBE7D" w14:textId="77777777" w:rsidR="00052596" w:rsidRDefault="00000000">
      <w:pPr>
        <w:overflowPunct w:val="0"/>
        <w:autoSpaceDE w:val="0"/>
        <w:snapToGrid w:val="0"/>
        <w:spacing w:before="240" w:after="48" w:line="280" w:lineRule="exact"/>
        <w:jc w:val="center"/>
        <w:textAlignment w:val="center"/>
      </w:pPr>
      <w:r>
        <w:rPr>
          <w:rFonts w:eastAsia="標楷體"/>
          <w:b/>
          <w:color w:val="0000FF"/>
          <w:kern w:val="0"/>
          <w:sz w:val="26"/>
          <w:szCs w:val="26"/>
        </w:rPr>
        <w:t>表</w:t>
      </w:r>
      <w:r>
        <w:rPr>
          <w:rFonts w:eastAsia="標楷體"/>
          <w:b/>
          <w:color w:val="0000FF"/>
          <w:kern w:val="0"/>
          <w:sz w:val="26"/>
          <w:szCs w:val="26"/>
        </w:rPr>
        <w:t>1.1.7</w:t>
      </w:r>
      <w:r>
        <w:rPr>
          <w:rFonts w:eastAsia="標楷體"/>
          <w:b/>
          <w:color w:val="0000FF"/>
          <w:kern w:val="0"/>
          <w:sz w:val="26"/>
          <w:szCs w:val="26"/>
        </w:rPr>
        <w:t xml:space="preserve">　全球各洲高齡人口數量及比重</w:t>
      </w:r>
    </w:p>
    <w:tbl>
      <w:tblPr>
        <w:tblW w:w="8167" w:type="dxa"/>
        <w:jc w:val="center"/>
        <w:tblCellMar>
          <w:left w:w="10" w:type="dxa"/>
          <w:right w:w="10" w:type="dxa"/>
        </w:tblCellMar>
        <w:tblLook w:val="04A0" w:firstRow="1" w:lastRow="0" w:firstColumn="1" w:lastColumn="0" w:noHBand="0" w:noVBand="1"/>
      </w:tblPr>
      <w:tblGrid>
        <w:gridCol w:w="2399"/>
        <w:gridCol w:w="1276"/>
        <w:gridCol w:w="1315"/>
        <w:gridCol w:w="1514"/>
        <w:gridCol w:w="1663"/>
      </w:tblGrid>
      <w:tr w:rsidR="00052596" w14:paraId="1E823971" w14:textId="77777777">
        <w:tblPrEx>
          <w:tblCellMar>
            <w:top w:w="0" w:type="dxa"/>
            <w:bottom w:w="0" w:type="dxa"/>
          </w:tblCellMar>
        </w:tblPrEx>
        <w:trPr>
          <w:trHeight w:hRule="exact" w:val="312"/>
          <w:jc w:val="center"/>
        </w:trPr>
        <w:tc>
          <w:tcPr>
            <w:tcW w:w="2399" w:type="dxa"/>
            <w:vMerge w:val="restart"/>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19170" w14:textId="77777777" w:rsidR="00052596" w:rsidRDefault="00000000">
            <w:pPr>
              <w:snapToGrid w:val="0"/>
              <w:spacing w:line="320" w:lineRule="exact"/>
              <w:jc w:val="center"/>
              <w:rPr>
                <w:rFonts w:eastAsia="標楷體"/>
                <w:kern w:val="0"/>
              </w:rPr>
            </w:pPr>
            <w:r>
              <w:rPr>
                <w:rFonts w:eastAsia="標楷體"/>
                <w:kern w:val="0"/>
              </w:rPr>
              <w:t>區域</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528DC" w14:textId="77777777" w:rsidR="00052596" w:rsidRDefault="00000000">
            <w:pPr>
              <w:snapToGrid w:val="0"/>
              <w:spacing w:line="240" w:lineRule="atLeast"/>
              <w:jc w:val="center"/>
            </w:pPr>
            <w:r>
              <w:rPr>
                <w:rFonts w:eastAsia="標楷體"/>
                <w:kern w:val="0"/>
              </w:rPr>
              <w:t>60</w:t>
            </w:r>
            <w:r>
              <w:rPr>
                <w:rFonts w:eastAsia="標楷體"/>
                <w:kern w:val="0"/>
              </w:rPr>
              <w:t>歲以上人口</w:t>
            </w:r>
            <w:r>
              <w:rPr>
                <w:rFonts w:ascii="標楷體" w:eastAsia="標楷體" w:hAnsi="標楷體"/>
                <w:kern w:val="0"/>
              </w:rPr>
              <w:t>(千人)</w:t>
            </w:r>
          </w:p>
        </w:tc>
        <w:tc>
          <w:tcPr>
            <w:tcW w:w="317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FD8273" w14:textId="77777777" w:rsidR="00052596" w:rsidRDefault="00000000">
            <w:pPr>
              <w:snapToGrid w:val="0"/>
              <w:spacing w:line="240" w:lineRule="atLeast"/>
              <w:jc w:val="center"/>
              <w:rPr>
                <w:rFonts w:eastAsia="標楷體"/>
                <w:kern w:val="0"/>
              </w:rPr>
            </w:pPr>
            <w:r>
              <w:rPr>
                <w:rFonts w:eastAsia="標楷體"/>
                <w:kern w:val="0"/>
              </w:rPr>
              <w:t>60</w:t>
            </w:r>
            <w:r>
              <w:rPr>
                <w:rFonts w:eastAsia="標楷體"/>
                <w:kern w:val="0"/>
              </w:rPr>
              <w:t>歲以上人口占總人口比重</w:t>
            </w:r>
            <w:r>
              <w:rPr>
                <w:rFonts w:eastAsia="標楷體"/>
                <w:kern w:val="0"/>
              </w:rPr>
              <w:t>(%)</w:t>
            </w:r>
          </w:p>
        </w:tc>
      </w:tr>
      <w:tr w:rsidR="00052596" w14:paraId="7C57E0D3" w14:textId="77777777">
        <w:tblPrEx>
          <w:tblCellMar>
            <w:top w:w="0" w:type="dxa"/>
            <w:bottom w:w="0" w:type="dxa"/>
          </w:tblCellMar>
        </w:tblPrEx>
        <w:trPr>
          <w:trHeight w:hRule="exact" w:val="312"/>
          <w:jc w:val="center"/>
        </w:trPr>
        <w:tc>
          <w:tcPr>
            <w:tcW w:w="2399" w:type="dxa"/>
            <w:vMerge/>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2585B" w14:textId="77777777" w:rsidR="00052596" w:rsidRDefault="00052596">
            <w:pPr>
              <w:snapToGrid w:val="0"/>
              <w:spacing w:line="320" w:lineRule="exact"/>
              <w:jc w:val="both"/>
              <w:rPr>
                <w:rFonts w:eastAsia="標楷體"/>
                <w:kern w:val="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4464A" w14:textId="77777777" w:rsidR="00052596" w:rsidRDefault="00000000">
            <w:pPr>
              <w:snapToGrid w:val="0"/>
              <w:spacing w:line="240" w:lineRule="atLeast"/>
              <w:jc w:val="center"/>
              <w:rPr>
                <w:rFonts w:eastAsia="標楷體"/>
                <w:kern w:val="0"/>
              </w:rPr>
            </w:pPr>
            <w:r>
              <w:rPr>
                <w:rFonts w:eastAsia="標楷體"/>
                <w:kern w:val="0"/>
              </w:rPr>
              <w:t>2012</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97DAA" w14:textId="77777777" w:rsidR="00052596" w:rsidRDefault="00000000">
            <w:pPr>
              <w:snapToGrid w:val="0"/>
              <w:spacing w:line="240" w:lineRule="atLeast"/>
              <w:jc w:val="center"/>
              <w:rPr>
                <w:rFonts w:eastAsia="標楷體"/>
                <w:kern w:val="0"/>
              </w:rPr>
            </w:pPr>
            <w:r>
              <w:rPr>
                <w:rFonts w:eastAsia="標楷體"/>
                <w:kern w:val="0"/>
              </w:rPr>
              <w:t>2050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6DB77" w14:textId="77777777" w:rsidR="00052596" w:rsidRDefault="00000000">
            <w:pPr>
              <w:snapToGrid w:val="0"/>
              <w:spacing w:line="240" w:lineRule="atLeast"/>
              <w:jc w:val="center"/>
              <w:rPr>
                <w:rFonts w:eastAsia="標楷體"/>
                <w:kern w:val="0"/>
              </w:rPr>
            </w:pPr>
            <w:r>
              <w:rPr>
                <w:rFonts w:eastAsia="標楷體"/>
                <w:kern w:val="0"/>
              </w:rPr>
              <w:t>2012</w:t>
            </w:r>
          </w:p>
        </w:tc>
        <w:tc>
          <w:tcPr>
            <w:tcW w:w="16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9E560C" w14:textId="77777777" w:rsidR="00052596" w:rsidRDefault="00000000">
            <w:pPr>
              <w:snapToGrid w:val="0"/>
              <w:spacing w:line="240" w:lineRule="atLeast"/>
              <w:jc w:val="center"/>
              <w:rPr>
                <w:rFonts w:eastAsia="標楷體"/>
                <w:kern w:val="0"/>
              </w:rPr>
            </w:pPr>
            <w:r>
              <w:rPr>
                <w:rFonts w:eastAsia="標楷體"/>
                <w:kern w:val="0"/>
              </w:rPr>
              <w:t>2050</w:t>
            </w:r>
          </w:p>
        </w:tc>
      </w:tr>
      <w:tr w:rsidR="00052596" w14:paraId="504BD1A5" w14:textId="77777777">
        <w:tblPrEx>
          <w:tblCellMar>
            <w:top w:w="0" w:type="dxa"/>
            <w:bottom w:w="0" w:type="dxa"/>
          </w:tblCellMar>
        </w:tblPrEx>
        <w:trPr>
          <w:trHeight w:hRule="exact" w:val="312"/>
          <w:jc w:val="center"/>
        </w:trPr>
        <w:tc>
          <w:tcPr>
            <w:tcW w:w="2399" w:type="dxa"/>
            <w:tcBorders>
              <w:top w:val="single" w:sz="4" w:space="0" w:color="000000"/>
              <w:right w:val="single" w:sz="4" w:space="0" w:color="000000"/>
            </w:tcBorders>
            <w:shd w:val="clear" w:color="auto" w:fill="auto"/>
            <w:tcMar>
              <w:top w:w="0" w:type="dxa"/>
              <w:left w:w="108" w:type="dxa"/>
              <w:bottom w:w="0" w:type="dxa"/>
              <w:right w:w="108" w:type="dxa"/>
            </w:tcMar>
          </w:tcPr>
          <w:p w14:paraId="5258F005" w14:textId="77777777" w:rsidR="00052596" w:rsidRDefault="00000000">
            <w:pPr>
              <w:snapToGrid w:val="0"/>
              <w:spacing w:line="320" w:lineRule="exact"/>
              <w:jc w:val="both"/>
              <w:rPr>
                <w:rFonts w:eastAsia="標楷體"/>
                <w:kern w:val="0"/>
              </w:rPr>
            </w:pPr>
            <w:r>
              <w:rPr>
                <w:rFonts w:eastAsia="標楷體"/>
                <w:kern w:val="0"/>
              </w:rPr>
              <w:t>全球</w:t>
            </w: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FCC2EA" w14:textId="77777777" w:rsidR="00052596" w:rsidRDefault="00000000">
            <w:pPr>
              <w:snapToGrid w:val="0"/>
              <w:spacing w:line="320" w:lineRule="exact"/>
              <w:jc w:val="center"/>
              <w:rPr>
                <w:rFonts w:eastAsia="標楷體"/>
                <w:kern w:val="0"/>
              </w:rPr>
            </w:pPr>
            <w:r>
              <w:rPr>
                <w:rFonts w:eastAsia="標楷體"/>
                <w:kern w:val="0"/>
              </w:rPr>
              <w:t>809,743</w:t>
            </w:r>
          </w:p>
        </w:tc>
        <w:tc>
          <w:tcPr>
            <w:tcW w:w="131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3CE4F57" w14:textId="77777777" w:rsidR="00052596" w:rsidRDefault="00000000">
            <w:pPr>
              <w:snapToGrid w:val="0"/>
              <w:spacing w:line="320" w:lineRule="exact"/>
              <w:jc w:val="center"/>
              <w:rPr>
                <w:rFonts w:eastAsia="標楷體"/>
                <w:kern w:val="0"/>
              </w:rPr>
            </w:pPr>
            <w:r>
              <w:rPr>
                <w:rFonts w:eastAsia="標楷體"/>
                <w:kern w:val="0"/>
              </w:rPr>
              <w:t>2,031,337</w:t>
            </w:r>
          </w:p>
        </w:tc>
        <w:tc>
          <w:tcPr>
            <w:tcW w:w="151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CC6AF9F" w14:textId="77777777" w:rsidR="00052596" w:rsidRDefault="00000000">
            <w:pPr>
              <w:snapToGrid w:val="0"/>
              <w:spacing w:line="320" w:lineRule="exact"/>
              <w:jc w:val="center"/>
              <w:rPr>
                <w:rFonts w:eastAsia="標楷體"/>
                <w:kern w:val="0"/>
              </w:rPr>
            </w:pPr>
            <w:r>
              <w:rPr>
                <w:rFonts w:eastAsia="標楷體"/>
                <w:kern w:val="0"/>
              </w:rPr>
              <w:t>11.5</w:t>
            </w:r>
          </w:p>
        </w:tc>
        <w:tc>
          <w:tcPr>
            <w:tcW w:w="1663"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5D4C39A2" w14:textId="77777777" w:rsidR="00052596" w:rsidRDefault="00000000">
            <w:pPr>
              <w:snapToGrid w:val="0"/>
              <w:spacing w:line="320" w:lineRule="exact"/>
              <w:jc w:val="center"/>
              <w:rPr>
                <w:rFonts w:eastAsia="標楷體"/>
                <w:kern w:val="0"/>
              </w:rPr>
            </w:pPr>
            <w:r>
              <w:rPr>
                <w:rFonts w:eastAsia="標楷體"/>
                <w:kern w:val="0"/>
              </w:rPr>
              <w:t>21.8</w:t>
            </w:r>
          </w:p>
        </w:tc>
      </w:tr>
      <w:tr w:rsidR="00052596" w14:paraId="17FC0220" w14:textId="77777777">
        <w:tblPrEx>
          <w:tblCellMar>
            <w:top w:w="0" w:type="dxa"/>
            <w:bottom w:w="0" w:type="dxa"/>
          </w:tblCellMar>
        </w:tblPrEx>
        <w:trPr>
          <w:trHeight w:hRule="exact" w:val="312"/>
          <w:jc w:val="center"/>
        </w:trPr>
        <w:tc>
          <w:tcPr>
            <w:tcW w:w="2399" w:type="dxa"/>
            <w:tcBorders>
              <w:right w:val="single" w:sz="4" w:space="0" w:color="000000"/>
            </w:tcBorders>
            <w:shd w:val="clear" w:color="auto" w:fill="auto"/>
            <w:tcMar>
              <w:top w:w="0" w:type="dxa"/>
              <w:left w:w="108" w:type="dxa"/>
              <w:bottom w:w="0" w:type="dxa"/>
              <w:right w:w="108" w:type="dxa"/>
            </w:tcMar>
          </w:tcPr>
          <w:p w14:paraId="07B67FF6" w14:textId="77777777" w:rsidR="00052596" w:rsidRDefault="00000000">
            <w:pPr>
              <w:snapToGrid w:val="0"/>
              <w:spacing w:line="320" w:lineRule="exact"/>
              <w:jc w:val="both"/>
              <w:rPr>
                <w:rFonts w:eastAsia="標楷體"/>
                <w:kern w:val="0"/>
              </w:rPr>
            </w:pPr>
            <w:r>
              <w:rPr>
                <w:rFonts w:eastAsia="標楷體"/>
                <w:kern w:val="0"/>
              </w:rPr>
              <w:t>非洲</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57ABBF" w14:textId="77777777" w:rsidR="00052596" w:rsidRDefault="00000000">
            <w:pPr>
              <w:snapToGrid w:val="0"/>
              <w:spacing w:line="320" w:lineRule="exact"/>
              <w:jc w:val="center"/>
              <w:rPr>
                <w:rFonts w:eastAsia="標楷體"/>
                <w:kern w:val="0"/>
              </w:rPr>
            </w:pPr>
            <w:r>
              <w:rPr>
                <w:rFonts w:eastAsia="標楷體"/>
                <w:kern w:val="0"/>
              </w:rPr>
              <w:t>59,782</w:t>
            </w:r>
          </w:p>
        </w:tc>
        <w:tc>
          <w:tcPr>
            <w:tcW w:w="1315"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64C51B" w14:textId="77777777" w:rsidR="00052596" w:rsidRDefault="00000000">
            <w:pPr>
              <w:snapToGrid w:val="0"/>
              <w:spacing w:line="320" w:lineRule="exact"/>
              <w:jc w:val="center"/>
              <w:rPr>
                <w:rFonts w:eastAsia="標楷體"/>
                <w:kern w:val="0"/>
              </w:rPr>
            </w:pPr>
            <w:r>
              <w:rPr>
                <w:rFonts w:eastAsia="標楷體"/>
                <w:kern w:val="0"/>
              </w:rPr>
              <w:t>215,249</w:t>
            </w:r>
          </w:p>
        </w:tc>
        <w:tc>
          <w:tcPr>
            <w:tcW w:w="1514"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EA8D6C" w14:textId="77777777" w:rsidR="00052596" w:rsidRDefault="00000000">
            <w:pPr>
              <w:snapToGrid w:val="0"/>
              <w:spacing w:line="320" w:lineRule="exact"/>
              <w:jc w:val="center"/>
              <w:rPr>
                <w:rFonts w:eastAsia="標楷體"/>
                <w:kern w:val="0"/>
              </w:rPr>
            </w:pPr>
            <w:r>
              <w:rPr>
                <w:rFonts w:eastAsia="標楷體"/>
                <w:kern w:val="0"/>
              </w:rPr>
              <w:t>5.6</w:t>
            </w:r>
          </w:p>
        </w:tc>
        <w:tc>
          <w:tcPr>
            <w:tcW w:w="1663" w:type="dxa"/>
            <w:tcBorders>
              <w:left w:val="single" w:sz="4" w:space="0" w:color="000000"/>
            </w:tcBorders>
            <w:shd w:val="clear" w:color="auto" w:fill="auto"/>
            <w:tcMar>
              <w:top w:w="0" w:type="dxa"/>
              <w:left w:w="108" w:type="dxa"/>
              <w:bottom w:w="0" w:type="dxa"/>
              <w:right w:w="108" w:type="dxa"/>
            </w:tcMar>
            <w:vAlign w:val="center"/>
          </w:tcPr>
          <w:p w14:paraId="4E4068A9" w14:textId="77777777" w:rsidR="00052596" w:rsidRDefault="00000000">
            <w:pPr>
              <w:snapToGrid w:val="0"/>
              <w:spacing w:line="320" w:lineRule="exact"/>
              <w:jc w:val="center"/>
              <w:rPr>
                <w:rFonts w:eastAsia="標楷體"/>
                <w:kern w:val="0"/>
              </w:rPr>
            </w:pPr>
            <w:r>
              <w:rPr>
                <w:rFonts w:eastAsia="標楷體"/>
                <w:kern w:val="0"/>
              </w:rPr>
              <w:t>9.8</w:t>
            </w:r>
          </w:p>
        </w:tc>
      </w:tr>
      <w:tr w:rsidR="00052596" w14:paraId="24CBD5D3" w14:textId="77777777">
        <w:tblPrEx>
          <w:tblCellMar>
            <w:top w:w="0" w:type="dxa"/>
            <w:bottom w:w="0" w:type="dxa"/>
          </w:tblCellMar>
        </w:tblPrEx>
        <w:trPr>
          <w:trHeight w:hRule="exact" w:val="312"/>
          <w:jc w:val="center"/>
        </w:trPr>
        <w:tc>
          <w:tcPr>
            <w:tcW w:w="2399" w:type="dxa"/>
            <w:tcBorders>
              <w:right w:val="single" w:sz="4" w:space="0" w:color="000000"/>
            </w:tcBorders>
            <w:shd w:val="clear" w:color="auto" w:fill="auto"/>
            <w:tcMar>
              <w:top w:w="0" w:type="dxa"/>
              <w:left w:w="108" w:type="dxa"/>
              <w:bottom w:w="0" w:type="dxa"/>
              <w:right w:w="108" w:type="dxa"/>
            </w:tcMar>
          </w:tcPr>
          <w:p w14:paraId="39EA3A3A" w14:textId="77777777" w:rsidR="00052596" w:rsidRDefault="00000000">
            <w:pPr>
              <w:snapToGrid w:val="0"/>
              <w:spacing w:line="320" w:lineRule="exact"/>
              <w:jc w:val="both"/>
              <w:rPr>
                <w:rFonts w:eastAsia="標楷體"/>
                <w:kern w:val="0"/>
              </w:rPr>
            </w:pPr>
            <w:r>
              <w:rPr>
                <w:rFonts w:eastAsia="標楷體"/>
                <w:kern w:val="0"/>
              </w:rPr>
              <w:t>亞洲</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C88A2D" w14:textId="77777777" w:rsidR="00052596" w:rsidRDefault="00000000">
            <w:pPr>
              <w:snapToGrid w:val="0"/>
              <w:spacing w:line="320" w:lineRule="exact"/>
              <w:jc w:val="center"/>
              <w:rPr>
                <w:rFonts w:eastAsia="標楷體"/>
                <w:kern w:val="0"/>
              </w:rPr>
            </w:pPr>
            <w:r>
              <w:rPr>
                <w:rFonts w:eastAsia="標楷體"/>
                <w:kern w:val="0"/>
              </w:rPr>
              <w:t>446,974</w:t>
            </w:r>
          </w:p>
        </w:tc>
        <w:tc>
          <w:tcPr>
            <w:tcW w:w="1315"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69C8A6" w14:textId="77777777" w:rsidR="00052596" w:rsidRDefault="00000000">
            <w:pPr>
              <w:snapToGrid w:val="0"/>
              <w:spacing w:line="320" w:lineRule="exact"/>
              <w:jc w:val="center"/>
              <w:rPr>
                <w:rFonts w:eastAsia="標楷體"/>
                <w:kern w:val="0"/>
              </w:rPr>
            </w:pPr>
            <w:r>
              <w:rPr>
                <w:rFonts w:eastAsia="標楷體"/>
                <w:kern w:val="0"/>
              </w:rPr>
              <w:t>1,252,588</w:t>
            </w:r>
          </w:p>
        </w:tc>
        <w:tc>
          <w:tcPr>
            <w:tcW w:w="1514"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435C26" w14:textId="77777777" w:rsidR="00052596" w:rsidRDefault="00000000">
            <w:pPr>
              <w:snapToGrid w:val="0"/>
              <w:spacing w:line="320" w:lineRule="exact"/>
              <w:jc w:val="center"/>
              <w:rPr>
                <w:rFonts w:eastAsia="標楷體"/>
                <w:kern w:val="0"/>
              </w:rPr>
            </w:pPr>
            <w:r>
              <w:rPr>
                <w:rFonts w:eastAsia="標楷體"/>
                <w:kern w:val="0"/>
              </w:rPr>
              <w:t>10.5</w:t>
            </w:r>
          </w:p>
        </w:tc>
        <w:tc>
          <w:tcPr>
            <w:tcW w:w="1663" w:type="dxa"/>
            <w:tcBorders>
              <w:left w:val="single" w:sz="4" w:space="0" w:color="000000"/>
            </w:tcBorders>
            <w:shd w:val="clear" w:color="auto" w:fill="auto"/>
            <w:tcMar>
              <w:top w:w="0" w:type="dxa"/>
              <w:left w:w="108" w:type="dxa"/>
              <w:bottom w:w="0" w:type="dxa"/>
              <w:right w:w="108" w:type="dxa"/>
            </w:tcMar>
            <w:vAlign w:val="center"/>
          </w:tcPr>
          <w:p w14:paraId="29330176" w14:textId="77777777" w:rsidR="00052596" w:rsidRDefault="00000000">
            <w:pPr>
              <w:snapToGrid w:val="0"/>
              <w:spacing w:line="320" w:lineRule="exact"/>
              <w:jc w:val="center"/>
              <w:rPr>
                <w:rFonts w:eastAsia="標楷體"/>
                <w:kern w:val="0"/>
              </w:rPr>
            </w:pPr>
            <w:r>
              <w:rPr>
                <w:rFonts w:eastAsia="標楷體"/>
                <w:kern w:val="0"/>
              </w:rPr>
              <w:t>24.4</w:t>
            </w:r>
          </w:p>
        </w:tc>
      </w:tr>
      <w:tr w:rsidR="00052596" w14:paraId="143C460D" w14:textId="77777777">
        <w:tblPrEx>
          <w:tblCellMar>
            <w:top w:w="0" w:type="dxa"/>
            <w:bottom w:w="0" w:type="dxa"/>
          </w:tblCellMar>
        </w:tblPrEx>
        <w:trPr>
          <w:trHeight w:hRule="exact" w:val="312"/>
          <w:jc w:val="center"/>
        </w:trPr>
        <w:tc>
          <w:tcPr>
            <w:tcW w:w="2399" w:type="dxa"/>
            <w:tcBorders>
              <w:right w:val="single" w:sz="4" w:space="0" w:color="000000"/>
            </w:tcBorders>
            <w:shd w:val="clear" w:color="auto" w:fill="auto"/>
            <w:tcMar>
              <w:top w:w="0" w:type="dxa"/>
              <w:left w:w="108" w:type="dxa"/>
              <w:bottom w:w="0" w:type="dxa"/>
              <w:right w:w="108" w:type="dxa"/>
            </w:tcMar>
          </w:tcPr>
          <w:p w14:paraId="3AD6BDD8" w14:textId="77777777" w:rsidR="00052596" w:rsidRDefault="00000000">
            <w:pPr>
              <w:snapToGrid w:val="0"/>
              <w:spacing w:line="320" w:lineRule="exact"/>
              <w:jc w:val="both"/>
              <w:rPr>
                <w:rFonts w:eastAsia="標楷體"/>
                <w:kern w:val="0"/>
              </w:rPr>
            </w:pPr>
            <w:r>
              <w:rPr>
                <w:rFonts w:eastAsia="標楷體"/>
                <w:kern w:val="0"/>
              </w:rPr>
              <w:t>歐洲</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3DD82A" w14:textId="77777777" w:rsidR="00052596" w:rsidRDefault="00000000">
            <w:pPr>
              <w:snapToGrid w:val="0"/>
              <w:spacing w:line="320" w:lineRule="exact"/>
              <w:jc w:val="center"/>
              <w:rPr>
                <w:rFonts w:eastAsia="標楷體"/>
                <w:kern w:val="0"/>
              </w:rPr>
            </w:pPr>
            <w:r>
              <w:rPr>
                <w:rFonts w:eastAsia="標楷體"/>
                <w:kern w:val="0"/>
              </w:rPr>
              <w:t>166,397</w:t>
            </w:r>
          </w:p>
        </w:tc>
        <w:tc>
          <w:tcPr>
            <w:tcW w:w="1315"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9AB525" w14:textId="77777777" w:rsidR="00052596" w:rsidRDefault="00000000">
            <w:pPr>
              <w:snapToGrid w:val="0"/>
              <w:spacing w:line="320" w:lineRule="exact"/>
              <w:jc w:val="center"/>
              <w:rPr>
                <w:rFonts w:eastAsia="標楷體"/>
                <w:kern w:val="0"/>
              </w:rPr>
            </w:pPr>
            <w:r>
              <w:rPr>
                <w:rFonts w:eastAsia="標楷體"/>
                <w:kern w:val="0"/>
              </w:rPr>
              <w:t>241,828</w:t>
            </w:r>
          </w:p>
        </w:tc>
        <w:tc>
          <w:tcPr>
            <w:tcW w:w="1514"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24503E" w14:textId="77777777" w:rsidR="00052596" w:rsidRDefault="00000000">
            <w:pPr>
              <w:snapToGrid w:val="0"/>
              <w:spacing w:line="320" w:lineRule="exact"/>
              <w:jc w:val="center"/>
              <w:rPr>
                <w:rFonts w:eastAsia="標楷體"/>
                <w:kern w:val="0"/>
              </w:rPr>
            </w:pPr>
            <w:r>
              <w:rPr>
                <w:rFonts w:eastAsia="標楷體"/>
                <w:kern w:val="0"/>
              </w:rPr>
              <w:t>22.5</w:t>
            </w:r>
          </w:p>
        </w:tc>
        <w:tc>
          <w:tcPr>
            <w:tcW w:w="1663" w:type="dxa"/>
            <w:tcBorders>
              <w:left w:val="single" w:sz="4" w:space="0" w:color="000000"/>
            </w:tcBorders>
            <w:shd w:val="clear" w:color="auto" w:fill="auto"/>
            <w:tcMar>
              <w:top w:w="0" w:type="dxa"/>
              <w:left w:w="108" w:type="dxa"/>
              <w:bottom w:w="0" w:type="dxa"/>
              <w:right w:w="108" w:type="dxa"/>
            </w:tcMar>
            <w:vAlign w:val="center"/>
          </w:tcPr>
          <w:p w14:paraId="4C27217B" w14:textId="77777777" w:rsidR="00052596" w:rsidRDefault="00000000">
            <w:pPr>
              <w:snapToGrid w:val="0"/>
              <w:spacing w:line="320" w:lineRule="exact"/>
              <w:jc w:val="center"/>
              <w:rPr>
                <w:rFonts w:eastAsia="標楷體"/>
                <w:kern w:val="0"/>
              </w:rPr>
            </w:pPr>
            <w:r>
              <w:rPr>
                <w:rFonts w:eastAsia="標楷體"/>
                <w:kern w:val="0"/>
              </w:rPr>
              <w:t>33.6</w:t>
            </w:r>
          </w:p>
        </w:tc>
      </w:tr>
      <w:tr w:rsidR="00052596" w14:paraId="6267B327" w14:textId="77777777">
        <w:tblPrEx>
          <w:tblCellMar>
            <w:top w:w="0" w:type="dxa"/>
            <w:bottom w:w="0" w:type="dxa"/>
          </w:tblCellMar>
        </w:tblPrEx>
        <w:trPr>
          <w:trHeight w:hRule="exact" w:val="312"/>
          <w:jc w:val="center"/>
        </w:trPr>
        <w:tc>
          <w:tcPr>
            <w:tcW w:w="2399" w:type="dxa"/>
            <w:tcBorders>
              <w:right w:val="single" w:sz="4" w:space="0" w:color="000000"/>
            </w:tcBorders>
            <w:shd w:val="clear" w:color="auto" w:fill="auto"/>
            <w:tcMar>
              <w:top w:w="0" w:type="dxa"/>
              <w:left w:w="108" w:type="dxa"/>
              <w:bottom w:w="0" w:type="dxa"/>
              <w:right w:w="108" w:type="dxa"/>
            </w:tcMar>
          </w:tcPr>
          <w:p w14:paraId="67581672" w14:textId="77777777" w:rsidR="00052596" w:rsidRDefault="00000000">
            <w:pPr>
              <w:snapToGrid w:val="0"/>
              <w:spacing w:line="320" w:lineRule="exact"/>
              <w:jc w:val="both"/>
              <w:rPr>
                <w:rFonts w:eastAsia="標楷體"/>
                <w:kern w:val="0"/>
              </w:rPr>
            </w:pPr>
            <w:r>
              <w:rPr>
                <w:rFonts w:eastAsia="標楷體"/>
                <w:kern w:val="0"/>
              </w:rPr>
              <w:t>拉丁美洲及加勒比海</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3961F652" w14:textId="77777777" w:rsidR="00052596" w:rsidRDefault="00000000">
            <w:pPr>
              <w:snapToGrid w:val="0"/>
              <w:spacing w:line="320" w:lineRule="exact"/>
              <w:jc w:val="center"/>
              <w:rPr>
                <w:rFonts w:eastAsia="標楷體"/>
                <w:kern w:val="0"/>
              </w:rPr>
            </w:pPr>
            <w:r>
              <w:rPr>
                <w:rFonts w:eastAsia="標楷體"/>
                <w:kern w:val="0"/>
              </w:rPr>
              <w:t>63,064</w:t>
            </w:r>
          </w:p>
        </w:tc>
        <w:tc>
          <w:tcPr>
            <w:tcW w:w="1315" w:type="dxa"/>
            <w:tcBorders>
              <w:left w:val="single" w:sz="4" w:space="0" w:color="000000"/>
              <w:right w:val="single" w:sz="4" w:space="0" w:color="000000"/>
            </w:tcBorders>
            <w:shd w:val="clear" w:color="auto" w:fill="auto"/>
            <w:tcMar>
              <w:top w:w="0" w:type="dxa"/>
              <w:left w:w="108" w:type="dxa"/>
              <w:bottom w:w="0" w:type="dxa"/>
              <w:right w:w="108" w:type="dxa"/>
            </w:tcMar>
          </w:tcPr>
          <w:p w14:paraId="7E3378A2" w14:textId="77777777" w:rsidR="00052596" w:rsidRDefault="00000000">
            <w:pPr>
              <w:snapToGrid w:val="0"/>
              <w:spacing w:line="320" w:lineRule="exact"/>
              <w:jc w:val="center"/>
              <w:rPr>
                <w:rFonts w:eastAsia="標楷體"/>
                <w:kern w:val="0"/>
              </w:rPr>
            </w:pPr>
            <w:r>
              <w:rPr>
                <w:rFonts w:eastAsia="標楷體"/>
                <w:kern w:val="0"/>
              </w:rPr>
              <w:t>187,869</w:t>
            </w:r>
          </w:p>
        </w:tc>
        <w:tc>
          <w:tcPr>
            <w:tcW w:w="1514" w:type="dxa"/>
            <w:tcBorders>
              <w:left w:val="single" w:sz="4" w:space="0" w:color="000000"/>
              <w:right w:val="single" w:sz="4" w:space="0" w:color="000000"/>
            </w:tcBorders>
            <w:shd w:val="clear" w:color="auto" w:fill="auto"/>
            <w:tcMar>
              <w:top w:w="0" w:type="dxa"/>
              <w:left w:w="108" w:type="dxa"/>
              <w:bottom w:w="0" w:type="dxa"/>
              <w:right w:w="108" w:type="dxa"/>
            </w:tcMar>
          </w:tcPr>
          <w:p w14:paraId="17A7DEAF" w14:textId="77777777" w:rsidR="00052596" w:rsidRDefault="00000000">
            <w:pPr>
              <w:snapToGrid w:val="0"/>
              <w:spacing w:line="320" w:lineRule="exact"/>
              <w:jc w:val="center"/>
              <w:rPr>
                <w:rFonts w:eastAsia="標楷體"/>
                <w:kern w:val="0"/>
              </w:rPr>
            </w:pPr>
            <w:r>
              <w:rPr>
                <w:rFonts w:eastAsia="標楷體"/>
                <w:kern w:val="0"/>
              </w:rPr>
              <w:t>10.5</w:t>
            </w:r>
          </w:p>
        </w:tc>
        <w:tc>
          <w:tcPr>
            <w:tcW w:w="1663" w:type="dxa"/>
            <w:tcBorders>
              <w:left w:val="single" w:sz="4" w:space="0" w:color="000000"/>
            </w:tcBorders>
            <w:shd w:val="clear" w:color="auto" w:fill="auto"/>
            <w:tcMar>
              <w:top w:w="0" w:type="dxa"/>
              <w:left w:w="108" w:type="dxa"/>
              <w:bottom w:w="0" w:type="dxa"/>
              <w:right w:w="108" w:type="dxa"/>
            </w:tcMar>
          </w:tcPr>
          <w:p w14:paraId="1E168E8F" w14:textId="77777777" w:rsidR="00052596" w:rsidRDefault="00000000">
            <w:pPr>
              <w:snapToGrid w:val="0"/>
              <w:spacing w:line="320" w:lineRule="exact"/>
              <w:jc w:val="center"/>
              <w:rPr>
                <w:rFonts w:eastAsia="標楷體"/>
                <w:kern w:val="0"/>
              </w:rPr>
            </w:pPr>
            <w:r>
              <w:rPr>
                <w:rFonts w:eastAsia="標楷體"/>
                <w:kern w:val="0"/>
              </w:rPr>
              <w:t>25.0</w:t>
            </w:r>
          </w:p>
        </w:tc>
      </w:tr>
      <w:tr w:rsidR="00052596" w14:paraId="4CFEB916" w14:textId="77777777">
        <w:tblPrEx>
          <w:tblCellMar>
            <w:top w:w="0" w:type="dxa"/>
            <w:bottom w:w="0" w:type="dxa"/>
          </w:tblCellMar>
        </w:tblPrEx>
        <w:trPr>
          <w:trHeight w:hRule="exact" w:val="312"/>
          <w:jc w:val="center"/>
        </w:trPr>
        <w:tc>
          <w:tcPr>
            <w:tcW w:w="2399" w:type="dxa"/>
            <w:tcBorders>
              <w:right w:val="single" w:sz="4" w:space="0" w:color="000000"/>
            </w:tcBorders>
            <w:shd w:val="clear" w:color="auto" w:fill="auto"/>
            <w:tcMar>
              <w:top w:w="0" w:type="dxa"/>
              <w:left w:w="108" w:type="dxa"/>
              <w:bottom w:w="0" w:type="dxa"/>
              <w:right w:w="108" w:type="dxa"/>
            </w:tcMar>
          </w:tcPr>
          <w:p w14:paraId="3F50C9A4" w14:textId="77777777" w:rsidR="00052596" w:rsidRDefault="00000000">
            <w:pPr>
              <w:snapToGrid w:val="0"/>
              <w:spacing w:line="320" w:lineRule="exact"/>
              <w:jc w:val="both"/>
              <w:rPr>
                <w:rFonts w:eastAsia="標楷體"/>
                <w:kern w:val="0"/>
              </w:rPr>
            </w:pPr>
            <w:r>
              <w:rPr>
                <w:rFonts w:eastAsia="標楷體"/>
                <w:kern w:val="0"/>
              </w:rPr>
              <w:t>北美洲</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5476B1" w14:textId="77777777" w:rsidR="00052596" w:rsidRDefault="00000000">
            <w:pPr>
              <w:snapToGrid w:val="0"/>
              <w:spacing w:line="320" w:lineRule="exact"/>
              <w:jc w:val="center"/>
              <w:rPr>
                <w:rFonts w:eastAsia="標楷體"/>
                <w:kern w:val="0"/>
              </w:rPr>
            </w:pPr>
            <w:r>
              <w:rPr>
                <w:rFonts w:eastAsia="標楷體"/>
                <w:kern w:val="0"/>
              </w:rPr>
              <w:t>67,579</w:t>
            </w:r>
          </w:p>
        </w:tc>
        <w:tc>
          <w:tcPr>
            <w:tcW w:w="1315"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5A1D2C" w14:textId="77777777" w:rsidR="00052596" w:rsidRDefault="00000000">
            <w:pPr>
              <w:snapToGrid w:val="0"/>
              <w:spacing w:line="320" w:lineRule="exact"/>
              <w:jc w:val="center"/>
              <w:rPr>
                <w:rFonts w:eastAsia="標楷體"/>
                <w:kern w:val="0"/>
              </w:rPr>
            </w:pPr>
            <w:r>
              <w:rPr>
                <w:rFonts w:eastAsia="標楷體"/>
                <w:kern w:val="0"/>
              </w:rPr>
              <w:t>120,797</w:t>
            </w:r>
          </w:p>
        </w:tc>
        <w:tc>
          <w:tcPr>
            <w:tcW w:w="1514"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1DF5A8" w14:textId="77777777" w:rsidR="00052596" w:rsidRDefault="00000000">
            <w:pPr>
              <w:snapToGrid w:val="0"/>
              <w:spacing w:line="320" w:lineRule="exact"/>
              <w:jc w:val="center"/>
              <w:rPr>
                <w:rFonts w:eastAsia="標楷體"/>
                <w:kern w:val="0"/>
              </w:rPr>
            </w:pPr>
            <w:r>
              <w:rPr>
                <w:rFonts w:eastAsia="標楷體"/>
                <w:kern w:val="0"/>
              </w:rPr>
              <w:t>19.3</w:t>
            </w:r>
          </w:p>
        </w:tc>
        <w:tc>
          <w:tcPr>
            <w:tcW w:w="1663" w:type="dxa"/>
            <w:tcBorders>
              <w:left w:val="single" w:sz="4" w:space="0" w:color="000000"/>
            </w:tcBorders>
            <w:shd w:val="clear" w:color="auto" w:fill="auto"/>
            <w:tcMar>
              <w:top w:w="0" w:type="dxa"/>
              <w:left w:w="108" w:type="dxa"/>
              <w:bottom w:w="0" w:type="dxa"/>
              <w:right w:w="108" w:type="dxa"/>
            </w:tcMar>
            <w:vAlign w:val="center"/>
          </w:tcPr>
          <w:p w14:paraId="5C65EB3F" w14:textId="77777777" w:rsidR="00052596" w:rsidRDefault="00000000">
            <w:pPr>
              <w:snapToGrid w:val="0"/>
              <w:spacing w:line="320" w:lineRule="exact"/>
              <w:jc w:val="center"/>
              <w:rPr>
                <w:rFonts w:eastAsia="標楷體"/>
                <w:kern w:val="0"/>
              </w:rPr>
            </w:pPr>
            <w:r>
              <w:rPr>
                <w:rFonts w:eastAsia="標楷體"/>
                <w:kern w:val="0"/>
              </w:rPr>
              <w:t>27.0</w:t>
            </w:r>
          </w:p>
        </w:tc>
      </w:tr>
      <w:tr w:rsidR="00052596" w14:paraId="0FD89B14" w14:textId="77777777">
        <w:tblPrEx>
          <w:tblCellMar>
            <w:top w:w="0" w:type="dxa"/>
            <w:bottom w:w="0" w:type="dxa"/>
          </w:tblCellMar>
        </w:tblPrEx>
        <w:trPr>
          <w:trHeight w:hRule="exact" w:val="312"/>
          <w:jc w:val="center"/>
        </w:trPr>
        <w:tc>
          <w:tcPr>
            <w:tcW w:w="2399" w:type="dxa"/>
            <w:tcBorders>
              <w:bottom w:val="single" w:sz="4" w:space="0" w:color="000000"/>
              <w:right w:val="single" w:sz="4" w:space="0" w:color="000000"/>
            </w:tcBorders>
            <w:shd w:val="clear" w:color="auto" w:fill="auto"/>
            <w:tcMar>
              <w:top w:w="0" w:type="dxa"/>
              <w:left w:w="108" w:type="dxa"/>
              <w:bottom w:w="0" w:type="dxa"/>
              <w:right w:w="108" w:type="dxa"/>
            </w:tcMar>
          </w:tcPr>
          <w:p w14:paraId="630F5BBB" w14:textId="77777777" w:rsidR="00052596" w:rsidRDefault="00000000">
            <w:pPr>
              <w:snapToGrid w:val="0"/>
              <w:spacing w:line="320" w:lineRule="exact"/>
              <w:jc w:val="both"/>
              <w:rPr>
                <w:rFonts w:eastAsia="標楷體"/>
                <w:kern w:val="0"/>
              </w:rPr>
            </w:pPr>
            <w:r>
              <w:rPr>
                <w:rFonts w:eastAsia="標楷體"/>
                <w:kern w:val="0"/>
              </w:rPr>
              <w:t>大洋洲</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EED7F" w14:textId="77777777" w:rsidR="00052596" w:rsidRDefault="00000000">
            <w:pPr>
              <w:snapToGrid w:val="0"/>
              <w:spacing w:line="320" w:lineRule="exact"/>
              <w:jc w:val="center"/>
              <w:rPr>
                <w:rFonts w:eastAsia="標楷體"/>
                <w:kern w:val="0"/>
              </w:rPr>
            </w:pPr>
            <w:r>
              <w:rPr>
                <w:rFonts w:eastAsia="標楷體"/>
                <w:kern w:val="0"/>
              </w:rPr>
              <w:t>5,928</w:t>
            </w:r>
          </w:p>
        </w:tc>
        <w:tc>
          <w:tcPr>
            <w:tcW w:w="131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A15CE" w14:textId="77777777" w:rsidR="00052596" w:rsidRDefault="00000000">
            <w:pPr>
              <w:snapToGrid w:val="0"/>
              <w:spacing w:line="320" w:lineRule="exact"/>
              <w:jc w:val="center"/>
              <w:rPr>
                <w:rFonts w:eastAsia="標楷體"/>
                <w:kern w:val="0"/>
              </w:rPr>
            </w:pPr>
            <w:r>
              <w:rPr>
                <w:rFonts w:eastAsia="標楷體"/>
                <w:kern w:val="0"/>
              </w:rPr>
              <w:t>13,006</w:t>
            </w:r>
          </w:p>
        </w:tc>
        <w:tc>
          <w:tcPr>
            <w:tcW w:w="15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32C32" w14:textId="77777777" w:rsidR="00052596" w:rsidRDefault="00000000">
            <w:pPr>
              <w:snapToGrid w:val="0"/>
              <w:spacing w:line="320" w:lineRule="exact"/>
              <w:jc w:val="center"/>
              <w:rPr>
                <w:rFonts w:eastAsia="標楷體"/>
                <w:kern w:val="0"/>
              </w:rPr>
            </w:pPr>
            <w:r>
              <w:rPr>
                <w:rFonts w:eastAsia="標楷體"/>
                <w:kern w:val="0"/>
              </w:rPr>
              <w:t>15.7</w:t>
            </w:r>
          </w:p>
        </w:tc>
        <w:tc>
          <w:tcPr>
            <w:tcW w:w="166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A134205" w14:textId="77777777" w:rsidR="00052596" w:rsidRDefault="00000000">
            <w:pPr>
              <w:snapToGrid w:val="0"/>
              <w:spacing w:line="320" w:lineRule="exact"/>
              <w:jc w:val="center"/>
              <w:rPr>
                <w:rFonts w:eastAsia="標楷體"/>
                <w:kern w:val="0"/>
              </w:rPr>
            </w:pPr>
            <w:r>
              <w:rPr>
                <w:rFonts w:eastAsia="標楷體"/>
                <w:kern w:val="0"/>
              </w:rPr>
              <w:t>23.5</w:t>
            </w:r>
          </w:p>
        </w:tc>
      </w:tr>
    </w:tbl>
    <w:p w14:paraId="03C1F8E7" w14:textId="77777777" w:rsidR="00052596" w:rsidRDefault="00000000">
      <w:pPr>
        <w:overflowPunct w:val="0"/>
        <w:autoSpaceDE w:val="0"/>
        <w:spacing w:before="24" w:line="320" w:lineRule="exact"/>
        <w:ind w:left="1501" w:hanging="1278"/>
        <w:jc w:val="both"/>
        <w:textAlignment w:val="center"/>
        <w:rPr>
          <w:rFonts w:eastAsia="標楷體"/>
          <w:kern w:val="0"/>
          <w:sz w:val="20"/>
        </w:rPr>
      </w:pPr>
      <w:r>
        <w:rPr>
          <w:rFonts w:eastAsia="標楷體"/>
          <w:kern w:val="0"/>
          <w:sz w:val="20"/>
        </w:rPr>
        <w:t>資料來源：同表</w:t>
      </w:r>
      <w:r>
        <w:rPr>
          <w:rFonts w:eastAsia="標楷體"/>
          <w:kern w:val="0"/>
          <w:sz w:val="20"/>
        </w:rPr>
        <w:t>1.1.6</w:t>
      </w:r>
      <w:r>
        <w:rPr>
          <w:rFonts w:eastAsia="標楷體"/>
          <w:kern w:val="0"/>
          <w:sz w:val="20"/>
        </w:rPr>
        <w:t>。</w:t>
      </w:r>
    </w:p>
    <w:p w14:paraId="437676F5" w14:textId="77777777" w:rsidR="00052596" w:rsidRDefault="00000000">
      <w:pPr>
        <w:tabs>
          <w:tab w:val="left" w:pos="960"/>
          <w:tab w:val="left" w:pos="1920"/>
          <w:tab w:val="left" w:pos="2880"/>
          <w:tab w:val="left" w:pos="3840"/>
          <w:tab w:val="left" w:pos="4800"/>
          <w:tab w:val="left" w:pos="5760"/>
        </w:tabs>
        <w:overflowPunct w:val="0"/>
        <w:autoSpaceDE w:val="0"/>
        <w:spacing w:before="120" w:line="420" w:lineRule="exact"/>
        <w:ind w:left="1080" w:hanging="288"/>
        <w:jc w:val="both"/>
        <w:textAlignment w:val="center"/>
      </w:pPr>
      <w:r>
        <w:rPr>
          <w:rFonts w:eastAsia="標楷體"/>
          <w:spacing w:val="4"/>
          <w:kern w:val="0"/>
          <w:sz w:val="28"/>
          <w:szCs w:val="26"/>
        </w:rPr>
        <w:lastRenderedPageBreak/>
        <w:t>－已開發經濟體勞動人口下降：聯合國預測，已開發經濟體勞動人口在</w:t>
      </w:r>
      <w:r>
        <w:rPr>
          <w:rFonts w:eastAsia="標楷體"/>
          <w:spacing w:val="4"/>
          <w:kern w:val="0"/>
          <w:sz w:val="28"/>
          <w:szCs w:val="26"/>
        </w:rPr>
        <w:t>2010</w:t>
      </w:r>
      <w:r>
        <w:rPr>
          <w:rFonts w:eastAsia="標楷體"/>
          <w:spacing w:val="4"/>
          <w:kern w:val="0"/>
          <w:sz w:val="28"/>
          <w:szCs w:val="26"/>
        </w:rPr>
        <w:t>年已達頂峰，</w:t>
      </w:r>
      <w:r>
        <w:rPr>
          <w:rFonts w:eastAsia="標楷體"/>
          <w:spacing w:val="4"/>
          <w:kern w:val="0"/>
          <w:sz w:val="28"/>
          <w:szCs w:val="26"/>
        </w:rPr>
        <w:t>2050</w:t>
      </w:r>
      <w:r>
        <w:rPr>
          <w:rFonts w:eastAsia="標楷體"/>
          <w:spacing w:val="4"/>
          <w:kern w:val="0"/>
          <w:sz w:val="28"/>
          <w:szCs w:val="26"/>
        </w:rPr>
        <w:t>年將由</w:t>
      </w:r>
      <w:r>
        <w:rPr>
          <w:rFonts w:eastAsia="標楷體"/>
          <w:spacing w:val="4"/>
          <w:kern w:val="0"/>
          <w:sz w:val="28"/>
          <w:szCs w:val="26"/>
        </w:rPr>
        <w:t>2010</w:t>
      </w:r>
      <w:r>
        <w:rPr>
          <w:rFonts w:eastAsia="標楷體"/>
          <w:spacing w:val="4"/>
          <w:kern w:val="0"/>
          <w:sz w:val="28"/>
          <w:szCs w:val="26"/>
        </w:rPr>
        <w:t>年的</w:t>
      </w:r>
      <w:r>
        <w:rPr>
          <w:rFonts w:eastAsia="標楷體"/>
          <w:spacing w:val="4"/>
          <w:kern w:val="0"/>
          <w:sz w:val="28"/>
          <w:szCs w:val="26"/>
        </w:rPr>
        <w:t>8.35</w:t>
      </w:r>
      <w:r>
        <w:rPr>
          <w:rFonts w:eastAsia="標楷體"/>
          <w:spacing w:val="4"/>
          <w:kern w:val="0"/>
          <w:sz w:val="28"/>
          <w:szCs w:val="26"/>
        </w:rPr>
        <w:t>億人減至</w:t>
      </w:r>
      <w:r>
        <w:rPr>
          <w:rFonts w:eastAsia="標楷體"/>
          <w:spacing w:val="4"/>
          <w:kern w:val="0"/>
          <w:sz w:val="28"/>
          <w:szCs w:val="26"/>
        </w:rPr>
        <w:t>7.56</w:t>
      </w:r>
      <w:r>
        <w:rPr>
          <w:rFonts w:eastAsia="標楷體"/>
          <w:spacing w:val="4"/>
          <w:kern w:val="0"/>
          <w:sz w:val="28"/>
          <w:szCs w:val="26"/>
        </w:rPr>
        <w:t>億人，平均每年減少</w:t>
      </w:r>
      <w:r>
        <w:rPr>
          <w:rFonts w:eastAsia="標楷體"/>
          <w:spacing w:val="4"/>
          <w:kern w:val="0"/>
          <w:sz w:val="28"/>
          <w:szCs w:val="26"/>
        </w:rPr>
        <w:t>0.25%</w:t>
      </w:r>
      <w:r>
        <w:rPr>
          <w:rFonts w:eastAsia="標楷體"/>
          <w:spacing w:val="4"/>
          <w:kern w:val="0"/>
          <w:sz w:val="28"/>
          <w:szCs w:val="26"/>
        </w:rPr>
        <w:t>；另開發中經濟體勞動人口則將持續上升，由</w:t>
      </w:r>
      <w:r>
        <w:rPr>
          <w:rFonts w:eastAsia="標楷體"/>
          <w:spacing w:val="4"/>
          <w:kern w:val="0"/>
          <w:sz w:val="28"/>
          <w:szCs w:val="26"/>
        </w:rPr>
        <w:t>2010</w:t>
      </w:r>
      <w:r>
        <w:rPr>
          <w:rFonts w:eastAsia="標楷體"/>
          <w:spacing w:val="4"/>
          <w:kern w:val="0"/>
          <w:sz w:val="28"/>
          <w:szCs w:val="26"/>
        </w:rPr>
        <w:t>年的</w:t>
      </w:r>
      <w:r>
        <w:rPr>
          <w:rFonts w:eastAsia="標楷體"/>
          <w:spacing w:val="4"/>
          <w:kern w:val="0"/>
          <w:sz w:val="28"/>
          <w:szCs w:val="26"/>
        </w:rPr>
        <w:t>36.90</w:t>
      </w:r>
      <w:r>
        <w:rPr>
          <w:rFonts w:eastAsia="標楷體"/>
          <w:spacing w:val="4"/>
          <w:kern w:val="0"/>
          <w:sz w:val="28"/>
          <w:szCs w:val="26"/>
        </w:rPr>
        <w:t>億人增至</w:t>
      </w:r>
      <w:r>
        <w:rPr>
          <w:rFonts w:eastAsia="標楷體"/>
          <w:spacing w:val="4"/>
          <w:kern w:val="0"/>
          <w:sz w:val="28"/>
          <w:szCs w:val="26"/>
        </w:rPr>
        <w:t>2050</w:t>
      </w:r>
      <w:r>
        <w:rPr>
          <w:rFonts w:eastAsia="標楷體"/>
          <w:spacing w:val="4"/>
          <w:kern w:val="0"/>
          <w:sz w:val="28"/>
          <w:szCs w:val="26"/>
        </w:rPr>
        <w:t>年的</w:t>
      </w:r>
      <w:r>
        <w:rPr>
          <w:rFonts w:eastAsia="標楷體"/>
          <w:spacing w:val="4"/>
          <w:kern w:val="0"/>
          <w:sz w:val="28"/>
          <w:szCs w:val="26"/>
        </w:rPr>
        <w:t>51.31</w:t>
      </w:r>
      <w:r>
        <w:rPr>
          <w:rFonts w:eastAsia="標楷體"/>
          <w:spacing w:val="4"/>
          <w:kern w:val="0"/>
          <w:sz w:val="28"/>
          <w:szCs w:val="26"/>
        </w:rPr>
        <w:t>億人，平均年成長率</w:t>
      </w:r>
      <w:r>
        <w:rPr>
          <w:rFonts w:eastAsia="標楷體"/>
          <w:spacing w:val="4"/>
          <w:kern w:val="0"/>
          <w:sz w:val="28"/>
          <w:szCs w:val="26"/>
        </w:rPr>
        <w:t>0.83%</w:t>
      </w:r>
      <w:r>
        <w:rPr>
          <w:rFonts w:eastAsia="標楷體"/>
          <w:spacing w:val="4"/>
          <w:kern w:val="0"/>
          <w:sz w:val="28"/>
          <w:szCs w:val="26"/>
        </w:rPr>
        <w:t>。由於少子女化與高齡化趨勢，全球扶幼比</w:t>
      </w:r>
      <w:r>
        <w:rPr>
          <w:rFonts w:eastAsia="標楷體"/>
          <w:spacing w:val="4"/>
          <w:kern w:val="0"/>
          <w:sz w:val="28"/>
          <w:szCs w:val="26"/>
          <w:vertAlign w:val="superscript"/>
        </w:rPr>
        <w:footnoteReference w:id="7"/>
      </w:r>
      <w:r>
        <w:rPr>
          <w:rFonts w:eastAsia="標楷體"/>
          <w:spacing w:val="4"/>
          <w:kern w:val="0"/>
          <w:sz w:val="28"/>
          <w:szCs w:val="26"/>
        </w:rPr>
        <w:t>將逐年下降，而扶老比則持續上升。</w:t>
      </w:r>
    </w:p>
    <w:p w14:paraId="32BE61F5" w14:textId="77777777" w:rsidR="00052596" w:rsidRDefault="00052596">
      <w:pPr>
        <w:tabs>
          <w:tab w:val="left" w:pos="960"/>
          <w:tab w:val="left" w:pos="1920"/>
          <w:tab w:val="left" w:pos="2880"/>
          <w:tab w:val="left" w:pos="3840"/>
          <w:tab w:val="left" w:pos="4800"/>
          <w:tab w:val="left" w:pos="5760"/>
        </w:tabs>
        <w:overflowPunct w:val="0"/>
        <w:autoSpaceDE w:val="0"/>
        <w:spacing w:line="240" w:lineRule="exact"/>
        <w:ind w:left="1080" w:hanging="288"/>
        <w:jc w:val="both"/>
        <w:textAlignment w:val="center"/>
        <w:rPr>
          <w:rFonts w:eastAsia="標楷體"/>
          <w:spacing w:val="4"/>
          <w:kern w:val="0"/>
          <w:sz w:val="28"/>
          <w:szCs w:val="26"/>
        </w:rPr>
      </w:pPr>
    </w:p>
    <w:tbl>
      <w:tblPr>
        <w:tblW w:w="8505" w:type="dxa"/>
        <w:jc w:val="right"/>
        <w:tblCellMar>
          <w:left w:w="10" w:type="dxa"/>
          <w:right w:w="10" w:type="dxa"/>
        </w:tblCellMar>
        <w:tblLook w:val="04A0" w:firstRow="1" w:lastRow="0" w:firstColumn="1" w:lastColumn="0" w:noHBand="0" w:noVBand="1"/>
      </w:tblPr>
      <w:tblGrid>
        <w:gridCol w:w="8505"/>
      </w:tblGrid>
      <w:tr w:rsidR="00052596" w14:paraId="5F4042F1" w14:textId="77777777">
        <w:tblPrEx>
          <w:tblCellMar>
            <w:top w:w="0" w:type="dxa"/>
            <w:bottom w:w="0" w:type="dxa"/>
          </w:tblCellMar>
        </w:tblPrEx>
        <w:trPr>
          <w:jc w:val="right"/>
        </w:trPr>
        <w:tc>
          <w:tcPr>
            <w:tcW w:w="850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CC0BC62" w14:textId="77777777" w:rsidR="00052596" w:rsidRDefault="00000000">
            <w:pPr>
              <w:overflowPunct w:val="0"/>
              <w:autoSpaceDE w:val="0"/>
              <w:spacing w:before="120" w:after="120" w:line="360" w:lineRule="exact"/>
              <w:jc w:val="center"/>
              <w:textAlignment w:val="center"/>
              <w:rPr>
                <w:rFonts w:ascii="新細明體" w:hAnsi="新細明體"/>
                <w:b/>
                <w:color w:val="0000FF"/>
                <w:spacing w:val="14"/>
                <w:kern w:val="0"/>
              </w:rPr>
            </w:pPr>
            <w:r>
              <w:rPr>
                <w:rFonts w:ascii="新細明體" w:hAnsi="新細明體"/>
                <w:b/>
                <w:color w:val="0000FF"/>
                <w:spacing w:val="14"/>
                <w:kern w:val="0"/>
              </w:rPr>
              <w:t>世界扶老比持續上升</w:t>
            </w:r>
          </w:p>
          <w:p w14:paraId="1907E747" w14:textId="77777777" w:rsidR="00052596" w:rsidRDefault="00000000">
            <w:pPr>
              <w:overflowPunct w:val="0"/>
              <w:autoSpaceDE w:val="0"/>
              <w:spacing w:line="36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由於人口結構高齡化問題嚴重，世界主要國家扶老比(65歲以上人口／15-64歲人口)將大幅上升。聯合國預測，全球扶老比將由2010年的12%，升至2020年的14%、再升至2050年的26%，40年間共增加14個百分點。其中，已開發經濟體由24%，分別上升至30%、45%，開發中經濟體亦由9%，升至11%、23%。扶老比快速增加，將嚴重衝擊各國社會福利支出及國家財政，並影響經濟成長。</w:t>
            </w:r>
          </w:p>
        </w:tc>
      </w:tr>
      <w:tr w:rsidR="00052596" w14:paraId="3C5789C9" w14:textId="77777777">
        <w:tblPrEx>
          <w:tblCellMar>
            <w:top w:w="0" w:type="dxa"/>
            <w:bottom w:w="0" w:type="dxa"/>
          </w:tblCellMar>
        </w:tblPrEx>
        <w:trPr>
          <w:trHeight w:val="4902"/>
          <w:jc w:val="right"/>
        </w:trPr>
        <w:tc>
          <w:tcPr>
            <w:tcW w:w="85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50193" w14:textId="77777777" w:rsidR="00052596" w:rsidRDefault="00000000">
            <w:pPr>
              <w:overflowPunct w:val="0"/>
              <w:autoSpaceDE w:val="0"/>
              <w:spacing w:before="120" w:line="400" w:lineRule="exact"/>
              <w:jc w:val="center"/>
              <w:textAlignment w:val="center"/>
              <w:rPr>
                <w:rFonts w:ascii="新細明體" w:hAnsi="新細明體"/>
                <w:b/>
                <w:bCs/>
                <w:color w:val="0000FF"/>
                <w:spacing w:val="8"/>
                <w:kern w:val="0"/>
                <w:sz w:val="22"/>
                <w:szCs w:val="22"/>
              </w:rPr>
            </w:pPr>
            <w:r>
              <w:rPr>
                <w:rFonts w:ascii="新細明體" w:hAnsi="新細明體"/>
                <w:b/>
                <w:bCs/>
                <w:color w:val="0000FF"/>
                <w:spacing w:val="8"/>
                <w:kern w:val="0"/>
                <w:sz w:val="22"/>
                <w:szCs w:val="22"/>
              </w:rPr>
              <w:t>2010-2050年全球扶老比變動</w:t>
            </w:r>
          </w:p>
          <w:p w14:paraId="3B2A3F11" w14:textId="77777777" w:rsidR="00052596" w:rsidRDefault="00000000">
            <w:pPr>
              <w:overflowPunct w:val="0"/>
              <w:autoSpaceDE w:val="0"/>
              <w:snapToGrid w:val="0"/>
              <w:spacing w:line="360" w:lineRule="atLeast"/>
              <w:ind w:right="120"/>
              <w:jc w:val="right"/>
              <w:textAlignment w:val="center"/>
            </w:pPr>
            <w:r>
              <w:rPr>
                <w:rFonts w:ascii="新細明體" w:hAnsi="新細明體"/>
                <w:bCs/>
                <w:spacing w:val="8"/>
                <w:kern w:val="0"/>
                <w:sz w:val="18"/>
                <w:szCs w:val="18"/>
              </w:rPr>
              <w:t>單位：</w:t>
            </w:r>
            <w:r>
              <w:rPr>
                <w:bCs/>
                <w:spacing w:val="8"/>
                <w:kern w:val="0"/>
                <w:sz w:val="18"/>
                <w:szCs w:val="18"/>
              </w:rPr>
              <w:t>%</w:t>
            </w:r>
          </w:p>
          <w:tbl>
            <w:tblPr>
              <w:tblW w:w="8179" w:type="dxa"/>
              <w:tblCellMar>
                <w:left w:w="10" w:type="dxa"/>
                <w:right w:w="10" w:type="dxa"/>
              </w:tblCellMar>
              <w:tblLook w:val="04A0" w:firstRow="1" w:lastRow="0" w:firstColumn="1" w:lastColumn="0" w:noHBand="0" w:noVBand="1"/>
            </w:tblPr>
            <w:tblGrid>
              <w:gridCol w:w="1545"/>
              <w:gridCol w:w="911"/>
              <w:gridCol w:w="798"/>
              <w:gridCol w:w="800"/>
              <w:gridCol w:w="803"/>
              <w:gridCol w:w="1629"/>
              <w:gridCol w:w="1693"/>
            </w:tblGrid>
            <w:tr w:rsidR="00052596" w14:paraId="36B156B4" w14:textId="77777777">
              <w:tblPrEx>
                <w:tblCellMar>
                  <w:top w:w="0" w:type="dxa"/>
                  <w:bottom w:w="0" w:type="dxa"/>
                </w:tblCellMar>
              </w:tblPrEx>
              <w:trPr>
                <w:trHeight w:val="340"/>
              </w:trPr>
              <w:tc>
                <w:tcPr>
                  <w:tcW w:w="15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240C5" w14:textId="77777777" w:rsidR="00052596" w:rsidRDefault="00052596">
                  <w:pPr>
                    <w:overflowPunct w:val="0"/>
                    <w:autoSpaceDE w:val="0"/>
                    <w:snapToGrid w:val="0"/>
                    <w:spacing w:line="340" w:lineRule="exact"/>
                    <w:jc w:val="both"/>
                    <w:textAlignment w:val="center"/>
                    <w:rPr>
                      <w:rFonts w:ascii="新細明體" w:hAnsi="新細明體"/>
                      <w:bCs/>
                      <w:spacing w:val="8"/>
                      <w:kern w:val="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BBE59"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2010</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2550A"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2020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5525F"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2030</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5FC60"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2050</w:t>
                  </w: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FBE13"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2010-2020</w:t>
                  </w:r>
                </w:p>
                <w:p w14:paraId="044BB885"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變動(百分點)</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F28315"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2010-2050</w:t>
                  </w:r>
                </w:p>
                <w:p w14:paraId="5D9BA261"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變動(百分點)</w:t>
                  </w:r>
                </w:p>
              </w:tc>
            </w:tr>
            <w:tr w:rsidR="00052596" w14:paraId="131CECBC" w14:textId="77777777">
              <w:tblPrEx>
                <w:tblCellMar>
                  <w:top w:w="0" w:type="dxa"/>
                  <w:bottom w:w="0" w:type="dxa"/>
                </w:tblCellMar>
              </w:tblPrEx>
              <w:trPr>
                <w:trHeight w:hRule="exact" w:val="344"/>
              </w:trPr>
              <w:tc>
                <w:tcPr>
                  <w:tcW w:w="1545"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4C580DB5" w14:textId="77777777" w:rsidR="00052596" w:rsidRDefault="00000000">
                  <w:pPr>
                    <w:overflowPunct w:val="0"/>
                    <w:autoSpaceDE w:val="0"/>
                    <w:snapToGrid w:val="0"/>
                    <w:spacing w:line="340" w:lineRule="exact"/>
                    <w:jc w:val="both"/>
                    <w:textAlignment w:val="center"/>
                    <w:rPr>
                      <w:rFonts w:ascii="新細明體" w:hAnsi="新細明體"/>
                      <w:bCs/>
                      <w:spacing w:val="8"/>
                      <w:kern w:val="0"/>
                      <w:sz w:val="22"/>
                      <w:szCs w:val="22"/>
                    </w:rPr>
                  </w:pPr>
                  <w:r>
                    <w:rPr>
                      <w:rFonts w:ascii="新細明體" w:hAnsi="新細明體"/>
                      <w:bCs/>
                      <w:spacing w:val="8"/>
                      <w:kern w:val="0"/>
                      <w:sz w:val="22"/>
                      <w:szCs w:val="22"/>
                    </w:rPr>
                    <w:t>全球</w:t>
                  </w:r>
                </w:p>
              </w:tc>
              <w:tc>
                <w:tcPr>
                  <w:tcW w:w="9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12BC2E"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12</w:t>
                  </w:r>
                </w:p>
              </w:tc>
              <w:tc>
                <w:tcPr>
                  <w:tcW w:w="79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CA3257"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14</w:t>
                  </w:r>
                </w:p>
              </w:tc>
              <w:tc>
                <w:tcPr>
                  <w:tcW w:w="80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DF9F038"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18</w:t>
                  </w:r>
                </w:p>
              </w:tc>
              <w:tc>
                <w:tcPr>
                  <w:tcW w:w="80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8819285"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26</w:t>
                  </w:r>
                </w:p>
              </w:tc>
              <w:tc>
                <w:tcPr>
                  <w:tcW w:w="162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DDEF407"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w:t>
                  </w:r>
                </w:p>
              </w:tc>
              <w:tc>
                <w:tcPr>
                  <w:tcW w:w="1693"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0D445FD3"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14</w:t>
                  </w:r>
                </w:p>
              </w:tc>
            </w:tr>
            <w:tr w:rsidR="00052596" w14:paraId="477E8922" w14:textId="77777777">
              <w:tblPrEx>
                <w:tblCellMar>
                  <w:top w:w="0" w:type="dxa"/>
                  <w:bottom w:w="0" w:type="dxa"/>
                </w:tblCellMar>
              </w:tblPrEx>
              <w:trPr>
                <w:trHeight w:hRule="exact" w:val="344"/>
              </w:trPr>
              <w:tc>
                <w:tcPr>
                  <w:tcW w:w="1545" w:type="dxa"/>
                  <w:tcBorders>
                    <w:right w:val="single" w:sz="4" w:space="0" w:color="000000"/>
                  </w:tcBorders>
                  <w:shd w:val="clear" w:color="auto" w:fill="auto"/>
                  <w:tcMar>
                    <w:top w:w="0" w:type="dxa"/>
                    <w:left w:w="108" w:type="dxa"/>
                    <w:bottom w:w="0" w:type="dxa"/>
                    <w:right w:w="108" w:type="dxa"/>
                  </w:tcMar>
                  <w:vAlign w:val="center"/>
                </w:tcPr>
                <w:p w14:paraId="57B29BEC" w14:textId="77777777" w:rsidR="00052596" w:rsidRDefault="00000000">
                  <w:pPr>
                    <w:overflowPunct w:val="0"/>
                    <w:autoSpaceDE w:val="0"/>
                    <w:snapToGrid w:val="0"/>
                    <w:spacing w:line="340" w:lineRule="exact"/>
                    <w:jc w:val="both"/>
                    <w:textAlignment w:val="center"/>
                    <w:rPr>
                      <w:rFonts w:ascii="新細明體" w:hAnsi="新細明體"/>
                      <w:bCs/>
                      <w:spacing w:val="8"/>
                      <w:kern w:val="0"/>
                      <w:sz w:val="22"/>
                      <w:szCs w:val="22"/>
                    </w:rPr>
                  </w:pPr>
                  <w:r>
                    <w:rPr>
                      <w:rFonts w:ascii="新細明體" w:hAnsi="新細明體"/>
                      <w:bCs/>
                      <w:spacing w:val="8"/>
                      <w:kern w:val="0"/>
                      <w:sz w:val="22"/>
                      <w:szCs w:val="22"/>
                    </w:rPr>
                    <w:t>非洲</w:t>
                  </w:r>
                </w:p>
              </w:tc>
              <w:tc>
                <w:tcPr>
                  <w:tcW w:w="91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148C57"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6</w:t>
                  </w:r>
                </w:p>
              </w:tc>
              <w:tc>
                <w:tcPr>
                  <w:tcW w:w="79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58DD1F"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7</w:t>
                  </w:r>
                </w:p>
              </w:tc>
              <w:tc>
                <w:tcPr>
                  <w:tcW w:w="80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2796F3"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8</w:t>
                  </w:r>
                </w:p>
              </w:tc>
              <w:tc>
                <w:tcPr>
                  <w:tcW w:w="80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D6B3F6"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10</w:t>
                  </w:r>
                </w:p>
              </w:tc>
              <w:tc>
                <w:tcPr>
                  <w:tcW w:w="16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C28E7A"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w:t>
                  </w:r>
                </w:p>
              </w:tc>
              <w:tc>
                <w:tcPr>
                  <w:tcW w:w="1693" w:type="dxa"/>
                  <w:tcBorders>
                    <w:left w:val="single" w:sz="4" w:space="0" w:color="000000"/>
                  </w:tcBorders>
                  <w:shd w:val="clear" w:color="auto" w:fill="auto"/>
                  <w:tcMar>
                    <w:top w:w="0" w:type="dxa"/>
                    <w:left w:w="108" w:type="dxa"/>
                    <w:bottom w:w="0" w:type="dxa"/>
                    <w:right w:w="108" w:type="dxa"/>
                  </w:tcMar>
                  <w:vAlign w:val="center"/>
                </w:tcPr>
                <w:p w14:paraId="0BE0BB4F"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4</w:t>
                  </w:r>
                </w:p>
              </w:tc>
            </w:tr>
            <w:tr w:rsidR="00052596" w14:paraId="73C8E467" w14:textId="77777777">
              <w:tblPrEx>
                <w:tblCellMar>
                  <w:top w:w="0" w:type="dxa"/>
                  <w:bottom w:w="0" w:type="dxa"/>
                </w:tblCellMar>
              </w:tblPrEx>
              <w:trPr>
                <w:trHeight w:hRule="exact" w:val="344"/>
              </w:trPr>
              <w:tc>
                <w:tcPr>
                  <w:tcW w:w="1545" w:type="dxa"/>
                  <w:tcBorders>
                    <w:right w:val="single" w:sz="4" w:space="0" w:color="000000"/>
                  </w:tcBorders>
                  <w:shd w:val="clear" w:color="auto" w:fill="auto"/>
                  <w:tcMar>
                    <w:top w:w="0" w:type="dxa"/>
                    <w:left w:w="108" w:type="dxa"/>
                    <w:bottom w:w="0" w:type="dxa"/>
                    <w:right w:w="108" w:type="dxa"/>
                  </w:tcMar>
                  <w:vAlign w:val="center"/>
                </w:tcPr>
                <w:p w14:paraId="5C5FC979" w14:textId="77777777" w:rsidR="00052596" w:rsidRDefault="00000000">
                  <w:pPr>
                    <w:overflowPunct w:val="0"/>
                    <w:autoSpaceDE w:val="0"/>
                    <w:snapToGrid w:val="0"/>
                    <w:spacing w:line="340" w:lineRule="exact"/>
                    <w:jc w:val="both"/>
                    <w:textAlignment w:val="center"/>
                    <w:rPr>
                      <w:rFonts w:ascii="新細明體" w:hAnsi="新細明體"/>
                      <w:bCs/>
                      <w:spacing w:val="8"/>
                      <w:kern w:val="0"/>
                      <w:sz w:val="22"/>
                      <w:szCs w:val="22"/>
                    </w:rPr>
                  </w:pPr>
                  <w:r>
                    <w:rPr>
                      <w:rFonts w:ascii="新細明體" w:hAnsi="新細明體"/>
                      <w:bCs/>
                      <w:spacing w:val="8"/>
                      <w:kern w:val="0"/>
                      <w:sz w:val="22"/>
                      <w:szCs w:val="22"/>
                    </w:rPr>
                    <w:t>亞洲</w:t>
                  </w:r>
                </w:p>
              </w:tc>
              <w:tc>
                <w:tcPr>
                  <w:tcW w:w="91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C104EA"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10</w:t>
                  </w:r>
                </w:p>
              </w:tc>
              <w:tc>
                <w:tcPr>
                  <w:tcW w:w="79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E67CAB"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13</w:t>
                  </w:r>
                </w:p>
              </w:tc>
              <w:tc>
                <w:tcPr>
                  <w:tcW w:w="80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498908"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17</w:t>
                  </w:r>
                </w:p>
              </w:tc>
              <w:tc>
                <w:tcPr>
                  <w:tcW w:w="80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1ADABC"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28</w:t>
                  </w:r>
                </w:p>
              </w:tc>
              <w:tc>
                <w:tcPr>
                  <w:tcW w:w="16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464E8B"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3</w:t>
                  </w:r>
                </w:p>
              </w:tc>
              <w:tc>
                <w:tcPr>
                  <w:tcW w:w="1693" w:type="dxa"/>
                  <w:tcBorders>
                    <w:left w:val="single" w:sz="4" w:space="0" w:color="000000"/>
                  </w:tcBorders>
                  <w:shd w:val="clear" w:color="auto" w:fill="auto"/>
                  <w:tcMar>
                    <w:top w:w="0" w:type="dxa"/>
                    <w:left w:w="108" w:type="dxa"/>
                    <w:bottom w:w="0" w:type="dxa"/>
                    <w:right w:w="108" w:type="dxa"/>
                  </w:tcMar>
                  <w:vAlign w:val="center"/>
                </w:tcPr>
                <w:p w14:paraId="7E3FE1DD"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18</w:t>
                  </w:r>
                </w:p>
              </w:tc>
            </w:tr>
            <w:tr w:rsidR="00052596" w14:paraId="5D6D4C41" w14:textId="77777777">
              <w:tblPrEx>
                <w:tblCellMar>
                  <w:top w:w="0" w:type="dxa"/>
                  <w:bottom w:w="0" w:type="dxa"/>
                </w:tblCellMar>
              </w:tblPrEx>
              <w:trPr>
                <w:trHeight w:hRule="exact" w:val="344"/>
              </w:trPr>
              <w:tc>
                <w:tcPr>
                  <w:tcW w:w="1545" w:type="dxa"/>
                  <w:tcBorders>
                    <w:right w:val="single" w:sz="4" w:space="0" w:color="000000"/>
                  </w:tcBorders>
                  <w:shd w:val="clear" w:color="auto" w:fill="auto"/>
                  <w:tcMar>
                    <w:top w:w="0" w:type="dxa"/>
                    <w:left w:w="108" w:type="dxa"/>
                    <w:bottom w:w="0" w:type="dxa"/>
                    <w:right w:w="108" w:type="dxa"/>
                  </w:tcMar>
                  <w:vAlign w:val="center"/>
                </w:tcPr>
                <w:p w14:paraId="7CEF2CD7" w14:textId="77777777" w:rsidR="00052596" w:rsidRDefault="00000000">
                  <w:pPr>
                    <w:overflowPunct w:val="0"/>
                    <w:autoSpaceDE w:val="0"/>
                    <w:snapToGrid w:val="0"/>
                    <w:spacing w:line="340" w:lineRule="exact"/>
                    <w:jc w:val="both"/>
                    <w:textAlignment w:val="center"/>
                    <w:rPr>
                      <w:rFonts w:ascii="新細明體" w:hAnsi="新細明體"/>
                      <w:bCs/>
                      <w:spacing w:val="8"/>
                      <w:kern w:val="0"/>
                      <w:sz w:val="22"/>
                      <w:szCs w:val="22"/>
                    </w:rPr>
                  </w:pPr>
                  <w:r>
                    <w:rPr>
                      <w:rFonts w:ascii="新細明體" w:hAnsi="新細明體"/>
                      <w:bCs/>
                      <w:spacing w:val="8"/>
                      <w:kern w:val="0"/>
                      <w:sz w:val="22"/>
                      <w:szCs w:val="22"/>
                    </w:rPr>
                    <w:t>歐洲</w:t>
                  </w:r>
                </w:p>
              </w:tc>
              <w:tc>
                <w:tcPr>
                  <w:tcW w:w="91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9823D2"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24</w:t>
                  </w:r>
                </w:p>
              </w:tc>
              <w:tc>
                <w:tcPr>
                  <w:tcW w:w="79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A328E6"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29</w:t>
                  </w:r>
                </w:p>
              </w:tc>
              <w:tc>
                <w:tcPr>
                  <w:tcW w:w="80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64D1E6"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36</w:t>
                  </w:r>
                </w:p>
              </w:tc>
              <w:tc>
                <w:tcPr>
                  <w:tcW w:w="80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D5564C"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47</w:t>
                  </w:r>
                </w:p>
              </w:tc>
              <w:tc>
                <w:tcPr>
                  <w:tcW w:w="16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5C711D"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5</w:t>
                  </w:r>
                </w:p>
              </w:tc>
              <w:tc>
                <w:tcPr>
                  <w:tcW w:w="1693" w:type="dxa"/>
                  <w:tcBorders>
                    <w:left w:val="single" w:sz="4" w:space="0" w:color="000000"/>
                  </w:tcBorders>
                  <w:shd w:val="clear" w:color="auto" w:fill="auto"/>
                  <w:tcMar>
                    <w:top w:w="0" w:type="dxa"/>
                    <w:left w:w="108" w:type="dxa"/>
                    <w:bottom w:w="0" w:type="dxa"/>
                    <w:right w:w="108" w:type="dxa"/>
                  </w:tcMar>
                  <w:vAlign w:val="center"/>
                </w:tcPr>
                <w:p w14:paraId="456C0E4C"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23</w:t>
                  </w:r>
                </w:p>
              </w:tc>
            </w:tr>
            <w:tr w:rsidR="00052596" w14:paraId="79CB17AA" w14:textId="77777777">
              <w:tblPrEx>
                <w:tblCellMar>
                  <w:top w:w="0" w:type="dxa"/>
                  <w:bottom w:w="0" w:type="dxa"/>
                </w:tblCellMar>
              </w:tblPrEx>
              <w:trPr>
                <w:trHeight w:hRule="exact" w:val="964"/>
              </w:trPr>
              <w:tc>
                <w:tcPr>
                  <w:tcW w:w="1545" w:type="dxa"/>
                  <w:tcBorders>
                    <w:right w:val="single" w:sz="4" w:space="0" w:color="000000"/>
                  </w:tcBorders>
                  <w:shd w:val="clear" w:color="auto" w:fill="auto"/>
                  <w:tcMar>
                    <w:top w:w="0" w:type="dxa"/>
                    <w:left w:w="108" w:type="dxa"/>
                    <w:bottom w:w="0" w:type="dxa"/>
                    <w:right w:w="108" w:type="dxa"/>
                  </w:tcMar>
                  <w:vAlign w:val="center"/>
                </w:tcPr>
                <w:p w14:paraId="451340DD" w14:textId="77777777" w:rsidR="00052596" w:rsidRDefault="00000000">
                  <w:pPr>
                    <w:overflowPunct w:val="0"/>
                    <w:autoSpaceDE w:val="0"/>
                    <w:snapToGrid w:val="0"/>
                    <w:spacing w:line="340" w:lineRule="exact"/>
                    <w:jc w:val="both"/>
                    <w:textAlignment w:val="center"/>
                    <w:rPr>
                      <w:rFonts w:ascii="新細明體" w:hAnsi="新細明體"/>
                      <w:bCs/>
                      <w:spacing w:val="8"/>
                      <w:kern w:val="0"/>
                      <w:sz w:val="22"/>
                      <w:szCs w:val="22"/>
                    </w:rPr>
                  </w:pPr>
                  <w:r>
                    <w:rPr>
                      <w:rFonts w:ascii="新細明體" w:hAnsi="新細明體"/>
                      <w:bCs/>
                      <w:spacing w:val="8"/>
                      <w:kern w:val="0"/>
                      <w:sz w:val="22"/>
                      <w:szCs w:val="22"/>
                    </w:rPr>
                    <w:t>拉丁美洲及加勒比海</w:t>
                  </w:r>
                </w:p>
              </w:tc>
              <w:tc>
                <w:tcPr>
                  <w:tcW w:w="91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AC43AB"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11</w:t>
                  </w:r>
                </w:p>
              </w:tc>
              <w:tc>
                <w:tcPr>
                  <w:tcW w:w="79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ACA163"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13</w:t>
                  </w:r>
                </w:p>
              </w:tc>
              <w:tc>
                <w:tcPr>
                  <w:tcW w:w="80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B7F129"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18</w:t>
                  </w:r>
                </w:p>
              </w:tc>
              <w:tc>
                <w:tcPr>
                  <w:tcW w:w="80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AB9374"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30</w:t>
                  </w:r>
                </w:p>
              </w:tc>
              <w:tc>
                <w:tcPr>
                  <w:tcW w:w="16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44A6A6"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w:t>
                  </w:r>
                </w:p>
              </w:tc>
              <w:tc>
                <w:tcPr>
                  <w:tcW w:w="1693" w:type="dxa"/>
                  <w:tcBorders>
                    <w:left w:val="single" w:sz="4" w:space="0" w:color="000000"/>
                  </w:tcBorders>
                  <w:shd w:val="clear" w:color="auto" w:fill="auto"/>
                  <w:tcMar>
                    <w:top w:w="0" w:type="dxa"/>
                    <w:left w:w="108" w:type="dxa"/>
                    <w:bottom w:w="0" w:type="dxa"/>
                    <w:right w:w="108" w:type="dxa"/>
                  </w:tcMar>
                  <w:vAlign w:val="center"/>
                </w:tcPr>
                <w:p w14:paraId="42BA2285"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19</w:t>
                  </w:r>
                </w:p>
              </w:tc>
            </w:tr>
            <w:tr w:rsidR="00052596" w14:paraId="0F47172E" w14:textId="77777777">
              <w:tblPrEx>
                <w:tblCellMar>
                  <w:top w:w="0" w:type="dxa"/>
                  <w:bottom w:w="0" w:type="dxa"/>
                </w:tblCellMar>
              </w:tblPrEx>
              <w:trPr>
                <w:trHeight w:hRule="exact" w:val="344"/>
              </w:trPr>
              <w:tc>
                <w:tcPr>
                  <w:tcW w:w="1545" w:type="dxa"/>
                  <w:tcBorders>
                    <w:right w:val="single" w:sz="4" w:space="0" w:color="000000"/>
                  </w:tcBorders>
                  <w:shd w:val="clear" w:color="auto" w:fill="auto"/>
                  <w:tcMar>
                    <w:top w:w="0" w:type="dxa"/>
                    <w:left w:w="108" w:type="dxa"/>
                    <w:bottom w:w="0" w:type="dxa"/>
                    <w:right w:w="108" w:type="dxa"/>
                  </w:tcMar>
                  <w:vAlign w:val="center"/>
                </w:tcPr>
                <w:p w14:paraId="7F57BC4E" w14:textId="77777777" w:rsidR="00052596" w:rsidRDefault="00000000">
                  <w:pPr>
                    <w:overflowPunct w:val="0"/>
                    <w:autoSpaceDE w:val="0"/>
                    <w:snapToGrid w:val="0"/>
                    <w:spacing w:line="340" w:lineRule="exact"/>
                    <w:jc w:val="both"/>
                    <w:textAlignment w:val="center"/>
                    <w:rPr>
                      <w:rFonts w:ascii="新細明體" w:hAnsi="新細明體"/>
                      <w:bCs/>
                      <w:spacing w:val="8"/>
                      <w:kern w:val="0"/>
                      <w:sz w:val="22"/>
                      <w:szCs w:val="22"/>
                    </w:rPr>
                  </w:pPr>
                  <w:r>
                    <w:rPr>
                      <w:rFonts w:ascii="新細明體" w:hAnsi="新細明體"/>
                      <w:bCs/>
                      <w:spacing w:val="8"/>
                      <w:kern w:val="0"/>
                      <w:sz w:val="22"/>
                      <w:szCs w:val="22"/>
                    </w:rPr>
                    <w:t>北美洲</w:t>
                  </w:r>
                </w:p>
              </w:tc>
              <w:tc>
                <w:tcPr>
                  <w:tcW w:w="911"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DFFDBC"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20</w:t>
                  </w:r>
                </w:p>
              </w:tc>
              <w:tc>
                <w:tcPr>
                  <w:tcW w:w="79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1609D0"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26</w:t>
                  </w:r>
                </w:p>
              </w:tc>
              <w:tc>
                <w:tcPr>
                  <w:tcW w:w="80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833559"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33</w:t>
                  </w:r>
                </w:p>
              </w:tc>
              <w:tc>
                <w:tcPr>
                  <w:tcW w:w="80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A2676F"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36</w:t>
                  </w:r>
                </w:p>
              </w:tc>
              <w:tc>
                <w:tcPr>
                  <w:tcW w:w="16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66C777"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6</w:t>
                  </w:r>
                </w:p>
              </w:tc>
              <w:tc>
                <w:tcPr>
                  <w:tcW w:w="1693" w:type="dxa"/>
                  <w:tcBorders>
                    <w:left w:val="single" w:sz="4" w:space="0" w:color="000000"/>
                  </w:tcBorders>
                  <w:shd w:val="clear" w:color="auto" w:fill="auto"/>
                  <w:tcMar>
                    <w:top w:w="0" w:type="dxa"/>
                    <w:left w:w="108" w:type="dxa"/>
                    <w:bottom w:w="0" w:type="dxa"/>
                    <w:right w:w="108" w:type="dxa"/>
                  </w:tcMar>
                  <w:vAlign w:val="center"/>
                </w:tcPr>
                <w:p w14:paraId="0DFF1EA3"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16</w:t>
                  </w:r>
                </w:p>
              </w:tc>
            </w:tr>
            <w:tr w:rsidR="00052596" w14:paraId="29B9CD44" w14:textId="77777777">
              <w:tblPrEx>
                <w:tblCellMar>
                  <w:top w:w="0" w:type="dxa"/>
                  <w:bottom w:w="0" w:type="dxa"/>
                </w:tblCellMar>
              </w:tblPrEx>
              <w:trPr>
                <w:trHeight w:hRule="exact" w:val="344"/>
              </w:trPr>
              <w:tc>
                <w:tcPr>
                  <w:tcW w:w="154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550E986" w14:textId="77777777" w:rsidR="00052596" w:rsidRDefault="00000000">
                  <w:pPr>
                    <w:overflowPunct w:val="0"/>
                    <w:autoSpaceDE w:val="0"/>
                    <w:snapToGrid w:val="0"/>
                    <w:spacing w:line="340" w:lineRule="exact"/>
                    <w:jc w:val="both"/>
                    <w:textAlignment w:val="center"/>
                    <w:rPr>
                      <w:rFonts w:ascii="新細明體" w:hAnsi="新細明體"/>
                      <w:bCs/>
                      <w:spacing w:val="8"/>
                      <w:kern w:val="0"/>
                      <w:sz w:val="22"/>
                      <w:szCs w:val="22"/>
                    </w:rPr>
                  </w:pPr>
                  <w:r>
                    <w:rPr>
                      <w:rFonts w:ascii="新細明體" w:hAnsi="新細明體"/>
                      <w:bCs/>
                      <w:spacing w:val="8"/>
                      <w:kern w:val="0"/>
                      <w:sz w:val="22"/>
                      <w:szCs w:val="22"/>
                    </w:rPr>
                    <w:t>大洋洲</w:t>
                  </w:r>
                </w:p>
              </w:tc>
              <w:tc>
                <w:tcPr>
                  <w:tcW w:w="9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B7ACA"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16</w:t>
                  </w:r>
                </w:p>
              </w:tc>
              <w:tc>
                <w:tcPr>
                  <w:tcW w:w="7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291AA"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20</w:t>
                  </w:r>
                </w:p>
              </w:tc>
              <w:tc>
                <w:tcPr>
                  <w:tcW w:w="8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B1162"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25</w:t>
                  </w:r>
                </w:p>
              </w:tc>
              <w:tc>
                <w:tcPr>
                  <w:tcW w:w="80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6A249"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30</w:t>
                  </w:r>
                </w:p>
              </w:tc>
              <w:tc>
                <w:tcPr>
                  <w:tcW w:w="16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CA183"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4</w:t>
                  </w:r>
                </w:p>
              </w:tc>
              <w:tc>
                <w:tcPr>
                  <w:tcW w:w="16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8CCF402" w14:textId="77777777" w:rsidR="00052596" w:rsidRDefault="00000000">
                  <w:pPr>
                    <w:overflowPunct w:val="0"/>
                    <w:autoSpaceDE w:val="0"/>
                    <w:snapToGrid w:val="0"/>
                    <w:spacing w:line="340" w:lineRule="exact"/>
                    <w:jc w:val="center"/>
                    <w:textAlignment w:val="center"/>
                    <w:rPr>
                      <w:rFonts w:ascii="新細明體" w:hAnsi="新細明體"/>
                      <w:bCs/>
                      <w:spacing w:val="8"/>
                      <w:kern w:val="0"/>
                      <w:sz w:val="22"/>
                      <w:szCs w:val="22"/>
                    </w:rPr>
                  </w:pPr>
                  <w:r>
                    <w:rPr>
                      <w:rFonts w:ascii="新細明體" w:hAnsi="新細明體"/>
                      <w:bCs/>
                      <w:spacing w:val="8"/>
                      <w:kern w:val="0"/>
                      <w:sz w:val="22"/>
                      <w:szCs w:val="22"/>
                    </w:rPr>
                    <w:t>14</w:t>
                  </w:r>
                </w:p>
              </w:tc>
            </w:tr>
          </w:tbl>
          <w:p w14:paraId="580469B1" w14:textId="77777777" w:rsidR="00052596" w:rsidRDefault="00000000">
            <w:pPr>
              <w:overflowPunct w:val="0"/>
              <w:autoSpaceDE w:val="0"/>
              <w:snapToGrid w:val="0"/>
              <w:spacing w:before="24" w:after="24" w:line="320" w:lineRule="exact"/>
              <w:ind w:right="24"/>
              <w:jc w:val="both"/>
              <w:textAlignment w:val="center"/>
            </w:pPr>
            <w:r>
              <w:rPr>
                <w:rFonts w:ascii="新細明體" w:hAnsi="新細明體"/>
                <w:bCs/>
                <w:spacing w:val="8"/>
                <w:kern w:val="0"/>
                <w:sz w:val="18"/>
                <w:szCs w:val="18"/>
              </w:rPr>
              <w:t>資料來源：UN World Population Prospects：The 2010 Revision.</w:t>
            </w:r>
          </w:p>
        </w:tc>
      </w:tr>
    </w:tbl>
    <w:p w14:paraId="054DBFBC" w14:textId="77777777" w:rsidR="00052596" w:rsidRDefault="00000000">
      <w:pPr>
        <w:tabs>
          <w:tab w:val="left" w:pos="960"/>
          <w:tab w:val="left" w:pos="1920"/>
          <w:tab w:val="left" w:pos="2880"/>
          <w:tab w:val="left" w:pos="3840"/>
          <w:tab w:val="left" w:pos="4800"/>
          <w:tab w:val="left" w:pos="5760"/>
        </w:tabs>
        <w:overflowPunct w:val="0"/>
        <w:autoSpaceDE w:val="0"/>
        <w:spacing w:before="36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二、人口結構高齡化的主要衝擊</w:t>
      </w:r>
    </w:p>
    <w:p w14:paraId="12C14F5D" w14:textId="77777777" w:rsidR="00052596" w:rsidRDefault="00000000">
      <w:pPr>
        <w:overflowPunct w:val="0"/>
        <w:autoSpaceDE w:val="0"/>
        <w:spacing w:line="420" w:lineRule="exact"/>
        <w:ind w:left="240" w:firstLine="576"/>
        <w:jc w:val="both"/>
        <w:textAlignment w:val="center"/>
      </w:pPr>
      <w:r>
        <w:rPr>
          <w:rFonts w:eastAsia="標楷體"/>
          <w:spacing w:val="4"/>
          <w:kern w:val="0"/>
          <w:sz w:val="28"/>
          <w:szCs w:val="26"/>
        </w:rPr>
        <w:t>人口結構高齡化的影響層面廣泛，在經濟面，將影響經濟成長、儲蓄、負債、投資、消費、勞動市場、退休金、租稅，以及世代之移轉支出；在社會面，將影響家庭組成、生活安排</w:t>
      </w:r>
      <w:r>
        <w:rPr>
          <w:rFonts w:ascii="標楷體" w:eastAsia="標楷體" w:hAnsi="標楷體"/>
          <w:spacing w:val="4"/>
          <w:kern w:val="0"/>
          <w:sz w:val="28"/>
          <w:szCs w:val="26"/>
        </w:rPr>
        <w:t>(</w:t>
      </w:r>
      <w:r>
        <w:rPr>
          <w:rFonts w:eastAsia="標楷體"/>
          <w:spacing w:val="4"/>
          <w:kern w:val="0"/>
          <w:sz w:val="28"/>
          <w:szCs w:val="26"/>
        </w:rPr>
        <w:t xml:space="preserve">Living </w:t>
      </w:r>
      <w:r>
        <w:rPr>
          <w:rFonts w:eastAsia="標楷體"/>
          <w:spacing w:val="4"/>
          <w:kern w:val="0"/>
          <w:sz w:val="28"/>
          <w:szCs w:val="26"/>
        </w:rPr>
        <w:lastRenderedPageBreak/>
        <w:t>arrangements</w:t>
      </w:r>
      <w:r>
        <w:rPr>
          <w:rFonts w:ascii="標楷體" w:eastAsia="標楷體" w:hAnsi="標楷體"/>
          <w:spacing w:val="4"/>
          <w:kern w:val="0"/>
          <w:sz w:val="28"/>
          <w:szCs w:val="26"/>
        </w:rPr>
        <w:t>)</w:t>
      </w:r>
      <w:r>
        <w:rPr>
          <w:rFonts w:eastAsia="標楷體"/>
          <w:spacing w:val="4"/>
          <w:kern w:val="0"/>
          <w:sz w:val="28"/>
          <w:szCs w:val="26"/>
        </w:rPr>
        <w:t>、住屋需</w:t>
      </w:r>
      <w:r>
        <w:rPr>
          <w:rFonts w:ascii="標楷體" w:eastAsia="標楷體" w:hAnsi="標楷體"/>
          <w:spacing w:val="4"/>
          <w:kern w:val="0"/>
          <w:sz w:val="28"/>
          <w:szCs w:val="26"/>
        </w:rPr>
        <w:t>求(</w:t>
      </w:r>
      <w:r>
        <w:rPr>
          <w:rFonts w:eastAsia="標楷體"/>
          <w:spacing w:val="4"/>
          <w:kern w:val="0"/>
          <w:sz w:val="28"/>
          <w:szCs w:val="26"/>
        </w:rPr>
        <w:t>Housing demand</w:t>
      </w:r>
      <w:r>
        <w:rPr>
          <w:rFonts w:ascii="標楷體" w:eastAsia="標楷體" w:hAnsi="標楷體"/>
          <w:spacing w:val="4"/>
          <w:kern w:val="0"/>
          <w:sz w:val="28"/>
          <w:szCs w:val="26"/>
        </w:rPr>
        <w:t>)</w:t>
      </w:r>
      <w:r>
        <w:rPr>
          <w:rFonts w:eastAsia="標楷體"/>
          <w:spacing w:val="4"/>
          <w:kern w:val="0"/>
          <w:sz w:val="28"/>
          <w:szCs w:val="26"/>
        </w:rPr>
        <w:t>、移民趨勢與醫療保健；政治面則將影響投票模式、政策走向等。</w:t>
      </w:r>
    </w:p>
    <w:p w14:paraId="1D0E61E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經濟面</w:t>
      </w:r>
    </w:p>
    <w:p w14:paraId="4BCDA5F7"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人口結構高齡化的經濟面影響主要為勞動力萎縮、經濟成長潛能降低、高齡者經濟安全受到威脅，尤其未富先老的國家更將面臨極大的挑戰。</w:t>
      </w:r>
    </w:p>
    <w:p w14:paraId="2B64DB8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經濟成長潛能降低：人口高齡化使勞動力萎縮，將導致一國創新能力降低、整體經濟產能及稅收下降。此外，部分高齡者須依賴過去的儲蓄度日，而政府的退休養老與醫療健保等社會福利支出亦將增加，此將降低民間部門與公部門儲蓄，抑制資本累積，不利長期經濟成長。</w:t>
      </w:r>
    </w:p>
    <w:p w14:paraId="5746D25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高齡者經濟安全受到威脅：對未實施退休金制度的國家，高齡者主要依賴家庭成員的扶養，一旦失去家庭支持，生活將陷入困境。已實施退休金制度的國家，亦可能由於人口高齡化速度太快，財源籌措困難，致退休金不敷使用，影響高齡者基本生活保障。</w:t>
      </w:r>
    </w:p>
    <w:p w14:paraId="5300169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－未富先老國家面臨挑戰：由於出生率快速降低，部分中低所得國家未富先老，不僅延後該等國家財富達到高所得水準的時程，且因經濟、社會體制均未完善建構，人口高齡化將直接衝擊國家財政健全。</w:t>
      </w:r>
    </w:p>
    <w:p w14:paraId="456F878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(二)社會面</w:t>
      </w:r>
    </w:p>
    <w:p w14:paraId="62AF3CBA"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全球人口結構高齡化進程中，由於社會環境亦快速變遷，家庭功能逐漸式微，將產生高齡者生活安排、醫療照護，以及世代對立及社會整合等問題。</w:t>
      </w:r>
    </w:p>
    <w:p w14:paraId="77B9A0FB" w14:textId="77777777" w:rsidR="00052596" w:rsidRDefault="00000000">
      <w:pPr>
        <w:tabs>
          <w:tab w:val="left" w:pos="1920"/>
          <w:tab w:val="left" w:pos="2880"/>
          <w:tab w:val="left" w:pos="3840"/>
          <w:tab w:val="left" w:pos="4800"/>
          <w:tab w:val="left" w:pos="5760"/>
        </w:tabs>
        <w:overflowPunct w:val="0"/>
        <w:autoSpaceDE w:val="0"/>
        <w:spacing w:line="420" w:lineRule="exact"/>
        <w:ind w:left="1061" w:hanging="271"/>
        <w:jc w:val="both"/>
        <w:textAlignment w:val="center"/>
        <w:rPr>
          <w:rFonts w:eastAsia="標楷體"/>
          <w:spacing w:val="4"/>
          <w:kern w:val="0"/>
          <w:sz w:val="28"/>
          <w:szCs w:val="26"/>
        </w:rPr>
      </w:pPr>
      <w:r>
        <w:rPr>
          <w:rFonts w:eastAsia="標楷體"/>
          <w:spacing w:val="4"/>
          <w:kern w:val="0"/>
          <w:sz w:val="28"/>
          <w:szCs w:val="26"/>
        </w:rPr>
        <w:t>－生活安排：</w:t>
      </w:r>
      <w:r>
        <w:rPr>
          <w:rFonts w:eastAsia="標楷體"/>
          <w:spacing w:val="4"/>
          <w:kern w:val="0"/>
          <w:sz w:val="28"/>
          <w:szCs w:val="26"/>
        </w:rPr>
        <w:t>2012</w:t>
      </w:r>
      <w:r>
        <w:rPr>
          <w:rFonts w:eastAsia="標楷體"/>
          <w:spacing w:val="4"/>
          <w:kern w:val="0"/>
          <w:sz w:val="28"/>
          <w:szCs w:val="26"/>
        </w:rPr>
        <w:t>年全球高齡者約有</w:t>
      </w:r>
      <w:r>
        <w:rPr>
          <w:rFonts w:eastAsia="標楷體"/>
          <w:spacing w:val="4"/>
          <w:kern w:val="0"/>
          <w:sz w:val="28"/>
          <w:szCs w:val="26"/>
        </w:rPr>
        <w:t>40%</w:t>
      </w:r>
      <w:r>
        <w:rPr>
          <w:rFonts w:eastAsia="標楷體"/>
          <w:spacing w:val="4"/>
          <w:kern w:val="0"/>
          <w:sz w:val="28"/>
          <w:szCs w:val="26"/>
        </w:rPr>
        <w:t>獨居，其中已開發經濟體高齡者獨居比率幾達四分之三，開發中經濟體則為四分之一。在城市化及少子女化趨勢下，預期未來高齡者獨居比重將持續增加，亟須強化社會扶助體系。</w:t>
      </w:r>
    </w:p>
    <w:p w14:paraId="2761AF3A" w14:textId="77777777" w:rsidR="00052596" w:rsidRDefault="00000000">
      <w:pPr>
        <w:tabs>
          <w:tab w:val="left" w:pos="1920"/>
          <w:tab w:val="left" w:pos="2880"/>
          <w:tab w:val="left" w:pos="3840"/>
          <w:tab w:val="left" w:pos="4800"/>
          <w:tab w:val="left" w:pos="5760"/>
        </w:tabs>
        <w:overflowPunct w:val="0"/>
        <w:autoSpaceDE w:val="0"/>
        <w:spacing w:line="420" w:lineRule="exact"/>
        <w:ind w:left="1061" w:hanging="271"/>
        <w:jc w:val="both"/>
        <w:textAlignment w:val="center"/>
        <w:rPr>
          <w:rFonts w:eastAsia="標楷體"/>
          <w:spacing w:val="4"/>
          <w:kern w:val="0"/>
          <w:sz w:val="28"/>
          <w:szCs w:val="26"/>
        </w:rPr>
      </w:pPr>
      <w:r>
        <w:rPr>
          <w:rFonts w:eastAsia="標楷體"/>
          <w:spacing w:val="4"/>
          <w:kern w:val="0"/>
          <w:sz w:val="28"/>
          <w:szCs w:val="26"/>
        </w:rPr>
        <w:t>－醫療照護：高齡者因年老體衰，罹患心血管疾病、癌症、糖尿病、慢性呼吸道疾病等慢性疾病比重較高，亟需長期照</w:t>
      </w:r>
      <w:r>
        <w:rPr>
          <w:rFonts w:eastAsia="標楷體"/>
          <w:spacing w:val="4"/>
          <w:kern w:val="0"/>
          <w:sz w:val="28"/>
          <w:szCs w:val="26"/>
        </w:rPr>
        <w:lastRenderedPageBreak/>
        <w:t>護。隨著高齡人口比重上升，社會整體醫療照護及健保支出將大幅增加。</w:t>
      </w:r>
    </w:p>
    <w:p w14:paraId="698C093A" w14:textId="77777777" w:rsidR="00052596" w:rsidRDefault="00000000">
      <w:pPr>
        <w:tabs>
          <w:tab w:val="left" w:pos="1920"/>
          <w:tab w:val="left" w:pos="2880"/>
          <w:tab w:val="left" w:pos="3840"/>
          <w:tab w:val="left" w:pos="4800"/>
          <w:tab w:val="left" w:pos="5760"/>
        </w:tabs>
        <w:overflowPunct w:val="0"/>
        <w:autoSpaceDE w:val="0"/>
        <w:spacing w:line="420" w:lineRule="exact"/>
        <w:ind w:left="1061" w:hanging="271"/>
        <w:jc w:val="both"/>
        <w:textAlignment w:val="center"/>
        <w:rPr>
          <w:rFonts w:eastAsia="標楷體"/>
          <w:spacing w:val="4"/>
          <w:kern w:val="0"/>
          <w:sz w:val="28"/>
          <w:szCs w:val="26"/>
        </w:rPr>
      </w:pPr>
      <w:r>
        <w:rPr>
          <w:rFonts w:eastAsia="標楷體"/>
          <w:spacing w:val="4"/>
          <w:kern w:val="0"/>
          <w:sz w:val="28"/>
          <w:szCs w:val="26"/>
        </w:rPr>
        <w:t>－世代對立及社會整合：由於扶老比上升，年輕世代一方面需支付較高的租稅及退休準備金，另方面若資深員工延後退休，而造成年輕人失業率提高，則世代間的對立恐將升高。若一國擬藉由吸引移民來緩和人口高齡化，又恐將面臨不同族群間社會整合甚或政治衝突問題。</w:t>
      </w:r>
    </w:p>
    <w:p w14:paraId="3C4AE9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政治面</w:t>
      </w:r>
    </w:p>
    <w:p w14:paraId="20D9E3FF"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由於稅收減少、支出增加，人口結構高齡化可能使政府債務增加，而各國為改善財政，將縮減社會福利支出，然此政策又可能導致原受益者反對而引發政治紛爭，進而改變投票傾向。另人口結構高齡化將造成一國消費市場萎縮，國內企業等利益團體為保護利益，可能遊說政府採取反競爭及反全球化的政策。</w:t>
      </w:r>
    </w:p>
    <w:p w14:paraId="620C6130"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三、人口結構高齡化的因應對策</w:t>
      </w:r>
    </w:p>
    <w:p w14:paraId="0FF94715" w14:textId="77777777" w:rsidR="00052596" w:rsidRDefault="00000000">
      <w:pPr>
        <w:overflowPunct w:val="0"/>
        <w:autoSpaceDE w:val="0"/>
        <w:spacing w:line="420" w:lineRule="exact"/>
        <w:ind w:left="240" w:firstLine="576"/>
        <w:jc w:val="both"/>
        <w:textAlignment w:val="center"/>
      </w:pPr>
      <w:r>
        <w:rPr>
          <w:rFonts w:eastAsia="標楷體"/>
          <w:spacing w:val="4"/>
          <w:kern w:val="0"/>
          <w:sz w:val="28"/>
          <w:szCs w:val="26"/>
        </w:rPr>
        <w:t>為因應</w:t>
      </w:r>
      <w:r>
        <w:rPr>
          <w:rFonts w:eastAsia="標楷體"/>
          <w:spacing w:val="4"/>
          <w:kern w:val="0"/>
          <w:sz w:val="28"/>
          <w:szCs w:val="26"/>
        </w:rPr>
        <w:t>21</w:t>
      </w:r>
      <w:r>
        <w:rPr>
          <w:rFonts w:eastAsia="標楷體"/>
          <w:spacing w:val="4"/>
          <w:kern w:val="0"/>
          <w:sz w:val="28"/>
          <w:szCs w:val="26"/>
        </w:rPr>
        <w:t>世紀人口結構高齡化問題，聯合國提出多項倡議，包括</w:t>
      </w:r>
      <w:r>
        <w:rPr>
          <w:rFonts w:eastAsia="標楷體"/>
          <w:spacing w:val="4"/>
          <w:kern w:val="0"/>
          <w:sz w:val="28"/>
          <w:szCs w:val="26"/>
        </w:rPr>
        <w:t>1982</w:t>
      </w:r>
      <w:r>
        <w:rPr>
          <w:rFonts w:eastAsia="標楷體"/>
          <w:spacing w:val="4"/>
          <w:kern w:val="0"/>
          <w:sz w:val="28"/>
          <w:szCs w:val="26"/>
        </w:rPr>
        <w:t>年「維也納高齡化議題國際行動計畫」</w:t>
      </w:r>
      <w:r>
        <w:rPr>
          <w:rFonts w:ascii="標楷體" w:eastAsia="標楷體" w:hAnsi="標楷體"/>
          <w:spacing w:val="4"/>
          <w:kern w:val="0"/>
          <w:sz w:val="28"/>
          <w:szCs w:val="26"/>
        </w:rPr>
        <w:t>(</w:t>
      </w:r>
      <w:r>
        <w:rPr>
          <w:rFonts w:eastAsia="標楷體"/>
          <w:spacing w:val="4"/>
          <w:kern w:val="0"/>
          <w:sz w:val="28"/>
          <w:szCs w:val="26"/>
        </w:rPr>
        <w:t>The Vienna International Plan of Action on Aging</w:t>
      </w:r>
      <w:r>
        <w:rPr>
          <w:rFonts w:ascii="標楷體" w:eastAsia="標楷體" w:hAnsi="標楷體"/>
          <w:spacing w:val="4"/>
          <w:kern w:val="0"/>
          <w:sz w:val="28"/>
          <w:szCs w:val="26"/>
        </w:rPr>
        <w:t>)</w:t>
      </w:r>
      <w:r>
        <w:rPr>
          <w:rFonts w:eastAsia="標楷體"/>
          <w:spacing w:val="4"/>
          <w:kern w:val="0"/>
          <w:sz w:val="28"/>
          <w:szCs w:val="26"/>
        </w:rPr>
        <w:t>、</w:t>
      </w:r>
      <w:r>
        <w:rPr>
          <w:rFonts w:eastAsia="標楷體"/>
          <w:spacing w:val="4"/>
          <w:kern w:val="0"/>
          <w:sz w:val="28"/>
          <w:szCs w:val="26"/>
        </w:rPr>
        <w:t>1991</w:t>
      </w:r>
      <w:r>
        <w:rPr>
          <w:rFonts w:eastAsia="標楷體"/>
          <w:spacing w:val="4"/>
          <w:kern w:val="0"/>
          <w:sz w:val="28"/>
          <w:szCs w:val="26"/>
        </w:rPr>
        <w:t>年「聯合國關懷高齡者原則」</w:t>
      </w:r>
      <w:r>
        <w:rPr>
          <w:rFonts w:ascii="標楷體" w:eastAsia="標楷體" w:hAnsi="標楷體"/>
          <w:spacing w:val="4"/>
          <w:kern w:val="0"/>
          <w:sz w:val="28"/>
          <w:szCs w:val="26"/>
        </w:rPr>
        <w:t>(</w:t>
      </w:r>
      <w:r>
        <w:rPr>
          <w:rFonts w:eastAsia="標楷體"/>
          <w:spacing w:val="4"/>
          <w:kern w:val="0"/>
          <w:sz w:val="28"/>
          <w:szCs w:val="26"/>
        </w:rPr>
        <w:t>United Nations Principles for Older Persons</w:t>
      </w:r>
      <w:r>
        <w:rPr>
          <w:rFonts w:ascii="標楷體" w:eastAsia="標楷體" w:hAnsi="標楷體"/>
          <w:spacing w:val="4"/>
          <w:kern w:val="0"/>
          <w:sz w:val="28"/>
          <w:szCs w:val="26"/>
        </w:rPr>
        <w:t>)</w:t>
      </w:r>
      <w:r>
        <w:rPr>
          <w:rFonts w:eastAsia="標楷體"/>
          <w:spacing w:val="4"/>
          <w:kern w:val="0"/>
          <w:sz w:val="28"/>
          <w:szCs w:val="26"/>
        </w:rPr>
        <w:t>，及</w:t>
      </w:r>
      <w:r>
        <w:rPr>
          <w:rFonts w:eastAsia="標楷體"/>
          <w:spacing w:val="4"/>
          <w:kern w:val="0"/>
          <w:sz w:val="28"/>
          <w:szCs w:val="26"/>
        </w:rPr>
        <w:t>2002</w:t>
      </w:r>
      <w:r>
        <w:rPr>
          <w:rFonts w:eastAsia="標楷體"/>
          <w:spacing w:val="4"/>
          <w:kern w:val="0"/>
          <w:sz w:val="28"/>
          <w:szCs w:val="26"/>
        </w:rPr>
        <w:t>年「馬德里高齡化議題國際行動計畫」</w:t>
      </w:r>
      <w:r>
        <w:rPr>
          <w:rFonts w:ascii="標楷體" w:eastAsia="標楷體" w:hAnsi="標楷體"/>
          <w:spacing w:val="4"/>
          <w:kern w:val="0"/>
          <w:sz w:val="28"/>
          <w:szCs w:val="26"/>
        </w:rPr>
        <w:t>(</w:t>
      </w:r>
      <w:r>
        <w:rPr>
          <w:rFonts w:eastAsia="標楷體"/>
          <w:spacing w:val="4"/>
          <w:kern w:val="0"/>
          <w:sz w:val="28"/>
          <w:szCs w:val="26"/>
        </w:rPr>
        <w:t>The Madrid International Plan of Action on Aging</w:t>
      </w:r>
      <w:r>
        <w:rPr>
          <w:rFonts w:ascii="標楷體" w:eastAsia="標楷體" w:hAnsi="標楷體"/>
          <w:spacing w:val="4"/>
          <w:kern w:val="0"/>
          <w:sz w:val="28"/>
          <w:szCs w:val="26"/>
        </w:rPr>
        <w:t>)</w:t>
      </w:r>
      <w:r>
        <w:rPr>
          <w:rFonts w:eastAsia="標楷體"/>
          <w:spacing w:val="4"/>
          <w:kern w:val="0"/>
          <w:sz w:val="28"/>
          <w:szCs w:val="26"/>
        </w:rPr>
        <w:t>，呼籲各國在社會發展過程中，將高齡化納入全球發展議題主流，創備支持性的完善環境，以增進高齡者的健康與福祉。此外，各國政府亦已分別由高齡者的生活面、財務面、醫療面，採行相關對策，減緩人口結構高齡化所帶來的衝擊。</w:t>
      </w:r>
    </w:p>
    <w:p w14:paraId="69289F8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提升高齡者生活品質</w:t>
      </w:r>
    </w:p>
    <w:p w14:paraId="567D195E" w14:textId="77777777" w:rsidR="00052596" w:rsidRDefault="00000000">
      <w:pPr>
        <w:overflowPunct w:val="0"/>
        <w:autoSpaceDE w:val="0"/>
        <w:spacing w:line="420" w:lineRule="exact"/>
        <w:ind w:left="792" w:firstLine="605"/>
        <w:jc w:val="both"/>
        <w:textAlignment w:val="center"/>
      </w:pPr>
      <w:r>
        <w:rPr>
          <w:rFonts w:eastAsia="標楷體"/>
          <w:spacing w:val="4"/>
          <w:kern w:val="0"/>
          <w:sz w:val="28"/>
          <w:szCs w:val="26"/>
        </w:rPr>
        <w:t>為提升高齡者生活品質，</w:t>
      </w:r>
      <w:r>
        <w:rPr>
          <w:rFonts w:eastAsia="標楷體"/>
          <w:spacing w:val="4"/>
          <w:kern w:val="0"/>
          <w:sz w:val="28"/>
          <w:szCs w:val="26"/>
        </w:rPr>
        <w:t>1991</w:t>
      </w:r>
      <w:r>
        <w:rPr>
          <w:rFonts w:eastAsia="標楷體"/>
          <w:spacing w:val="4"/>
          <w:kern w:val="0"/>
          <w:sz w:val="28"/>
          <w:szCs w:val="26"/>
        </w:rPr>
        <w:t>年聯合國即提出「高齡化宣言」</w:t>
      </w:r>
      <w:r>
        <w:rPr>
          <w:rFonts w:ascii="標楷體" w:eastAsia="標楷體" w:hAnsi="標楷體"/>
          <w:spacing w:val="4"/>
          <w:kern w:val="0"/>
          <w:sz w:val="28"/>
          <w:szCs w:val="26"/>
        </w:rPr>
        <w:t>(</w:t>
      </w:r>
      <w:r>
        <w:rPr>
          <w:rFonts w:eastAsia="標楷體"/>
          <w:spacing w:val="4"/>
          <w:kern w:val="0"/>
          <w:sz w:val="28"/>
          <w:szCs w:val="26"/>
        </w:rPr>
        <w:t>Proclamation on Aging</w:t>
      </w:r>
      <w:r>
        <w:rPr>
          <w:rFonts w:ascii="標楷體" w:eastAsia="標楷體" w:hAnsi="標楷體"/>
          <w:spacing w:val="4"/>
          <w:kern w:val="0"/>
          <w:sz w:val="28"/>
          <w:szCs w:val="26"/>
        </w:rPr>
        <w:t>)</w:t>
      </w:r>
      <w:r>
        <w:rPr>
          <w:rFonts w:eastAsia="標楷體"/>
          <w:spacing w:val="4"/>
          <w:kern w:val="0"/>
          <w:sz w:val="28"/>
          <w:szCs w:val="26"/>
        </w:rPr>
        <w:t>，揭示高齡者生活應具備「獨立、參與、照顧、自我實現、尊嚴」五大原則。</w:t>
      </w:r>
      <w:r>
        <w:rPr>
          <w:rFonts w:eastAsia="標楷體"/>
          <w:spacing w:val="4"/>
          <w:kern w:val="0"/>
          <w:sz w:val="28"/>
          <w:szCs w:val="26"/>
        </w:rPr>
        <w:t>2002</w:t>
      </w:r>
      <w:r>
        <w:rPr>
          <w:rFonts w:eastAsia="標楷體"/>
          <w:spacing w:val="4"/>
          <w:kern w:val="0"/>
          <w:sz w:val="28"/>
          <w:szCs w:val="26"/>
        </w:rPr>
        <w:t>年世界衛生組織</w:t>
      </w:r>
      <w:r>
        <w:rPr>
          <w:rFonts w:ascii="標楷體" w:eastAsia="標楷體" w:hAnsi="標楷體"/>
          <w:spacing w:val="4"/>
          <w:kern w:val="0"/>
          <w:sz w:val="28"/>
          <w:szCs w:val="26"/>
        </w:rPr>
        <w:t>(</w:t>
      </w:r>
      <w:r>
        <w:rPr>
          <w:rFonts w:eastAsia="標楷體"/>
          <w:spacing w:val="4"/>
          <w:kern w:val="0"/>
          <w:sz w:val="28"/>
          <w:szCs w:val="26"/>
        </w:rPr>
        <w:t>WHO</w:t>
      </w:r>
      <w:r>
        <w:rPr>
          <w:rFonts w:ascii="標楷體" w:eastAsia="標楷體" w:hAnsi="標楷體"/>
          <w:spacing w:val="4"/>
          <w:kern w:val="0"/>
          <w:sz w:val="28"/>
          <w:szCs w:val="26"/>
        </w:rPr>
        <w:t>)</w:t>
      </w:r>
      <w:r>
        <w:rPr>
          <w:rFonts w:eastAsia="標楷體"/>
          <w:spacing w:val="4"/>
          <w:kern w:val="0"/>
          <w:sz w:val="28"/>
          <w:szCs w:val="26"/>
        </w:rPr>
        <w:t>續提出「活躍的高齡化」</w:t>
      </w:r>
      <w:r>
        <w:rPr>
          <w:rFonts w:ascii="標楷體" w:eastAsia="標楷體" w:hAnsi="標楷體"/>
          <w:spacing w:val="4"/>
          <w:kern w:val="0"/>
          <w:sz w:val="28"/>
          <w:szCs w:val="26"/>
        </w:rPr>
        <w:t>(</w:t>
      </w:r>
      <w:r>
        <w:rPr>
          <w:rFonts w:eastAsia="標楷體"/>
          <w:spacing w:val="4"/>
          <w:kern w:val="0"/>
          <w:sz w:val="28"/>
          <w:szCs w:val="26"/>
        </w:rPr>
        <w:t>Active Aging</w:t>
      </w:r>
      <w:r>
        <w:rPr>
          <w:rFonts w:ascii="標楷體" w:eastAsia="標楷體" w:hAnsi="標楷體"/>
          <w:spacing w:val="4"/>
          <w:kern w:val="0"/>
          <w:sz w:val="28"/>
          <w:szCs w:val="26"/>
        </w:rPr>
        <w:t>)</w:t>
      </w:r>
      <w:r>
        <w:rPr>
          <w:rFonts w:eastAsia="標楷體"/>
          <w:spacing w:val="4"/>
          <w:kern w:val="0"/>
          <w:sz w:val="28"/>
          <w:szCs w:val="26"/>
        </w:rPr>
        <w:t>，包括「健康、參與、安全」等三大支柱，強調高齡者應維持在勞動</w:t>
      </w:r>
      <w:r>
        <w:rPr>
          <w:rFonts w:eastAsia="標楷體"/>
          <w:spacing w:val="4"/>
          <w:kern w:val="0"/>
          <w:sz w:val="28"/>
          <w:szCs w:val="26"/>
        </w:rPr>
        <w:lastRenderedPageBreak/>
        <w:t>市場</w:t>
      </w:r>
    </w:p>
    <w:tbl>
      <w:tblPr>
        <w:tblW w:w="8561" w:type="dxa"/>
        <w:jc w:val="right"/>
        <w:tblCellMar>
          <w:left w:w="10" w:type="dxa"/>
          <w:right w:w="10" w:type="dxa"/>
        </w:tblCellMar>
        <w:tblLook w:val="04A0" w:firstRow="1" w:lastRow="0" w:firstColumn="1" w:lastColumn="0" w:noHBand="0" w:noVBand="1"/>
      </w:tblPr>
      <w:tblGrid>
        <w:gridCol w:w="8561"/>
      </w:tblGrid>
      <w:tr w:rsidR="00052596" w14:paraId="37D4FC63" w14:textId="77777777">
        <w:tblPrEx>
          <w:tblCellMar>
            <w:top w:w="0" w:type="dxa"/>
            <w:bottom w:w="0" w:type="dxa"/>
          </w:tblCellMar>
        </w:tblPrEx>
        <w:trPr>
          <w:trHeight w:val="11223"/>
          <w:jc w:val="right"/>
        </w:trPr>
        <w:tc>
          <w:tcPr>
            <w:tcW w:w="8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319BF" w14:textId="77777777" w:rsidR="00052596" w:rsidRDefault="00000000">
            <w:pPr>
              <w:overflowPunct w:val="0"/>
              <w:autoSpaceDE w:val="0"/>
              <w:spacing w:before="168" w:after="120" w:line="360" w:lineRule="exact"/>
              <w:jc w:val="center"/>
              <w:textAlignment w:val="center"/>
              <w:rPr>
                <w:rFonts w:ascii="新細明體" w:hAnsi="新細明體"/>
                <w:b/>
                <w:color w:val="0000FF"/>
                <w:spacing w:val="14"/>
                <w:kern w:val="0"/>
              </w:rPr>
            </w:pPr>
            <w:r>
              <w:rPr>
                <w:rFonts w:ascii="新細明體" w:hAnsi="新細明體"/>
                <w:b/>
                <w:color w:val="0000FF"/>
                <w:spacing w:val="14"/>
                <w:kern w:val="0"/>
              </w:rPr>
              <w:t>推動「馬德里高齡化議題國際行動計畫」優先措施</w:t>
            </w:r>
          </w:p>
          <w:p w14:paraId="613F6BC2" w14:textId="77777777" w:rsidR="00052596" w:rsidRDefault="00000000">
            <w:pPr>
              <w:overflowPunct w:val="0"/>
              <w:autoSpaceDE w:val="0"/>
              <w:spacing w:line="36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聯合國2002年所倡議的「馬德里高齡化議題國際行動計畫」涵蓋「高齡者發展」、「促進高齡者健康及福祉」、「確保便利及支持的環境」等三大面向、18項議題、239項行動建議，呼籲各界改變以往態度、政策與方法，以發揮21世紀高齡化社會潛力，確保高齡者不僅只是福利的受益者，更是社會發展過程中的積極參與者；此外，高齡者的人權尤應獲得尊重。</w:t>
            </w:r>
          </w:p>
          <w:p w14:paraId="5915D43B" w14:textId="77777777" w:rsidR="00052596" w:rsidRDefault="00000000">
            <w:pPr>
              <w:overflowPunct w:val="0"/>
              <w:autoSpaceDE w:val="0"/>
              <w:spacing w:line="36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為慶祝第22屆「國際高齡者日」及「馬德里高齡化議題國際行動計畫」10周年紀念，聯合國2012年10月出版「21世紀人口高齡化：成就與挑戰」報告，回顧自2002年第2次高齡化問題世界大會以來，各國政府和相關機構執行「馬德里高齡化議題國際行動計畫」的作為及成果。文中提出下列優先措施建議：</w:t>
            </w:r>
          </w:p>
          <w:p w14:paraId="357BC4B5"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－體認人口高齡化不可避免，需讓所有利益相關者(政府、公民社會、商業競購、社區及家庭)面對日益增加的高齡者，做好充分準備。</w:t>
            </w:r>
          </w:p>
          <w:p w14:paraId="68363575"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－確保所有高齡者皆能過著尊嚴與保障的生活，享有必要的保健與社會服務，並通過社會救助措施，提供有益於高齡者自主、獨立的最低收入，避免高齡者貧困現象。</w:t>
            </w:r>
          </w:p>
          <w:p w14:paraId="02ADC451"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－發展社區和家庭的支持體系，確保年老體弱者獲得長期照顧，實現在地活力和健康的高齡化。</w:t>
            </w:r>
          </w:p>
          <w:p w14:paraId="5F50FFBC"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－促進年輕人養成健康的生活習慣，確保其獲得教育、就業、醫療服務及社會保障，以提高未來老年時的生活品質。對高齡者而言，應提供靈活就業、終生學習和再培訓的機會，以協助其融入就業市場。</w:t>
            </w:r>
          </w:p>
          <w:p w14:paraId="416FC4DD"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－支持國際和各國針對高齡化問題展開研究，俾由研究中獲得性別與文化的相關數據，從而為決策提供依據。</w:t>
            </w:r>
          </w:p>
          <w:p w14:paraId="77E01C89"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－將性別問題納入高齡化政策主流，重視女性與男性高齡者的具體需求。</w:t>
            </w:r>
          </w:p>
          <w:p w14:paraId="6BB3B432"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－確保將高齡化問題與高齡者需求納入國家各項政策，包括：人道援助、氣候變遷與調適計畫、災害管理等方案之中。</w:t>
            </w:r>
          </w:p>
          <w:p w14:paraId="6814C8E3" w14:textId="77777777" w:rsidR="00052596" w:rsidRDefault="00000000">
            <w:pPr>
              <w:overflowPunct w:val="0"/>
              <w:autoSpaceDE w:val="0"/>
              <w:spacing w:line="360" w:lineRule="exact"/>
              <w:ind w:left="308" w:right="72" w:hanging="236"/>
              <w:jc w:val="both"/>
              <w:textAlignment w:val="center"/>
            </w:pPr>
            <w:r>
              <w:rPr>
                <w:rFonts w:ascii="新細明體" w:hAnsi="新細明體"/>
                <w:bCs/>
                <w:spacing w:val="8"/>
                <w:kern w:val="0"/>
                <w:sz w:val="22"/>
                <w:szCs w:val="22"/>
              </w:rPr>
              <w:t>－</w:t>
            </w:r>
            <w:r>
              <w:rPr>
                <w:rFonts w:ascii="新細明體" w:hAnsi="新細明體"/>
                <w:bCs/>
                <w:spacing w:val="4"/>
                <w:kern w:val="0"/>
                <w:sz w:val="22"/>
                <w:szCs w:val="22"/>
              </w:rPr>
              <w:t>確保將高齡化問題反映至2015年以後的發展議程中，包括訂定具體目標及指標等。</w:t>
            </w:r>
          </w:p>
          <w:p w14:paraId="006BADDF"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－改變社會對高齡者的態度，將高齡者由福利接受者，轉為貢獻者。同時，推動國際人權文書(international human rights instruments)，並將其轉為國家法律、法規與措施，具體消除年齡歧視，承認高齡者為具自主能力的主體。</w:t>
            </w:r>
          </w:p>
          <w:p w14:paraId="3DF9EBB9" w14:textId="77777777" w:rsidR="00052596" w:rsidRDefault="00000000">
            <w:pPr>
              <w:overflowPunct w:val="0"/>
              <w:autoSpaceDE w:val="0"/>
              <w:spacing w:line="360" w:lineRule="exact"/>
              <w:ind w:left="72" w:right="72"/>
              <w:jc w:val="both"/>
              <w:textAlignment w:val="center"/>
              <w:rPr>
                <w:rFonts w:ascii="新細明體" w:hAnsi="新細明體"/>
                <w:bCs/>
                <w:spacing w:val="8"/>
                <w:kern w:val="0"/>
                <w:sz w:val="22"/>
                <w:szCs w:val="22"/>
              </w:rPr>
            </w:pPr>
            <w:r>
              <w:rPr>
                <w:rFonts w:ascii="新細明體" w:hAnsi="新細明體"/>
                <w:bCs/>
                <w:spacing w:val="8"/>
                <w:kern w:val="0"/>
                <w:sz w:val="22"/>
                <w:szCs w:val="22"/>
              </w:rPr>
              <w:t>資料來源：聯合國網站。</w:t>
            </w:r>
          </w:p>
        </w:tc>
      </w:tr>
    </w:tbl>
    <w:p w14:paraId="00E341A7" w14:textId="77777777" w:rsidR="00052596" w:rsidRDefault="00052596">
      <w:pPr>
        <w:tabs>
          <w:tab w:val="left" w:pos="960"/>
          <w:tab w:val="left" w:pos="1920"/>
          <w:tab w:val="left" w:pos="2880"/>
          <w:tab w:val="left" w:pos="3840"/>
          <w:tab w:val="left" w:pos="4800"/>
          <w:tab w:val="left" w:pos="5760"/>
        </w:tabs>
        <w:overflowPunct w:val="0"/>
        <w:autoSpaceDE w:val="0"/>
        <w:spacing w:line="200" w:lineRule="exact"/>
        <w:jc w:val="center"/>
        <w:textAlignment w:val="center"/>
        <w:rPr>
          <w:rFonts w:ascii="Calibri" w:eastAsia="標楷體" w:hAnsi="Calibri"/>
          <w:spacing w:val="4"/>
          <w:kern w:val="0"/>
          <w:sz w:val="16"/>
          <w:szCs w:val="16"/>
        </w:rPr>
      </w:pPr>
    </w:p>
    <w:p w14:paraId="295A556C" w14:textId="77777777" w:rsidR="00052596" w:rsidRDefault="00000000">
      <w:pPr>
        <w:overflowPunct w:val="0"/>
        <w:autoSpaceDE w:val="0"/>
        <w:spacing w:line="420" w:lineRule="exact"/>
        <w:ind w:left="792"/>
        <w:jc w:val="both"/>
        <w:textAlignment w:val="center"/>
      </w:pPr>
      <w:r>
        <w:rPr>
          <w:rFonts w:eastAsia="標楷體"/>
          <w:spacing w:val="4"/>
          <w:kern w:val="0"/>
          <w:sz w:val="28"/>
          <w:szCs w:val="26"/>
        </w:rPr>
        <w:t>的活動，以降低高齡化對社會的成本。</w:t>
      </w:r>
      <w:r>
        <w:rPr>
          <w:rFonts w:eastAsia="標楷體"/>
          <w:spacing w:val="4"/>
          <w:kern w:val="0"/>
          <w:sz w:val="28"/>
          <w:szCs w:val="26"/>
        </w:rPr>
        <w:t>OECD</w:t>
      </w:r>
      <w:r>
        <w:rPr>
          <w:rFonts w:eastAsia="標楷體"/>
          <w:spacing w:val="4"/>
          <w:kern w:val="0"/>
          <w:sz w:val="28"/>
          <w:szCs w:val="26"/>
        </w:rPr>
        <w:t>於</w:t>
      </w:r>
      <w:r>
        <w:rPr>
          <w:rFonts w:eastAsia="標楷體"/>
          <w:spacing w:val="4"/>
          <w:kern w:val="0"/>
          <w:sz w:val="28"/>
          <w:szCs w:val="26"/>
        </w:rPr>
        <w:t>2009</w:t>
      </w:r>
      <w:r>
        <w:rPr>
          <w:rFonts w:eastAsia="標楷體"/>
          <w:spacing w:val="4"/>
          <w:kern w:val="0"/>
          <w:sz w:val="28"/>
          <w:szCs w:val="26"/>
        </w:rPr>
        <w:t>年也提出</w:t>
      </w:r>
      <w:r>
        <w:rPr>
          <w:rFonts w:eastAsia="標楷體"/>
          <w:spacing w:val="4"/>
          <w:kern w:val="0"/>
          <w:sz w:val="28"/>
          <w:szCs w:val="26"/>
        </w:rPr>
        <w:lastRenderedPageBreak/>
        <w:t>「健康高齡化」</w:t>
      </w:r>
      <w:r>
        <w:rPr>
          <w:rFonts w:ascii="標楷體" w:eastAsia="標楷體" w:hAnsi="標楷體"/>
          <w:spacing w:val="4"/>
          <w:kern w:val="0"/>
          <w:sz w:val="28"/>
          <w:szCs w:val="26"/>
        </w:rPr>
        <w:t>(</w:t>
      </w:r>
      <w:r>
        <w:rPr>
          <w:rFonts w:eastAsia="標楷體"/>
          <w:spacing w:val="4"/>
          <w:kern w:val="0"/>
          <w:sz w:val="28"/>
          <w:szCs w:val="26"/>
        </w:rPr>
        <w:t>Healthy Aging</w:t>
      </w:r>
      <w:r>
        <w:rPr>
          <w:rFonts w:ascii="標楷體" w:eastAsia="標楷體" w:hAnsi="標楷體"/>
          <w:spacing w:val="4"/>
          <w:kern w:val="0"/>
          <w:sz w:val="28"/>
          <w:szCs w:val="26"/>
        </w:rPr>
        <w:t>)理念</w:t>
      </w:r>
      <w:r>
        <w:rPr>
          <w:rFonts w:eastAsia="標楷體"/>
          <w:spacing w:val="4"/>
          <w:kern w:val="0"/>
          <w:sz w:val="28"/>
          <w:szCs w:val="26"/>
        </w:rPr>
        <w:t>，旨在提升高齡者福祉並延遲對長期照護的需求。</w:t>
      </w:r>
    </w:p>
    <w:p w14:paraId="098BDB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7" w:hanging="285"/>
        <w:jc w:val="both"/>
        <w:textAlignment w:val="center"/>
      </w:pPr>
      <w:r>
        <w:rPr>
          <w:rFonts w:eastAsia="標楷體"/>
          <w:spacing w:val="4"/>
          <w:kern w:val="0"/>
          <w:sz w:val="28"/>
          <w:szCs w:val="26"/>
        </w:rPr>
        <w:t>－</w:t>
      </w:r>
      <w:r>
        <w:rPr>
          <w:rFonts w:eastAsia="標楷體"/>
          <w:spacing w:val="6"/>
          <w:kern w:val="0"/>
          <w:sz w:val="28"/>
          <w:szCs w:val="26"/>
        </w:rPr>
        <w:t>滿足基本需求：提供高齡者充足的飲食、住房、健康照護，以及持續工作的機會，且在任何處所皆能享有人權與基本自由。</w:t>
      </w:r>
    </w:p>
    <w:p w14:paraId="5560D1F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7" w:hanging="285"/>
        <w:jc w:val="both"/>
        <w:textAlignment w:val="center"/>
        <w:rPr>
          <w:rFonts w:eastAsia="標楷體"/>
          <w:spacing w:val="4"/>
          <w:kern w:val="0"/>
          <w:sz w:val="28"/>
          <w:szCs w:val="26"/>
        </w:rPr>
      </w:pPr>
      <w:r>
        <w:rPr>
          <w:rFonts w:eastAsia="標楷體"/>
          <w:spacing w:val="4"/>
          <w:kern w:val="0"/>
          <w:sz w:val="28"/>
          <w:szCs w:val="26"/>
        </w:rPr>
        <w:t>－提升社會參與：鼓勵延後退休，對已退休的高齡者，亦鼓勵終身學習或參與社區活動，追求良好的身心平衡。</w:t>
      </w:r>
    </w:p>
    <w:p w14:paraId="7E62DEC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7" w:hanging="285"/>
        <w:jc w:val="both"/>
        <w:textAlignment w:val="center"/>
      </w:pPr>
      <w:r>
        <w:rPr>
          <w:rFonts w:eastAsia="標楷體"/>
          <w:spacing w:val="4"/>
          <w:kern w:val="0"/>
          <w:sz w:val="28"/>
          <w:szCs w:val="26"/>
        </w:rPr>
        <w:t>－促進健康及安全：鼓勵高齡者運動，建立良好飲食及生活習慣，藉由提升公共運輸及醫療服務水準，增進高齡者的生活品質。</w:t>
      </w:r>
    </w:p>
    <w:p w14:paraId="320A7BA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(二)改革退休金制度</w:t>
      </w:r>
    </w:p>
    <w:p w14:paraId="5737529F" w14:textId="77777777" w:rsidR="00052596" w:rsidRDefault="00000000">
      <w:pPr>
        <w:overflowPunct w:val="0"/>
        <w:autoSpaceDE w:val="0"/>
        <w:spacing w:line="420" w:lineRule="exact"/>
        <w:ind w:left="792" w:firstLine="605"/>
        <w:jc w:val="both"/>
        <w:textAlignment w:val="center"/>
      </w:pPr>
      <w:r>
        <w:rPr>
          <w:rFonts w:eastAsia="標楷體"/>
          <w:spacing w:val="4"/>
          <w:kern w:val="0"/>
          <w:sz w:val="28"/>
          <w:szCs w:val="26"/>
        </w:rPr>
        <w:t>近年來，由於人口高齡化問題日益嚴重，加以全球金融危機使得全球退休基金收益低落，各國紛紛進行退休金制度改革，主要途徑為改革隨收隨</w:t>
      </w:r>
      <w:r>
        <w:rPr>
          <w:rFonts w:ascii="標楷體" w:eastAsia="標楷體" w:hAnsi="標楷體"/>
          <w:spacing w:val="4"/>
          <w:kern w:val="0"/>
          <w:sz w:val="28"/>
          <w:szCs w:val="26"/>
        </w:rPr>
        <w:t>付(</w:t>
      </w:r>
      <w:r>
        <w:rPr>
          <w:rFonts w:eastAsia="標楷體"/>
          <w:spacing w:val="4"/>
          <w:kern w:val="0"/>
          <w:sz w:val="28"/>
          <w:szCs w:val="26"/>
        </w:rPr>
        <w:t>Pay As You Go, PAYG</w:t>
      </w:r>
      <w:r>
        <w:rPr>
          <w:rFonts w:ascii="標楷體" w:eastAsia="標楷體" w:hAnsi="標楷體"/>
          <w:spacing w:val="4"/>
          <w:kern w:val="0"/>
          <w:sz w:val="28"/>
          <w:szCs w:val="26"/>
        </w:rPr>
        <w:t>)</w:t>
      </w:r>
      <w:r>
        <w:rPr>
          <w:rFonts w:eastAsia="標楷體"/>
          <w:spacing w:val="4"/>
          <w:kern w:val="0"/>
          <w:sz w:val="28"/>
          <w:szCs w:val="26"/>
          <w:vertAlign w:val="superscript"/>
        </w:rPr>
        <w:footnoteReference w:id="8"/>
      </w:r>
      <w:r>
        <w:rPr>
          <w:rFonts w:eastAsia="標楷體"/>
          <w:spacing w:val="4"/>
          <w:kern w:val="0"/>
          <w:sz w:val="28"/>
          <w:szCs w:val="26"/>
        </w:rPr>
        <w:t>的公共退休金制度，以及引進確定提撥</w:t>
      </w:r>
      <w:r>
        <w:rPr>
          <w:rFonts w:ascii="標楷體" w:eastAsia="標楷體" w:hAnsi="標楷體"/>
          <w:spacing w:val="4"/>
          <w:kern w:val="0"/>
          <w:sz w:val="28"/>
          <w:szCs w:val="26"/>
        </w:rPr>
        <w:t>(</w:t>
      </w:r>
      <w:r>
        <w:rPr>
          <w:rFonts w:eastAsia="標楷體"/>
          <w:spacing w:val="4"/>
          <w:kern w:val="0"/>
          <w:sz w:val="28"/>
          <w:szCs w:val="26"/>
        </w:rPr>
        <w:t>Defined Contribution, DC</w:t>
      </w:r>
      <w:r>
        <w:rPr>
          <w:rFonts w:ascii="標楷體" w:eastAsia="標楷體" w:hAnsi="標楷體"/>
          <w:spacing w:val="4"/>
          <w:kern w:val="0"/>
          <w:sz w:val="28"/>
          <w:szCs w:val="26"/>
        </w:rPr>
        <w:t>)</w:t>
      </w:r>
      <w:r>
        <w:rPr>
          <w:rFonts w:eastAsia="標楷體"/>
          <w:spacing w:val="4"/>
          <w:kern w:val="0"/>
          <w:sz w:val="28"/>
          <w:szCs w:val="26"/>
          <w:vertAlign w:val="superscript"/>
        </w:rPr>
        <w:footnoteReference w:id="9"/>
      </w:r>
      <w:r>
        <w:rPr>
          <w:rFonts w:eastAsia="標楷體"/>
          <w:spacing w:val="4"/>
          <w:kern w:val="0"/>
          <w:sz w:val="28"/>
          <w:szCs w:val="26"/>
        </w:rPr>
        <w:t>的私人退休金制度。改革目標在於提升受益者的涵蓋率、確保退休金的財源充足及永續營運、增加延後退休誘因、提升管理效率，及多樣化退休基金資產組合。</w:t>
      </w:r>
    </w:p>
    <w:p w14:paraId="00696F2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改革隨收隨付制：為確保隨收隨付制的財源充足，各國紛紛延長法定退休年齡，降低退休金所得替代率，引進隨社會人口高齡化情勢變動而調整退休金給付制度，以及運用租稅或補貼方式鼓勵延後退休。如：丹麥計劃在</w:t>
      </w:r>
      <w:r>
        <w:rPr>
          <w:rFonts w:eastAsia="標楷體"/>
          <w:spacing w:val="4"/>
          <w:kern w:val="0"/>
          <w:sz w:val="28"/>
          <w:szCs w:val="26"/>
        </w:rPr>
        <w:t>2020</w:t>
      </w:r>
      <w:r>
        <w:rPr>
          <w:rFonts w:eastAsia="標楷體"/>
          <w:spacing w:val="4"/>
          <w:kern w:val="0"/>
          <w:sz w:val="28"/>
          <w:szCs w:val="26"/>
        </w:rPr>
        <w:t>年代中期，將退休年齡與預期壽命連結，屆時該制度實施後，預期退休年齡將由</w:t>
      </w:r>
      <w:r>
        <w:rPr>
          <w:rFonts w:eastAsia="標楷體"/>
          <w:spacing w:val="4"/>
          <w:kern w:val="0"/>
          <w:sz w:val="28"/>
          <w:szCs w:val="26"/>
        </w:rPr>
        <w:t>2012</w:t>
      </w:r>
      <w:r>
        <w:rPr>
          <w:rFonts w:eastAsia="標楷體"/>
          <w:spacing w:val="4"/>
          <w:kern w:val="0"/>
          <w:sz w:val="28"/>
          <w:szCs w:val="26"/>
        </w:rPr>
        <w:t>年的</w:t>
      </w:r>
      <w:r>
        <w:rPr>
          <w:rFonts w:eastAsia="標楷體"/>
          <w:spacing w:val="4"/>
          <w:kern w:val="0"/>
          <w:sz w:val="28"/>
          <w:szCs w:val="26"/>
        </w:rPr>
        <w:t>67</w:t>
      </w:r>
      <w:r>
        <w:rPr>
          <w:rFonts w:eastAsia="標楷體"/>
          <w:spacing w:val="4"/>
          <w:kern w:val="0"/>
          <w:sz w:val="28"/>
          <w:szCs w:val="26"/>
        </w:rPr>
        <w:t>歲升達至</w:t>
      </w:r>
      <w:r>
        <w:rPr>
          <w:rFonts w:eastAsia="標楷體"/>
          <w:spacing w:val="4"/>
          <w:kern w:val="0"/>
          <w:sz w:val="28"/>
          <w:szCs w:val="26"/>
        </w:rPr>
        <w:t>2050</w:t>
      </w:r>
      <w:r>
        <w:rPr>
          <w:rFonts w:eastAsia="標楷體"/>
          <w:spacing w:val="4"/>
          <w:kern w:val="0"/>
          <w:sz w:val="28"/>
          <w:szCs w:val="26"/>
        </w:rPr>
        <w:t>年的</w:t>
      </w:r>
      <w:r>
        <w:rPr>
          <w:rFonts w:eastAsia="標楷體"/>
          <w:spacing w:val="4"/>
          <w:kern w:val="0"/>
          <w:sz w:val="28"/>
          <w:szCs w:val="26"/>
        </w:rPr>
        <w:t>69</w:t>
      </w:r>
      <w:r>
        <w:rPr>
          <w:rFonts w:eastAsia="標楷體"/>
          <w:spacing w:val="4"/>
          <w:kern w:val="0"/>
          <w:sz w:val="28"/>
          <w:szCs w:val="26"/>
        </w:rPr>
        <w:t>歲；德國則將退休金、退休者與工作者人數比重連結，當每位工作者所扶養的退休人數愈多，退休者可領取的退休金即愈少。</w:t>
      </w:r>
    </w:p>
    <w:p w14:paraId="67D94F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－引進確定提撥制：在公共退休金制度之外，各國亦以自願、</w:t>
      </w:r>
      <w:r>
        <w:rPr>
          <w:rFonts w:eastAsia="標楷體"/>
          <w:spacing w:val="4"/>
          <w:kern w:val="0"/>
          <w:sz w:val="28"/>
          <w:szCs w:val="26"/>
        </w:rPr>
        <w:lastRenderedPageBreak/>
        <w:t>準強制、強制等方式，引進確定提撥的私人退休金帳戶制度，以彌補公共退休金的不足。如：澳洲、智利實施強制私人退休金帳戶制；丹麥、荷蘭採行國家及產業層級集體談判的準強制私人退休金帳戶制。</w:t>
      </w:r>
    </w:p>
    <w:p w14:paraId="16C1692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－另部分國家藉由退休金指數化、保證收益率，以及變更退休基金資產組合等方式改革退休金制度，以確保退休給付的充足及安全。如：瑞士</w:t>
      </w:r>
      <w:r>
        <w:rPr>
          <w:rFonts w:eastAsia="標楷體"/>
          <w:spacing w:val="4"/>
          <w:kern w:val="0"/>
          <w:sz w:val="28"/>
          <w:szCs w:val="26"/>
        </w:rPr>
        <w:t>2009</w:t>
      </w:r>
      <w:r>
        <w:rPr>
          <w:rFonts w:eastAsia="標楷體"/>
          <w:spacing w:val="4"/>
          <w:kern w:val="0"/>
          <w:sz w:val="28"/>
          <w:szCs w:val="26"/>
        </w:rPr>
        <w:t>年將私人退休金帳戶的最低保證收益率由</w:t>
      </w:r>
      <w:r>
        <w:rPr>
          <w:rFonts w:eastAsia="標楷體"/>
          <w:spacing w:val="4"/>
          <w:kern w:val="0"/>
          <w:sz w:val="28"/>
          <w:szCs w:val="26"/>
        </w:rPr>
        <w:t>2.75%</w:t>
      </w:r>
      <w:r>
        <w:rPr>
          <w:rFonts w:eastAsia="標楷體"/>
          <w:spacing w:val="4"/>
          <w:kern w:val="0"/>
          <w:sz w:val="28"/>
          <w:szCs w:val="26"/>
        </w:rPr>
        <w:t>降至</w:t>
      </w:r>
      <w:r>
        <w:rPr>
          <w:rFonts w:eastAsia="標楷體"/>
          <w:spacing w:val="4"/>
          <w:kern w:val="0"/>
          <w:sz w:val="28"/>
          <w:szCs w:val="26"/>
        </w:rPr>
        <w:t>2%</w:t>
      </w:r>
      <w:r>
        <w:rPr>
          <w:rFonts w:eastAsia="標楷體"/>
          <w:spacing w:val="4"/>
          <w:kern w:val="0"/>
          <w:sz w:val="28"/>
          <w:szCs w:val="26"/>
        </w:rPr>
        <w:t>，</w:t>
      </w:r>
      <w:r>
        <w:rPr>
          <w:rFonts w:eastAsia="標楷體"/>
          <w:spacing w:val="4"/>
          <w:kern w:val="0"/>
          <w:sz w:val="28"/>
          <w:szCs w:val="26"/>
        </w:rPr>
        <w:t>2012</w:t>
      </w:r>
      <w:r>
        <w:rPr>
          <w:rFonts w:eastAsia="標楷體"/>
          <w:spacing w:val="4"/>
          <w:kern w:val="0"/>
          <w:sz w:val="28"/>
          <w:szCs w:val="26"/>
        </w:rPr>
        <w:t>年再降至</w:t>
      </w:r>
      <w:r>
        <w:rPr>
          <w:rFonts w:eastAsia="標楷體"/>
          <w:spacing w:val="4"/>
          <w:kern w:val="0"/>
          <w:sz w:val="28"/>
          <w:szCs w:val="26"/>
        </w:rPr>
        <w:t>1.5%</w:t>
      </w:r>
      <w:r>
        <w:rPr>
          <w:rFonts w:eastAsia="標楷體"/>
          <w:spacing w:val="4"/>
          <w:kern w:val="0"/>
          <w:sz w:val="28"/>
          <w:szCs w:val="26"/>
        </w:rPr>
        <w:t>；智利則放寬退休基金可持有資產組合的項目。</w:t>
      </w:r>
    </w:p>
    <w:p w14:paraId="14EB891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(三)降低社會醫療成本</w:t>
      </w:r>
    </w:p>
    <w:p w14:paraId="2AF6BFE6"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高齡者較易罹患非傳染性的慢性病或遭致失能，而提高醫療照護費用，再加上行動相對遲緩，以及對醫療資訊的使用能力較低，各國政府乃積極構思如何建構友善高齡者的醫療環境，並降低醫療成本，及融通所需資金。</w:t>
      </w:r>
    </w:p>
    <w:p w14:paraId="572CA92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－降低醫療相關成本：各國政府藉由設立專責機構負責控制醫療成本；發展預防醫學</w:t>
      </w:r>
      <w:r>
        <w:rPr>
          <w:rFonts w:ascii="標楷體" w:eastAsia="標楷體" w:hAnsi="標楷體"/>
          <w:spacing w:val="4"/>
          <w:kern w:val="0"/>
          <w:sz w:val="28"/>
          <w:szCs w:val="26"/>
        </w:rPr>
        <w:t>(</w:t>
      </w:r>
      <w:r>
        <w:rPr>
          <w:rFonts w:eastAsia="標楷體"/>
          <w:spacing w:val="4"/>
          <w:kern w:val="0"/>
          <w:sz w:val="28"/>
          <w:szCs w:val="26"/>
        </w:rPr>
        <w:t>接種疫苗、減少藥物濫用、健康檢查</w:t>
      </w:r>
      <w:r>
        <w:rPr>
          <w:rFonts w:ascii="標楷體" w:eastAsia="標楷體" w:hAnsi="標楷體"/>
          <w:spacing w:val="4"/>
          <w:kern w:val="0"/>
          <w:sz w:val="28"/>
          <w:szCs w:val="26"/>
        </w:rPr>
        <w:t>)</w:t>
      </w:r>
      <w:r>
        <w:rPr>
          <w:rFonts w:eastAsia="標楷體"/>
          <w:spacing w:val="4"/>
          <w:kern w:val="0"/>
          <w:sz w:val="28"/>
          <w:szCs w:val="26"/>
        </w:rPr>
        <w:t>，避免社會隔離、貧窮及歧視等易使高齡者罹患心理疾病的因素。蘇格蘭即提出「重塑照護」</w:t>
      </w:r>
      <w:r>
        <w:rPr>
          <w:rFonts w:ascii="標楷體" w:eastAsia="標楷體" w:hAnsi="標楷體"/>
          <w:spacing w:val="4"/>
          <w:kern w:val="0"/>
          <w:sz w:val="28"/>
          <w:szCs w:val="26"/>
        </w:rPr>
        <w:t>(</w:t>
      </w:r>
      <w:r>
        <w:rPr>
          <w:rFonts w:eastAsia="標楷體"/>
          <w:spacing w:val="4"/>
          <w:kern w:val="0"/>
          <w:sz w:val="28"/>
          <w:szCs w:val="26"/>
        </w:rPr>
        <w:t>Reshaping Care</w:t>
      </w:r>
      <w:r>
        <w:rPr>
          <w:rFonts w:ascii="標楷體" w:eastAsia="標楷體" w:hAnsi="標楷體"/>
          <w:spacing w:val="4"/>
          <w:kern w:val="0"/>
          <w:sz w:val="28"/>
          <w:szCs w:val="26"/>
        </w:rPr>
        <w:t>)</w:t>
      </w:r>
      <w:r>
        <w:rPr>
          <w:rFonts w:eastAsia="標楷體"/>
          <w:spacing w:val="4"/>
          <w:kern w:val="0"/>
          <w:sz w:val="28"/>
          <w:szCs w:val="26"/>
        </w:rPr>
        <w:t>觀念，藉由建構社區商業服務，降低正式醫療體系照護高齡者的負擔。</w:t>
      </w:r>
    </w:p>
    <w:p w14:paraId="67622BC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融通醫療資金：如加拿大政府預先估算高齡者可能花費的醫療保健金額，在民眾尚在工作時即先提撥至特定基金，以備高齡時支付；此外，部分國家則實行長期照護保險制，對年長者或因患病而行動不便者，提供長期照護。</w:t>
      </w:r>
    </w:p>
    <w:p w14:paraId="3C35B59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－建構適應高齡者需求的醫療體系：在高齡者密集地區，設立高齡者專門醫療照護中心及遠距醫療模式；定期探視並照顧慢性病患者；提升高齡者獲取醫療資訊並據此進行決策的醫療識字能力</w:t>
      </w:r>
      <w:r>
        <w:rPr>
          <w:rFonts w:ascii="標楷體" w:eastAsia="標楷體" w:hAnsi="標楷體"/>
          <w:spacing w:val="4"/>
          <w:kern w:val="0"/>
          <w:sz w:val="28"/>
          <w:szCs w:val="26"/>
        </w:rPr>
        <w:t>(</w:t>
      </w:r>
      <w:r>
        <w:rPr>
          <w:rFonts w:eastAsia="標楷體"/>
          <w:spacing w:val="4"/>
          <w:kern w:val="0"/>
          <w:sz w:val="28"/>
          <w:szCs w:val="26"/>
        </w:rPr>
        <w:t>health literacy</w:t>
      </w:r>
      <w:r>
        <w:rPr>
          <w:rFonts w:ascii="標楷體" w:eastAsia="標楷體" w:hAnsi="標楷體"/>
          <w:spacing w:val="4"/>
          <w:kern w:val="0"/>
          <w:sz w:val="28"/>
          <w:szCs w:val="26"/>
        </w:rPr>
        <w:t>)</w:t>
      </w:r>
      <w:r>
        <w:rPr>
          <w:rFonts w:eastAsia="標楷體"/>
          <w:spacing w:val="4"/>
          <w:kern w:val="0"/>
          <w:sz w:val="28"/>
          <w:szCs w:val="26"/>
        </w:rPr>
        <w:t>；藉由</w:t>
      </w:r>
      <w:r>
        <w:rPr>
          <w:rFonts w:eastAsia="標楷體"/>
          <w:spacing w:val="4"/>
          <w:kern w:val="0"/>
          <w:sz w:val="28"/>
          <w:szCs w:val="26"/>
        </w:rPr>
        <w:t>ITC</w:t>
      </w:r>
      <w:r>
        <w:rPr>
          <w:rFonts w:eastAsia="標楷體"/>
          <w:spacing w:val="4"/>
          <w:kern w:val="0"/>
          <w:sz w:val="28"/>
          <w:szCs w:val="26"/>
        </w:rPr>
        <w:t>及網路科技，協助高齡者及其家人即時瞭解病情。</w:t>
      </w:r>
    </w:p>
    <w:p w14:paraId="7383AB2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(四)提升企業因應能力</w:t>
      </w:r>
    </w:p>
    <w:p w14:paraId="1D4A06CF"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lastRenderedPageBreak/>
        <w:t>人口高齡化對企業是威脅亦是機會。高齡員工體力雖較差，但企業可善用其經驗、知識、可靠及忠誠等特質提升生產力。另方面，若能掌握高齡者之潛在消費商機，將可提升企業獲利。</w:t>
      </w:r>
    </w:p>
    <w:p w14:paraId="3BF3EE9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－提供友善工作環境：提供部分工時、遠程辦公等彈性工作方式，吸引有工作意願的高齡員工，繼續留在崗位上。另方面，持續提供高齡員工職業訓練，將較需體力的工作留給年輕人，以提升企業的生產力。</w:t>
      </w:r>
    </w:p>
    <w:p w14:paraId="1815FED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－掌握銀髮商機：聯合國資料顯示，高齡者消費支出超過青年人消費支出的「老年經濟」</w:t>
      </w:r>
      <w:r>
        <w:rPr>
          <w:rFonts w:ascii="標楷體" w:eastAsia="標楷體" w:hAnsi="標楷體"/>
          <w:spacing w:val="4"/>
          <w:kern w:val="0"/>
          <w:sz w:val="28"/>
          <w:szCs w:val="26"/>
        </w:rPr>
        <w:t>(</w:t>
      </w:r>
      <w:r>
        <w:rPr>
          <w:rFonts w:eastAsia="標楷體"/>
          <w:spacing w:val="4"/>
          <w:kern w:val="0"/>
          <w:sz w:val="28"/>
          <w:szCs w:val="26"/>
        </w:rPr>
        <w:t>aged economies</w:t>
      </w:r>
      <w:r>
        <w:rPr>
          <w:rFonts w:ascii="標楷體" w:eastAsia="標楷體" w:hAnsi="標楷體"/>
          <w:spacing w:val="4"/>
          <w:kern w:val="0"/>
          <w:sz w:val="28"/>
          <w:szCs w:val="26"/>
        </w:rPr>
        <w:t>)</w:t>
      </w:r>
      <w:r>
        <w:rPr>
          <w:rFonts w:eastAsia="標楷體"/>
          <w:spacing w:val="4"/>
          <w:kern w:val="0"/>
          <w:sz w:val="28"/>
          <w:szCs w:val="26"/>
        </w:rPr>
        <w:t>國家，將由</w:t>
      </w:r>
      <w:r>
        <w:rPr>
          <w:rFonts w:eastAsia="標楷體"/>
          <w:spacing w:val="4"/>
          <w:kern w:val="0"/>
          <w:sz w:val="28"/>
          <w:szCs w:val="26"/>
        </w:rPr>
        <w:t>2010</w:t>
      </w:r>
      <w:r>
        <w:rPr>
          <w:rFonts w:eastAsia="標楷體"/>
          <w:spacing w:val="4"/>
          <w:kern w:val="0"/>
          <w:sz w:val="28"/>
          <w:szCs w:val="26"/>
        </w:rPr>
        <w:t>年的</w:t>
      </w:r>
      <w:r>
        <w:rPr>
          <w:rFonts w:eastAsia="標楷體"/>
          <w:spacing w:val="4"/>
          <w:kern w:val="0"/>
          <w:sz w:val="28"/>
          <w:szCs w:val="26"/>
        </w:rPr>
        <w:t>23</w:t>
      </w:r>
      <w:r>
        <w:rPr>
          <w:rFonts w:eastAsia="標楷體"/>
          <w:spacing w:val="4"/>
          <w:kern w:val="0"/>
          <w:sz w:val="28"/>
          <w:szCs w:val="26"/>
        </w:rPr>
        <w:t>個，攀升為</w:t>
      </w:r>
      <w:r>
        <w:rPr>
          <w:rFonts w:eastAsia="標楷體"/>
          <w:spacing w:val="4"/>
          <w:kern w:val="0"/>
          <w:sz w:val="28"/>
          <w:szCs w:val="26"/>
        </w:rPr>
        <w:t>2040</w:t>
      </w:r>
      <w:r>
        <w:rPr>
          <w:rFonts w:eastAsia="標楷體"/>
          <w:spacing w:val="4"/>
          <w:kern w:val="0"/>
          <w:sz w:val="28"/>
          <w:szCs w:val="26"/>
        </w:rPr>
        <w:t>年的</w:t>
      </w:r>
      <w:r>
        <w:rPr>
          <w:rFonts w:eastAsia="標楷體"/>
          <w:spacing w:val="4"/>
          <w:kern w:val="0"/>
          <w:sz w:val="28"/>
          <w:szCs w:val="26"/>
        </w:rPr>
        <w:t>89</w:t>
      </w:r>
      <w:r>
        <w:rPr>
          <w:rFonts w:eastAsia="標楷體"/>
          <w:spacing w:val="4"/>
          <w:kern w:val="0"/>
          <w:sz w:val="28"/>
          <w:szCs w:val="26"/>
        </w:rPr>
        <w:t>個。日本經產省則估計，至</w:t>
      </w:r>
      <w:r>
        <w:rPr>
          <w:rFonts w:eastAsia="標楷體"/>
          <w:spacing w:val="4"/>
          <w:kern w:val="0"/>
          <w:sz w:val="28"/>
          <w:szCs w:val="26"/>
        </w:rPr>
        <w:t>2025</w:t>
      </w:r>
      <w:r>
        <w:rPr>
          <w:rFonts w:eastAsia="標楷體"/>
          <w:spacing w:val="4"/>
          <w:kern w:val="0"/>
          <w:sz w:val="28"/>
          <w:szCs w:val="26"/>
        </w:rPr>
        <w:t>年，全球銀髮商機將達</w:t>
      </w:r>
      <w:r>
        <w:rPr>
          <w:rFonts w:eastAsia="標楷體"/>
          <w:spacing w:val="4"/>
          <w:kern w:val="0"/>
          <w:sz w:val="28"/>
          <w:szCs w:val="26"/>
        </w:rPr>
        <w:t>37.38</w:t>
      </w:r>
      <w:r>
        <w:rPr>
          <w:rFonts w:eastAsia="標楷體"/>
          <w:spacing w:val="4"/>
          <w:kern w:val="0"/>
          <w:sz w:val="28"/>
          <w:szCs w:val="26"/>
        </w:rPr>
        <w:t>兆美元。麥肯錫顧問公司的研究亦指出，</w:t>
      </w:r>
      <w:r>
        <w:rPr>
          <w:rFonts w:eastAsia="標楷體"/>
          <w:spacing w:val="2"/>
          <w:kern w:val="0"/>
          <w:sz w:val="28"/>
          <w:szCs w:val="26"/>
        </w:rPr>
        <w:t>美國戰後嬰兒潮世代退休後，仍將貢獻美國</w:t>
      </w:r>
      <w:r>
        <w:rPr>
          <w:rFonts w:eastAsia="標楷體"/>
          <w:spacing w:val="2"/>
          <w:kern w:val="0"/>
          <w:sz w:val="28"/>
          <w:szCs w:val="26"/>
        </w:rPr>
        <w:t>4</w:t>
      </w:r>
      <w:r>
        <w:rPr>
          <w:rFonts w:eastAsia="標楷體"/>
          <w:spacing w:val="2"/>
          <w:kern w:val="0"/>
          <w:sz w:val="28"/>
          <w:szCs w:val="26"/>
        </w:rPr>
        <w:t>成的消費，其可支配收入亦較</w:t>
      </w:r>
      <w:r>
        <w:rPr>
          <w:rFonts w:eastAsia="標楷體"/>
          <w:spacing w:val="2"/>
          <w:kern w:val="0"/>
          <w:sz w:val="28"/>
          <w:szCs w:val="26"/>
        </w:rPr>
        <w:t>80</w:t>
      </w:r>
      <w:r>
        <w:rPr>
          <w:rFonts w:eastAsia="標楷體"/>
          <w:spacing w:val="2"/>
          <w:kern w:val="0"/>
          <w:sz w:val="28"/>
          <w:szCs w:val="26"/>
        </w:rPr>
        <w:t>年代後出生的年輕人多</w:t>
      </w:r>
      <w:r>
        <w:rPr>
          <w:rFonts w:eastAsia="標楷體"/>
          <w:spacing w:val="2"/>
          <w:kern w:val="0"/>
          <w:sz w:val="28"/>
          <w:szCs w:val="26"/>
        </w:rPr>
        <w:t>30%</w:t>
      </w:r>
      <w:r>
        <w:rPr>
          <w:rFonts w:eastAsia="標楷體"/>
          <w:spacing w:val="2"/>
          <w:kern w:val="0"/>
          <w:sz w:val="28"/>
          <w:szCs w:val="26"/>
        </w:rPr>
        <w:t>。企</w:t>
      </w:r>
      <w:r>
        <w:rPr>
          <w:rFonts w:eastAsia="標楷體"/>
          <w:spacing w:val="4"/>
          <w:kern w:val="0"/>
          <w:sz w:val="28"/>
          <w:szCs w:val="26"/>
        </w:rPr>
        <w:t>業可由醫療保健、金融理財、養生住宅、學習才藝、休閒旅遊、科技智慧、生活消費及懷舊商品等</w:t>
      </w:r>
      <w:r>
        <w:rPr>
          <w:rFonts w:eastAsia="標楷體"/>
          <w:spacing w:val="4"/>
          <w:kern w:val="0"/>
          <w:sz w:val="28"/>
          <w:szCs w:val="26"/>
        </w:rPr>
        <w:t>8</w:t>
      </w:r>
      <w:r>
        <w:rPr>
          <w:rFonts w:eastAsia="標楷體"/>
          <w:spacing w:val="4"/>
          <w:kern w:val="0"/>
          <w:sz w:val="28"/>
          <w:szCs w:val="26"/>
        </w:rPr>
        <w:t>個面向，掌握銀髮商機</w:t>
      </w:r>
      <w:r>
        <w:rPr>
          <w:rFonts w:eastAsia="標楷體"/>
          <w:spacing w:val="2"/>
          <w:kern w:val="0"/>
          <w:sz w:val="28"/>
          <w:szCs w:val="26"/>
        </w:rPr>
        <w:t>。</w:t>
      </w:r>
    </w:p>
    <w:p w14:paraId="1EDD3C1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(五)鼓勵生育及移民</w:t>
      </w:r>
    </w:p>
    <w:p w14:paraId="28581A79" w14:textId="77777777" w:rsidR="00052596" w:rsidRDefault="00000000">
      <w:pPr>
        <w:overflowPunct w:val="0"/>
        <w:autoSpaceDE w:val="0"/>
        <w:spacing w:line="420" w:lineRule="exact"/>
        <w:ind w:left="792" w:firstLine="605"/>
        <w:jc w:val="both"/>
        <w:textAlignment w:val="center"/>
      </w:pPr>
      <w:r>
        <w:rPr>
          <w:rFonts w:eastAsia="標楷體"/>
          <w:spacing w:val="4"/>
          <w:kern w:val="0"/>
          <w:sz w:val="28"/>
          <w:szCs w:val="26"/>
        </w:rPr>
        <w:t>為從人口結構源起減緩高齡化問題，各國紛紛採行各項鼓勵生育政策，如：藉由長期補助資金至特定帳戶，協助家長籌措子女養育及大學教育經費；或對教養年幼子女的婦女，提供更加友善的育嬰假制度。此外，部分國家透過移民政策因應少子女化與人口高齡化問題，如新加坡在</w:t>
      </w:r>
      <w:r>
        <w:rPr>
          <w:rFonts w:eastAsia="標楷體"/>
          <w:spacing w:val="4"/>
          <w:kern w:val="0"/>
          <w:sz w:val="28"/>
          <w:szCs w:val="26"/>
        </w:rPr>
        <w:t>2011</w:t>
      </w:r>
      <w:r>
        <w:rPr>
          <w:rFonts w:eastAsia="標楷體"/>
          <w:spacing w:val="4"/>
          <w:kern w:val="0"/>
          <w:sz w:val="28"/>
          <w:szCs w:val="26"/>
        </w:rPr>
        <w:t>年</w:t>
      </w:r>
      <w:r>
        <w:rPr>
          <w:rFonts w:eastAsia="標楷體"/>
          <w:spacing w:val="4"/>
          <w:kern w:val="0"/>
          <w:sz w:val="28"/>
          <w:szCs w:val="26"/>
        </w:rPr>
        <w:t>1</w:t>
      </w:r>
      <w:r>
        <w:rPr>
          <w:rFonts w:eastAsia="標楷體"/>
          <w:spacing w:val="4"/>
          <w:kern w:val="0"/>
          <w:sz w:val="28"/>
          <w:szCs w:val="26"/>
        </w:rPr>
        <w:t>月成立「國家人口及人才署」</w:t>
      </w:r>
      <w:r>
        <w:rPr>
          <w:rFonts w:ascii="標楷體" w:eastAsia="標楷體" w:hAnsi="標楷體"/>
          <w:spacing w:val="4"/>
          <w:kern w:val="0"/>
          <w:sz w:val="28"/>
          <w:szCs w:val="26"/>
        </w:rPr>
        <w:t>(</w:t>
      </w:r>
      <w:r>
        <w:rPr>
          <w:rFonts w:eastAsia="標楷體"/>
          <w:spacing w:val="4"/>
          <w:kern w:val="0"/>
          <w:sz w:val="28"/>
          <w:szCs w:val="26"/>
        </w:rPr>
        <w:t>National Population and Talent Division, NPTD</w:t>
      </w:r>
      <w:r>
        <w:rPr>
          <w:rFonts w:ascii="標楷體" w:eastAsia="標楷體" w:hAnsi="標楷體"/>
          <w:spacing w:val="4"/>
          <w:kern w:val="0"/>
          <w:sz w:val="28"/>
          <w:szCs w:val="26"/>
        </w:rPr>
        <w:t>)</w:t>
      </w:r>
      <w:r>
        <w:rPr>
          <w:rFonts w:eastAsia="標楷體"/>
          <w:spacing w:val="4"/>
          <w:kern w:val="0"/>
          <w:sz w:val="28"/>
          <w:szCs w:val="26"/>
        </w:rPr>
        <w:t>，以「為國家塑造一個可持續的人口結構」為目標，除吸引、培養及留住人才外，亦設法提高生育率及促進移民融入。</w:t>
      </w:r>
    </w:p>
    <w:p w14:paraId="56FC6A0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(六)創新思維及政策</w:t>
      </w:r>
    </w:p>
    <w:p w14:paraId="2C7D4340" w14:textId="77777777" w:rsidR="00052596" w:rsidRDefault="00000000">
      <w:pPr>
        <w:overflowPunct w:val="0"/>
        <w:autoSpaceDE w:val="0"/>
        <w:spacing w:line="420" w:lineRule="exact"/>
        <w:ind w:left="792" w:firstLine="605"/>
        <w:jc w:val="both"/>
        <w:textAlignment w:val="center"/>
      </w:pPr>
      <w:r>
        <w:rPr>
          <w:rFonts w:eastAsia="標楷體"/>
          <w:spacing w:val="4"/>
          <w:kern w:val="0"/>
          <w:sz w:val="28"/>
          <w:szCs w:val="26"/>
        </w:rPr>
        <w:t>面對日益嚴峻的人口高齡化問題，部分國家以創新思維，提出因應對策，如：歐盟提出歐洲創新夥伴</w:t>
      </w:r>
      <w:r>
        <w:rPr>
          <w:rFonts w:ascii="標楷體" w:eastAsia="標楷體" w:hAnsi="標楷體"/>
          <w:spacing w:val="4"/>
          <w:kern w:val="0"/>
          <w:sz w:val="28"/>
          <w:szCs w:val="26"/>
        </w:rPr>
        <w:t>(</w:t>
      </w:r>
      <w:r>
        <w:rPr>
          <w:rFonts w:eastAsia="標楷體"/>
          <w:spacing w:val="4"/>
          <w:kern w:val="0"/>
          <w:sz w:val="28"/>
          <w:szCs w:val="26"/>
        </w:rPr>
        <w:t xml:space="preserve">European </w:t>
      </w:r>
      <w:r>
        <w:rPr>
          <w:rFonts w:eastAsia="標楷體"/>
          <w:spacing w:val="4"/>
          <w:kern w:val="0"/>
          <w:sz w:val="28"/>
          <w:szCs w:val="26"/>
        </w:rPr>
        <w:lastRenderedPageBreak/>
        <w:t>Innovation Partnerships, EIP</w:t>
      </w:r>
      <w:r>
        <w:rPr>
          <w:rFonts w:ascii="標楷體" w:eastAsia="標楷體" w:hAnsi="標楷體"/>
          <w:spacing w:val="4"/>
          <w:kern w:val="0"/>
          <w:sz w:val="28"/>
          <w:szCs w:val="26"/>
        </w:rPr>
        <w:t>)</w:t>
      </w:r>
      <w:r>
        <w:rPr>
          <w:rFonts w:eastAsia="標楷體"/>
          <w:spacing w:val="4"/>
          <w:kern w:val="0"/>
          <w:sz w:val="28"/>
          <w:szCs w:val="26"/>
        </w:rPr>
        <w:t>概念，目標為在健康高齡化的領域裡進行創新及研究，縮短理論與實務落差，以延長民眾健康生活的期間。日本則透過租稅減免優惠，鼓勵高齡世代利用閒置資金，投資年輕世代教育，以減輕公共資金負擔。</w:t>
      </w:r>
    </w:p>
    <w:p w14:paraId="5C89AF83"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肆、綠色經濟挑戰與商機</w:t>
      </w:r>
    </w:p>
    <w:p w14:paraId="291F1673" w14:textId="77777777" w:rsidR="00052596" w:rsidRDefault="00052596">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ascii="Calibri" w:eastAsia="標楷體" w:hAnsi="Calibri"/>
          <w:spacing w:val="4"/>
          <w:kern w:val="0"/>
          <w:sz w:val="28"/>
          <w:szCs w:val="28"/>
        </w:rPr>
      </w:pPr>
    </w:p>
    <w:p w14:paraId="28ACF5C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隨著大氣中溫室氣體濃度逐年提高</w:t>
      </w:r>
      <w:r>
        <w:rPr>
          <w:rFonts w:eastAsia="標楷體"/>
          <w:spacing w:val="4"/>
          <w:kern w:val="0"/>
          <w:sz w:val="28"/>
          <w:szCs w:val="26"/>
          <w:vertAlign w:val="superscript"/>
        </w:rPr>
        <w:footnoteReference w:id="10"/>
      </w:r>
      <w:r>
        <w:rPr>
          <w:rFonts w:eastAsia="標楷體"/>
          <w:spacing w:val="4"/>
          <w:kern w:val="0"/>
          <w:sz w:val="28"/>
          <w:szCs w:val="26"/>
        </w:rPr>
        <w:t>，人類面臨地球暖化、氣候變遷的巨大威脅日漸加深，為避免生態浩劫，聯合國</w:t>
      </w:r>
      <w:r>
        <w:rPr>
          <w:rFonts w:ascii="標楷體" w:eastAsia="標楷體" w:hAnsi="標楷體"/>
          <w:spacing w:val="4"/>
          <w:kern w:val="0"/>
          <w:sz w:val="28"/>
          <w:szCs w:val="26"/>
        </w:rPr>
        <w:t>(</w:t>
      </w:r>
      <w:r>
        <w:rPr>
          <w:rFonts w:eastAsia="標楷體"/>
          <w:spacing w:val="4"/>
          <w:kern w:val="0"/>
          <w:sz w:val="28"/>
          <w:szCs w:val="26"/>
        </w:rPr>
        <w:t>UN</w:t>
      </w:r>
      <w:r>
        <w:rPr>
          <w:rFonts w:ascii="標楷體" w:eastAsia="標楷體" w:hAnsi="標楷體"/>
          <w:spacing w:val="4"/>
          <w:kern w:val="0"/>
          <w:sz w:val="28"/>
          <w:szCs w:val="26"/>
        </w:rPr>
        <w:t>)</w:t>
      </w:r>
      <w:r>
        <w:rPr>
          <w:rFonts w:eastAsia="標楷體"/>
          <w:spacing w:val="4"/>
          <w:kern w:val="0"/>
          <w:sz w:val="28"/>
          <w:szCs w:val="26"/>
        </w:rPr>
        <w:t>積極主導後京都時期溫室氣體減排協商，聯合國永續發展大會</w:t>
      </w:r>
      <w:r>
        <w:rPr>
          <w:rFonts w:ascii="標楷體" w:eastAsia="標楷體" w:hAnsi="標楷體"/>
          <w:spacing w:val="4"/>
          <w:kern w:val="0"/>
          <w:sz w:val="28"/>
          <w:szCs w:val="26"/>
        </w:rPr>
        <w:t>(</w:t>
      </w:r>
      <w:r>
        <w:rPr>
          <w:rFonts w:eastAsia="標楷體"/>
          <w:spacing w:val="4"/>
          <w:kern w:val="0"/>
          <w:sz w:val="28"/>
          <w:szCs w:val="26"/>
        </w:rPr>
        <w:t>UNCSD</w:t>
      </w:r>
      <w:r>
        <w:rPr>
          <w:rFonts w:ascii="標楷體" w:eastAsia="標楷體" w:hAnsi="標楷體"/>
          <w:spacing w:val="4"/>
          <w:kern w:val="0"/>
          <w:sz w:val="28"/>
          <w:szCs w:val="26"/>
        </w:rPr>
        <w:t>)</w:t>
      </w:r>
      <w:r>
        <w:rPr>
          <w:rFonts w:eastAsia="標楷體"/>
          <w:spacing w:val="4"/>
          <w:kern w:val="0"/>
          <w:sz w:val="28"/>
          <w:szCs w:val="26"/>
        </w:rPr>
        <w:t>、</w:t>
      </w:r>
      <w:r>
        <w:rPr>
          <w:rFonts w:eastAsia="標楷體"/>
          <w:spacing w:val="4"/>
          <w:kern w:val="0"/>
          <w:sz w:val="28"/>
          <w:szCs w:val="26"/>
        </w:rPr>
        <w:t>20</w:t>
      </w:r>
      <w:r>
        <w:rPr>
          <w:rFonts w:eastAsia="標楷體"/>
          <w:spacing w:val="4"/>
          <w:kern w:val="0"/>
          <w:sz w:val="28"/>
          <w:szCs w:val="26"/>
        </w:rPr>
        <w:t>國集團</w:t>
      </w:r>
      <w:r>
        <w:rPr>
          <w:rFonts w:ascii="標楷體" w:eastAsia="標楷體" w:hAnsi="標楷體"/>
          <w:spacing w:val="4"/>
          <w:kern w:val="0"/>
          <w:sz w:val="28"/>
          <w:szCs w:val="26"/>
        </w:rPr>
        <w:t>(</w:t>
      </w:r>
      <w:r>
        <w:rPr>
          <w:rFonts w:eastAsia="標楷體"/>
          <w:spacing w:val="4"/>
          <w:kern w:val="0"/>
          <w:sz w:val="28"/>
          <w:szCs w:val="26"/>
        </w:rPr>
        <w:t>G20</w:t>
      </w:r>
      <w:r>
        <w:rPr>
          <w:rFonts w:ascii="標楷體" w:eastAsia="標楷體" w:hAnsi="標楷體"/>
          <w:spacing w:val="4"/>
          <w:kern w:val="0"/>
          <w:sz w:val="28"/>
          <w:szCs w:val="26"/>
        </w:rPr>
        <w:t>)</w:t>
      </w:r>
      <w:r>
        <w:rPr>
          <w:rFonts w:eastAsia="標楷體"/>
          <w:spacing w:val="4"/>
          <w:kern w:val="0"/>
          <w:sz w:val="28"/>
          <w:szCs w:val="26"/>
        </w:rPr>
        <w:t>、亞太經濟合作會</w:t>
      </w:r>
      <w:r>
        <w:rPr>
          <w:rFonts w:ascii="標楷體" w:eastAsia="標楷體" w:hAnsi="標楷體"/>
          <w:spacing w:val="4"/>
          <w:kern w:val="0"/>
          <w:sz w:val="28"/>
          <w:szCs w:val="26"/>
        </w:rPr>
        <w:t>議(</w:t>
      </w:r>
      <w:r>
        <w:rPr>
          <w:rFonts w:eastAsia="標楷體"/>
          <w:spacing w:val="4"/>
          <w:kern w:val="0"/>
          <w:sz w:val="28"/>
          <w:szCs w:val="26"/>
        </w:rPr>
        <w:t>APEC</w:t>
      </w:r>
      <w:r>
        <w:rPr>
          <w:rFonts w:ascii="標楷體" w:eastAsia="標楷體" w:hAnsi="標楷體"/>
          <w:spacing w:val="4"/>
          <w:kern w:val="0"/>
          <w:sz w:val="28"/>
          <w:szCs w:val="26"/>
        </w:rPr>
        <w:t>)</w:t>
      </w:r>
      <w:r>
        <w:rPr>
          <w:rFonts w:eastAsia="標楷體"/>
          <w:spacing w:val="4"/>
          <w:kern w:val="0"/>
          <w:sz w:val="28"/>
          <w:szCs w:val="26"/>
        </w:rPr>
        <w:t>等國際組織與各主要國家均協力推動綠色成長，國際環保規範亦日漸嚴苛。在各國際組織、主要國家大力推動綠色經濟發展下，潛藏龐大綠色商機。</w:t>
      </w:r>
    </w:p>
    <w:p w14:paraId="0E5E598C"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一、國際組織推動綠色倡議</w:t>
      </w:r>
    </w:p>
    <w:p w14:paraId="549DF972" w14:textId="77777777" w:rsidR="00052596" w:rsidRDefault="00000000">
      <w:pPr>
        <w:overflowPunct w:val="0"/>
        <w:autoSpaceDE w:val="0"/>
        <w:spacing w:line="420" w:lineRule="exact"/>
        <w:ind w:left="240" w:firstLine="576"/>
        <w:jc w:val="both"/>
        <w:textAlignment w:val="center"/>
      </w:pPr>
      <w:r>
        <w:rPr>
          <w:rFonts w:eastAsia="標楷體"/>
          <w:spacing w:val="4"/>
          <w:kern w:val="0"/>
          <w:sz w:val="28"/>
          <w:szCs w:val="26"/>
        </w:rPr>
        <w:t>依氣候變化綱要公約第</w:t>
      </w:r>
      <w:r>
        <w:rPr>
          <w:rFonts w:eastAsia="標楷體"/>
          <w:spacing w:val="4"/>
          <w:kern w:val="0"/>
          <w:sz w:val="28"/>
          <w:szCs w:val="26"/>
        </w:rPr>
        <w:t>18</w:t>
      </w:r>
      <w:r>
        <w:rPr>
          <w:rFonts w:eastAsia="標楷體"/>
          <w:spacing w:val="4"/>
          <w:kern w:val="0"/>
          <w:sz w:val="28"/>
          <w:szCs w:val="26"/>
        </w:rPr>
        <w:t>次會議暨京都議定書第</w:t>
      </w:r>
      <w:r>
        <w:rPr>
          <w:rFonts w:eastAsia="標楷體"/>
          <w:spacing w:val="4"/>
          <w:kern w:val="0"/>
          <w:sz w:val="28"/>
          <w:szCs w:val="26"/>
        </w:rPr>
        <w:t>8</w:t>
      </w:r>
      <w:r>
        <w:rPr>
          <w:rFonts w:eastAsia="標楷體"/>
          <w:spacing w:val="4"/>
          <w:kern w:val="0"/>
          <w:sz w:val="28"/>
          <w:szCs w:val="26"/>
        </w:rPr>
        <w:t>次締約國會議</w:t>
      </w:r>
      <w:r>
        <w:rPr>
          <w:rFonts w:ascii="標楷體" w:eastAsia="標楷體" w:hAnsi="標楷體"/>
          <w:spacing w:val="4"/>
          <w:kern w:val="0"/>
          <w:sz w:val="28"/>
          <w:szCs w:val="26"/>
        </w:rPr>
        <w:t>(</w:t>
      </w:r>
      <w:r>
        <w:rPr>
          <w:rFonts w:eastAsia="標楷體"/>
          <w:spacing w:val="4"/>
          <w:kern w:val="0"/>
          <w:sz w:val="28"/>
          <w:szCs w:val="26"/>
        </w:rPr>
        <w:t>COP18/CMP8</w:t>
      </w:r>
      <w:r>
        <w:rPr>
          <w:rFonts w:ascii="標楷體" w:eastAsia="標楷體" w:hAnsi="標楷體"/>
          <w:spacing w:val="4"/>
          <w:kern w:val="0"/>
          <w:sz w:val="28"/>
          <w:szCs w:val="26"/>
        </w:rPr>
        <w:t>)</w:t>
      </w:r>
      <w:r>
        <w:rPr>
          <w:rFonts w:eastAsia="標楷體"/>
          <w:spacing w:val="4"/>
          <w:kern w:val="0"/>
          <w:sz w:val="28"/>
          <w:szCs w:val="26"/>
        </w:rPr>
        <w:t>決議，京都議定書溫室氣體減排協定期限將由</w:t>
      </w:r>
      <w:r>
        <w:rPr>
          <w:rFonts w:eastAsia="標楷體"/>
          <w:spacing w:val="4"/>
          <w:kern w:val="0"/>
          <w:sz w:val="28"/>
          <w:szCs w:val="26"/>
        </w:rPr>
        <w:t>2012</w:t>
      </w:r>
      <w:r>
        <w:rPr>
          <w:rFonts w:eastAsia="標楷體"/>
          <w:spacing w:val="4"/>
          <w:kern w:val="0"/>
          <w:sz w:val="28"/>
          <w:szCs w:val="26"/>
        </w:rPr>
        <w:t>年延長至</w:t>
      </w:r>
      <w:r>
        <w:rPr>
          <w:rFonts w:eastAsia="標楷體"/>
          <w:spacing w:val="4"/>
          <w:kern w:val="0"/>
          <w:sz w:val="28"/>
          <w:szCs w:val="26"/>
        </w:rPr>
        <w:t>2020</w:t>
      </w:r>
      <w:r>
        <w:rPr>
          <w:rFonts w:eastAsia="標楷體"/>
          <w:spacing w:val="4"/>
          <w:kern w:val="0"/>
          <w:sz w:val="28"/>
          <w:szCs w:val="26"/>
        </w:rPr>
        <w:t>年，然</w:t>
      </w:r>
      <w:r>
        <w:rPr>
          <w:rFonts w:eastAsia="標楷體"/>
          <w:spacing w:val="4"/>
          <w:kern w:val="0"/>
          <w:sz w:val="28"/>
          <w:szCs w:val="26"/>
        </w:rPr>
        <w:t>2020</w:t>
      </w:r>
      <w:r>
        <w:rPr>
          <w:rFonts w:eastAsia="標楷體"/>
          <w:spacing w:val="4"/>
          <w:kern w:val="0"/>
          <w:sz w:val="28"/>
          <w:szCs w:val="26"/>
        </w:rPr>
        <w:t>年後強制性規範世界各國溫室氣體減排的機制，尚未建置完成，將於</w:t>
      </w:r>
      <w:r>
        <w:rPr>
          <w:rFonts w:eastAsia="標楷體"/>
          <w:spacing w:val="4"/>
          <w:kern w:val="0"/>
          <w:sz w:val="28"/>
          <w:szCs w:val="26"/>
        </w:rPr>
        <w:t>2013</w:t>
      </w:r>
      <w:r>
        <w:rPr>
          <w:rFonts w:eastAsia="標楷體"/>
          <w:spacing w:val="4"/>
          <w:kern w:val="0"/>
          <w:sz w:val="28"/>
          <w:szCs w:val="26"/>
        </w:rPr>
        <w:t>年續就此議題進行討論。另聯合國永續發展大會、</w:t>
      </w:r>
      <w:r>
        <w:rPr>
          <w:rFonts w:eastAsia="標楷體"/>
          <w:spacing w:val="4"/>
          <w:kern w:val="0"/>
          <w:sz w:val="28"/>
          <w:szCs w:val="26"/>
        </w:rPr>
        <w:t>G20</w:t>
      </w:r>
      <w:r>
        <w:rPr>
          <w:rFonts w:eastAsia="標楷體"/>
          <w:spacing w:val="4"/>
          <w:kern w:val="0"/>
          <w:sz w:val="28"/>
          <w:szCs w:val="26"/>
        </w:rPr>
        <w:t>、</w:t>
      </w:r>
      <w:r>
        <w:rPr>
          <w:rFonts w:eastAsia="標楷體"/>
          <w:spacing w:val="4"/>
          <w:kern w:val="0"/>
          <w:sz w:val="28"/>
          <w:szCs w:val="26"/>
        </w:rPr>
        <w:t>APEC</w:t>
      </w:r>
      <w:r>
        <w:rPr>
          <w:rFonts w:eastAsia="標楷體"/>
          <w:spacing w:val="4"/>
          <w:kern w:val="0"/>
          <w:sz w:val="28"/>
          <w:szCs w:val="26"/>
        </w:rPr>
        <w:t>等國際組織為追求地球之永續發展，亦相繼提出綠色成長倡議，協商推動節能減碳相關政策。</w:t>
      </w:r>
    </w:p>
    <w:p w14:paraId="4B775CF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pPr>
      <w:r>
        <w:rPr>
          <w:rFonts w:eastAsia="標楷體"/>
          <w:spacing w:val="4"/>
          <w:kern w:val="0"/>
          <w:sz w:val="28"/>
          <w:szCs w:val="22"/>
        </w:rPr>
        <w:t>－</w:t>
      </w:r>
      <w:r>
        <w:rPr>
          <w:rFonts w:eastAsia="標楷體"/>
          <w:spacing w:val="4"/>
          <w:kern w:val="0"/>
          <w:sz w:val="28"/>
          <w:szCs w:val="22"/>
        </w:rPr>
        <w:t>2012</w:t>
      </w:r>
      <w:r>
        <w:rPr>
          <w:rFonts w:eastAsia="標楷體"/>
          <w:spacing w:val="4"/>
          <w:kern w:val="0"/>
          <w:sz w:val="28"/>
          <w:szCs w:val="22"/>
        </w:rPr>
        <w:t>年</w:t>
      </w:r>
      <w:r>
        <w:rPr>
          <w:rFonts w:eastAsia="標楷體"/>
          <w:spacing w:val="4"/>
          <w:kern w:val="0"/>
          <w:sz w:val="28"/>
          <w:szCs w:val="22"/>
        </w:rPr>
        <w:t>12</w:t>
      </w:r>
      <w:r>
        <w:rPr>
          <w:rFonts w:eastAsia="標楷體"/>
          <w:spacing w:val="4"/>
          <w:kern w:val="0"/>
          <w:sz w:val="28"/>
          <w:szCs w:val="22"/>
        </w:rPr>
        <w:t>月</w:t>
      </w:r>
      <w:r>
        <w:rPr>
          <w:rFonts w:eastAsia="標楷體"/>
          <w:spacing w:val="4"/>
          <w:kern w:val="0"/>
          <w:sz w:val="28"/>
          <w:szCs w:val="22"/>
        </w:rPr>
        <w:t>COP18</w:t>
      </w:r>
      <w:r>
        <w:rPr>
          <w:rFonts w:eastAsia="標楷體"/>
          <w:sz w:val="28"/>
          <w:szCs w:val="28"/>
        </w:rPr>
        <w:t>/CMP8</w:t>
      </w:r>
      <w:r>
        <w:rPr>
          <w:rFonts w:eastAsia="標楷體"/>
          <w:sz w:val="28"/>
          <w:szCs w:val="28"/>
        </w:rPr>
        <w:t>會議</w:t>
      </w:r>
      <w:r>
        <w:rPr>
          <w:rFonts w:eastAsia="標楷體"/>
          <w:spacing w:val="4"/>
          <w:kern w:val="0"/>
          <w:sz w:val="28"/>
          <w:szCs w:val="22"/>
        </w:rPr>
        <w:t>決議，將京都議定書溫室氣體減排協議期限由</w:t>
      </w:r>
      <w:r>
        <w:rPr>
          <w:rFonts w:eastAsia="標楷體"/>
          <w:spacing w:val="4"/>
          <w:kern w:val="0"/>
          <w:sz w:val="28"/>
          <w:szCs w:val="22"/>
        </w:rPr>
        <w:t>2012</w:t>
      </w:r>
      <w:r>
        <w:rPr>
          <w:rFonts w:eastAsia="標楷體"/>
          <w:spacing w:val="4"/>
          <w:kern w:val="0"/>
          <w:sz w:val="28"/>
          <w:szCs w:val="22"/>
        </w:rPr>
        <w:t>年延至</w:t>
      </w:r>
      <w:r>
        <w:rPr>
          <w:rFonts w:eastAsia="標楷體"/>
          <w:spacing w:val="4"/>
          <w:kern w:val="0"/>
          <w:sz w:val="28"/>
          <w:szCs w:val="22"/>
        </w:rPr>
        <w:t>2020</w:t>
      </w:r>
      <w:r>
        <w:rPr>
          <w:rFonts w:eastAsia="標楷體"/>
          <w:spacing w:val="4"/>
          <w:kern w:val="0"/>
          <w:sz w:val="28"/>
          <w:szCs w:val="22"/>
        </w:rPr>
        <w:t>年，並訂定附件一國家</w:t>
      </w:r>
      <w:r>
        <w:rPr>
          <w:rFonts w:eastAsia="標楷體"/>
          <w:spacing w:val="4"/>
          <w:kern w:val="0"/>
          <w:sz w:val="28"/>
          <w:szCs w:val="22"/>
        </w:rPr>
        <w:t>2013~2020</w:t>
      </w:r>
      <w:r>
        <w:rPr>
          <w:rFonts w:eastAsia="標楷體"/>
          <w:spacing w:val="4"/>
          <w:kern w:val="0"/>
          <w:sz w:val="28"/>
          <w:szCs w:val="22"/>
        </w:rPr>
        <w:t>年減排目標，惟美國、加拿大、紐西蘭、日本、俄羅斯並未承諾減排義務，</w:t>
      </w:r>
      <w:r>
        <w:rPr>
          <w:rFonts w:eastAsia="標楷體"/>
          <w:spacing w:val="4"/>
          <w:kern w:val="0"/>
          <w:sz w:val="28"/>
          <w:szCs w:val="22"/>
        </w:rPr>
        <w:t>2020</w:t>
      </w:r>
      <w:r>
        <w:rPr>
          <w:rFonts w:eastAsia="標楷體"/>
          <w:spacing w:val="4"/>
          <w:kern w:val="0"/>
          <w:sz w:val="28"/>
          <w:szCs w:val="22"/>
        </w:rPr>
        <w:t>年後同時規範已開發國家與開發中國家的強制性減排計畫及「綠色氣候基金」</w:t>
      </w:r>
      <w:r>
        <w:rPr>
          <w:rFonts w:ascii="標楷體" w:eastAsia="標楷體" w:hAnsi="標楷體"/>
          <w:spacing w:val="4"/>
          <w:kern w:val="0"/>
          <w:sz w:val="28"/>
          <w:szCs w:val="22"/>
        </w:rPr>
        <w:t>(</w:t>
      </w:r>
      <w:r>
        <w:rPr>
          <w:rFonts w:eastAsia="標楷體"/>
          <w:spacing w:val="4"/>
          <w:kern w:val="0"/>
          <w:sz w:val="28"/>
          <w:szCs w:val="22"/>
        </w:rPr>
        <w:t>Green Climate Fund</w:t>
      </w:r>
      <w:r>
        <w:rPr>
          <w:rFonts w:ascii="標楷體" w:eastAsia="標楷體" w:hAnsi="標楷體"/>
          <w:spacing w:val="4"/>
          <w:kern w:val="0"/>
          <w:sz w:val="28"/>
          <w:szCs w:val="22"/>
        </w:rPr>
        <w:t>)</w:t>
      </w:r>
      <w:r>
        <w:rPr>
          <w:rFonts w:eastAsia="標楷體"/>
          <w:spacing w:val="4"/>
          <w:kern w:val="0"/>
          <w:sz w:val="28"/>
          <w:szCs w:val="22"/>
        </w:rPr>
        <w:t>的建置規劃將續於</w:t>
      </w:r>
      <w:r>
        <w:rPr>
          <w:rFonts w:eastAsia="標楷體"/>
          <w:spacing w:val="4"/>
          <w:kern w:val="0"/>
          <w:sz w:val="28"/>
          <w:szCs w:val="22"/>
        </w:rPr>
        <w:t>2013</w:t>
      </w:r>
      <w:r>
        <w:rPr>
          <w:rFonts w:eastAsia="標楷體"/>
          <w:spacing w:val="4"/>
          <w:kern w:val="0"/>
          <w:sz w:val="28"/>
          <w:szCs w:val="22"/>
        </w:rPr>
        <w:t>年的</w:t>
      </w:r>
      <w:r>
        <w:rPr>
          <w:rFonts w:eastAsia="標楷體"/>
          <w:spacing w:val="4"/>
          <w:kern w:val="0"/>
          <w:sz w:val="28"/>
          <w:szCs w:val="22"/>
        </w:rPr>
        <w:t>COP19/CMP9</w:t>
      </w:r>
      <w:r>
        <w:rPr>
          <w:rFonts w:eastAsia="標楷體"/>
          <w:spacing w:val="4"/>
          <w:kern w:val="0"/>
          <w:sz w:val="28"/>
          <w:szCs w:val="22"/>
        </w:rPr>
        <w:t>會議中提出討論。</w:t>
      </w:r>
    </w:p>
    <w:p w14:paraId="3D370FD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pPr>
      <w:r>
        <w:rPr>
          <w:rFonts w:eastAsia="標楷體"/>
          <w:spacing w:val="4"/>
          <w:kern w:val="0"/>
          <w:sz w:val="28"/>
          <w:szCs w:val="22"/>
        </w:rPr>
        <w:t>－</w:t>
      </w:r>
      <w:r>
        <w:rPr>
          <w:rFonts w:eastAsia="標楷體"/>
          <w:spacing w:val="4"/>
          <w:kern w:val="0"/>
          <w:sz w:val="28"/>
          <w:szCs w:val="22"/>
        </w:rPr>
        <w:t>2012</w:t>
      </w:r>
      <w:r>
        <w:rPr>
          <w:rFonts w:eastAsia="標楷體"/>
          <w:spacing w:val="4"/>
          <w:kern w:val="0"/>
          <w:sz w:val="28"/>
          <w:szCs w:val="22"/>
        </w:rPr>
        <w:t>年</w:t>
      </w:r>
      <w:r>
        <w:rPr>
          <w:rFonts w:eastAsia="標楷體"/>
          <w:spacing w:val="4"/>
          <w:kern w:val="0"/>
          <w:sz w:val="28"/>
          <w:szCs w:val="22"/>
        </w:rPr>
        <w:t>6</w:t>
      </w:r>
      <w:r>
        <w:rPr>
          <w:rFonts w:eastAsia="標楷體"/>
          <w:spacing w:val="4"/>
          <w:kern w:val="0"/>
          <w:sz w:val="28"/>
          <w:szCs w:val="22"/>
        </w:rPr>
        <w:t>月聯合國永續發展大會同意，跳脫以往以</w:t>
      </w:r>
      <w:r>
        <w:rPr>
          <w:rFonts w:eastAsia="標楷體"/>
          <w:spacing w:val="4"/>
          <w:kern w:val="0"/>
          <w:sz w:val="28"/>
          <w:szCs w:val="22"/>
        </w:rPr>
        <w:t>GDP</w:t>
      </w:r>
      <w:r>
        <w:rPr>
          <w:rFonts w:eastAsia="標楷體"/>
          <w:spacing w:val="4"/>
          <w:kern w:val="0"/>
          <w:sz w:val="28"/>
          <w:szCs w:val="22"/>
        </w:rPr>
        <w:t>作為量測人類進步唯一指標的思維，而建立一套全球的「永續發展目標」</w:t>
      </w:r>
      <w:r>
        <w:rPr>
          <w:rFonts w:ascii="標楷體" w:eastAsia="標楷體" w:hAnsi="標楷體"/>
          <w:spacing w:val="4"/>
          <w:kern w:val="0"/>
          <w:sz w:val="28"/>
          <w:szCs w:val="22"/>
        </w:rPr>
        <w:t>(</w:t>
      </w:r>
      <w:r>
        <w:rPr>
          <w:rFonts w:eastAsia="標楷體"/>
          <w:spacing w:val="4"/>
          <w:kern w:val="0"/>
          <w:sz w:val="28"/>
          <w:szCs w:val="22"/>
        </w:rPr>
        <w:t>Sustainable Development Goals</w:t>
      </w:r>
      <w:r>
        <w:rPr>
          <w:rFonts w:ascii="標楷體" w:eastAsia="標楷體" w:hAnsi="標楷體"/>
          <w:spacing w:val="4"/>
          <w:kern w:val="0"/>
          <w:sz w:val="28"/>
          <w:szCs w:val="22"/>
        </w:rPr>
        <w:t>)</w:t>
      </w:r>
      <w:r>
        <w:rPr>
          <w:rFonts w:eastAsia="標楷體"/>
          <w:spacing w:val="4"/>
          <w:kern w:val="0"/>
          <w:sz w:val="28"/>
          <w:szCs w:val="22"/>
        </w:rPr>
        <w:t>。另為避免地球升溫，決議各國</w:t>
      </w:r>
      <w:r>
        <w:rPr>
          <w:rFonts w:eastAsia="標楷體"/>
          <w:spacing w:val="4"/>
          <w:kern w:val="0"/>
          <w:sz w:val="28"/>
          <w:szCs w:val="22"/>
        </w:rPr>
        <w:lastRenderedPageBreak/>
        <w:t>應逐步淘汰化石燃料補貼，採用更多再生能源與低碳排放技術，並鼓勵廢棄物回收再利用，推動高效率運輸網絡、通信系統、綠色建築。大會敦促會員履行減排承諾，並呼籲「綠色氣候基金」儘速投入運作。</w:t>
      </w:r>
    </w:p>
    <w:p w14:paraId="046721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rPr>
          <w:rFonts w:eastAsia="標楷體"/>
          <w:spacing w:val="4"/>
          <w:kern w:val="0"/>
          <w:sz w:val="28"/>
          <w:szCs w:val="22"/>
        </w:rPr>
      </w:pPr>
      <w:r>
        <w:rPr>
          <w:rFonts w:eastAsia="標楷體"/>
          <w:spacing w:val="4"/>
          <w:kern w:val="0"/>
          <w:sz w:val="28"/>
          <w:szCs w:val="22"/>
        </w:rPr>
        <w:t>－</w:t>
      </w:r>
      <w:r>
        <w:rPr>
          <w:rFonts w:eastAsia="標楷體"/>
          <w:spacing w:val="4"/>
          <w:kern w:val="0"/>
          <w:sz w:val="28"/>
          <w:szCs w:val="22"/>
        </w:rPr>
        <w:t>2012</w:t>
      </w:r>
      <w:r>
        <w:rPr>
          <w:rFonts w:eastAsia="標楷體"/>
          <w:spacing w:val="4"/>
          <w:kern w:val="0"/>
          <w:sz w:val="28"/>
          <w:szCs w:val="22"/>
        </w:rPr>
        <w:t>年</w:t>
      </w:r>
      <w:r>
        <w:rPr>
          <w:rFonts w:eastAsia="標楷體"/>
          <w:spacing w:val="4"/>
          <w:kern w:val="0"/>
          <w:sz w:val="28"/>
          <w:szCs w:val="22"/>
        </w:rPr>
        <w:t>6</w:t>
      </w:r>
      <w:r>
        <w:rPr>
          <w:rFonts w:eastAsia="標楷體"/>
          <w:spacing w:val="4"/>
          <w:kern w:val="0"/>
          <w:sz w:val="28"/>
          <w:szCs w:val="22"/>
        </w:rPr>
        <w:t>月</w:t>
      </w:r>
      <w:r>
        <w:rPr>
          <w:rFonts w:eastAsia="標楷體"/>
          <w:spacing w:val="4"/>
          <w:kern w:val="0"/>
          <w:sz w:val="28"/>
          <w:szCs w:val="22"/>
        </w:rPr>
        <w:t>G20</w:t>
      </w:r>
      <w:r>
        <w:rPr>
          <w:rFonts w:eastAsia="標楷體"/>
          <w:spacing w:val="4"/>
          <w:kern w:val="0"/>
          <w:sz w:val="28"/>
          <w:szCs w:val="22"/>
        </w:rPr>
        <w:t>國家於墨西哥洛斯卡沃斯舉行高峰會，會後發表聯合公報，重申對抗氣候變遷的決心，決議加速對再生能源、能源效率等科技發展，引導資源投入綠色相關計畫，及減除不當化石燃料補貼。另致力實踐氣候變化綱要公約的「坎昆協議」及「德班協議」，及支持「綠色氣候基金」之運作，協助開發中國家發展綠色經濟，促進全球永續發展。</w:t>
      </w:r>
    </w:p>
    <w:p w14:paraId="037D953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pPr>
      <w:r>
        <w:rPr>
          <w:rFonts w:eastAsia="標楷體"/>
          <w:spacing w:val="4"/>
          <w:kern w:val="0"/>
          <w:sz w:val="28"/>
          <w:szCs w:val="22"/>
        </w:rPr>
        <w:t>－</w:t>
      </w:r>
      <w:r>
        <w:rPr>
          <w:rFonts w:eastAsia="標楷體"/>
          <w:spacing w:val="4"/>
          <w:kern w:val="0"/>
          <w:sz w:val="28"/>
          <w:szCs w:val="22"/>
        </w:rPr>
        <w:t>2012</w:t>
      </w:r>
      <w:r>
        <w:rPr>
          <w:rFonts w:eastAsia="標楷體"/>
          <w:spacing w:val="4"/>
          <w:kern w:val="0"/>
          <w:sz w:val="28"/>
          <w:szCs w:val="22"/>
        </w:rPr>
        <w:t>年</w:t>
      </w:r>
      <w:r>
        <w:rPr>
          <w:rFonts w:eastAsia="標楷體"/>
          <w:spacing w:val="4"/>
          <w:kern w:val="0"/>
          <w:sz w:val="28"/>
          <w:szCs w:val="22"/>
        </w:rPr>
        <w:t>9</w:t>
      </w:r>
      <w:r>
        <w:rPr>
          <w:rFonts w:eastAsia="標楷體"/>
          <w:spacing w:val="4"/>
          <w:kern w:val="0"/>
          <w:sz w:val="28"/>
          <w:szCs w:val="22"/>
        </w:rPr>
        <w:t>月</w:t>
      </w:r>
      <w:r>
        <w:rPr>
          <w:rFonts w:eastAsia="標楷體"/>
          <w:spacing w:val="4"/>
          <w:kern w:val="0"/>
          <w:sz w:val="28"/>
          <w:szCs w:val="22"/>
        </w:rPr>
        <w:t>APEC</w:t>
      </w:r>
      <w:r>
        <w:rPr>
          <w:rFonts w:eastAsia="標楷體"/>
          <w:spacing w:val="4"/>
          <w:kern w:val="0"/>
          <w:sz w:val="28"/>
          <w:szCs w:val="22"/>
        </w:rPr>
        <w:t>經濟領袖會議發表「海參威宣言」，重申</w:t>
      </w:r>
      <w:r>
        <w:rPr>
          <w:rFonts w:eastAsia="標楷體"/>
          <w:spacing w:val="4"/>
          <w:kern w:val="0"/>
          <w:sz w:val="28"/>
          <w:szCs w:val="22"/>
        </w:rPr>
        <w:t>APEC</w:t>
      </w:r>
      <w:r>
        <w:rPr>
          <w:rFonts w:eastAsia="標楷體"/>
          <w:spacing w:val="4"/>
          <w:kern w:val="0"/>
          <w:sz w:val="28"/>
          <w:szCs w:val="22"/>
        </w:rPr>
        <w:t>會員整體能源密集度</w:t>
      </w:r>
      <w:r>
        <w:rPr>
          <w:rFonts w:ascii="標楷體" w:eastAsia="標楷體" w:hAnsi="標楷體"/>
          <w:spacing w:val="4"/>
          <w:kern w:val="0"/>
          <w:sz w:val="28"/>
          <w:szCs w:val="22"/>
        </w:rPr>
        <w:t>(</w:t>
      </w:r>
      <w:r>
        <w:rPr>
          <w:rFonts w:eastAsia="標楷體"/>
          <w:spacing w:val="4"/>
          <w:kern w:val="0"/>
          <w:sz w:val="28"/>
          <w:szCs w:val="22"/>
        </w:rPr>
        <w:t>能源使用量</w:t>
      </w:r>
      <w:r>
        <w:rPr>
          <w:rFonts w:eastAsia="標楷體"/>
          <w:spacing w:val="4"/>
          <w:kern w:val="0"/>
          <w:sz w:val="28"/>
          <w:szCs w:val="22"/>
        </w:rPr>
        <w:t>/GDP</w:t>
      </w:r>
      <w:r>
        <w:rPr>
          <w:rFonts w:ascii="標楷體" w:eastAsia="標楷體" w:hAnsi="標楷體"/>
          <w:spacing w:val="4"/>
          <w:kern w:val="0"/>
          <w:sz w:val="28"/>
          <w:szCs w:val="22"/>
        </w:rPr>
        <w:t>)</w:t>
      </w:r>
      <w:r>
        <w:rPr>
          <w:rFonts w:eastAsia="標楷體"/>
          <w:spacing w:val="4"/>
          <w:kern w:val="0"/>
          <w:sz w:val="28"/>
          <w:szCs w:val="22"/>
        </w:rPr>
        <w:t>於</w:t>
      </w:r>
      <w:r>
        <w:rPr>
          <w:rFonts w:eastAsia="標楷體"/>
          <w:spacing w:val="4"/>
          <w:kern w:val="0"/>
          <w:sz w:val="28"/>
          <w:szCs w:val="22"/>
        </w:rPr>
        <w:t>2035</w:t>
      </w:r>
      <w:r>
        <w:rPr>
          <w:rFonts w:eastAsia="標楷體"/>
          <w:spacing w:val="4"/>
          <w:kern w:val="0"/>
          <w:sz w:val="28"/>
          <w:szCs w:val="22"/>
        </w:rPr>
        <w:t>年前降低</w:t>
      </w:r>
      <w:r>
        <w:rPr>
          <w:rFonts w:eastAsia="標楷體"/>
          <w:spacing w:val="4"/>
          <w:kern w:val="0"/>
          <w:sz w:val="28"/>
          <w:szCs w:val="22"/>
        </w:rPr>
        <w:t>45%</w:t>
      </w:r>
      <w:r>
        <w:rPr>
          <w:rFonts w:eastAsia="標楷體"/>
          <w:spacing w:val="4"/>
          <w:kern w:val="0"/>
          <w:sz w:val="28"/>
          <w:szCs w:val="22"/>
        </w:rPr>
        <w:t>之目標，並承諾增加天然氣使用、提升能源效率、發展再生能源、強化能源科技、減少化石燃料補貼，以及維護地球資源。另同意於</w:t>
      </w:r>
      <w:r>
        <w:rPr>
          <w:rFonts w:eastAsia="標楷體"/>
          <w:spacing w:val="4"/>
          <w:kern w:val="0"/>
          <w:sz w:val="28"/>
          <w:szCs w:val="22"/>
        </w:rPr>
        <w:t>2015</w:t>
      </w:r>
      <w:r>
        <w:rPr>
          <w:rFonts w:eastAsia="標楷體"/>
          <w:spacing w:val="4"/>
          <w:kern w:val="0"/>
          <w:sz w:val="28"/>
          <w:szCs w:val="22"/>
        </w:rPr>
        <w:t>年前將</w:t>
      </w:r>
      <w:r>
        <w:rPr>
          <w:rFonts w:eastAsia="標楷體"/>
          <w:spacing w:val="4"/>
          <w:kern w:val="0"/>
          <w:sz w:val="28"/>
          <w:szCs w:val="22"/>
        </w:rPr>
        <w:t>54</w:t>
      </w:r>
      <w:r>
        <w:rPr>
          <w:rFonts w:eastAsia="標楷體"/>
          <w:spacing w:val="4"/>
          <w:kern w:val="0"/>
          <w:sz w:val="28"/>
          <w:szCs w:val="22"/>
        </w:rPr>
        <w:t>項綠色商品關稅降至</w:t>
      </w:r>
      <w:r>
        <w:rPr>
          <w:rFonts w:eastAsia="標楷體"/>
          <w:spacing w:val="4"/>
          <w:kern w:val="0"/>
          <w:sz w:val="28"/>
          <w:szCs w:val="22"/>
        </w:rPr>
        <w:t>5%</w:t>
      </w:r>
      <w:r>
        <w:rPr>
          <w:rFonts w:eastAsia="標楷體"/>
          <w:spacing w:val="4"/>
          <w:kern w:val="0"/>
          <w:sz w:val="28"/>
          <w:szCs w:val="22"/>
        </w:rPr>
        <w:t>以下，以促進綠色經濟發展，並降低溫室氣體排放之威脅。</w:t>
      </w:r>
    </w:p>
    <w:p w14:paraId="03D1B3FA" w14:textId="77777777" w:rsidR="00052596" w:rsidRDefault="00000000">
      <w:pPr>
        <w:overflowPunct w:val="0"/>
        <w:autoSpaceDE w:val="0"/>
        <w:snapToGrid w:val="0"/>
        <w:spacing w:before="240" w:after="120" w:line="280" w:lineRule="exact"/>
        <w:jc w:val="center"/>
        <w:textAlignment w:val="center"/>
        <w:rPr>
          <w:rFonts w:eastAsia="標楷體"/>
          <w:b/>
          <w:color w:val="0000FF"/>
          <w:kern w:val="0"/>
          <w:sz w:val="26"/>
          <w:szCs w:val="26"/>
        </w:rPr>
      </w:pPr>
      <w:r>
        <w:rPr>
          <w:rFonts w:eastAsia="標楷體"/>
          <w:b/>
          <w:color w:val="0000FF"/>
          <w:kern w:val="0"/>
          <w:sz w:val="26"/>
          <w:szCs w:val="26"/>
        </w:rPr>
        <w:t>表</w:t>
      </w:r>
      <w:r>
        <w:rPr>
          <w:rFonts w:eastAsia="標楷體"/>
          <w:b/>
          <w:color w:val="0000FF"/>
          <w:kern w:val="0"/>
          <w:sz w:val="26"/>
          <w:szCs w:val="26"/>
        </w:rPr>
        <w:t>1.1.8</w:t>
      </w:r>
      <w:r>
        <w:rPr>
          <w:rFonts w:eastAsia="標楷體"/>
          <w:b/>
          <w:color w:val="0000FF"/>
          <w:kern w:val="0"/>
          <w:sz w:val="26"/>
          <w:szCs w:val="26"/>
        </w:rPr>
        <w:t xml:space="preserve">　京都議定書締約國減排目標</w:t>
      </w:r>
    </w:p>
    <w:tbl>
      <w:tblPr>
        <w:tblW w:w="8707" w:type="dxa"/>
        <w:tblInd w:w="108" w:type="dxa"/>
        <w:tblCellMar>
          <w:left w:w="10" w:type="dxa"/>
          <w:right w:w="10" w:type="dxa"/>
        </w:tblCellMar>
        <w:tblLook w:val="04A0" w:firstRow="1" w:lastRow="0" w:firstColumn="1" w:lastColumn="0" w:noHBand="0" w:noVBand="1"/>
      </w:tblPr>
      <w:tblGrid>
        <w:gridCol w:w="1456"/>
        <w:gridCol w:w="3332"/>
        <w:gridCol w:w="3919"/>
      </w:tblGrid>
      <w:tr w:rsidR="00052596" w14:paraId="2F68C95A" w14:textId="77777777">
        <w:tblPrEx>
          <w:tblCellMar>
            <w:top w:w="0" w:type="dxa"/>
            <w:bottom w:w="0" w:type="dxa"/>
          </w:tblCellMar>
        </w:tblPrEx>
        <w:trPr>
          <w:trHeight w:val="567"/>
        </w:trPr>
        <w:tc>
          <w:tcPr>
            <w:tcW w:w="14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22742" w14:textId="77777777" w:rsidR="00052596" w:rsidRDefault="00000000">
            <w:pPr>
              <w:overflowPunct w:val="0"/>
              <w:spacing w:line="300" w:lineRule="exact"/>
              <w:jc w:val="center"/>
              <w:rPr>
                <w:rFonts w:eastAsia="標楷體"/>
                <w:kern w:val="0"/>
              </w:rPr>
            </w:pPr>
            <w:r>
              <w:rPr>
                <w:rFonts w:eastAsia="標楷體"/>
                <w:kern w:val="0"/>
              </w:rPr>
              <w:t>締約國</w:t>
            </w:r>
          </w:p>
        </w:tc>
        <w:tc>
          <w:tcPr>
            <w:tcW w:w="3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8D39C" w14:textId="77777777" w:rsidR="00052596" w:rsidRDefault="00000000">
            <w:pPr>
              <w:overflowPunct w:val="0"/>
              <w:spacing w:line="300" w:lineRule="exact"/>
              <w:jc w:val="center"/>
              <w:rPr>
                <w:rFonts w:eastAsia="標楷體"/>
                <w:kern w:val="0"/>
              </w:rPr>
            </w:pPr>
            <w:r>
              <w:rPr>
                <w:rFonts w:eastAsia="標楷體"/>
                <w:kern w:val="0"/>
              </w:rPr>
              <w:t>2008-2012</w:t>
            </w:r>
            <w:r>
              <w:rPr>
                <w:rFonts w:eastAsia="標楷體"/>
                <w:kern w:val="0"/>
              </w:rPr>
              <w:t>年溫室氣體</w:t>
            </w:r>
          </w:p>
          <w:p w14:paraId="7B3AF032" w14:textId="77777777" w:rsidR="00052596" w:rsidRDefault="00000000">
            <w:pPr>
              <w:overflowPunct w:val="0"/>
              <w:spacing w:line="300" w:lineRule="exact"/>
              <w:jc w:val="center"/>
            </w:pPr>
            <w:r>
              <w:rPr>
                <w:rFonts w:eastAsia="標楷體"/>
                <w:kern w:val="0"/>
              </w:rPr>
              <w:t>較</w:t>
            </w:r>
            <w:r>
              <w:rPr>
                <w:rFonts w:eastAsia="標楷體"/>
                <w:kern w:val="0"/>
              </w:rPr>
              <w:t>1990</w:t>
            </w:r>
            <w:r>
              <w:rPr>
                <w:rFonts w:eastAsia="標楷體"/>
                <w:kern w:val="0"/>
              </w:rPr>
              <w:t>年排放量增減目標</w:t>
            </w:r>
            <w:r>
              <w:rPr>
                <w:rFonts w:ascii="標楷體" w:eastAsia="標楷體" w:hAnsi="標楷體"/>
                <w:kern w:val="0"/>
              </w:rPr>
              <w:t>(</w:t>
            </w:r>
            <w:r>
              <w:rPr>
                <w:rFonts w:eastAsia="標楷體"/>
                <w:kern w:val="0"/>
              </w:rPr>
              <w:t>%</w:t>
            </w:r>
            <w:r>
              <w:rPr>
                <w:rFonts w:ascii="標楷體" w:eastAsia="標楷體" w:hAnsi="標楷體"/>
                <w:kern w:val="0"/>
              </w:rPr>
              <w:t>)</w:t>
            </w:r>
          </w:p>
          <w:p w14:paraId="1F1D96EB" w14:textId="77777777" w:rsidR="00052596" w:rsidRDefault="00000000">
            <w:pPr>
              <w:overflowPunct w:val="0"/>
              <w:spacing w:line="300" w:lineRule="exact"/>
              <w:jc w:val="center"/>
            </w:pPr>
            <w:r>
              <w:rPr>
                <w:rFonts w:ascii="標楷體" w:eastAsia="標楷體" w:hAnsi="標楷體"/>
                <w:kern w:val="0"/>
              </w:rPr>
              <w:t>(</w:t>
            </w:r>
            <w:r>
              <w:rPr>
                <w:rFonts w:eastAsia="標楷體"/>
                <w:kern w:val="0"/>
              </w:rPr>
              <w:t>第</w:t>
            </w:r>
            <w:r>
              <w:rPr>
                <w:rFonts w:eastAsia="標楷體"/>
                <w:kern w:val="0"/>
              </w:rPr>
              <w:t>1</w:t>
            </w:r>
            <w:r>
              <w:rPr>
                <w:rFonts w:eastAsia="標楷體"/>
                <w:kern w:val="0"/>
              </w:rPr>
              <w:t>期減排承諾</w:t>
            </w:r>
            <w:r>
              <w:rPr>
                <w:rFonts w:ascii="標楷體" w:eastAsia="標楷體" w:hAnsi="標楷體"/>
                <w:kern w:val="0"/>
              </w:rPr>
              <w:t>)</w:t>
            </w:r>
          </w:p>
        </w:tc>
        <w:tc>
          <w:tcPr>
            <w:tcW w:w="39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336673" w14:textId="77777777" w:rsidR="00052596" w:rsidRDefault="00000000">
            <w:pPr>
              <w:overflowPunct w:val="0"/>
              <w:spacing w:line="300" w:lineRule="exact"/>
              <w:jc w:val="center"/>
              <w:rPr>
                <w:rFonts w:eastAsia="標楷體"/>
                <w:kern w:val="0"/>
              </w:rPr>
            </w:pPr>
            <w:r>
              <w:rPr>
                <w:rFonts w:eastAsia="標楷體"/>
                <w:kern w:val="0"/>
              </w:rPr>
              <w:t>2013-2020</w:t>
            </w:r>
            <w:r>
              <w:rPr>
                <w:rFonts w:eastAsia="標楷體"/>
                <w:kern w:val="0"/>
              </w:rPr>
              <w:t>年溫室氣體</w:t>
            </w:r>
          </w:p>
          <w:p w14:paraId="47EE22A4" w14:textId="77777777" w:rsidR="00052596" w:rsidRDefault="00000000">
            <w:pPr>
              <w:overflowPunct w:val="0"/>
              <w:spacing w:line="300" w:lineRule="exact"/>
              <w:jc w:val="center"/>
            </w:pPr>
            <w:r>
              <w:rPr>
                <w:rFonts w:eastAsia="標楷體"/>
                <w:kern w:val="0"/>
              </w:rPr>
              <w:t>較</w:t>
            </w:r>
            <w:r>
              <w:rPr>
                <w:rFonts w:eastAsia="標楷體"/>
                <w:kern w:val="0"/>
              </w:rPr>
              <w:t>1990</w:t>
            </w:r>
            <w:r>
              <w:rPr>
                <w:rFonts w:eastAsia="標楷體"/>
                <w:kern w:val="0"/>
              </w:rPr>
              <w:t>年排放量增減目標</w:t>
            </w:r>
            <w:r>
              <w:rPr>
                <w:rFonts w:ascii="標楷體" w:eastAsia="標楷體" w:hAnsi="標楷體"/>
                <w:kern w:val="0"/>
              </w:rPr>
              <w:t>(</w:t>
            </w:r>
            <w:r>
              <w:rPr>
                <w:rFonts w:eastAsia="標楷體"/>
                <w:kern w:val="0"/>
              </w:rPr>
              <w:t>%</w:t>
            </w:r>
            <w:r>
              <w:rPr>
                <w:rFonts w:ascii="標楷體" w:eastAsia="標楷體" w:hAnsi="標楷體"/>
                <w:kern w:val="0"/>
              </w:rPr>
              <w:t>)</w:t>
            </w:r>
          </w:p>
          <w:p w14:paraId="15B3D7C1" w14:textId="77777777" w:rsidR="00052596" w:rsidRDefault="00000000">
            <w:pPr>
              <w:overflowPunct w:val="0"/>
              <w:spacing w:line="300" w:lineRule="exact"/>
              <w:jc w:val="center"/>
            </w:pPr>
            <w:r>
              <w:rPr>
                <w:rFonts w:ascii="標楷體" w:eastAsia="標楷體" w:hAnsi="標楷體"/>
                <w:kern w:val="0"/>
              </w:rPr>
              <w:t>(</w:t>
            </w:r>
            <w:r>
              <w:rPr>
                <w:rFonts w:eastAsia="標楷體"/>
                <w:kern w:val="0"/>
              </w:rPr>
              <w:t>第</w:t>
            </w:r>
            <w:r>
              <w:rPr>
                <w:rFonts w:eastAsia="標楷體"/>
                <w:kern w:val="0"/>
              </w:rPr>
              <w:t>2</w:t>
            </w:r>
            <w:r>
              <w:rPr>
                <w:rFonts w:eastAsia="標楷體"/>
                <w:kern w:val="0"/>
              </w:rPr>
              <w:t>期減排承諾</w:t>
            </w:r>
            <w:r>
              <w:rPr>
                <w:rFonts w:ascii="標楷體" w:eastAsia="標楷體" w:hAnsi="標楷體"/>
                <w:kern w:val="0"/>
              </w:rPr>
              <w:t>)</w:t>
            </w:r>
          </w:p>
        </w:tc>
      </w:tr>
      <w:tr w:rsidR="00052596" w14:paraId="580D20AB" w14:textId="77777777">
        <w:tblPrEx>
          <w:tblCellMar>
            <w:top w:w="0" w:type="dxa"/>
            <w:bottom w:w="0" w:type="dxa"/>
          </w:tblCellMar>
        </w:tblPrEx>
        <w:tc>
          <w:tcPr>
            <w:tcW w:w="1456"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62014B0C" w14:textId="77777777" w:rsidR="00052596" w:rsidRDefault="00000000">
            <w:pPr>
              <w:overflowPunct w:val="0"/>
              <w:spacing w:line="300" w:lineRule="exact"/>
              <w:jc w:val="center"/>
              <w:rPr>
                <w:rFonts w:eastAsia="標楷體"/>
                <w:kern w:val="0"/>
              </w:rPr>
            </w:pPr>
            <w:r>
              <w:rPr>
                <w:rFonts w:eastAsia="標楷體"/>
                <w:kern w:val="0"/>
              </w:rPr>
              <w:t>歐盟</w:t>
            </w:r>
            <w:r>
              <w:rPr>
                <w:rFonts w:eastAsia="標楷體"/>
                <w:kern w:val="0"/>
              </w:rPr>
              <w:t>27</w:t>
            </w:r>
            <w:r>
              <w:rPr>
                <w:rFonts w:eastAsia="標楷體"/>
                <w:kern w:val="0"/>
              </w:rPr>
              <w:t>國</w:t>
            </w:r>
          </w:p>
        </w:tc>
        <w:tc>
          <w:tcPr>
            <w:tcW w:w="333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6A904E4" w14:textId="77777777" w:rsidR="00052596" w:rsidRDefault="00000000">
            <w:pPr>
              <w:overflowPunct w:val="0"/>
              <w:spacing w:line="300" w:lineRule="exact"/>
              <w:jc w:val="center"/>
              <w:rPr>
                <w:rFonts w:eastAsia="標楷體"/>
                <w:kern w:val="0"/>
              </w:rPr>
            </w:pPr>
            <w:r>
              <w:rPr>
                <w:rFonts w:eastAsia="標楷體"/>
                <w:kern w:val="0"/>
              </w:rPr>
              <w:t>-8</w:t>
            </w:r>
          </w:p>
        </w:tc>
        <w:tc>
          <w:tcPr>
            <w:tcW w:w="3919" w:type="dxa"/>
            <w:tcBorders>
              <w:top w:val="single" w:sz="4" w:space="0" w:color="000000"/>
              <w:left w:val="single" w:sz="4" w:space="0" w:color="000000"/>
            </w:tcBorders>
            <w:shd w:val="clear" w:color="auto" w:fill="auto"/>
            <w:tcMar>
              <w:top w:w="0" w:type="dxa"/>
              <w:left w:w="108" w:type="dxa"/>
              <w:bottom w:w="0" w:type="dxa"/>
              <w:right w:w="108" w:type="dxa"/>
            </w:tcMar>
          </w:tcPr>
          <w:p w14:paraId="7D2D907E" w14:textId="77777777" w:rsidR="00052596" w:rsidRDefault="00000000">
            <w:pPr>
              <w:overflowPunct w:val="0"/>
              <w:spacing w:line="300" w:lineRule="exact"/>
              <w:jc w:val="center"/>
              <w:rPr>
                <w:rFonts w:eastAsia="標楷體"/>
                <w:kern w:val="0"/>
              </w:rPr>
            </w:pPr>
            <w:r>
              <w:rPr>
                <w:rFonts w:eastAsia="標楷體"/>
                <w:kern w:val="0"/>
              </w:rPr>
              <w:t>-20</w:t>
            </w:r>
          </w:p>
        </w:tc>
      </w:tr>
      <w:tr w:rsidR="00052596" w14:paraId="03535B91" w14:textId="77777777">
        <w:tblPrEx>
          <w:tblCellMar>
            <w:top w:w="0" w:type="dxa"/>
            <w:bottom w:w="0" w:type="dxa"/>
          </w:tblCellMar>
        </w:tblPrEx>
        <w:tc>
          <w:tcPr>
            <w:tcW w:w="1456" w:type="dxa"/>
            <w:tcBorders>
              <w:right w:val="single" w:sz="4" w:space="0" w:color="000000"/>
            </w:tcBorders>
            <w:shd w:val="clear" w:color="auto" w:fill="auto"/>
            <w:tcMar>
              <w:top w:w="0" w:type="dxa"/>
              <w:left w:w="108" w:type="dxa"/>
              <w:bottom w:w="0" w:type="dxa"/>
              <w:right w:w="108" w:type="dxa"/>
            </w:tcMar>
            <w:vAlign w:val="center"/>
          </w:tcPr>
          <w:p w14:paraId="0AAB135F" w14:textId="77777777" w:rsidR="00052596" w:rsidRDefault="00000000">
            <w:pPr>
              <w:overflowPunct w:val="0"/>
              <w:spacing w:line="300" w:lineRule="exact"/>
              <w:jc w:val="center"/>
              <w:rPr>
                <w:rFonts w:eastAsia="標楷體"/>
                <w:kern w:val="0"/>
              </w:rPr>
            </w:pPr>
            <w:r>
              <w:rPr>
                <w:rFonts w:eastAsia="標楷體"/>
                <w:kern w:val="0"/>
              </w:rPr>
              <w:t>澳大利亞</w:t>
            </w:r>
          </w:p>
        </w:tc>
        <w:tc>
          <w:tcPr>
            <w:tcW w:w="333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12CF6B" w14:textId="77777777" w:rsidR="00052596" w:rsidRDefault="00000000">
            <w:pPr>
              <w:overflowPunct w:val="0"/>
              <w:spacing w:line="300" w:lineRule="exact"/>
              <w:jc w:val="center"/>
              <w:rPr>
                <w:rFonts w:eastAsia="標楷體"/>
                <w:kern w:val="0"/>
              </w:rPr>
            </w:pPr>
            <w:r>
              <w:rPr>
                <w:rFonts w:eastAsia="標楷體"/>
                <w:kern w:val="0"/>
              </w:rPr>
              <w:t>+8</w:t>
            </w:r>
          </w:p>
        </w:tc>
        <w:tc>
          <w:tcPr>
            <w:tcW w:w="3919" w:type="dxa"/>
            <w:tcBorders>
              <w:left w:val="single" w:sz="4" w:space="0" w:color="000000"/>
            </w:tcBorders>
            <w:shd w:val="clear" w:color="auto" w:fill="auto"/>
            <w:tcMar>
              <w:top w:w="0" w:type="dxa"/>
              <w:left w:w="108" w:type="dxa"/>
              <w:bottom w:w="0" w:type="dxa"/>
              <w:right w:w="108" w:type="dxa"/>
            </w:tcMar>
          </w:tcPr>
          <w:p w14:paraId="4CAC26A5" w14:textId="77777777" w:rsidR="00052596" w:rsidRDefault="00000000">
            <w:pPr>
              <w:overflowPunct w:val="0"/>
              <w:spacing w:line="300" w:lineRule="exact"/>
              <w:jc w:val="center"/>
              <w:rPr>
                <w:rFonts w:eastAsia="標楷體"/>
                <w:kern w:val="0"/>
              </w:rPr>
            </w:pPr>
            <w:r>
              <w:rPr>
                <w:rFonts w:eastAsia="標楷體"/>
                <w:kern w:val="0"/>
              </w:rPr>
              <w:t>-0.5</w:t>
            </w:r>
          </w:p>
        </w:tc>
      </w:tr>
      <w:tr w:rsidR="00052596" w14:paraId="1E0B3FA7" w14:textId="77777777">
        <w:tblPrEx>
          <w:tblCellMar>
            <w:top w:w="0" w:type="dxa"/>
            <w:bottom w:w="0" w:type="dxa"/>
          </w:tblCellMar>
        </w:tblPrEx>
        <w:tc>
          <w:tcPr>
            <w:tcW w:w="1456" w:type="dxa"/>
            <w:tcBorders>
              <w:right w:val="single" w:sz="4" w:space="0" w:color="000000"/>
            </w:tcBorders>
            <w:shd w:val="clear" w:color="auto" w:fill="auto"/>
            <w:tcMar>
              <w:top w:w="0" w:type="dxa"/>
              <w:left w:w="108" w:type="dxa"/>
              <w:bottom w:w="0" w:type="dxa"/>
              <w:right w:w="108" w:type="dxa"/>
            </w:tcMar>
            <w:vAlign w:val="center"/>
          </w:tcPr>
          <w:p w14:paraId="2FEC7210" w14:textId="77777777" w:rsidR="00052596" w:rsidRDefault="00000000">
            <w:pPr>
              <w:overflowPunct w:val="0"/>
              <w:spacing w:line="300" w:lineRule="exact"/>
              <w:jc w:val="center"/>
              <w:rPr>
                <w:rFonts w:eastAsia="標楷體"/>
                <w:kern w:val="0"/>
              </w:rPr>
            </w:pPr>
            <w:r>
              <w:rPr>
                <w:rFonts w:eastAsia="標楷體"/>
                <w:kern w:val="0"/>
              </w:rPr>
              <w:t>白俄羅斯</w:t>
            </w:r>
          </w:p>
        </w:tc>
        <w:tc>
          <w:tcPr>
            <w:tcW w:w="333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E0A5FC" w14:textId="77777777" w:rsidR="00052596" w:rsidRDefault="00000000">
            <w:pPr>
              <w:overflowPunct w:val="0"/>
              <w:spacing w:line="300" w:lineRule="exact"/>
              <w:jc w:val="center"/>
              <w:rPr>
                <w:rFonts w:eastAsia="標楷體"/>
                <w:kern w:val="0"/>
              </w:rPr>
            </w:pPr>
            <w:r>
              <w:rPr>
                <w:rFonts w:eastAsia="標楷體"/>
                <w:kern w:val="0"/>
              </w:rPr>
              <w:t>未簽署</w:t>
            </w:r>
          </w:p>
        </w:tc>
        <w:tc>
          <w:tcPr>
            <w:tcW w:w="3919" w:type="dxa"/>
            <w:tcBorders>
              <w:left w:val="single" w:sz="4" w:space="0" w:color="000000"/>
            </w:tcBorders>
            <w:shd w:val="clear" w:color="auto" w:fill="auto"/>
            <w:tcMar>
              <w:top w:w="0" w:type="dxa"/>
              <w:left w:w="108" w:type="dxa"/>
              <w:bottom w:w="0" w:type="dxa"/>
              <w:right w:w="108" w:type="dxa"/>
            </w:tcMar>
          </w:tcPr>
          <w:p w14:paraId="714C7AAD" w14:textId="77777777" w:rsidR="00052596" w:rsidRDefault="00000000">
            <w:pPr>
              <w:overflowPunct w:val="0"/>
              <w:spacing w:line="300" w:lineRule="exact"/>
              <w:jc w:val="center"/>
              <w:rPr>
                <w:rFonts w:eastAsia="標楷體"/>
                <w:kern w:val="0"/>
              </w:rPr>
            </w:pPr>
            <w:r>
              <w:rPr>
                <w:rFonts w:eastAsia="標楷體"/>
                <w:kern w:val="0"/>
              </w:rPr>
              <w:t>-12</w:t>
            </w:r>
          </w:p>
        </w:tc>
      </w:tr>
      <w:tr w:rsidR="00052596" w14:paraId="06540E8B" w14:textId="77777777">
        <w:tblPrEx>
          <w:tblCellMar>
            <w:top w:w="0" w:type="dxa"/>
            <w:bottom w:w="0" w:type="dxa"/>
          </w:tblCellMar>
        </w:tblPrEx>
        <w:tc>
          <w:tcPr>
            <w:tcW w:w="1456" w:type="dxa"/>
            <w:tcBorders>
              <w:right w:val="single" w:sz="4" w:space="0" w:color="000000"/>
            </w:tcBorders>
            <w:shd w:val="clear" w:color="auto" w:fill="auto"/>
            <w:tcMar>
              <w:top w:w="0" w:type="dxa"/>
              <w:left w:w="108" w:type="dxa"/>
              <w:bottom w:w="0" w:type="dxa"/>
              <w:right w:w="108" w:type="dxa"/>
            </w:tcMar>
            <w:vAlign w:val="center"/>
          </w:tcPr>
          <w:p w14:paraId="3095A670" w14:textId="77777777" w:rsidR="00052596" w:rsidRDefault="00000000">
            <w:pPr>
              <w:overflowPunct w:val="0"/>
              <w:spacing w:line="300" w:lineRule="exact"/>
              <w:jc w:val="center"/>
              <w:rPr>
                <w:rFonts w:eastAsia="標楷體"/>
                <w:kern w:val="0"/>
              </w:rPr>
            </w:pPr>
            <w:r>
              <w:rPr>
                <w:rFonts w:eastAsia="標楷體"/>
                <w:kern w:val="0"/>
              </w:rPr>
              <w:t>克羅埃西亞</w:t>
            </w:r>
          </w:p>
        </w:tc>
        <w:tc>
          <w:tcPr>
            <w:tcW w:w="333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1ED613" w14:textId="77777777" w:rsidR="00052596" w:rsidRDefault="00000000">
            <w:pPr>
              <w:overflowPunct w:val="0"/>
              <w:spacing w:line="300" w:lineRule="exact"/>
              <w:jc w:val="center"/>
              <w:rPr>
                <w:rFonts w:eastAsia="標楷體"/>
                <w:kern w:val="0"/>
              </w:rPr>
            </w:pPr>
            <w:r>
              <w:rPr>
                <w:rFonts w:eastAsia="標楷體"/>
                <w:kern w:val="0"/>
              </w:rPr>
              <w:t>-5</w:t>
            </w:r>
          </w:p>
        </w:tc>
        <w:tc>
          <w:tcPr>
            <w:tcW w:w="3919" w:type="dxa"/>
            <w:tcBorders>
              <w:left w:val="single" w:sz="4" w:space="0" w:color="000000"/>
            </w:tcBorders>
            <w:shd w:val="clear" w:color="auto" w:fill="auto"/>
            <w:tcMar>
              <w:top w:w="0" w:type="dxa"/>
              <w:left w:w="108" w:type="dxa"/>
              <w:bottom w:w="0" w:type="dxa"/>
              <w:right w:w="108" w:type="dxa"/>
            </w:tcMar>
            <w:vAlign w:val="center"/>
          </w:tcPr>
          <w:p w14:paraId="52078A5E" w14:textId="77777777" w:rsidR="00052596" w:rsidRDefault="00000000">
            <w:pPr>
              <w:overflowPunct w:val="0"/>
              <w:spacing w:line="300" w:lineRule="exact"/>
              <w:jc w:val="center"/>
              <w:rPr>
                <w:rFonts w:eastAsia="標楷體"/>
                <w:kern w:val="0"/>
              </w:rPr>
            </w:pPr>
            <w:r>
              <w:rPr>
                <w:rFonts w:eastAsia="標楷體"/>
                <w:kern w:val="0"/>
              </w:rPr>
              <w:t>-20</w:t>
            </w:r>
          </w:p>
        </w:tc>
      </w:tr>
      <w:tr w:rsidR="00052596" w14:paraId="636D166C" w14:textId="77777777">
        <w:tblPrEx>
          <w:tblCellMar>
            <w:top w:w="0" w:type="dxa"/>
            <w:bottom w:w="0" w:type="dxa"/>
          </w:tblCellMar>
        </w:tblPrEx>
        <w:tc>
          <w:tcPr>
            <w:tcW w:w="1456" w:type="dxa"/>
            <w:tcBorders>
              <w:right w:val="single" w:sz="4" w:space="0" w:color="000000"/>
            </w:tcBorders>
            <w:shd w:val="clear" w:color="auto" w:fill="auto"/>
            <w:tcMar>
              <w:top w:w="0" w:type="dxa"/>
              <w:left w:w="108" w:type="dxa"/>
              <w:bottom w:w="0" w:type="dxa"/>
              <w:right w:w="108" w:type="dxa"/>
            </w:tcMar>
            <w:vAlign w:val="center"/>
          </w:tcPr>
          <w:p w14:paraId="61BEAE87" w14:textId="77777777" w:rsidR="00052596" w:rsidRDefault="00000000">
            <w:pPr>
              <w:overflowPunct w:val="0"/>
              <w:spacing w:line="300" w:lineRule="exact"/>
              <w:jc w:val="center"/>
              <w:rPr>
                <w:rFonts w:eastAsia="標楷體"/>
                <w:kern w:val="0"/>
              </w:rPr>
            </w:pPr>
            <w:r>
              <w:rPr>
                <w:rFonts w:eastAsia="標楷體"/>
                <w:kern w:val="0"/>
              </w:rPr>
              <w:t>冰島</w:t>
            </w:r>
          </w:p>
        </w:tc>
        <w:tc>
          <w:tcPr>
            <w:tcW w:w="333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3A6E8C" w14:textId="77777777" w:rsidR="00052596" w:rsidRDefault="00000000">
            <w:pPr>
              <w:overflowPunct w:val="0"/>
              <w:spacing w:line="300" w:lineRule="exact"/>
              <w:jc w:val="center"/>
              <w:rPr>
                <w:rFonts w:eastAsia="標楷體"/>
                <w:kern w:val="0"/>
              </w:rPr>
            </w:pPr>
            <w:r>
              <w:rPr>
                <w:rFonts w:eastAsia="標楷體"/>
                <w:kern w:val="0"/>
              </w:rPr>
              <w:t>+10</w:t>
            </w:r>
          </w:p>
        </w:tc>
        <w:tc>
          <w:tcPr>
            <w:tcW w:w="3919" w:type="dxa"/>
            <w:tcBorders>
              <w:left w:val="single" w:sz="4" w:space="0" w:color="000000"/>
            </w:tcBorders>
            <w:shd w:val="clear" w:color="auto" w:fill="auto"/>
            <w:tcMar>
              <w:top w:w="0" w:type="dxa"/>
              <w:left w:w="108" w:type="dxa"/>
              <w:bottom w:w="0" w:type="dxa"/>
              <w:right w:w="108" w:type="dxa"/>
            </w:tcMar>
          </w:tcPr>
          <w:p w14:paraId="3BAFD437" w14:textId="77777777" w:rsidR="00052596" w:rsidRDefault="00000000">
            <w:pPr>
              <w:overflowPunct w:val="0"/>
              <w:spacing w:line="300" w:lineRule="exact"/>
              <w:jc w:val="center"/>
              <w:rPr>
                <w:rFonts w:eastAsia="標楷體"/>
                <w:kern w:val="0"/>
              </w:rPr>
            </w:pPr>
            <w:r>
              <w:rPr>
                <w:rFonts w:eastAsia="標楷體"/>
                <w:kern w:val="0"/>
              </w:rPr>
              <w:t>-20</w:t>
            </w:r>
          </w:p>
        </w:tc>
      </w:tr>
      <w:tr w:rsidR="00052596" w14:paraId="689FD072" w14:textId="77777777">
        <w:tblPrEx>
          <w:tblCellMar>
            <w:top w:w="0" w:type="dxa"/>
            <w:bottom w:w="0" w:type="dxa"/>
          </w:tblCellMar>
        </w:tblPrEx>
        <w:tc>
          <w:tcPr>
            <w:tcW w:w="1456" w:type="dxa"/>
            <w:tcBorders>
              <w:right w:val="single" w:sz="4" w:space="0" w:color="000000"/>
            </w:tcBorders>
            <w:shd w:val="clear" w:color="auto" w:fill="auto"/>
            <w:tcMar>
              <w:top w:w="0" w:type="dxa"/>
              <w:left w:w="108" w:type="dxa"/>
              <w:bottom w:w="0" w:type="dxa"/>
              <w:right w:w="108" w:type="dxa"/>
            </w:tcMar>
            <w:vAlign w:val="center"/>
          </w:tcPr>
          <w:p w14:paraId="6B022245" w14:textId="77777777" w:rsidR="00052596" w:rsidRDefault="00000000">
            <w:pPr>
              <w:overflowPunct w:val="0"/>
              <w:spacing w:line="300" w:lineRule="exact"/>
              <w:jc w:val="center"/>
              <w:rPr>
                <w:rFonts w:eastAsia="標楷體"/>
                <w:kern w:val="0"/>
              </w:rPr>
            </w:pPr>
            <w:r>
              <w:rPr>
                <w:rFonts w:eastAsia="標楷體"/>
                <w:kern w:val="0"/>
              </w:rPr>
              <w:t>哈薩克</w:t>
            </w:r>
          </w:p>
        </w:tc>
        <w:tc>
          <w:tcPr>
            <w:tcW w:w="333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E9A6A1" w14:textId="77777777" w:rsidR="00052596" w:rsidRDefault="00000000">
            <w:pPr>
              <w:overflowPunct w:val="0"/>
              <w:spacing w:line="300" w:lineRule="exact"/>
              <w:jc w:val="center"/>
              <w:rPr>
                <w:rFonts w:eastAsia="標楷體"/>
                <w:kern w:val="0"/>
              </w:rPr>
            </w:pPr>
            <w:r>
              <w:rPr>
                <w:rFonts w:eastAsia="標楷體"/>
                <w:kern w:val="0"/>
              </w:rPr>
              <w:t>未簽署</w:t>
            </w:r>
          </w:p>
        </w:tc>
        <w:tc>
          <w:tcPr>
            <w:tcW w:w="3919" w:type="dxa"/>
            <w:tcBorders>
              <w:left w:val="single" w:sz="4" w:space="0" w:color="000000"/>
            </w:tcBorders>
            <w:shd w:val="clear" w:color="auto" w:fill="auto"/>
            <w:tcMar>
              <w:top w:w="0" w:type="dxa"/>
              <w:left w:w="108" w:type="dxa"/>
              <w:bottom w:w="0" w:type="dxa"/>
              <w:right w:w="108" w:type="dxa"/>
            </w:tcMar>
          </w:tcPr>
          <w:p w14:paraId="5DAA482D" w14:textId="77777777" w:rsidR="00052596" w:rsidRDefault="00000000">
            <w:pPr>
              <w:overflowPunct w:val="0"/>
              <w:spacing w:line="300" w:lineRule="exact"/>
              <w:jc w:val="center"/>
              <w:rPr>
                <w:rFonts w:eastAsia="標楷體"/>
                <w:kern w:val="0"/>
              </w:rPr>
            </w:pPr>
            <w:r>
              <w:rPr>
                <w:rFonts w:eastAsia="標楷體"/>
                <w:kern w:val="0"/>
              </w:rPr>
              <w:t>-5</w:t>
            </w:r>
          </w:p>
        </w:tc>
      </w:tr>
      <w:tr w:rsidR="00052596" w14:paraId="0D6A14F6" w14:textId="77777777">
        <w:tblPrEx>
          <w:tblCellMar>
            <w:top w:w="0" w:type="dxa"/>
            <w:bottom w:w="0" w:type="dxa"/>
          </w:tblCellMar>
        </w:tblPrEx>
        <w:tc>
          <w:tcPr>
            <w:tcW w:w="1456" w:type="dxa"/>
            <w:tcBorders>
              <w:right w:val="single" w:sz="4" w:space="0" w:color="000000"/>
            </w:tcBorders>
            <w:shd w:val="clear" w:color="auto" w:fill="auto"/>
            <w:tcMar>
              <w:top w:w="0" w:type="dxa"/>
              <w:left w:w="108" w:type="dxa"/>
              <w:bottom w:w="0" w:type="dxa"/>
              <w:right w:w="108" w:type="dxa"/>
            </w:tcMar>
            <w:vAlign w:val="center"/>
          </w:tcPr>
          <w:p w14:paraId="560C870B" w14:textId="77777777" w:rsidR="00052596" w:rsidRDefault="00000000">
            <w:pPr>
              <w:overflowPunct w:val="0"/>
              <w:spacing w:line="300" w:lineRule="exact"/>
              <w:jc w:val="center"/>
              <w:rPr>
                <w:rFonts w:eastAsia="標楷體"/>
                <w:kern w:val="0"/>
              </w:rPr>
            </w:pPr>
            <w:r>
              <w:rPr>
                <w:rFonts w:eastAsia="標楷體"/>
                <w:kern w:val="0"/>
              </w:rPr>
              <w:t>列支敦士登</w:t>
            </w:r>
          </w:p>
        </w:tc>
        <w:tc>
          <w:tcPr>
            <w:tcW w:w="333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A5A4D6" w14:textId="77777777" w:rsidR="00052596" w:rsidRDefault="00000000">
            <w:pPr>
              <w:overflowPunct w:val="0"/>
              <w:spacing w:line="300" w:lineRule="exact"/>
              <w:jc w:val="center"/>
              <w:rPr>
                <w:rFonts w:eastAsia="標楷體"/>
                <w:kern w:val="0"/>
              </w:rPr>
            </w:pPr>
            <w:r>
              <w:rPr>
                <w:rFonts w:eastAsia="標楷體"/>
                <w:kern w:val="0"/>
              </w:rPr>
              <w:t>-8</w:t>
            </w:r>
          </w:p>
        </w:tc>
        <w:tc>
          <w:tcPr>
            <w:tcW w:w="3919" w:type="dxa"/>
            <w:tcBorders>
              <w:left w:val="single" w:sz="4" w:space="0" w:color="000000"/>
            </w:tcBorders>
            <w:shd w:val="clear" w:color="auto" w:fill="auto"/>
            <w:tcMar>
              <w:top w:w="0" w:type="dxa"/>
              <w:left w:w="108" w:type="dxa"/>
              <w:bottom w:w="0" w:type="dxa"/>
              <w:right w:w="108" w:type="dxa"/>
            </w:tcMar>
            <w:vAlign w:val="center"/>
          </w:tcPr>
          <w:p w14:paraId="22B1788A" w14:textId="77777777" w:rsidR="00052596" w:rsidRDefault="00000000">
            <w:pPr>
              <w:overflowPunct w:val="0"/>
              <w:spacing w:line="300" w:lineRule="exact"/>
              <w:jc w:val="center"/>
              <w:rPr>
                <w:rFonts w:eastAsia="標楷體"/>
                <w:kern w:val="0"/>
              </w:rPr>
            </w:pPr>
            <w:r>
              <w:rPr>
                <w:rFonts w:eastAsia="標楷體"/>
                <w:kern w:val="0"/>
              </w:rPr>
              <w:t>-16</w:t>
            </w:r>
          </w:p>
        </w:tc>
      </w:tr>
      <w:tr w:rsidR="00052596" w14:paraId="4C19ECBD" w14:textId="77777777">
        <w:tblPrEx>
          <w:tblCellMar>
            <w:top w:w="0" w:type="dxa"/>
            <w:bottom w:w="0" w:type="dxa"/>
          </w:tblCellMar>
        </w:tblPrEx>
        <w:tc>
          <w:tcPr>
            <w:tcW w:w="1456" w:type="dxa"/>
            <w:tcBorders>
              <w:right w:val="single" w:sz="4" w:space="0" w:color="000000"/>
            </w:tcBorders>
            <w:shd w:val="clear" w:color="auto" w:fill="auto"/>
            <w:tcMar>
              <w:top w:w="0" w:type="dxa"/>
              <w:left w:w="108" w:type="dxa"/>
              <w:bottom w:w="0" w:type="dxa"/>
              <w:right w:w="108" w:type="dxa"/>
            </w:tcMar>
            <w:vAlign w:val="center"/>
          </w:tcPr>
          <w:p w14:paraId="39B2D824" w14:textId="77777777" w:rsidR="00052596" w:rsidRDefault="00000000">
            <w:pPr>
              <w:overflowPunct w:val="0"/>
              <w:spacing w:line="300" w:lineRule="exact"/>
              <w:jc w:val="center"/>
              <w:rPr>
                <w:rFonts w:eastAsia="標楷體"/>
                <w:kern w:val="0"/>
              </w:rPr>
            </w:pPr>
            <w:r>
              <w:rPr>
                <w:rFonts w:eastAsia="標楷體"/>
                <w:kern w:val="0"/>
              </w:rPr>
              <w:t>摩納哥</w:t>
            </w:r>
          </w:p>
        </w:tc>
        <w:tc>
          <w:tcPr>
            <w:tcW w:w="333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1AAE74" w14:textId="77777777" w:rsidR="00052596" w:rsidRDefault="00000000">
            <w:pPr>
              <w:overflowPunct w:val="0"/>
              <w:spacing w:line="300" w:lineRule="exact"/>
              <w:jc w:val="center"/>
              <w:rPr>
                <w:rFonts w:eastAsia="標楷體"/>
                <w:kern w:val="0"/>
              </w:rPr>
            </w:pPr>
            <w:r>
              <w:rPr>
                <w:rFonts w:eastAsia="標楷體"/>
                <w:kern w:val="0"/>
              </w:rPr>
              <w:t>-8</w:t>
            </w:r>
          </w:p>
        </w:tc>
        <w:tc>
          <w:tcPr>
            <w:tcW w:w="3919" w:type="dxa"/>
            <w:tcBorders>
              <w:left w:val="single" w:sz="4" w:space="0" w:color="000000"/>
            </w:tcBorders>
            <w:shd w:val="clear" w:color="auto" w:fill="auto"/>
            <w:tcMar>
              <w:top w:w="0" w:type="dxa"/>
              <w:left w:w="108" w:type="dxa"/>
              <w:bottom w:w="0" w:type="dxa"/>
              <w:right w:w="108" w:type="dxa"/>
            </w:tcMar>
          </w:tcPr>
          <w:p w14:paraId="23A355A9" w14:textId="77777777" w:rsidR="00052596" w:rsidRDefault="00000000">
            <w:pPr>
              <w:overflowPunct w:val="0"/>
              <w:spacing w:line="300" w:lineRule="exact"/>
              <w:jc w:val="center"/>
              <w:rPr>
                <w:rFonts w:eastAsia="標楷體"/>
                <w:kern w:val="0"/>
              </w:rPr>
            </w:pPr>
            <w:r>
              <w:rPr>
                <w:rFonts w:eastAsia="標楷體"/>
                <w:kern w:val="0"/>
              </w:rPr>
              <w:t>-22</w:t>
            </w:r>
          </w:p>
        </w:tc>
      </w:tr>
      <w:tr w:rsidR="00052596" w14:paraId="2FFC03BE" w14:textId="77777777">
        <w:tblPrEx>
          <w:tblCellMar>
            <w:top w:w="0" w:type="dxa"/>
            <w:bottom w:w="0" w:type="dxa"/>
          </w:tblCellMar>
        </w:tblPrEx>
        <w:tc>
          <w:tcPr>
            <w:tcW w:w="1456" w:type="dxa"/>
            <w:tcBorders>
              <w:right w:val="single" w:sz="4" w:space="0" w:color="000000"/>
            </w:tcBorders>
            <w:shd w:val="clear" w:color="auto" w:fill="auto"/>
            <w:tcMar>
              <w:top w:w="0" w:type="dxa"/>
              <w:left w:w="108" w:type="dxa"/>
              <w:bottom w:w="0" w:type="dxa"/>
              <w:right w:w="108" w:type="dxa"/>
            </w:tcMar>
            <w:vAlign w:val="center"/>
          </w:tcPr>
          <w:p w14:paraId="199BFF48" w14:textId="77777777" w:rsidR="00052596" w:rsidRDefault="00000000">
            <w:pPr>
              <w:overflowPunct w:val="0"/>
              <w:spacing w:line="300" w:lineRule="exact"/>
              <w:jc w:val="center"/>
              <w:rPr>
                <w:rFonts w:eastAsia="標楷體"/>
                <w:kern w:val="0"/>
              </w:rPr>
            </w:pPr>
            <w:r>
              <w:rPr>
                <w:rFonts w:eastAsia="標楷體"/>
                <w:kern w:val="0"/>
              </w:rPr>
              <w:t>挪威</w:t>
            </w:r>
          </w:p>
        </w:tc>
        <w:tc>
          <w:tcPr>
            <w:tcW w:w="333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9D20DC" w14:textId="77777777" w:rsidR="00052596" w:rsidRDefault="00000000">
            <w:pPr>
              <w:overflowPunct w:val="0"/>
              <w:spacing w:line="300" w:lineRule="exact"/>
              <w:jc w:val="center"/>
              <w:rPr>
                <w:rFonts w:eastAsia="標楷體"/>
                <w:kern w:val="0"/>
              </w:rPr>
            </w:pPr>
            <w:r>
              <w:rPr>
                <w:rFonts w:eastAsia="標楷體"/>
                <w:kern w:val="0"/>
              </w:rPr>
              <w:t>+1</w:t>
            </w:r>
          </w:p>
        </w:tc>
        <w:tc>
          <w:tcPr>
            <w:tcW w:w="3919" w:type="dxa"/>
            <w:tcBorders>
              <w:left w:val="single" w:sz="4" w:space="0" w:color="000000"/>
            </w:tcBorders>
            <w:shd w:val="clear" w:color="auto" w:fill="auto"/>
            <w:tcMar>
              <w:top w:w="0" w:type="dxa"/>
              <w:left w:w="108" w:type="dxa"/>
              <w:bottom w:w="0" w:type="dxa"/>
              <w:right w:w="108" w:type="dxa"/>
            </w:tcMar>
          </w:tcPr>
          <w:p w14:paraId="77025822" w14:textId="77777777" w:rsidR="00052596" w:rsidRDefault="00000000">
            <w:pPr>
              <w:overflowPunct w:val="0"/>
              <w:spacing w:line="300" w:lineRule="exact"/>
              <w:jc w:val="center"/>
              <w:rPr>
                <w:rFonts w:eastAsia="標楷體"/>
                <w:kern w:val="0"/>
              </w:rPr>
            </w:pPr>
            <w:r>
              <w:rPr>
                <w:rFonts w:eastAsia="標楷體"/>
                <w:kern w:val="0"/>
              </w:rPr>
              <w:t>-15.8</w:t>
            </w:r>
          </w:p>
        </w:tc>
      </w:tr>
      <w:tr w:rsidR="00052596" w14:paraId="731CD845" w14:textId="77777777">
        <w:tblPrEx>
          <w:tblCellMar>
            <w:top w:w="0" w:type="dxa"/>
            <w:bottom w:w="0" w:type="dxa"/>
          </w:tblCellMar>
        </w:tblPrEx>
        <w:tc>
          <w:tcPr>
            <w:tcW w:w="1456" w:type="dxa"/>
            <w:tcBorders>
              <w:right w:val="single" w:sz="4" w:space="0" w:color="000000"/>
            </w:tcBorders>
            <w:shd w:val="clear" w:color="auto" w:fill="auto"/>
            <w:tcMar>
              <w:top w:w="0" w:type="dxa"/>
              <w:left w:w="108" w:type="dxa"/>
              <w:bottom w:w="0" w:type="dxa"/>
              <w:right w:w="108" w:type="dxa"/>
            </w:tcMar>
            <w:vAlign w:val="center"/>
          </w:tcPr>
          <w:p w14:paraId="72285F5F" w14:textId="77777777" w:rsidR="00052596" w:rsidRDefault="00000000">
            <w:pPr>
              <w:overflowPunct w:val="0"/>
              <w:spacing w:line="300" w:lineRule="exact"/>
              <w:jc w:val="center"/>
              <w:rPr>
                <w:rFonts w:eastAsia="標楷體"/>
                <w:kern w:val="0"/>
              </w:rPr>
            </w:pPr>
            <w:r>
              <w:rPr>
                <w:rFonts w:eastAsia="標楷體"/>
                <w:kern w:val="0"/>
              </w:rPr>
              <w:t>瑞士</w:t>
            </w:r>
          </w:p>
        </w:tc>
        <w:tc>
          <w:tcPr>
            <w:tcW w:w="333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DFA711" w14:textId="77777777" w:rsidR="00052596" w:rsidRDefault="00000000">
            <w:pPr>
              <w:overflowPunct w:val="0"/>
              <w:spacing w:line="300" w:lineRule="exact"/>
              <w:jc w:val="center"/>
              <w:rPr>
                <w:rFonts w:eastAsia="標楷體"/>
                <w:kern w:val="0"/>
              </w:rPr>
            </w:pPr>
            <w:r>
              <w:rPr>
                <w:rFonts w:eastAsia="標楷體"/>
                <w:kern w:val="0"/>
              </w:rPr>
              <w:t>-8</w:t>
            </w:r>
          </w:p>
        </w:tc>
        <w:tc>
          <w:tcPr>
            <w:tcW w:w="3919" w:type="dxa"/>
            <w:tcBorders>
              <w:left w:val="single" w:sz="4" w:space="0" w:color="000000"/>
            </w:tcBorders>
            <w:shd w:val="clear" w:color="auto" w:fill="auto"/>
            <w:tcMar>
              <w:top w:w="0" w:type="dxa"/>
              <w:left w:w="108" w:type="dxa"/>
              <w:bottom w:w="0" w:type="dxa"/>
              <w:right w:w="108" w:type="dxa"/>
            </w:tcMar>
          </w:tcPr>
          <w:p w14:paraId="4C18EBDA" w14:textId="77777777" w:rsidR="00052596" w:rsidRDefault="00000000">
            <w:pPr>
              <w:overflowPunct w:val="0"/>
              <w:spacing w:line="300" w:lineRule="exact"/>
              <w:jc w:val="center"/>
              <w:rPr>
                <w:rFonts w:eastAsia="標楷體"/>
                <w:kern w:val="0"/>
              </w:rPr>
            </w:pPr>
            <w:r>
              <w:rPr>
                <w:rFonts w:eastAsia="標楷體"/>
                <w:kern w:val="0"/>
              </w:rPr>
              <w:t>-20</w:t>
            </w:r>
          </w:p>
        </w:tc>
      </w:tr>
      <w:tr w:rsidR="00052596" w14:paraId="75EC6E00" w14:textId="77777777">
        <w:tblPrEx>
          <w:tblCellMar>
            <w:top w:w="0" w:type="dxa"/>
            <w:bottom w:w="0" w:type="dxa"/>
          </w:tblCellMar>
        </w:tblPrEx>
        <w:tc>
          <w:tcPr>
            <w:tcW w:w="145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4A1B33F" w14:textId="77777777" w:rsidR="00052596" w:rsidRDefault="00000000">
            <w:pPr>
              <w:overflowPunct w:val="0"/>
              <w:spacing w:line="300" w:lineRule="exact"/>
              <w:jc w:val="center"/>
              <w:rPr>
                <w:rFonts w:eastAsia="標楷體"/>
                <w:kern w:val="0"/>
              </w:rPr>
            </w:pPr>
            <w:r>
              <w:rPr>
                <w:rFonts w:eastAsia="標楷體"/>
                <w:kern w:val="0"/>
              </w:rPr>
              <w:t>烏克蘭</w:t>
            </w:r>
          </w:p>
        </w:tc>
        <w:tc>
          <w:tcPr>
            <w:tcW w:w="333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64C2F" w14:textId="77777777" w:rsidR="00052596" w:rsidRDefault="00000000">
            <w:pPr>
              <w:overflowPunct w:val="0"/>
              <w:spacing w:line="300" w:lineRule="exact"/>
              <w:jc w:val="center"/>
              <w:rPr>
                <w:rFonts w:eastAsia="標楷體"/>
                <w:kern w:val="0"/>
              </w:rPr>
            </w:pPr>
            <w:r>
              <w:rPr>
                <w:rFonts w:eastAsia="標楷體"/>
                <w:kern w:val="0"/>
              </w:rPr>
              <w:t>0</w:t>
            </w:r>
          </w:p>
        </w:tc>
        <w:tc>
          <w:tcPr>
            <w:tcW w:w="3919" w:type="dxa"/>
            <w:tcBorders>
              <w:left w:val="single" w:sz="4" w:space="0" w:color="000000"/>
              <w:bottom w:val="single" w:sz="4" w:space="0" w:color="000000"/>
            </w:tcBorders>
            <w:shd w:val="clear" w:color="auto" w:fill="auto"/>
            <w:tcMar>
              <w:top w:w="0" w:type="dxa"/>
              <w:left w:w="108" w:type="dxa"/>
              <w:bottom w:w="0" w:type="dxa"/>
              <w:right w:w="108" w:type="dxa"/>
            </w:tcMar>
          </w:tcPr>
          <w:p w14:paraId="018567D1" w14:textId="77777777" w:rsidR="00052596" w:rsidRDefault="00000000">
            <w:pPr>
              <w:overflowPunct w:val="0"/>
              <w:spacing w:line="300" w:lineRule="exact"/>
              <w:jc w:val="center"/>
              <w:rPr>
                <w:rFonts w:eastAsia="標楷體"/>
                <w:kern w:val="0"/>
              </w:rPr>
            </w:pPr>
            <w:r>
              <w:rPr>
                <w:rFonts w:eastAsia="標楷體"/>
                <w:kern w:val="0"/>
              </w:rPr>
              <w:t>-24</w:t>
            </w:r>
          </w:p>
        </w:tc>
      </w:tr>
      <w:tr w:rsidR="00052596" w14:paraId="72364B24" w14:textId="77777777">
        <w:tblPrEx>
          <w:tblCellMar>
            <w:top w:w="0" w:type="dxa"/>
            <w:bottom w:w="0" w:type="dxa"/>
          </w:tblCellMar>
        </w:tblPrEx>
        <w:tc>
          <w:tcPr>
            <w:tcW w:w="14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4F53C" w14:textId="77777777" w:rsidR="00052596" w:rsidRDefault="00000000">
            <w:pPr>
              <w:overflowPunct w:val="0"/>
              <w:spacing w:line="300" w:lineRule="exact"/>
              <w:jc w:val="center"/>
              <w:rPr>
                <w:rFonts w:eastAsia="標楷體"/>
                <w:kern w:val="0"/>
              </w:rPr>
            </w:pPr>
            <w:r>
              <w:rPr>
                <w:rFonts w:eastAsia="標楷體"/>
                <w:kern w:val="0"/>
              </w:rPr>
              <w:t>加拿大</w:t>
            </w:r>
          </w:p>
        </w:tc>
        <w:tc>
          <w:tcPr>
            <w:tcW w:w="3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0A7C9" w14:textId="77777777" w:rsidR="00052596" w:rsidRDefault="00000000">
            <w:pPr>
              <w:overflowPunct w:val="0"/>
              <w:spacing w:line="300" w:lineRule="exact"/>
              <w:jc w:val="center"/>
              <w:rPr>
                <w:rFonts w:eastAsia="標楷體"/>
                <w:kern w:val="0"/>
              </w:rPr>
            </w:pPr>
            <w:r>
              <w:rPr>
                <w:rFonts w:eastAsia="標楷體"/>
                <w:kern w:val="0"/>
              </w:rPr>
              <w:t>-6</w:t>
            </w:r>
          </w:p>
        </w:tc>
        <w:tc>
          <w:tcPr>
            <w:tcW w:w="39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B18B34" w14:textId="77777777" w:rsidR="00052596" w:rsidRDefault="00000000">
            <w:pPr>
              <w:overflowPunct w:val="0"/>
              <w:spacing w:line="300" w:lineRule="exact"/>
              <w:rPr>
                <w:rFonts w:eastAsia="標楷體"/>
                <w:spacing w:val="-2"/>
                <w:kern w:val="0"/>
              </w:rPr>
            </w:pPr>
            <w:r>
              <w:rPr>
                <w:rFonts w:eastAsia="標楷體"/>
                <w:spacing w:val="-2"/>
                <w:kern w:val="0"/>
              </w:rPr>
              <w:t>2011</w:t>
            </w:r>
            <w:r>
              <w:rPr>
                <w:rFonts w:eastAsia="標楷體"/>
                <w:spacing w:val="-2"/>
                <w:kern w:val="0"/>
              </w:rPr>
              <w:t>年</w:t>
            </w:r>
            <w:r>
              <w:rPr>
                <w:rFonts w:eastAsia="標楷體"/>
                <w:spacing w:val="-2"/>
                <w:kern w:val="0"/>
              </w:rPr>
              <w:t>12</w:t>
            </w:r>
            <w:r>
              <w:rPr>
                <w:rFonts w:eastAsia="標楷體"/>
                <w:spacing w:val="-2"/>
                <w:kern w:val="0"/>
              </w:rPr>
              <w:t>月以書面正式表示退出京都議定書，並於</w:t>
            </w:r>
            <w:r>
              <w:rPr>
                <w:rFonts w:eastAsia="標楷體"/>
                <w:spacing w:val="-2"/>
                <w:kern w:val="0"/>
              </w:rPr>
              <w:t>2012</w:t>
            </w:r>
            <w:r>
              <w:rPr>
                <w:rFonts w:eastAsia="標楷體"/>
                <w:spacing w:val="-2"/>
                <w:kern w:val="0"/>
              </w:rPr>
              <w:t>年</w:t>
            </w:r>
            <w:r>
              <w:rPr>
                <w:rFonts w:eastAsia="標楷體"/>
                <w:spacing w:val="-2"/>
                <w:kern w:val="0"/>
              </w:rPr>
              <w:t>12</w:t>
            </w:r>
            <w:r>
              <w:rPr>
                <w:rFonts w:eastAsia="標楷體"/>
                <w:spacing w:val="-2"/>
                <w:kern w:val="0"/>
              </w:rPr>
              <w:t>月生效</w:t>
            </w:r>
          </w:p>
        </w:tc>
      </w:tr>
      <w:tr w:rsidR="00052596" w14:paraId="13D4F58E" w14:textId="77777777">
        <w:tblPrEx>
          <w:tblCellMar>
            <w:top w:w="0" w:type="dxa"/>
            <w:bottom w:w="0" w:type="dxa"/>
          </w:tblCellMar>
        </w:tblPrEx>
        <w:tc>
          <w:tcPr>
            <w:tcW w:w="14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D8AA8" w14:textId="77777777" w:rsidR="00052596" w:rsidRDefault="00000000">
            <w:pPr>
              <w:overflowPunct w:val="0"/>
              <w:spacing w:line="300" w:lineRule="exact"/>
              <w:jc w:val="center"/>
              <w:rPr>
                <w:rFonts w:eastAsia="標楷體"/>
                <w:kern w:val="0"/>
              </w:rPr>
            </w:pPr>
            <w:r>
              <w:rPr>
                <w:rFonts w:eastAsia="標楷體"/>
                <w:kern w:val="0"/>
              </w:rPr>
              <w:t>日本</w:t>
            </w:r>
          </w:p>
        </w:tc>
        <w:tc>
          <w:tcPr>
            <w:tcW w:w="3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D1C22" w14:textId="77777777" w:rsidR="00052596" w:rsidRDefault="00000000">
            <w:pPr>
              <w:overflowPunct w:val="0"/>
              <w:spacing w:line="300" w:lineRule="exact"/>
              <w:jc w:val="center"/>
              <w:rPr>
                <w:rFonts w:eastAsia="標楷體"/>
                <w:kern w:val="0"/>
              </w:rPr>
            </w:pPr>
            <w:r>
              <w:rPr>
                <w:rFonts w:eastAsia="標楷體"/>
                <w:kern w:val="0"/>
              </w:rPr>
              <w:t>-6</w:t>
            </w:r>
          </w:p>
        </w:tc>
        <w:tc>
          <w:tcPr>
            <w:tcW w:w="39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5D1AAB" w14:textId="77777777" w:rsidR="00052596" w:rsidRDefault="00000000">
            <w:pPr>
              <w:overflowPunct w:val="0"/>
              <w:spacing w:line="300" w:lineRule="exact"/>
              <w:rPr>
                <w:rFonts w:eastAsia="標楷體"/>
                <w:spacing w:val="-2"/>
                <w:kern w:val="0"/>
              </w:rPr>
            </w:pPr>
            <w:r>
              <w:rPr>
                <w:rFonts w:eastAsia="標楷體"/>
                <w:spacing w:val="-2"/>
                <w:kern w:val="0"/>
              </w:rPr>
              <w:t>未承諾，</w:t>
            </w:r>
            <w:r>
              <w:rPr>
                <w:rFonts w:eastAsia="標楷體"/>
                <w:spacing w:val="-2"/>
                <w:kern w:val="0"/>
              </w:rPr>
              <w:t>2010</w:t>
            </w:r>
            <w:r>
              <w:rPr>
                <w:rFonts w:eastAsia="標楷體"/>
                <w:spacing w:val="-2"/>
                <w:kern w:val="0"/>
              </w:rPr>
              <w:t>年</w:t>
            </w:r>
            <w:r>
              <w:rPr>
                <w:rFonts w:eastAsia="標楷體"/>
                <w:spacing w:val="-2"/>
                <w:kern w:val="0"/>
              </w:rPr>
              <w:t>12</w:t>
            </w:r>
            <w:r>
              <w:rPr>
                <w:rFonts w:eastAsia="標楷體"/>
                <w:spacing w:val="-2"/>
                <w:kern w:val="0"/>
              </w:rPr>
              <w:t>月表示無意承擔京都議定書</w:t>
            </w:r>
            <w:r>
              <w:rPr>
                <w:rFonts w:eastAsia="標楷體"/>
                <w:spacing w:val="-2"/>
                <w:kern w:val="0"/>
              </w:rPr>
              <w:t>2012</w:t>
            </w:r>
            <w:r>
              <w:rPr>
                <w:rFonts w:eastAsia="標楷體"/>
                <w:spacing w:val="-2"/>
                <w:kern w:val="0"/>
              </w:rPr>
              <w:t>年後第</w:t>
            </w:r>
            <w:r>
              <w:rPr>
                <w:rFonts w:eastAsia="標楷體"/>
                <w:spacing w:val="-2"/>
                <w:kern w:val="0"/>
              </w:rPr>
              <w:t>2</w:t>
            </w:r>
            <w:r>
              <w:rPr>
                <w:rFonts w:eastAsia="標楷體"/>
                <w:spacing w:val="-2"/>
                <w:kern w:val="0"/>
              </w:rPr>
              <w:t>期減排義務</w:t>
            </w:r>
          </w:p>
        </w:tc>
      </w:tr>
      <w:tr w:rsidR="00052596" w14:paraId="56477BA3" w14:textId="77777777">
        <w:tblPrEx>
          <w:tblCellMar>
            <w:top w:w="0" w:type="dxa"/>
            <w:bottom w:w="0" w:type="dxa"/>
          </w:tblCellMar>
        </w:tblPrEx>
        <w:tc>
          <w:tcPr>
            <w:tcW w:w="14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CFD7C" w14:textId="77777777" w:rsidR="00052596" w:rsidRDefault="00000000">
            <w:pPr>
              <w:overflowPunct w:val="0"/>
              <w:spacing w:line="300" w:lineRule="exact"/>
              <w:jc w:val="center"/>
              <w:rPr>
                <w:rFonts w:eastAsia="標楷體"/>
                <w:kern w:val="0"/>
              </w:rPr>
            </w:pPr>
            <w:r>
              <w:rPr>
                <w:rFonts w:eastAsia="標楷體"/>
                <w:kern w:val="0"/>
              </w:rPr>
              <w:lastRenderedPageBreak/>
              <w:t>紐西蘭</w:t>
            </w:r>
          </w:p>
        </w:tc>
        <w:tc>
          <w:tcPr>
            <w:tcW w:w="3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56108" w14:textId="77777777" w:rsidR="00052596" w:rsidRDefault="00000000">
            <w:pPr>
              <w:overflowPunct w:val="0"/>
              <w:spacing w:line="300" w:lineRule="exact"/>
              <w:jc w:val="center"/>
              <w:rPr>
                <w:rFonts w:eastAsia="標楷體"/>
                <w:kern w:val="0"/>
              </w:rPr>
            </w:pPr>
            <w:r>
              <w:rPr>
                <w:rFonts w:eastAsia="標楷體"/>
                <w:kern w:val="0"/>
              </w:rPr>
              <w:t>0</w:t>
            </w:r>
          </w:p>
        </w:tc>
        <w:tc>
          <w:tcPr>
            <w:tcW w:w="39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98216F" w14:textId="77777777" w:rsidR="00052596" w:rsidRDefault="00000000">
            <w:pPr>
              <w:overflowPunct w:val="0"/>
              <w:spacing w:line="300" w:lineRule="exact"/>
              <w:rPr>
                <w:rFonts w:eastAsia="標楷體"/>
                <w:spacing w:val="-2"/>
                <w:kern w:val="0"/>
              </w:rPr>
            </w:pPr>
            <w:r>
              <w:rPr>
                <w:rFonts w:eastAsia="標楷體"/>
                <w:spacing w:val="-2"/>
                <w:kern w:val="0"/>
              </w:rPr>
              <w:t>未承諾，僅同意依氣候變化綱要公約制訂</w:t>
            </w:r>
            <w:r>
              <w:rPr>
                <w:rFonts w:eastAsia="標楷體"/>
                <w:spacing w:val="-2"/>
                <w:kern w:val="0"/>
              </w:rPr>
              <w:t>2013-2020</w:t>
            </w:r>
            <w:r>
              <w:rPr>
                <w:rFonts w:eastAsia="標楷體"/>
                <w:spacing w:val="-2"/>
                <w:kern w:val="0"/>
              </w:rPr>
              <w:t>年減排目標</w:t>
            </w:r>
          </w:p>
        </w:tc>
      </w:tr>
      <w:tr w:rsidR="00052596" w14:paraId="5769E32A" w14:textId="77777777">
        <w:tblPrEx>
          <w:tblCellMar>
            <w:top w:w="0" w:type="dxa"/>
            <w:bottom w:w="0" w:type="dxa"/>
          </w:tblCellMar>
        </w:tblPrEx>
        <w:tc>
          <w:tcPr>
            <w:tcW w:w="14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EDAA" w14:textId="77777777" w:rsidR="00052596" w:rsidRDefault="00000000">
            <w:pPr>
              <w:overflowPunct w:val="0"/>
              <w:spacing w:line="300" w:lineRule="exact"/>
              <w:jc w:val="center"/>
              <w:rPr>
                <w:rFonts w:eastAsia="標楷體"/>
                <w:kern w:val="0"/>
              </w:rPr>
            </w:pPr>
            <w:r>
              <w:rPr>
                <w:rFonts w:eastAsia="標楷體"/>
                <w:kern w:val="0"/>
              </w:rPr>
              <w:t>俄羅斯</w:t>
            </w:r>
          </w:p>
        </w:tc>
        <w:tc>
          <w:tcPr>
            <w:tcW w:w="3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0573E" w14:textId="77777777" w:rsidR="00052596" w:rsidRDefault="00000000">
            <w:pPr>
              <w:overflowPunct w:val="0"/>
              <w:spacing w:line="300" w:lineRule="exact"/>
              <w:jc w:val="center"/>
              <w:rPr>
                <w:rFonts w:eastAsia="標楷體"/>
                <w:kern w:val="0"/>
              </w:rPr>
            </w:pPr>
            <w:r>
              <w:rPr>
                <w:rFonts w:eastAsia="標楷體"/>
                <w:kern w:val="0"/>
              </w:rPr>
              <w:t>0</w:t>
            </w:r>
          </w:p>
        </w:tc>
        <w:tc>
          <w:tcPr>
            <w:tcW w:w="39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AFC01D" w14:textId="77777777" w:rsidR="00052596" w:rsidRDefault="00000000">
            <w:pPr>
              <w:overflowPunct w:val="0"/>
              <w:spacing w:line="300" w:lineRule="exact"/>
              <w:rPr>
                <w:rFonts w:eastAsia="標楷體"/>
                <w:spacing w:val="-2"/>
                <w:kern w:val="0"/>
              </w:rPr>
            </w:pPr>
            <w:r>
              <w:rPr>
                <w:rFonts w:eastAsia="標楷體"/>
                <w:spacing w:val="-2"/>
                <w:kern w:val="0"/>
              </w:rPr>
              <w:t>未承諾，</w:t>
            </w:r>
            <w:r>
              <w:rPr>
                <w:rFonts w:eastAsia="標楷體"/>
                <w:spacing w:val="-2"/>
                <w:kern w:val="0"/>
              </w:rPr>
              <w:t>2010</w:t>
            </w:r>
            <w:r>
              <w:rPr>
                <w:rFonts w:eastAsia="標楷體"/>
                <w:spacing w:val="-2"/>
                <w:kern w:val="0"/>
              </w:rPr>
              <w:t>年</w:t>
            </w:r>
            <w:r>
              <w:rPr>
                <w:rFonts w:eastAsia="標楷體"/>
                <w:spacing w:val="-2"/>
                <w:kern w:val="0"/>
              </w:rPr>
              <w:t>12</w:t>
            </w:r>
            <w:r>
              <w:rPr>
                <w:rFonts w:eastAsia="標楷體"/>
                <w:spacing w:val="-2"/>
                <w:kern w:val="0"/>
              </w:rPr>
              <w:t>月表示無意承擔京都議定書</w:t>
            </w:r>
            <w:r>
              <w:rPr>
                <w:rFonts w:eastAsia="標楷體"/>
                <w:spacing w:val="-2"/>
                <w:kern w:val="0"/>
              </w:rPr>
              <w:t>2012</w:t>
            </w:r>
            <w:r>
              <w:rPr>
                <w:rFonts w:eastAsia="標楷體"/>
                <w:spacing w:val="-2"/>
                <w:kern w:val="0"/>
              </w:rPr>
              <w:t>年後第</w:t>
            </w:r>
            <w:r>
              <w:rPr>
                <w:rFonts w:eastAsia="標楷體"/>
                <w:spacing w:val="-2"/>
                <w:kern w:val="0"/>
              </w:rPr>
              <w:t>2</w:t>
            </w:r>
            <w:r>
              <w:rPr>
                <w:rFonts w:eastAsia="標楷體"/>
                <w:spacing w:val="-2"/>
                <w:kern w:val="0"/>
              </w:rPr>
              <w:t>期減排義務</w:t>
            </w:r>
          </w:p>
        </w:tc>
      </w:tr>
    </w:tbl>
    <w:p w14:paraId="143C98CE"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444" w:hanging="228"/>
        <w:jc w:val="both"/>
        <w:textAlignment w:val="center"/>
      </w:pPr>
      <w:r>
        <w:rPr>
          <w:rFonts w:eastAsia="標楷體"/>
          <w:spacing w:val="4"/>
          <w:kern w:val="0"/>
          <w:sz w:val="22"/>
          <w:szCs w:val="22"/>
        </w:rPr>
        <w:t>資料來源：</w:t>
      </w:r>
      <w:r>
        <w:rPr>
          <w:rFonts w:eastAsia="標楷體"/>
          <w:spacing w:val="4"/>
          <w:kern w:val="0"/>
          <w:sz w:val="22"/>
          <w:szCs w:val="22"/>
        </w:rPr>
        <w:t>2012</w:t>
      </w:r>
      <w:r>
        <w:rPr>
          <w:rFonts w:eastAsia="標楷體"/>
          <w:spacing w:val="4"/>
          <w:kern w:val="0"/>
          <w:sz w:val="22"/>
          <w:szCs w:val="22"/>
        </w:rPr>
        <w:t>年</w:t>
      </w:r>
      <w:r>
        <w:rPr>
          <w:rFonts w:eastAsia="標楷體"/>
          <w:spacing w:val="4"/>
          <w:kern w:val="0"/>
          <w:sz w:val="22"/>
          <w:szCs w:val="22"/>
        </w:rPr>
        <w:t>12</w:t>
      </w:r>
      <w:r>
        <w:rPr>
          <w:rFonts w:eastAsia="標楷體"/>
          <w:spacing w:val="4"/>
          <w:kern w:val="0"/>
          <w:sz w:val="22"/>
          <w:szCs w:val="22"/>
        </w:rPr>
        <w:t>月</w:t>
      </w:r>
      <w:r>
        <w:rPr>
          <w:rFonts w:eastAsia="標楷體"/>
          <w:spacing w:val="4"/>
          <w:kern w:val="0"/>
          <w:sz w:val="22"/>
          <w:szCs w:val="22"/>
        </w:rPr>
        <w:t>COP18/CMP8</w:t>
      </w:r>
      <w:r>
        <w:rPr>
          <w:rFonts w:eastAsia="標楷體"/>
          <w:spacing w:val="4"/>
          <w:kern w:val="0"/>
          <w:sz w:val="22"/>
          <w:szCs w:val="22"/>
        </w:rPr>
        <w:t>會議決議文件。</w:t>
      </w:r>
    </w:p>
    <w:tbl>
      <w:tblPr>
        <w:tblW w:w="8534" w:type="dxa"/>
        <w:tblInd w:w="187" w:type="dxa"/>
        <w:tblCellMar>
          <w:left w:w="10" w:type="dxa"/>
          <w:right w:w="10" w:type="dxa"/>
        </w:tblCellMar>
        <w:tblLook w:val="04A0" w:firstRow="1" w:lastRow="0" w:firstColumn="1" w:lastColumn="0" w:noHBand="0" w:noVBand="1"/>
      </w:tblPr>
      <w:tblGrid>
        <w:gridCol w:w="8534"/>
      </w:tblGrid>
      <w:tr w:rsidR="00052596" w14:paraId="7EEC4306" w14:textId="77777777">
        <w:tblPrEx>
          <w:tblCellMar>
            <w:top w:w="0" w:type="dxa"/>
            <w:bottom w:w="0" w:type="dxa"/>
          </w:tblCellMar>
        </w:tblPrEx>
        <w:trPr>
          <w:trHeight w:val="9434"/>
        </w:trPr>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EC271" w14:textId="77777777" w:rsidR="00052596" w:rsidRDefault="00000000">
            <w:pPr>
              <w:tabs>
                <w:tab w:val="left" w:pos="960"/>
                <w:tab w:val="left" w:pos="1920"/>
                <w:tab w:val="left" w:pos="2880"/>
                <w:tab w:val="left" w:pos="3840"/>
                <w:tab w:val="left" w:pos="4800"/>
                <w:tab w:val="left" w:pos="5760"/>
              </w:tabs>
              <w:spacing w:before="240" w:after="240" w:line="380" w:lineRule="exact"/>
              <w:ind w:left="283" w:hanging="283"/>
              <w:jc w:val="center"/>
            </w:pPr>
            <w:r>
              <w:rPr>
                <w:rFonts w:ascii="新細明體" w:hAnsi="新細明體"/>
                <w:b/>
                <w:bCs/>
                <w:color w:val="0000FF"/>
                <w:spacing w:val="8"/>
                <w:kern w:val="0"/>
              </w:rPr>
              <w:t>地球升溫4℃的浩劫</w:t>
            </w:r>
          </w:p>
          <w:p w14:paraId="78365E4F" w14:textId="77777777" w:rsidR="00052596" w:rsidRDefault="00000000">
            <w:pPr>
              <w:overflowPunct w:val="0"/>
              <w:autoSpaceDE w:val="0"/>
              <w:spacing w:before="24" w:after="24" w:line="36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世界銀行（World Bank）於2012年11月出版之「降溫－為何要避免地球升溫4℃」(Turn Down Heat－Why a 4℃ Warmer World Must be Avoided)報告中指出，即便各國政府履行承諾，推動各項節能減碳政策，2100年地球溫度仍可能較18世紀工業化前提高3℃，甚至有20%的機會超過4℃。若地球升溫4℃，將帶來不可逆的生態浩劫。</w:t>
            </w:r>
          </w:p>
          <w:p w14:paraId="58CD073E" w14:textId="77777777" w:rsidR="00052596" w:rsidRDefault="00000000">
            <w:pPr>
              <w:overflowPunct w:val="0"/>
              <w:autoSpaceDE w:val="0"/>
              <w:spacing w:before="24" w:after="24" w:line="360" w:lineRule="exact"/>
              <w:ind w:left="332" w:right="240" w:hanging="260"/>
              <w:jc w:val="both"/>
              <w:textAlignment w:val="center"/>
              <w:rPr>
                <w:rFonts w:ascii="新細明體" w:hAnsi="新細明體"/>
                <w:bCs/>
                <w:spacing w:val="8"/>
                <w:kern w:val="0"/>
                <w:sz w:val="22"/>
                <w:szCs w:val="22"/>
              </w:rPr>
            </w:pPr>
            <w:r>
              <w:rPr>
                <w:rFonts w:ascii="新細明體" w:hAnsi="新細明體"/>
                <w:bCs/>
                <w:spacing w:val="8"/>
                <w:kern w:val="0"/>
                <w:sz w:val="22"/>
                <w:szCs w:val="22"/>
              </w:rPr>
              <w:t>－各地區升溫程度並不一致，升溫最高可能會達10℃：南美熱帶、中非洲及太平洋熱帶小島等地區，2100年最冷月份溫度將超過20世紀末最熱月份溫度，熱浪強度與發生期間都將持續增加，將導致森林火災、林地減少。</w:t>
            </w:r>
          </w:p>
          <w:p w14:paraId="4C9BA9D1" w14:textId="77777777" w:rsidR="00052596" w:rsidRDefault="00000000">
            <w:pPr>
              <w:overflowPunct w:val="0"/>
              <w:autoSpaceDE w:val="0"/>
              <w:spacing w:before="24" w:after="24" w:line="360" w:lineRule="exact"/>
              <w:ind w:left="332" w:right="240" w:hanging="260"/>
              <w:jc w:val="both"/>
              <w:textAlignment w:val="center"/>
              <w:rPr>
                <w:rFonts w:ascii="新細明體" w:hAnsi="新細明體"/>
                <w:bCs/>
                <w:spacing w:val="8"/>
                <w:kern w:val="0"/>
                <w:sz w:val="22"/>
                <w:szCs w:val="22"/>
              </w:rPr>
            </w:pPr>
            <w:r>
              <w:rPr>
                <w:rFonts w:ascii="新細明體" w:hAnsi="新細明體"/>
                <w:bCs/>
                <w:spacing w:val="8"/>
                <w:kern w:val="0"/>
                <w:sz w:val="22"/>
                <w:szCs w:val="22"/>
              </w:rPr>
              <w:t>－海水酸性將大幅上升：2030年珊瑚將停止生長，2060年許多地區珊瑚開始消失，2100年海水酸性將上升150%，導致珊瑚滅絕，魚類等海洋生物因為缺乏棲息地，也將死亡。</w:t>
            </w:r>
          </w:p>
          <w:p w14:paraId="0ACE9E08" w14:textId="77777777" w:rsidR="00052596" w:rsidRDefault="00000000">
            <w:pPr>
              <w:overflowPunct w:val="0"/>
              <w:autoSpaceDE w:val="0"/>
              <w:spacing w:before="24" w:after="24" w:line="360" w:lineRule="exact"/>
              <w:ind w:left="332" w:right="240" w:hanging="260"/>
              <w:jc w:val="both"/>
              <w:textAlignment w:val="center"/>
              <w:rPr>
                <w:rFonts w:ascii="新細明體" w:hAnsi="新細明體"/>
                <w:bCs/>
                <w:spacing w:val="8"/>
                <w:kern w:val="0"/>
                <w:sz w:val="22"/>
                <w:szCs w:val="22"/>
              </w:rPr>
            </w:pPr>
            <w:r>
              <w:rPr>
                <w:rFonts w:ascii="新細明體" w:hAnsi="新細明體"/>
                <w:bCs/>
                <w:spacing w:val="8"/>
                <w:kern w:val="0"/>
                <w:sz w:val="22"/>
                <w:szCs w:val="22"/>
              </w:rPr>
              <w:t>－海平面將持續升高：2100年海平面將上升0.5～1公尺，2300年將上升1.5～4公尺。其中，極地冰層溶解後將被地心引力牽引至赤道，低緯度地區海水上升幅度較高緯度地區高20%，如莫三比克、馬達加斯加、墨西哥、委內瑞拉、印度、印尼等國家受害程度將最為嚴重。</w:t>
            </w:r>
          </w:p>
          <w:p w14:paraId="339149FC" w14:textId="77777777" w:rsidR="00052596" w:rsidRDefault="00000000">
            <w:pPr>
              <w:overflowPunct w:val="0"/>
              <w:autoSpaceDE w:val="0"/>
              <w:spacing w:before="24" w:after="24" w:line="360" w:lineRule="exact"/>
              <w:ind w:left="332" w:right="240" w:hanging="260"/>
              <w:jc w:val="both"/>
              <w:textAlignment w:val="center"/>
              <w:rPr>
                <w:rFonts w:ascii="新細明體" w:hAnsi="新細明體"/>
                <w:bCs/>
                <w:spacing w:val="8"/>
                <w:kern w:val="0"/>
                <w:sz w:val="22"/>
                <w:szCs w:val="22"/>
              </w:rPr>
            </w:pPr>
            <w:r>
              <w:rPr>
                <w:rFonts w:ascii="新細明體" w:hAnsi="新細明體"/>
                <w:bCs/>
                <w:spacing w:val="8"/>
                <w:kern w:val="0"/>
                <w:sz w:val="22"/>
                <w:szCs w:val="22"/>
              </w:rPr>
              <w:t>－豪雨與乾旱發生頻率將大幅增加：北非、西非、中東、南亞等地缺水問題將極度惡化，尼羅河與恆河流域雨季時將造成洪水氾濫，颱風、颶風強度亦將增加。</w:t>
            </w:r>
          </w:p>
          <w:p w14:paraId="67D02169" w14:textId="77777777" w:rsidR="00052596" w:rsidRDefault="00000000">
            <w:pPr>
              <w:overflowPunct w:val="0"/>
              <w:autoSpaceDE w:val="0"/>
              <w:spacing w:before="24" w:after="24" w:line="360" w:lineRule="exact"/>
              <w:ind w:left="332" w:right="240" w:hanging="260"/>
              <w:jc w:val="both"/>
              <w:textAlignment w:val="center"/>
              <w:rPr>
                <w:rFonts w:ascii="新細明體" w:hAnsi="新細明體"/>
                <w:bCs/>
                <w:spacing w:val="8"/>
                <w:kern w:val="0"/>
                <w:sz w:val="22"/>
                <w:szCs w:val="22"/>
              </w:rPr>
            </w:pPr>
            <w:r>
              <w:rPr>
                <w:rFonts w:ascii="新細明體" w:hAnsi="新細明體"/>
                <w:bCs/>
                <w:spacing w:val="8"/>
                <w:kern w:val="0"/>
                <w:sz w:val="22"/>
                <w:szCs w:val="22"/>
              </w:rPr>
              <w:t>－氣候變遷加劇，影響各地降雨量：出現低緯度地區降雨減少、高緯度地區降雨增加的現象，孟加拉、埃及、越南、非洲海岸等地區將出現糧荒，並進一步導致傳染病發生與貧窮惡化現象。</w:t>
            </w:r>
          </w:p>
          <w:p w14:paraId="369EA352" w14:textId="77777777" w:rsidR="00052596" w:rsidRDefault="00000000">
            <w:pPr>
              <w:overflowPunct w:val="0"/>
              <w:autoSpaceDE w:val="0"/>
              <w:spacing w:before="24" w:after="24" w:line="360" w:lineRule="exact"/>
              <w:ind w:left="1200" w:right="238" w:hanging="1080"/>
              <w:jc w:val="both"/>
              <w:textAlignment w:val="center"/>
            </w:pPr>
            <w:r>
              <w:rPr>
                <w:rFonts w:ascii="新細明體" w:hAnsi="新細明體"/>
                <w:color w:val="000000"/>
                <w:spacing w:val="-2"/>
                <w:kern w:val="0"/>
                <w:sz w:val="22"/>
                <w:szCs w:val="22"/>
              </w:rPr>
              <w:t>資料來源：World Bank,</w:t>
            </w:r>
            <w:r>
              <w:rPr>
                <w:rFonts w:ascii="新細明體" w:hAnsi="新細明體"/>
                <w:i/>
                <w:color w:val="000000"/>
                <w:spacing w:val="-2"/>
                <w:kern w:val="0"/>
                <w:sz w:val="22"/>
                <w:szCs w:val="22"/>
              </w:rPr>
              <w:t xml:space="preserve"> Turn Down Heat－Why a 4℃ Warmer World Must be Avoided </w:t>
            </w:r>
            <w:r>
              <w:rPr>
                <w:rFonts w:ascii="新細明體" w:hAnsi="新細明體"/>
                <w:color w:val="000000"/>
                <w:spacing w:val="-2"/>
                <w:kern w:val="0"/>
                <w:sz w:val="22"/>
                <w:szCs w:val="22"/>
              </w:rPr>
              <w:t>, Nov 2012.</w:t>
            </w:r>
          </w:p>
        </w:tc>
      </w:tr>
    </w:tbl>
    <w:p w14:paraId="48D42CE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ECB46CE"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pPr>
      <w:r>
        <w:rPr>
          <w:rFonts w:eastAsia="標楷體"/>
          <w:b/>
          <w:color w:val="0000FF"/>
          <w:spacing w:val="4"/>
          <w:kern w:val="0"/>
          <w:sz w:val="28"/>
          <w:szCs w:val="22"/>
        </w:rPr>
        <w:t>二、主要國家推動溫室氣體減排政策</w:t>
      </w:r>
    </w:p>
    <w:p w14:paraId="2767F8BF" w14:textId="77777777" w:rsidR="00052596" w:rsidRDefault="00000000">
      <w:pPr>
        <w:overflowPunct w:val="0"/>
        <w:autoSpaceDE w:val="0"/>
        <w:spacing w:line="420" w:lineRule="exact"/>
        <w:ind w:left="240" w:firstLine="576"/>
        <w:jc w:val="both"/>
        <w:textAlignment w:val="center"/>
      </w:pPr>
      <w:r>
        <w:rPr>
          <w:rFonts w:eastAsia="標楷體"/>
          <w:spacing w:val="4"/>
          <w:kern w:val="0"/>
          <w:sz w:val="28"/>
          <w:szCs w:val="26"/>
        </w:rPr>
        <w:t>世界銀行於「</w:t>
      </w:r>
      <w:r>
        <w:rPr>
          <w:rFonts w:eastAsia="標楷體"/>
          <w:spacing w:val="4"/>
          <w:kern w:val="0"/>
          <w:sz w:val="28"/>
          <w:szCs w:val="26"/>
        </w:rPr>
        <w:t>2012</w:t>
      </w:r>
      <w:r>
        <w:rPr>
          <w:rFonts w:eastAsia="標楷體"/>
          <w:spacing w:val="4"/>
          <w:kern w:val="0"/>
          <w:sz w:val="28"/>
          <w:szCs w:val="26"/>
        </w:rPr>
        <w:t>碳排放交易市場現況與趨勢」</w:t>
      </w:r>
      <w:r>
        <w:rPr>
          <w:rFonts w:ascii="標楷體" w:eastAsia="標楷體" w:hAnsi="標楷體"/>
          <w:spacing w:val="4"/>
          <w:kern w:val="0"/>
          <w:sz w:val="28"/>
          <w:szCs w:val="26"/>
        </w:rPr>
        <w:t>(</w:t>
      </w:r>
      <w:r>
        <w:rPr>
          <w:rFonts w:eastAsia="標楷體"/>
          <w:spacing w:val="4"/>
          <w:kern w:val="0"/>
          <w:sz w:val="28"/>
          <w:szCs w:val="26"/>
        </w:rPr>
        <w:t xml:space="preserve">State and </w:t>
      </w:r>
      <w:r>
        <w:rPr>
          <w:rFonts w:eastAsia="標楷體"/>
          <w:spacing w:val="4"/>
          <w:kern w:val="0"/>
          <w:sz w:val="28"/>
          <w:szCs w:val="26"/>
        </w:rPr>
        <w:lastRenderedPageBreak/>
        <w:t>Trends of Carbon Market 2012</w:t>
      </w:r>
      <w:r>
        <w:rPr>
          <w:rFonts w:ascii="標楷體" w:eastAsia="標楷體" w:hAnsi="標楷體"/>
          <w:spacing w:val="4"/>
          <w:kern w:val="0"/>
          <w:sz w:val="28"/>
          <w:szCs w:val="26"/>
        </w:rPr>
        <w:t>)</w:t>
      </w:r>
      <w:r>
        <w:rPr>
          <w:rFonts w:eastAsia="標楷體"/>
          <w:spacing w:val="4"/>
          <w:kern w:val="0"/>
          <w:sz w:val="28"/>
          <w:szCs w:val="26"/>
        </w:rPr>
        <w:t>報告中盤點近年各國所推動之節能減碳政策，京都議定書附件一及非附件一國家已有</w:t>
      </w:r>
      <w:r>
        <w:rPr>
          <w:rFonts w:eastAsia="標楷體"/>
          <w:spacing w:val="4"/>
          <w:kern w:val="0"/>
          <w:sz w:val="28"/>
          <w:szCs w:val="26"/>
        </w:rPr>
        <w:t>90</w:t>
      </w:r>
      <w:r>
        <w:rPr>
          <w:rFonts w:eastAsia="標楷體"/>
          <w:spacing w:val="4"/>
          <w:kern w:val="0"/>
          <w:sz w:val="28"/>
          <w:szCs w:val="26"/>
        </w:rPr>
        <w:t>國陸續訂定</w:t>
      </w:r>
      <w:r>
        <w:rPr>
          <w:rFonts w:eastAsia="標楷體"/>
          <w:spacing w:val="4"/>
          <w:kern w:val="0"/>
          <w:sz w:val="28"/>
          <w:szCs w:val="26"/>
        </w:rPr>
        <w:t>2020</w:t>
      </w:r>
      <w:r>
        <w:rPr>
          <w:rFonts w:eastAsia="標楷體"/>
          <w:spacing w:val="4"/>
          <w:kern w:val="0"/>
          <w:sz w:val="28"/>
          <w:szCs w:val="26"/>
        </w:rPr>
        <w:t>年溫室氣體減排目標，並規劃推動減排相關措施，其中以歐盟最為積極，將於</w:t>
      </w:r>
      <w:r>
        <w:rPr>
          <w:rFonts w:eastAsia="標楷體"/>
          <w:spacing w:val="4"/>
          <w:kern w:val="0"/>
          <w:sz w:val="28"/>
          <w:szCs w:val="26"/>
        </w:rPr>
        <w:t>2013</w:t>
      </w:r>
      <w:r>
        <w:rPr>
          <w:rFonts w:eastAsia="標楷體"/>
          <w:spacing w:val="4"/>
          <w:kern w:val="0"/>
          <w:sz w:val="28"/>
          <w:szCs w:val="26"/>
        </w:rPr>
        <w:t>年起推動第</w:t>
      </w:r>
      <w:r>
        <w:rPr>
          <w:rFonts w:eastAsia="標楷體"/>
          <w:spacing w:val="4"/>
          <w:kern w:val="0"/>
          <w:sz w:val="28"/>
          <w:szCs w:val="26"/>
        </w:rPr>
        <w:t>3</w:t>
      </w:r>
      <w:r>
        <w:rPr>
          <w:rFonts w:eastAsia="標楷體"/>
          <w:spacing w:val="4"/>
          <w:kern w:val="0"/>
          <w:sz w:val="28"/>
          <w:szCs w:val="26"/>
        </w:rPr>
        <w:t>期總量管制計畫。</w:t>
      </w:r>
    </w:p>
    <w:p w14:paraId="5ABE7B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(一)京都議定書附件一國家</w:t>
      </w:r>
    </w:p>
    <w:p w14:paraId="58A014B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－歐盟：</w:t>
      </w:r>
      <w:r>
        <w:rPr>
          <w:rFonts w:eastAsia="標楷體"/>
          <w:spacing w:val="4"/>
          <w:kern w:val="0"/>
          <w:sz w:val="28"/>
          <w:szCs w:val="26"/>
        </w:rPr>
        <w:t>2010</w:t>
      </w:r>
      <w:r>
        <w:rPr>
          <w:rFonts w:eastAsia="標楷體"/>
          <w:spacing w:val="4"/>
          <w:kern w:val="0"/>
          <w:sz w:val="28"/>
          <w:szCs w:val="26"/>
        </w:rPr>
        <w:t>年</w:t>
      </w:r>
      <w:r>
        <w:rPr>
          <w:rFonts w:eastAsia="標楷體"/>
          <w:spacing w:val="4"/>
          <w:kern w:val="0"/>
          <w:sz w:val="28"/>
          <w:szCs w:val="26"/>
        </w:rPr>
        <w:t>3</w:t>
      </w:r>
      <w:r>
        <w:rPr>
          <w:rFonts w:eastAsia="標楷體"/>
          <w:spacing w:val="4"/>
          <w:kern w:val="0"/>
          <w:sz w:val="28"/>
          <w:szCs w:val="26"/>
        </w:rPr>
        <w:t>月發布「</w:t>
      </w:r>
      <w:r>
        <w:rPr>
          <w:rFonts w:eastAsia="標楷體"/>
          <w:spacing w:val="4"/>
          <w:kern w:val="0"/>
          <w:sz w:val="28"/>
          <w:szCs w:val="26"/>
        </w:rPr>
        <w:t>EUROPE 2020</w:t>
      </w:r>
      <w:r>
        <w:rPr>
          <w:rFonts w:eastAsia="標楷體"/>
          <w:spacing w:val="4"/>
          <w:kern w:val="0"/>
          <w:sz w:val="28"/>
          <w:szCs w:val="26"/>
        </w:rPr>
        <w:t>策略」，訂定</w:t>
      </w:r>
      <w:r>
        <w:rPr>
          <w:rFonts w:eastAsia="標楷體"/>
          <w:spacing w:val="4"/>
          <w:kern w:val="0"/>
          <w:sz w:val="28"/>
          <w:szCs w:val="26"/>
        </w:rPr>
        <w:t>2020</w:t>
      </w:r>
      <w:r>
        <w:rPr>
          <w:rFonts w:eastAsia="標楷體"/>
          <w:spacing w:val="4"/>
          <w:kern w:val="0"/>
          <w:sz w:val="28"/>
          <w:szCs w:val="26"/>
        </w:rPr>
        <w:t>年溫室氣體較</w:t>
      </w:r>
      <w:r>
        <w:rPr>
          <w:rFonts w:eastAsia="標楷體"/>
          <w:spacing w:val="4"/>
          <w:kern w:val="0"/>
          <w:sz w:val="28"/>
          <w:szCs w:val="26"/>
        </w:rPr>
        <w:t>1990</w:t>
      </w:r>
      <w:r>
        <w:rPr>
          <w:rFonts w:eastAsia="標楷體"/>
          <w:spacing w:val="4"/>
          <w:kern w:val="0"/>
          <w:sz w:val="28"/>
          <w:szCs w:val="26"/>
        </w:rPr>
        <w:t>年減排</w:t>
      </w:r>
      <w:r>
        <w:rPr>
          <w:rFonts w:eastAsia="標楷體"/>
          <w:spacing w:val="4"/>
          <w:kern w:val="0"/>
          <w:sz w:val="28"/>
          <w:szCs w:val="26"/>
        </w:rPr>
        <w:t>20</w:t>
      </w:r>
      <w:r>
        <w:rPr>
          <w:rFonts w:eastAsia="標楷體"/>
          <w:spacing w:val="4"/>
          <w:kern w:val="0"/>
          <w:sz w:val="28"/>
          <w:szCs w:val="26"/>
        </w:rPr>
        <w:t>至</w:t>
      </w:r>
      <w:r>
        <w:rPr>
          <w:rFonts w:eastAsia="標楷體"/>
          <w:spacing w:val="4"/>
          <w:kern w:val="0"/>
          <w:sz w:val="28"/>
          <w:szCs w:val="26"/>
        </w:rPr>
        <w:t>30%</w:t>
      </w:r>
      <w:r>
        <w:rPr>
          <w:rFonts w:eastAsia="標楷體"/>
          <w:spacing w:val="4"/>
          <w:kern w:val="0"/>
          <w:sz w:val="28"/>
          <w:szCs w:val="26"/>
        </w:rPr>
        <w:t>之目標，致力於增加潔淨能源使用、提升能源效率，以發展低碳經濟社會。</w:t>
      </w:r>
      <w:r>
        <w:rPr>
          <w:rFonts w:eastAsia="標楷體"/>
          <w:spacing w:val="4"/>
          <w:kern w:val="0"/>
          <w:sz w:val="28"/>
          <w:szCs w:val="26"/>
        </w:rPr>
        <w:t>2012</w:t>
      </w:r>
      <w:r>
        <w:rPr>
          <w:rFonts w:eastAsia="標楷體"/>
          <w:spacing w:val="4"/>
          <w:kern w:val="0"/>
          <w:sz w:val="28"/>
          <w:szCs w:val="26"/>
        </w:rPr>
        <w:t>年將進出歐洲的飛機納入歐盟碳排放交易機制</w:t>
      </w:r>
      <w:r>
        <w:rPr>
          <w:rFonts w:ascii="標楷體" w:eastAsia="標楷體" w:hAnsi="標楷體"/>
          <w:spacing w:val="4"/>
          <w:kern w:val="0"/>
          <w:sz w:val="28"/>
          <w:szCs w:val="26"/>
        </w:rPr>
        <w:t>(</w:t>
      </w:r>
      <w:r>
        <w:rPr>
          <w:rFonts w:eastAsia="標楷體"/>
          <w:spacing w:val="4"/>
          <w:kern w:val="0"/>
          <w:sz w:val="28"/>
          <w:szCs w:val="26"/>
        </w:rPr>
        <w:t>EU ETS</w:t>
      </w:r>
      <w:r>
        <w:rPr>
          <w:rFonts w:ascii="標楷體" w:eastAsia="標楷體" w:hAnsi="標楷體"/>
          <w:spacing w:val="4"/>
          <w:kern w:val="0"/>
          <w:sz w:val="28"/>
          <w:szCs w:val="26"/>
        </w:rPr>
        <w:t>)</w:t>
      </w:r>
      <w:r>
        <w:rPr>
          <w:rFonts w:eastAsia="標楷體"/>
          <w:spacing w:val="4"/>
          <w:kern w:val="0"/>
          <w:sz w:val="28"/>
          <w:szCs w:val="26"/>
        </w:rPr>
        <w:t>，</w:t>
      </w:r>
      <w:r>
        <w:rPr>
          <w:rFonts w:eastAsia="標楷體"/>
          <w:spacing w:val="4"/>
          <w:kern w:val="0"/>
          <w:sz w:val="28"/>
          <w:szCs w:val="26"/>
        </w:rPr>
        <w:t>2013</w:t>
      </w:r>
      <w:r>
        <w:rPr>
          <w:rFonts w:eastAsia="標楷體"/>
          <w:spacing w:val="4"/>
          <w:kern w:val="0"/>
          <w:sz w:val="28"/>
          <w:szCs w:val="26"/>
        </w:rPr>
        <w:t>年起開始實施第</w:t>
      </w:r>
      <w:r>
        <w:rPr>
          <w:rFonts w:eastAsia="標楷體"/>
          <w:spacing w:val="4"/>
          <w:kern w:val="0"/>
          <w:sz w:val="28"/>
          <w:szCs w:val="26"/>
        </w:rPr>
        <w:t>3</w:t>
      </w:r>
      <w:r>
        <w:rPr>
          <w:rFonts w:eastAsia="標楷體"/>
          <w:spacing w:val="4"/>
          <w:kern w:val="0"/>
          <w:sz w:val="28"/>
          <w:szCs w:val="26"/>
        </w:rPr>
        <w:t>期總量管制及碳排放交易計畫。</w:t>
      </w:r>
    </w:p>
    <w:p w14:paraId="104818B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－美國：</w:t>
      </w:r>
      <w:r>
        <w:rPr>
          <w:rFonts w:eastAsia="標楷體"/>
          <w:spacing w:val="4"/>
          <w:kern w:val="0"/>
          <w:sz w:val="28"/>
          <w:szCs w:val="26"/>
        </w:rPr>
        <w:t>2009</w:t>
      </w:r>
      <w:r>
        <w:rPr>
          <w:rFonts w:eastAsia="標楷體"/>
          <w:spacing w:val="4"/>
          <w:kern w:val="0"/>
          <w:sz w:val="28"/>
          <w:szCs w:val="26"/>
        </w:rPr>
        <w:t>年</w:t>
      </w:r>
      <w:r>
        <w:rPr>
          <w:rFonts w:eastAsia="標楷體"/>
          <w:spacing w:val="4"/>
          <w:kern w:val="0"/>
          <w:sz w:val="28"/>
          <w:szCs w:val="26"/>
        </w:rPr>
        <w:t>6</w:t>
      </w:r>
      <w:r>
        <w:rPr>
          <w:rFonts w:eastAsia="標楷體"/>
          <w:spacing w:val="4"/>
          <w:kern w:val="0"/>
          <w:sz w:val="28"/>
          <w:szCs w:val="26"/>
        </w:rPr>
        <w:t>月通過「美國潔淨能源安全法案」</w:t>
      </w:r>
      <w:r>
        <w:rPr>
          <w:rFonts w:ascii="標楷體" w:eastAsia="標楷體" w:hAnsi="標楷體"/>
          <w:spacing w:val="4"/>
          <w:kern w:val="0"/>
          <w:sz w:val="28"/>
          <w:szCs w:val="26"/>
        </w:rPr>
        <w:t>(</w:t>
      </w:r>
      <w:r>
        <w:rPr>
          <w:rFonts w:eastAsia="標楷體"/>
          <w:spacing w:val="4"/>
          <w:kern w:val="0"/>
          <w:sz w:val="28"/>
          <w:szCs w:val="26"/>
        </w:rPr>
        <w:t>American Clean Energy and Security Act</w:t>
      </w:r>
      <w:r>
        <w:rPr>
          <w:rFonts w:ascii="標楷體" w:eastAsia="標楷體" w:hAnsi="標楷體"/>
          <w:spacing w:val="4"/>
          <w:kern w:val="0"/>
          <w:sz w:val="28"/>
          <w:szCs w:val="26"/>
        </w:rPr>
        <w:t>)</w:t>
      </w:r>
      <w:r>
        <w:rPr>
          <w:rFonts w:eastAsia="標楷體"/>
          <w:spacing w:val="4"/>
          <w:kern w:val="0"/>
          <w:sz w:val="28"/>
          <w:szCs w:val="26"/>
        </w:rPr>
        <w:t>，訂定</w:t>
      </w:r>
      <w:r>
        <w:rPr>
          <w:rFonts w:eastAsia="標楷體"/>
          <w:spacing w:val="4"/>
          <w:kern w:val="0"/>
          <w:sz w:val="28"/>
          <w:szCs w:val="26"/>
        </w:rPr>
        <w:t>2020</w:t>
      </w:r>
      <w:r>
        <w:rPr>
          <w:rFonts w:eastAsia="標楷體"/>
          <w:spacing w:val="4"/>
          <w:kern w:val="0"/>
          <w:sz w:val="28"/>
          <w:szCs w:val="26"/>
        </w:rPr>
        <w:t>年溫室氣體較</w:t>
      </w:r>
      <w:r>
        <w:rPr>
          <w:rFonts w:eastAsia="標楷體"/>
          <w:spacing w:val="4"/>
          <w:kern w:val="0"/>
          <w:sz w:val="28"/>
          <w:szCs w:val="26"/>
        </w:rPr>
        <w:t>2005</w:t>
      </w:r>
      <w:r>
        <w:rPr>
          <w:rFonts w:eastAsia="標楷體"/>
          <w:spacing w:val="4"/>
          <w:kern w:val="0"/>
          <w:sz w:val="28"/>
          <w:szCs w:val="26"/>
        </w:rPr>
        <w:t>年減排</w:t>
      </w:r>
      <w:r>
        <w:rPr>
          <w:rFonts w:eastAsia="標楷體"/>
          <w:spacing w:val="4"/>
          <w:kern w:val="0"/>
          <w:sz w:val="28"/>
          <w:szCs w:val="26"/>
        </w:rPr>
        <w:t>17%</w:t>
      </w:r>
      <w:r>
        <w:rPr>
          <w:rFonts w:eastAsia="標楷體"/>
          <w:spacing w:val="4"/>
          <w:kern w:val="0"/>
          <w:sz w:val="28"/>
          <w:szCs w:val="26"/>
        </w:rPr>
        <w:t>的目標，</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3</w:t>
      </w:r>
      <w:r>
        <w:rPr>
          <w:rFonts w:eastAsia="標楷體"/>
          <w:spacing w:val="4"/>
          <w:kern w:val="0"/>
          <w:sz w:val="28"/>
          <w:szCs w:val="26"/>
        </w:rPr>
        <w:t>月規定新電廠須符合公告效率標準。雖然現階段聯邦政府尚未建置總量管制相關制度，惟加州、康乃狄克州、德拉瓦州、緬因州、馬里蘭州等州政府，以及民間機構</w:t>
      </w:r>
      <w:r>
        <w:rPr>
          <w:rFonts w:ascii="標楷體" w:eastAsia="標楷體" w:hAnsi="標楷體"/>
          <w:spacing w:val="4"/>
          <w:kern w:val="0"/>
          <w:sz w:val="28"/>
          <w:szCs w:val="26"/>
        </w:rPr>
        <w:t>(</w:t>
      </w:r>
      <w:r>
        <w:rPr>
          <w:rFonts w:eastAsia="標楷體"/>
          <w:spacing w:val="4"/>
          <w:kern w:val="0"/>
          <w:sz w:val="28"/>
          <w:szCs w:val="26"/>
        </w:rPr>
        <w:t>如芝加哥交易所</w:t>
      </w:r>
      <w:r>
        <w:rPr>
          <w:rFonts w:ascii="標楷體" w:eastAsia="標楷體" w:hAnsi="標楷體"/>
          <w:spacing w:val="4"/>
          <w:kern w:val="0"/>
          <w:sz w:val="28"/>
          <w:szCs w:val="26"/>
        </w:rPr>
        <w:t>)</w:t>
      </w:r>
      <w:r>
        <w:rPr>
          <w:rFonts w:eastAsia="標楷體"/>
          <w:spacing w:val="4"/>
          <w:kern w:val="0"/>
          <w:sz w:val="28"/>
          <w:szCs w:val="26"/>
        </w:rPr>
        <w:t>已著手建置碳排放交易相關機制。</w:t>
      </w:r>
    </w:p>
    <w:p w14:paraId="38E7C7B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－日本：</w:t>
      </w:r>
      <w:r>
        <w:rPr>
          <w:rFonts w:eastAsia="標楷體"/>
          <w:spacing w:val="4"/>
          <w:kern w:val="0"/>
          <w:sz w:val="28"/>
          <w:szCs w:val="26"/>
        </w:rPr>
        <w:t>2010</w:t>
      </w:r>
      <w:r>
        <w:rPr>
          <w:rFonts w:eastAsia="標楷體"/>
          <w:spacing w:val="4"/>
          <w:kern w:val="0"/>
          <w:sz w:val="28"/>
          <w:szCs w:val="26"/>
        </w:rPr>
        <w:t>年</w:t>
      </w:r>
      <w:r>
        <w:rPr>
          <w:rFonts w:eastAsia="標楷體"/>
          <w:spacing w:val="4"/>
          <w:kern w:val="0"/>
          <w:sz w:val="28"/>
          <w:szCs w:val="26"/>
        </w:rPr>
        <w:t>3</w:t>
      </w:r>
      <w:r>
        <w:rPr>
          <w:rFonts w:eastAsia="標楷體"/>
          <w:spacing w:val="4"/>
          <w:kern w:val="0"/>
          <w:sz w:val="28"/>
          <w:szCs w:val="26"/>
        </w:rPr>
        <w:t>月提出「對抗全球暖化措施基本法</w:t>
      </w:r>
      <w:r>
        <w:rPr>
          <w:rFonts w:ascii="標楷體" w:eastAsia="標楷體" w:hAnsi="標楷體"/>
          <w:spacing w:val="4"/>
          <w:kern w:val="0"/>
          <w:sz w:val="28"/>
          <w:szCs w:val="26"/>
        </w:rPr>
        <w:t>(</w:t>
      </w:r>
      <w:r>
        <w:rPr>
          <w:rFonts w:eastAsia="標楷體"/>
          <w:spacing w:val="4"/>
          <w:kern w:val="0"/>
          <w:sz w:val="28"/>
          <w:szCs w:val="26"/>
        </w:rPr>
        <w:t>草案</w:t>
      </w:r>
      <w:r>
        <w:rPr>
          <w:rFonts w:ascii="標楷體" w:eastAsia="標楷體" w:hAnsi="標楷體"/>
          <w:spacing w:val="4"/>
          <w:kern w:val="0"/>
          <w:sz w:val="28"/>
          <w:szCs w:val="26"/>
        </w:rPr>
        <w:t>)</w:t>
      </w:r>
      <w:r>
        <w:rPr>
          <w:rFonts w:eastAsia="標楷體"/>
          <w:spacing w:val="4"/>
          <w:kern w:val="0"/>
          <w:sz w:val="28"/>
          <w:szCs w:val="26"/>
        </w:rPr>
        <w:t>」</w:t>
      </w:r>
      <w:r>
        <w:rPr>
          <w:rFonts w:ascii="標楷體" w:eastAsia="標楷體" w:hAnsi="標楷體"/>
          <w:spacing w:val="4"/>
          <w:kern w:val="0"/>
          <w:sz w:val="28"/>
          <w:szCs w:val="26"/>
        </w:rPr>
        <w:t>(</w:t>
      </w:r>
      <w:r>
        <w:rPr>
          <w:rFonts w:eastAsia="標楷體"/>
          <w:spacing w:val="4"/>
          <w:kern w:val="0"/>
          <w:sz w:val="28"/>
          <w:szCs w:val="26"/>
        </w:rPr>
        <w:t>Basic Act on Global Warming Countermeasures</w:t>
      </w:r>
      <w:r>
        <w:rPr>
          <w:rFonts w:ascii="標楷體" w:eastAsia="標楷體" w:hAnsi="標楷體"/>
          <w:spacing w:val="4"/>
          <w:kern w:val="0"/>
          <w:sz w:val="28"/>
          <w:szCs w:val="26"/>
        </w:rPr>
        <w:t>)</w:t>
      </w:r>
      <w:r>
        <w:rPr>
          <w:rFonts w:eastAsia="標楷體"/>
          <w:spacing w:val="4"/>
          <w:kern w:val="0"/>
          <w:sz w:val="28"/>
          <w:szCs w:val="26"/>
        </w:rPr>
        <w:t>，訂定</w:t>
      </w:r>
      <w:r>
        <w:rPr>
          <w:rFonts w:eastAsia="標楷體"/>
          <w:spacing w:val="4"/>
          <w:kern w:val="0"/>
          <w:sz w:val="28"/>
          <w:szCs w:val="26"/>
        </w:rPr>
        <w:t>2020</w:t>
      </w:r>
      <w:r>
        <w:rPr>
          <w:rFonts w:eastAsia="標楷體"/>
          <w:spacing w:val="4"/>
          <w:kern w:val="0"/>
          <w:sz w:val="28"/>
          <w:szCs w:val="26"/>
        </w:rPr>
        <w:t>年溫室氣體較</w:t>
      </w:r>
      <w:r>
        <w:rPr>
          <w:rFonts w:eastAsia="標楷體"/>
          <w:spacing w:val="4"/>
          <w:kern w:val="0"/>
          <w:sz w:val="28"/>
          <w:szCs w:val="26"/>
        </w:rPr>
        <w:t>1990</w:t>
      </w:r>
      <w:r>
        <w:rPr>
          <w:rFonts w:eastAsia="標楷體"/>
          <w:spacing w:val="4"/>
          <w:kern w:val="0"/>
          <w:sz w:val="28"/>
          <w:szCs w:val="26"/>
        </w:rPr>
        <w:t>年減排</w:t>
      </w:r>
      <w:r>
        <w:rPr>
          <w:rFonts w:eastAsia="標楷體"/>
          <w:spacing w:val="4"/>
          <w:kern w:val="0"/>
          <w:sz w:val="28"/>
          <w:szCs w:val="26"/>
        </w:rPr>
        <w:t>25%</w:t>
      </w:r>
      <w:r>
        <w:rPr>
          <w:rFonts w:eastAsia="標楷體"/>
          <w:spacing w:val="4"/>
          <w:kern w:val="0"/>
          <w:sz w:val="28"/>
          <w:szCs w:val="26"/>
        </w:rPr>
        <w:t>之目標，並擬引進總量管制及排放交易制度，惟遭產業界強烈反對，致草案尚未立法通過。日本雖無全國強制性減量制度，惟東京已自</w:t>
      </w:r>
      <w:r>
        <w:rPr>
          <w:rFonts w:eastAsia="標楷體"/>
          <w:spacing w:val="4"/>
          <w:kern w:val="0"/>
          <w:sz w:val="28"/>
          <w:szCs w:val="26"/>
        </w:rPr>
        <w:t>2010</w:t>
      </w:r>
      <w:r>
        <w:rPr>
          <w:rFonts w:eastAsia="標楷體"/>
          <w:spacing w:val="4"/>
          <w:kern w:val="0"/>
          <w:sz w:val="28"/>
          <w:szCs w:val="26"/>
        </w:rPr>
        <w:t>年開始推動總量管制相關措施。</w:t>
      </w:r>
    </w:p>
    <w:p w14:paraId="2EE699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京都議定書非附件一國家</w:t>
      </w:r>
    </w:p>
    <w:p w14:paraId="5F9C40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－中國大陸：</w:t>
      </w:r>
      <w:r>
        <w:rPr>
          <w:rFonts w:eastAsia="標楷體"/>
          <w:spacing w:val="4"/>
          <w:kern w:val="0"/>
          <w:sz w:val="28"/>
          <w:szCs w:val="26"/>
        </w:rPr>
        <w:t>2010</w:t>
      </w:r>
      <w:r>
        <w:rPr>
          <w:rFonts w:eastAsia="標楷體"/>
          <w:spacing w:val="4"/>
          <w:kern w:val="0"/>
          <w:sz w:val="28"/>
          <w:szCs w:val="26"/>
        </w:rPr>
        <w:t>年</w:t>
      </w:r>
      <w:r>
        <w:rPr>
          <w:rFonts w:eastAsia="標楷體"/>
          <w:spacing w:val="4"/>
          <w:kern w:val="0"/>
          <w:sz w:val="28"/>
          <w:szCs w:val="26"/>
        </w:rPr>
        <w:t>7</w:t>
      </w:r>
      <w:r>
        <w:rPr>
          <w:rFonts w:eastAsia="標楷體"/>
          <w:spacing w:val="4"/>
          <w:kern w:val="0"/>
          <w:sz w:val="28"/>
          <w:szCs w:val="26"/>
        </w:rPr>
        <w:t>月推動「低碳城鎮示範計畫」。</w:t>
      </w:r>
      <w:r>
        <w:rPr>
          <w:rFonts w:eastAsia="標楷體"/>
          <w:spacing w:val="4"/>
          <w:kern w:val="0"/>
          <w:sz w:val="28"/>
          <w:szCs w:val="26"/>
        </w:rPr>
        <w:t>2011</w:t>
      </w:r>
      <w:r>
        <w:rPr>
          <w:rFonts w:eastAsia="標楷體"/>
          <w:spacing w:val="4"/>
          <w:kern w:val="0"/>
          <w:sz w:val="28"/>
          <w:szCs w:val="26"/>
        </w:rPr>
        <w:t>年</w:t>
      </w:r>
      <w:r>
        <w:rPr>
          <w:rFonts w:eastAsia="標楷體"/>
          <w:spacing w:val="4"/>
          <w:kern w:val="0"/>
          <w:sz w:val="28"/>
          <w:szCs w:val="26"/>
        </w:rPr>
        <w:t>3</w:t>
      </w:r>
      <w:r>
        <w:rPr>
          <w:rFonts w:eastAsia="標楷體"/>
          <w:spacing w:val="4"/>
          <w:kern w:val="0"/>
          <w:sz w:val="28"/>
          <w:szCs w:val="26"/>
        </w:rPr>
        <w:t>月公布「十二五計畫」，設定</w:t>
      </w:r>
      <w:r>
        <w:rPr>
          <w:rFonts w:eastAsia="標楷體"/>
          <w:spacing w:val="4"/>
          <w:kern w:val="0"/>
          <w:sz w:val="28"/>
          <w:szCs w:val="26"/>
        </w:rPr>
        <w:t>2015</w:t>
      </w:r>
      <w:r>
        <w:rPr>
          <w:rFonts w:eastAsia="標楷體"/>
          <w:spacing w:val="4"/>
          <w:kern w:val="0"/>
          <w:sz w:val="28"/>
          <w:szCs w:val="26"/>
        </w:rPr>
        <w:t>年碳密集度</w:t>
      </w:r>
      <w:r>
        <w:rPr>
          <w:rFonts w:ascii="標楷體" w:eastAsia="標楷體" w:hAnsi="標楷體"/>
          <w:spacing w:val="4"/>
          <w:kern w:val="0"/>
          <w:sz w:val="28"/>
          <w:szCs w:val="26"/>
        </w:rPr>
        <w:t>(</w:t>
      </w:r>
      <w:r>
        <w:rPr>
          <w:rFonts w:eastAsia="標楷體"/>
          <w:spacing w:val="4"/>
          <w:kern w:val="0"/>
          <w:sz w:val="28"/>
          <w:szCs w:val="26"/>
        </w:rPr>
        <w:t>CO</w:t>
      </w:r>
      <w:r>
        <w:rPr>
          <w:rFonts w:eastAsia="標楷體"/>
          <w:spacing w:val="4"/>
          <w:kern w:val="0"/>
          <w:sz w:val="28"/>
          <w:szCs w:val="26"/>
          <w:vertAlign w:val="subscript"/>
        </w:rPr>
        <w:t>2</w:t>
      </w:r>
      <w:r>
        <w:rPr>
          <w:rFonts w:eastAsia="標楷體"/>
          <w:spacing w:val="4"/>
          <w:kern w:val="0"/>
          <w:sz w:val="28"/>
          <w:szCs w:val="26"/>
        </w:rPr>
        <w:t>排放</w:t>
      </w:r>
      <w:r>
        <w:rPr>
          <w:rFonts w:eastAsia="標楷體"/>
          <w:spacing w:val="4"/>
          <w:kern w:val="0"/>
          <w:sz w:val="28"/>
          <w:szCs w:val="26"/>
        </w:rPr>
        <w:t>/GDP</w:t>
      </w:r>
      <w:r>
        <w:rPr>
          <w:rFonts w:ascii="標楷體" w:eastAsia="標楷體" w:hAnsi="標楷體"/>
          <w:spacing w:val="4"/>
          <w:kern w:val="0"/>
          <w:sz w:val="28"/>
          <w:szCs w:val="26"/>
        </w:rPr>
        <w:t>)</w:t>
      </w:r>
      <w:r>
        <w:rPr>
          <w:rFonts w:eastAsia="標楷體"/>
          <w:spacing w:val="4"/>
          <w:kern w:val="0"/>
          <w:sz w:val="28"/>
          <w:szCs w:val="26"/>
        </w:rPr>
        <w:t>較</w:t>
      </w:r>
      <w:r>
        <w:rPr>
          <w:rFonts w:eastAsia="標楷體"/>
          <w:spacing w:val="4"/>
          <w:kern w:val="0"/>
          <w:sz w:val="28"/>
          <w:szCs w:val="26"/>
        </w:rPr>
        <w:t>2010</w:t>
      </w:r>
      <w:r>
        <w:rPr>
          <w:rFonts w:eastAsia="標楷體"/>
          <w:spacing w:val="4"/>
          <w:kern w:val="0"/>
          <w:sz w:val="28"/>
          <w:szCs w:val="26"/>
        </w:rPr>
        <w:t>年降低</w:t>
      </w:r>
      <w:r>
        <w:rPr>
          <w:rFonts w:eastAsia="標楷體"/>
          <w:spacing w:val="4"/>
          <w:kern w:val="0"/>
          <w:sz w:val="28"/>
          <w:szCs w:val="26"/>
        </w:rPr>
        <w:t>17%</w:t>
      </w:r>
      <w:r>
        <w:rPr>
          <w:rFonts w:eastAsia="標楷體"/>
          <w:spacing w:val="4"/>
          <w:kern w:val="0"/>
          <w:sz w:val="28"/>
          <w:szCs w:val="26"/>
        </w:rPr>
        <w:t>之減排目標</w:t>
      </w:r>
      <w:r>
        <w:rPr>
          <w:rFonts w:ascii="新細明體" w:hAnsi="新細明體"/>
          <w:spacing w:val="4"/>
          <w:kern w:val="0"/>
          <w:sz w:val="28"/>
          <w:szCs w:val="26"/>
        </w:rPr>
        <w:t>；</w:t>
      </w:r>
      <w:r>
        <w:rPr>
          <w:rFonts w:eastAsia="標楷體"/>
          <w:spacing w:val="4"/>
          <w:kern w:val="0"/>
          <w:sz w:val="28"/>
          <w:szCs w:val="26"/>
        </w:rPr>
        <w:t>10</w:t>
      </w:r>
      <w:r>
        <w:rPr>
          <w:rFonts w:eastAsia="標楷體"/>
          <w:spacing w:val="4"/>
          <w:kern w:val="0"/>
          <w:sz w:val="28"/>
          <w:szCs w:val="26"/>
        </w:rPr>
        <w:t>月規劃於北京、天津、上海、重慶及深圳等</w:t>
      </w:r>
      <w:r>
        <w:rPr>
          <w:rFonts w:eastAsia="標楷體"/>
          <w:spacing w:val="4"/>
          <w:kern w:val="0"/>
          <w:sz w:val="28"/>
          <w:szCs w:val="26"/>
        </w:rPr>
        <w:t>5</w:t>
      </w:r>
      <w:r>
        <w:rPr>
          <w:rFonts w:eastAsia="標楷體"/>
          <w:spacing w:val="4"/>
          <w:kern w:val="0"/>
          <w:sz w:val="28"/>
          <w:szCs w:val="26"/>
        </w:rPr>
        <w:t>個城市，以及廣東、湖北二省，建立自願性碳排放交易系統，預期</w:t>
      </w:r>
      <w:r>
        <w:rPr>
          <w:rFonts w:eastAsia="標楷體"/>
          <w:spacing w:val="4"/>
          <w:kern w:val="0"/>
          <w:sz w:val="28"/>
          <w:szCs w:val="26"/>
        </w:rPr>
        <w:t>2015</w:t>
      </w:r>
      <w:r>
        <w:rPr>
          <w:rFonts w:eastAsia="標楷體"/>
          <w:spacing w:val="4"/>
          <w:kern w:val="0"/>
          <w:sz w:val="28"/>
          <w:szCs w:val="26"/>
        </w:rPr>
        <w:t>年推廣至全國。</w:t>
      </w:r>
    </w:p>
    <w:p w14:paraId="0861AAB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－印度：</w:t>
      </w:r>
      <w:r>
        <w:rPr>
          <w:rFonts w:eastAsia="標楷體"/>
          <w:spacing w:val="4"/>
          <w:kern w:val="0"/>
          <w:sz w:val="28"/>
          <w:szCs w:val="26"/>
        </w:rPr>
        <w:t>2008</w:t>
      </w:r>
      <w:r>
        <w:rPr>
          <w:rFonts w:eastAsia="標楷體"/>
          <w:spacing w:val="4"/>
          <w:kern w:val="0"/>
          <w:sz w:val="28"/>
          <w:szCs w:val="26"/>
        </w:rPr>
        <w:t>年</w:t>
      </w:r>
      <w:r>
        <w:rPr>
          <w:rFonts w:eastAsia="標楷體"/>
          <w:spacing w:val="4"/>
          <w:kern w:val="0"/>
          <w:sz w:val="28"/>
          <w:szCs w:val="26"/>
        </w:rPr>
        <w:t>6</w:t>
      </w:r>
      <w:r>
        <w:rPr>
          <w:rFonts w:eastAsia="標楷體"/>
          <w:spacing w:val="4"/>
          <w:kern w:val="0"/>
          <w:sz w:val="28"/>
          <w:szCs w:val="26"/>
        </w:rPr>
        <w:t>月公布「因應氣候變遷行動計畫</w:t>
      </w:r>
      <w:r>
        <w:rPr>
          <w:rFonts w:ascii="標楷體" w:eastAsia="標楷體" w:hAnsi="標楷體"/>
          <w:spacing w:val="4"/>
          <w:kern w:val="0"/>
          <w:sz w:val="28"/>
          <w:szCs w:val="26"/>
        </w:rPr>
        <w:t>」(</w:t>
      </w:r>
      <w:r>
        <w:rPr>
          <w:rFonts w:eastAsia="標楷體"/>
          <w:spacing w:val="4"/>
          <w:kern w:val="0"/>
          <w:sz w:val="28"/>
          <w:szCs w:val="26"/>
        </w:rPr>
        <w:t xml:space="preserve">National </w:t>
      </w:r>
      <w:r>
        <w:rPr>
          <w:rFonts w:eastAsia="標楷體"/>
          <w:spacing w:val="4"/>
          <w:kern w:val="0"/>
          <w:sz w:val="28"/>
          <w:szCs w:val="26"/>
        </w:rPr>
        <w:lastRenderedPageBreak/>
        <w:t>Action Plan on Climate Change</w:t>
      </w:r>
      <w:r>
        <w:rPr>
          <w:rFonts w:ascii="標楷體" w:eastAsia="標楷體" w:hAnsi="標楷體"/>
          <w:spacing w:val="4"/>
          <w:kern w:val="0"/>
          <w:sz w:val="28"/>
          <w:szCs w:val="26"/>
        </w:rPr>
        <w:t>)</w:t>
      </w:r>
      <w:r>
        <w:rPr>
          <w:rFonts w:eastAsia="標楷體"/>
          <w:spacing w:val="4"/>
          <w:kern w:val="0"/>
          <w:sz w:val="28"/>
          <w:szCs w:val="26"/>
        </w:rPr>
        <w:t>，推動包含太陽能發電、節能、永續家園等八大節能減碳計畫。</w:t>
      </w:r>
      <w:r>
        <w:rPr>
          <w:rFonts w:eastAsia="標楷體"/>
          <w:spacing w:val="4"/>
          <w:kern w:val="0"/>
          <w:sz w:val="28"/>
          <w:szCs w:val="26"/>
        </w:rPr>
        <w:t>2011</w:t>
      </w:r>
      <w:r>
        <w:rPr>
          <w:rFonts w:eastAsia="標楷體"/>
          <w:spacing w:val="4"/>
          <w:kern w:val="0"/>
          <w:sz w:val="28"/>
          <w:szCs w:val="26"/>
        </w:rPr>
        <w:t>年提出</w:t>
      </w:r>
      <w:r>
        <w:rPr>
          <w:rFonts w:eastAsia="標楷體"/>
          <w:spacing w:val="4"/>
          <w:kern w:val="0"/>
          <w:sz w:val="28"/>
          <w:szCs w:val="26"/>
        </w:rPr>
        <w:t>2020</w:t>
      </w:r>
      <w:r>
        <w:rPr>
          <w:rFonts w:eastAsia="標楷體"/>
          <w:spacing w:val="4"/>
          <w:kern w:val="0"/>
          <w:sz w:val="28"/>
          <w:szCs w:val="26"/>
        </w:rPr>
        <w:t>年碳密集度較</w:t>
      </w:r>
      <w:r>
        <w:rPr>
          <w:rFonts w:eastAsia="標楷體"/>
          <w:spacing w:val="4"/>
          <w:kern w:val="0"/>
          <w:sz w:val="28"/>
          <w:szCs w:val="26"/>
        </w:rPr>
        <w:t>2005</w:t>
      </w:r>
      <w:r>
        <w:rPr>
          <w:rFonts w:eastAsia="標楷體"/>
          <w:spacing w:val="4"/>
          <w:kern w:val="0"/>
          <w:sz w:val="28"/>
          <w:szCs w:val="26"/>
        </w:rPr>
        <w:t>年降低</w:t>
      </w:r>
      <w:r>
        <w:rPr>
          <w:rFonts w:eastAsia="標楷體"/>
          <w:spacing w:val="4"/>
          <w:kern w:val="0"/>
          <w:sz w:val="28"/>
          <w:szCs w:val="26"/>
        </w:rPr>
        <w:t>20</w:t>
      </w:r>
      <w:r>
        <w:rPr>
          <w:rFonts w:eastAsia="標楷體"/>
          <w:spacing w:val="4"/>
          <w:kern w:val="0"/>
          <w:sz w:val="28"/>
          <w:szCs w:val="26"/>
        </w:rPr>
        <w:t>～</w:t>
      </w:r>
      <w:r>
        <w:rPr>
          <w:rFonts w:eastAsia="標楷體"/>
          <w:spacing w:val="4"/>
          <w:kern w:val="0"/>
          <w:sz w:val="28"/>
          <w:szCs w:val="26"/>
        </w:rPr>
        <w:t>25%</w:t>
      </w:r>
      <w:r>
        <w:rPr>
          <w:rFonts w:eastAsia="標楷體"/>
          <w:spacing w:val="4"/>
          <w:kern w:val="0"/>
          <w:sz w:val="28"/>
          <w:szCs w:val="26"/>
        </w:rPr>
        <w:t>之減排目標，並自</w:t>
      </w:r>
      <w:r>
        <w:rPr>
          <w:rFonts w:eastAsia="標楷體"/>
          <w:spacing w:val="4"/>
          <w:kern w:val="0"/>
          <w:sz w:val="28"/>
          <w:szCs w:val="26"/>
        </w:rPr>
        <w:t>2011</w:t>
      </w:r>
      <w:r>
        <w:rPr>
          <w:rFonts w:eastAsia="標楷體"/>
          <w:spacing w:val="4"/>
          <w:kern w:val="0"/>
          <w:sz w:val="28"/>
          <w:szCs w:val="26"/>
        </w:rPr>
        <w:t>年</w:t>
      </w:r>
      <w:r>
        <w:rPr>
          <w:rFonts w:eastAsia="標楷體"/>
          <w:spacing w:val="4"/>
          <w:kern w:val="0"/>
          <w:sz w:val="28"/>
          <w:szCs w:val="26"/>
        </w:rPr>
        <w:t>3</w:t>
      </w:r>
      <w:r>
        <w:rPr>
          <w:rFonts w:eastAsia="標楷體"/>
          <w:spacing w:val="4"/>
          <w:kern w:val="0"/>
          <w:sz w:val="28"/>
          <w:szCs w:val="26"/>
        </w:rPr>
        <w:t>月、</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4</w:t>
      </w:r>
      <w:r>
        <w:rPr>
          <w:rFonts w:eastAsia="標楷體"/>
          <w:spacing w:val="4"/>
          <w:kern w:val="0"/>
          <w:sz w:val="28"/>
          <w:szCs w:val="26"/>
        </w:rPr>
        <w:t>月分別推動再生能源及節能權證交易制度。</w:t>
      </w:r>
    </w:p>
    <w:p w14:paraId="25DFCD2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－南韓：</w:t>
      </w:r>
      <w:r>
        <w:rPr>
          <w:rFonts w:eastAsia="標楷體"/>
          <w:spacing w:val="4"/>
          <w:kern w:val="0"/>
          <w:sz w:val="28"/>
          <w:szCs w:val="26"/>
        </w:rPr>
        <w:t>2010</w:t>
      </w:r>
      <w:r>
        <w:rPr>
          <w:rFonts w:eastAsia="標楷體"/>
          <w:spacing w:val="4"/>
          <w:kern w:val="0"/>
          <w:sz w:val="28"/>
          <w:szCs w:val="26"/>
        </w:rPr>
        <w:t>年</w:t>
      </w:r>
      <w:r>
        <w:rPr>
          <w:rFonts w:eastAsia="標楷體"/>
          <w:spacing w:val="4"/>
          <w:kern w:val="0"/>
          <w:sz w:val="28"/>
          <w:szCs w:val="26"/>
        </w:rPr>
        <w:t>1</w:t>
      </w:r>
      <w:r>
        <w:rPr>
          <w:rFonts w:eastAsia="標楷體"/>
          <w:spacing w:val="4"/>
          <w:kern w:val="0"/>
          <w:sz w:val="28"/>
          <w:szCs w:val="26"/>
        </w:rPr>
        <w:t>月公布「低碳綠色成長基本法」</w:t>
      </w:r>
      <w:r>
        <w:rPr>
          <w:rFonts w:ascii="標楷體" w:eastAsia="標楷體" w:hAnsi="標楷體"/>
          <w:spacing w:val="4"/>
          <w:kern w:val="0"/>
          <w:sz w:val="28"/>
          <w:szCs w:val="26"/>
        </w:rPr>
        <w:t>(</w:t>
      </w:r>
      <w:r>
        <w:rPr>
          <w:rFonts w:eastAsia="標楷體"/>
          <w:spacing w:val="4"/>
          <w:kern w:val="0"/>
          <w:sz w:val="28"/>
          <w:szCs w:val="26"/>
        </w:rPr>
        <w:t>Framework Act on Low Carbon, Green Growth</w:t>
      </w:r>
      <w:r>
        <w:rPr>
          <w:rFonts w:ascii="標楷體" w:eastAsia="標楷體" w:hAnsi="標楷體"/>
          <w:spacing w:val="4"/>
          <w:kern w:val="0"/>
          <w:sz w:val="28"/>
          <w:szCs w:val="26"/>
        </w:rPr>
        <w:t>)</w:t>
      </w:r>
      <w:r>
        <w:rPr>
          <w:rFonts w:eastAsia="標楷體"/>
          <w:spacing w:val="4"/>
          <w:kern w:val="0"/>
          <w:sz w:val="28"/>
          <w:szCs w:val="26"/>
        </w:rPr>
        <w:t>，訂定</w:t>
      </w:r>
      <w:r>
        <w:rPr>
          <w:rFonts w:eastAsia="標楷體"/>
          <w:spacing w:val="4"/>
          <w:kern w:val="0"/>
          <w:sz w:val="28"/>
          <w:szCs w:val="26"/>
        </w:rPr>
        <w:t>2020</w:t>
      </w:r>
      <w:r>
        <w:rPr>
          <w:rFonts w:eastAsia="標楷體"/>
          <w:spacing w:val="4"/>
          <w:kern w:val="0"/>
          <w:sz w:val="28"/>
          <w:szCs w:val="26"/>
        </w:rPr>
        <w:t>年溫室氣體排放較基線</w:t>
      </w:r>
      <w:r>
        <w:rPr>
          <w:rFonts w:ascii="標楷體" w:eastAsia="標楷體" w:hAnsi="標楷體"/>
          <w:spacing w:val="4"/>
          <w:kern w:val="0"/>
          <w:sz w:val="28"/>
          <w:szCs w:val="26"/>
        </w:rPr>
        <w:t>(</w:t>
      </w:r>
      <w:r>
        <w:rPr>
          <w:rFonts w:eastAsia="標楷體"/>
          <w:spacing w:val="4"/>
          <w:kern w:val="0"/>
          <w:sz w:val="28"/>
          <w:szCs w:val="26"/>
        </w:rPr>
        <w:t>business as usual</w:t>
      </w:r>
      <w:r>
        <w:rPr>
          <w:rFonts w:ascii="標楷體" w:eastAsia="標楷體" w:hAnsi="標楷體"/>
          <w:spacing w:val="4"/>
          <w:kern w:val="0"/>
          <w:sz w:val="28"/>
          <w:szCs w:val="26"/>
        </w:rPr>
        <w:t>)減</w:t>
      </w:r>
      <w:r>
        <w:rPr>
          <w:rFonts w:eastAsia="標楷體"/>
          <w:spacing w:val="4"/>
          <w:kern w:val="0"/>
          <w:sz w:val="28"/>
          <w:szCs w:val="26"/>
        </w:rPr>
        <w:t>少</w:t>
      </w:r>
      <w:r>
        <w:rPr>
          <w:rFonts w:eastAsia="標楷體"/>
          <w:spacing w:val="4"/>
          <w:kern w:val="0"/>
          <w:sz w:val="28"/>
          <w:szCs w:val="26"/>
        </w:rPr>
        <w:t>30%</w:t>
      </w:r>
      <w:r>
        <w:rPr>
          <w:rFonts w:eastAsia="標楷體"/>
          <w:spacing w:val="4"/>
          <w:kern w:val="0"/>
          <w:sz w:val="28"/>
          <w:szCs w:val="26"/>
        </w:rPr>
        <w:t>之目標。</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5</w:t>
      </w:r>
      <w:r>
        <w:rPr>
          <w:rFonts w:eastAsia="標楷體"/>
          <w:spacing w:val="4"/>
          <w:kern w:val="0"/>
          <w:sz w:val="28"/>
          <w:szCs w:val="26"/>
        </w:rPr>
        <w:t>月通過「溫室氣體權證核配與交易法」</w:t>
      </w:r>
      <w:r>
        <w:rPr>
          <w:rFonts w:ascii="標楷體" w:eastAsia="標楷體" w:hAnsi="標楷體"/>
          <w:spacing w:val="4"/>
          <w:kern w:val="0"/>
          <w:sz w:val="28"/>
          <w:szCs w:val="26"/>
        </w:rPr>
        <w:t>(</w:t>
      </w:r>
      <w:r>
        <w:rPr>
          <w:rFonts w:eastAsia="標楷體"/>
          <w:spacing w:val="4"/>
          <w:kern w:val="0"/>
          <w:sz w:val="28"/>
          <w:szCs w:val="26"/>
        </w:rPr>
        <w:t>Act on Allocation and Trading of GHG Emissions Allowances</w:t>
      </w:r>
      <w:r>
        <w:rPr>
          <w:rFonts w:ascii="標楷體" w:eastAsia="標楷體" w:hAnsi="標楷體"/>
          <w:spacing w:val="4"/>
          <w:kern w:val="0"/>
          <w:sz w:val="28"/>
          <w:szCs w:val="26"/>
        </w:rPr>
        <w:t>)</w:t>
      </w:r>
      <w:r>
        <w:rPr>
          <w:rFonts w:eastAsia="標楷體"/>
          <w:spacing w:val="4"/>
          <w:kern w:val="0"/>
          <w:sz w:val="28"/>
          <w:szCs w:val="26"/>
        </w:rPr>
        <w:t>，授權行政單位推動總量管制及排放交易系統，計劃自</w:t>
      </w:r>
      <w:r>
        <w:rPr>
          <w:rFonts w:eastAsia="標楷體"/>
          <w:spacing w:val="4"/>
          <w:kern w:val="0"/>
          <w:sz w:val="28"/>
          <w:szCs w:val="26"/>
        </w:rPr>
        <w:t>2015</w:t>
      </w:r>
      <w:r>
        <w:rPr>
          <w:rFonts w:eastAsia="標楷體"/>
          <w:spacing w:val="4"/>
          <w:kern w:val="0"/>
          <w:sz w:val="28"/>
          <w:szCs w:val="26"/>
        </w:rPr>
        <w:t>年起開始施行。</w:t>
      </w:r>
    </w:p>
    <w:p w14:paraId="15CE4FB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三、國際環保規範日趨嚴格</w:t>
      </w:r>
    </w:p>
    <w:p w14:paraId="26D53E08" w14:textId="77777777" w:rsidR="00052596" w:rsidRDefault="00000000">
      <w:pPr>
        <w:overflowPunct w:val="0"/>
        <w:autoSpaceDE w:val="0"/>
        <w:spacing w:line="420" w:lineRule="exact"/>
        <w:ind w:left="240" w:firstLine="576"/>
        <w:jc w:val="both"/>
        <w:textAlignment w:val="center"/>
      </w:pPr>
      <w:r>
        <w:rPr>
          <w:rFonts w:eastAsia="標楷體"/>
          <w:spacing w:val="4"/>
          <w:kern w:val="0"/>
          <w:sz w:val="28"/>
          <w:szCs w:val="26"/>
        </w:rPr>
        <w:t>歐盟自</w:t>
      </w:r>
      <w:r>
        <w:rPr>
          <w:rFonts w:eastAsia="標楷體"/>
          <w:spacing w:val="4"/>
          <w:kern w:val="0"/>
          <w:sz w:val="28"/>
          <w:szCs w:val="26"/>
        </w:rPr>
        <w:t>1992</w:t>
      </w:r>
      <w:r>
        <w:rPr>
          <w:rFonts w:eastAsia="標楷體"/>
          <w:spacing w:val="4"/>
          <w:kern w:val="0"/>
          <w:sz w:val="28"/>
          <w:szCs w:val="26"/>
        </w:rPr>
        <w:t>年提出「整合性產品政策」</w:t>
      </w:r>
      <w:r>
        <w:rPr>
          <w:rFonts w:ascii="標楷體" w:eastAsia="標楷體" w:hAnsi="標楷體"/>
          <w:spacing w:val="4"/>
          <w:kern w:val="0"/>
          <w:sz w:val="28"/>
          <w:szCs w:val="26"/>
        </w:rPr>
        <w:t>(</w:t>
      </w:r>
      <w:r>
        <w:rPr>
          <w:rFonts w:eastAsia="標楷體"/>
          <w:spacing w:val="4"/>
          <w:kern w:val="0"/>
          <w:sz w:val="28"/>
          <w:szCs w:val="26"/>
        </w:rPr>
        <w:t>Integrated Product Policy</w:t>
      </w:r>
      <w:r>
        <w:rPr>
          <w:rFonts w:ascii="標楷體" w:eastAsia="標楷體" w:hAnsi="標楷體"/>
          <w:spacing w:val="4"/>
          <w:kern w:val="0"/>
          <w:sz w:val="28"/>
          <w:szCs w:val="26"/>
        </w:rPr>
        <w:t>)</w:t>
      </w:r>
      <w:r>
        <w:rPr>
          <w:rFonts w:eastAsia="標楷體"/>
          <w:spacing w:val="4"/>
          <w:kern w:val="0"/>
          <w:sz w:val="28"/>
          <w:szCs w:val="26"/>
        </w:rPr>
        <w:t>後</w:t>
      </w:r>
      <w:r>
        <w:rPr>
          <w:rFonts w:eastAsia="標楷體"/>
          <w:spacing w:val="4"/>
          <w:kern w:val="0"/>
          <w:sz w:val="28"/>
          <w:szCs w:val="26"/>
          <w:vertAlign w:val="superscript"/>
        </w:rPr>
        <w:footnoteReference w:id="11"/>
      </w:r>
      <w:r>
        <w:rPr>
          <w:rFonts w:eastAsia="標楷體"/>
          <w:spacing w:val="4"/>
          <w:kern w:val="0"/>
          <w:sz w:val="28"/>
          <w:szCs w:val="26"/>
        </w:rPr>
        <w:t>，先後實施有關限用有害物質、資源回收利用、能源效率標準、環境資訊揭露等一系列環保指令。美國、中國大陸、日本、南韓等亦相繼訂定環保相關之法規命令。由於環保規範與貿易的結合，國際環保規範儼然成為新型態技術性貿易障礙之一，另方面也促成環保商品蔚為風潮。</w:t>
      </w:r>
    </w:p>
    <w:p w14:paraId="5DB979D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pPr>
      <w:r>
        <w:rPr>
          <w:rFonts w:eastAsia="標楷體"/>
          <w:spacing w:val="4"/>
          <w:kern w:val="0"/>
          <w:sz w:val="28"/>
          <w:szCs w:val="22"/>
        </w:rPr>
        <w:t>－歐盟於</w:t>
      </w:r>
      <w:r>
        <w:rPr>
          <w:rFonts w:eastAsia="標楷體"/>
          <w:spacing w:val="4"/>
          <w:kern w:val="0"/>
          <w:sz w:val="28"/>
          <w:szCs w:val="22"/>
        </w:rPr>
        <w:t>2003</w:t>
      </w:r>
      <w:r>
        <w:rPr>
          <w:rFonts w:eastAsia="標楷體"/>
          <w:spacing w:val="4"/>
          <w:kern w:val="0"/>
          <w:sz w:val="28"/>
          <w:szCs w:val="22"/>
        </w:rPr>
        <w:t>年起陸續通過「電子電機產品有害物質限用指令」</w:t>
      </w:r>
      <w:r>
        <w:rPr>
          <w:rFonts w:ascii="標楷體" w:eastAsia="標楷體" w:hAnsi="標楷體"/>
          <w:spacing w:val="4"/>
          <w:kern w:val="0"/>
          <w:sz w:val="28"/>
          <w:szCs w:val="22"/>
        </w:rPr>
        <w:t>(</w:t>
      </w:r>
      <w:r>
        <w:rPr>
          <w:rFonts w:eastAsia="標楷體"/>
          <w:spacing w:val="4"/>
          <w:kern w:val="0"/>
          <w:sz w:val="28"/>
          <w:szCs w:val="22"/>
        </w:rPr>
        <w:t>RoHS</w:t>
      </w:r>
      <w:r>
        <w:rPr>
          <w:rFonts w:ascii="標楷體" w:eastAsia="標楷體" w:hAnsi="標楷體"/>
          <w:spacing w:val="4"/>
          <w:kern w:val="0"/>
          <w:sz w:val="28"/>
          <w:szCs w:val="22"/>
        </w:rPr>
        <w:t>)</w:t>
      </w:r>
      <w:r>
        <w:rPr>
          <w:rFonts w:eastAsia="標楷體"/>
          <w:spacing w:val="4"/>
          <w:kern w:val="0"/>
          <w:sz w:val="28"/>
          <w:szCs w:val="22"/>
        </w:rPr>
        <w:t>、「化學品登錄評核與授權辦法」</w:t>
      </w:r>
      <w:r>
        <w:rPr>
          <w:rFonts w:ascii="標楷體" w:eastAsia="標楷體" w:hAnsi="標楷體"/>
          <w:spacing w:val="4"/>
          <w:kern w:val="0"/>
          <w:sz w:val="28"/>
          <w:szCs w:val="22"/>
        </w:rPr>
        <w:t>(</w:t>
      </w:r>
      <w:r>
        <w:rPr>
          <w:rFonts w:eastAsia="標楷體"/>
          <w:spacing w:val="4"/>
          <w:kern w:val="0"/>
          <w:sz w:val="28"/>
          <w:szCs w:val="22"/>
        </w:rPr>
        <w:t>REACH</w:t>
      </w:r>
      <w:r>
        <w:rPr>
          <w:rFonts w:ascii="標楷體" w:eastAsia="標楷體" w:hAnsi="標楷體"/>
          <w:spacing w:val="4"/>
          <w:kern w:val="0"/>
          <w:sz w:val="28"/>
          <w:szCs w:val="22"/>
        </w:rPr>
        <w:t>)</w:t>
      </w:r>
      <w:r>
        <w:rPr>
          <w:rFonts w:eastAsia="標楷體"/>
          <w:spacing w:val="4"/>
          <w:kern w:val="0"/>
          <w:sz w:val="28"/>
          <w:szCs w:val="22"/>
        </w:rPr>
        <w:t>、「電池和蓄電池指令」、「富馬酸二甲酯禁令」等，限制有害化學物質使用。近年，美國、日本、中國大陸亦通過電子電機產品毒物管制等相關法令，禁止含有鉛、汞、鎘等化學物質產品上市銷售。</w:t>
      </w:r>
    </w:p>
    <w:p w14:paraId="2F8525F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pPr>
      <w:r>
        <w:rPr>
          <w:rFonts w:eastAsia="標楷體"/>
          <w:spacing w:val="4"/>
          <w:kern w:val="0"/>
          <w:sz w:val="28"/>
          <w:szCs w:val="22"/>
        </w:rPr>
        <w:t>－為提高資源再利用比率，歐盟於</w:t>
      </w:r>
      <w:r>
        <w:rPr>
          <w:rFonts w:eastAsia="標楷體"/>
          <w:spacing w:val="4"/>
          <w:kern w:val="0"/>
          <w:sz w:val="28"/>
          <w:szCs w:val="22"/>
        </w:rPr>
        <w:t>2003</w:t>
      </w:r>
      <w:r>
        <w:rPr>
          <w:rFonts w:eastAsia="標楷體"/>
          <w:spacing w:val="4"/>
          <w:kern w:val="0"/>
          <w:sz w:val="28"/>
          <w:szCs w:val="22"/>
        </w:rPr>
        <w:t>年通過「廢電機電子設備指令」</w:t>
      </w:r>
      <w:r>
        <w:rPr>
          <w:rFonts w:ascii="標楷體" w:eastAsia="標楷體" w:hAnsi="標楷體"/>
          <w:spacing w:val="4"/>
          <w:kern w:val="0"/>
          <w:sz w:val="28"/>
          <w:szCs w:val="22"/>
        </w:rPr>
        <w:t>(</w:t>
      </w:r>
      <w:r>
        <w:rPr>
          <w:rFonts w:eastAsia="標楷體"/>
          <w:spacing w:val="4"/>
          <w:kern w:val="0"/>
          <w:sz w:val="28"/>
          <w:szCs w:val="22"/>
        </w:rPr>
        <w:t>WEEE</w:t>
      </w:r>
      <w:r>
        <w:rPr>
          <w:rFonts w:ascii="標楷體" w:eastAsia="標楷體" w:hAnsi="標楷體"/>
          <w:spacing w:val="4"/>
          <w:kern w:val="0"/>
          <w:sz w:val="28"/>
          <w:szCs w:val="22"/>
        </w:rPr>
        <w:t>)</w:t>
      </w:r>
      <w:r>
        <w:rPr>
          <w:rFonts w:eastAsia="標楷體"/>
          <w:spacing w:val="4"/>
          <w:kern w:val="0"/>
          <w:sz w:val="28"/>
          <w:szCs w:val="22"/>
        </w:rPr>
        <w:t>，要求歐盟會員國建立廢棄電機電子設備回收系統；該指令並於</w:t>
      </w:r>
      <w:r>
        <w:rPr>
          <w:rFonts w:eastAsia="標楷體"/>
          <w:spacing w:val="4"/>
          <w:kern w:val="0"/>
          <w:sz w:val="28"/>
          <w:szCs w:val="22"/>
        </w:rPr>
        <w:t>2012</w:t>
      </w:r>
      <w:r>
        <w:rPr>
          <w:rFonts w:eastAsia="標楷體"/>
          <w:spacing w:val="4"/>
          <w:kern w:val="0"/>
          <w:sz w:val="28"/>
          <w:szCs w:val="22"/>
        </w:rPr>
        <w:t>年</w:t>
      </w:r>
      <w:r>
        <w:rPr>
          <w:rFonts w:eastAsia="標楷體"/>
          <w:spacing w:val="4"/>
          <w:kern w:val="0"/>
          <w:sz w:val="28"/>
          <w:szCs w:val="22"/>
        </w:rPr>
        <w:t>7</w:t>
      </w:r>
      <w:r>
        <w:rPr>
          <w:rFonts w:eastAsia="標楷體"/>
          <w:spacing w:val="4"/>
          <w:kern w:val="0"/>
          <w:sz w:val="28"/>
          <w:szCs w:val="22"/>
        </w:rPr>
        <w:t>月進一步修正，擴大產品規範範圍，並分階段提升產品回收目標。美國部分州政府亦訂定廢棄電器回收機制等相關法令。南韓及中國大陸則分別於</w:t>
      </w:r>
      <w:r>
        <w:rPr>
          <w:rFonts w:eastAsia="標楷體"/>
          <w:spacing w:val="4"/>
          <w:kern w:val="0"/>
          <w:sz w:val="28"/>
          <w:szCs w:val="22"/>
        </w:rPr>
        <w:t>2007</w:t>
      </w:r>
      <w:r>
        <w:rPr>
          <w:rFonts w:eastAsia="標楷體"/>
          <w:spacing w:val="4"/>
          <w:kern w:val="0"/>
          <w:sz w:val="28"/>
          <w:szCs w:val="22"/>
        </w:rPr>
        <w:t>、</w:t>
      </w:r>
      <w:r>
        <w:rPr>
          <w:rFonts w:eastAsia="標楷體"/>
          <w:spacing w:val="4"/>
          <w:kern w:val="0"/>
          <w:sz w:val="28"/>
          <w:szCs w:val="22"/>
        </w:rPr>
        <w:t>2009</w:t>
      </w:r>
      <w:r>
        <w:rPr>
          <w:rFonts w:eastAsia="標楷體"/>
          <w:spacing w:val="4"/>
          <w:kern w:val="0"/>
          <w:sz w:val="28"/>
          <w:szCs w:val="22"/>
        </w:rPr>
        <w:t>年通過「電子電氣產品與汽車設備資源回收法」、「廢棄電器電子產品</w:t>
      </w:r>
      <w:r>
        <w:rPr>
          <w:rFonts w:eastAsia="標楷體"/>
          <w:spacing w:val="4"/>
          <w:kern w:val="0"/>
          <w:sz w:val="28"/>
          <w:szCs w:val="22"/>
        </w:rPr>
        <w:lastRenderedPageBreak/>
        <w:t>回收處理管理條例」，賦予製造商負擔回收廢棄物之責任。</w:t>
      </w:r>
    </w:p>
    <w:p w14:paraId="220F742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pPr>
      <w:r>
        <w:rPr>
          <w:rFonts w:eastAsia="標楷體"/>
          <w:spacing w:val="4"/>
          <w:kern w:val="0"/>
          <w:sz w:val="28"/>
          <w:szCs w:val="22"/>
        </w:rPr>
        <w:t>－歐盟於</w:t>
      </w:r>
      <w:r>
        <w:rPr>
          <w:rFonts w:eastAsia="標楷體"/>
          <w:spacing w:val="4"/>
          <w:kern w:val="0"/>
          <w:sz w:val="28"/>
          <w:szCs w:val="22"/>
        </w:rPr>
        <w:t>2005</w:t>
      </w:r>
      <w:r>
        <w:rPr>
          <w:rFonts w:eastAsia="標楷體"/>
          <w:spacing w:val="4"/>
          <w:kern w:val="0"/>
          <w:sz w:val="28"/>
          <w:szCs w:val="22"/>
        </w:rPr>
        <w:t>年通過「使用能源產品生態化設計指令」</w:t>
      </w:r>
      <w:r>
        <w:rPr>
          <w:rFonts w:ascii="標楷體" w:eastAsia="標楷體" w:hAnsi="標楷體"/>
          <w:spacing w:val="4"/>
          <w:kern w:val="0"/>
          <w:sz w:val="28"/>
          <w:szCs w:val="22"/>
        </w:rPr>
        <w:t>(</w:t>
      </w:r>
      <w:r>
        <w:rPr>
          <w:rFonts w:eastAsia="標楷體"/>
          <w:spacing w:val="4"/>
          <w:kern w:val="0"/>
          <w:sz w:val="28"/>
          <w:szCs w:val="22"/>
        </w:rPr>
        <w:t>EuP</w:t>
      </w:r>
      <w:r>
        <w:rPr>
          <w:rFonts w:ascii="標楷體" w:eastAsia="標楷體" w:hAnsi="標楷體"/>
          <w:spacing w:val="4"/>
          <w:kern w:val="0"/>
          <w:sz w:val="28"/>
          <w:szCs w:val="22"/>
        </w:rPr>
        <w:t>)</w:t>
      </w:r>
      <w:r>
        <w:rPr>
          <w:rFonts w:eastAsia="標楷體"/>
          <w:spacing w:val="4"/>
          <w:kern w:val="0"/>
          <w:sz w:val="28"/>
          <w:szCs w:val="22"/>
        </w:rPr>
        <w:t>，規範使用能源產品，在其生命週期中對環境造成的影響</w:t>
      </w:r>
      <w:r>
        <w:rPr>
          <w:rFonts w:ascii="標楷體" w:eastAsia="標楷體" w:hAnsi="標楷體"/>
          <w:spacing w:val="4"/>
          <w:kern w:val="0"/>
          <w:sz w:val="28"/>
          <w:szCs w:val="22"/>
        </w:rPr>
        <w:t>(</w:t>
      </w:r>
      <w:r>
        <w:rPr>
          <w:rFonts w:eastAsia="標楷體"/>
          <w:spacing w:val="4"/>
          <w:kern w:val="0"/>
          <w:sz w:val="28"/>
          <w:szCs w:val="22"/>
        </w:rPr>
        <w:t>如有害物質、能源消耗</w:t>
      </w:r>
      <w:r>
        <w:rPr>
          <w:rFonts w:ascii="標楷體" w:eastAsia="標楷體" w:hAnsi="標楷體"/>
          <w:spacing w:val="4"/>
          <w:kern w:val="0"/>
          <w:sz w:val="28"/>
          <w:szCs w:val="22"/>
        </w:rPr>
        <w:t>)</w:t>
      </w:r>
      <w:r>
        <w:rPr>
          <w:rFonts w:eastAsia="標楷體"/>
          <w:spacing w:val="4"/>
          <w:kern w:val="0"/>
          <w:sz w:val="28"/>
          <w:szCs w:val="22"/>
        </w:rPr>
        <w:t>，須符合歐盟各會員國訂定之標準。</w:t>
      </w:r>
      <w:r>
        <w:rPr>
          <w:rFonts w:eastAsia="標楷體"/>
          <w:spacing w:val="4"/>
          <w:kern w:val="0"/>
          <w:sz w:val="28"/>
          <w:szCs w:val="22"/>
        </w:rPr>
        <w:t>2009</w:t>
      </w:r>
      <w:r>
        <w:rPr>
          <w:rFonts w:eastAsia="標楷體"/>
          <w:spacing w:val="4"/>
          <w:kern w:val="0"/>
          <w:sz w:val="28"/>
          <w:szCs w:val="22"/>
        </w:rPr>
        <w:t>年公告「使用能源相關產品生態化設計指令」</w:t>
      </w:r>
      <w:r>
        <w:rPr>
          <w:rFonts w:ascii="標楷體" w:eastAsia="標楷體" w:hAnsi="標楷體"/>
          <w:spacing w:val="4"/>
          <w:kern w:val="0"/>
          <w:sz w:val="28"/>
          <w:szCs w:val="22"/>
        </w:rPr>
        <w:t>(</w:t>
      </w:r>
      <w:r>
        <w:rPr>
          <w:rFonts w:eastAsia="標楷體"/>
          <w:spacing w:val="4"/>
          <w:kern w:val="0"/>
          <w:sz w:val="28"/>
          <w:szCs w:val="22"/>
        </w:rPr>
        <w:t>ErP</w:t>
      </w:r>
      <w:r>
        <w:rPr>
          <w:rFonts w:ascii="標楷體" w:eastAsia="標楷體" w:hAnsi="標楷體"/>
          <w:spacing w:val="4"/>
          <w:kern w:val="0"/>
          <w:sz w:val="28"/>
          <w:szCs w:val="22"/>
        </w:rPr>
        <w:t>)</w:t>
      </w:r>
      <w:r>
        <w:rPr>
          <w:rFonts w:eastAsia="標楷體"/>
          <w:spacing w:val="4"/>
          <w:kern w:val="0"/>
          <w:sz w:val="28"/>
          <w:szCs w:val="22"/>
        </w:rPr>
        <w:t>，進一步增加</w:t>
      </w:r>
      <w:r>
        <w:rPr>
          <w:rFonts w:eastAsia="標楷體"/>
          <w:spacing w:val="4"/>
          <w:kern w:val="0"/>
          <w:sz w:val="28"/>
          <w:szCs w:val="22"/>
        </w:rPr>
        <w:t>EuP</w:t>
      </w:r>
      <w:r>
        <w:rPr>
          <w:rFonts w:eastAsia="標楷體"/>
          <w:spacing w:val="4"/>
          <w:kern w:val="0"/>
          <w:sz w:val="28"/>
          <w:szCs w:val="22"/>
        </w:rPr>
        <w:t>管制產品範疇，</w:t>
      </w:r>
      <w:r>
        <w:rPr>
          <w:rFonts w:eastAsia="標楷體"/>
          <w:spacing w:val="4"/>
          <w:kern w:val="0"/>
          <w:sz w:val="28"/>
          <w:szCs w:val="22"/>
        </w:rPr>
        <w:t>EuP/ErP</w:t>
      </w:r>
      <w:r>
        <w:rPr>
          <w:rFonts w:eastAsia="標楷體"/>
          <w:spacing w:val="4"/>
          <w:kern w:val="0"/>
          <w:sz w:val="28"/>
          <w:szCs w:val="22"/>
        </w:rPr>
        <w:t>指令的實施促使國際大廠須強化其產品上、中、下游供應鏈之環境管理。影響所及，近年，美國、南韓、日本、澳洲等政府亦相繼制訂產品能源效率相關規範。</w:t>
      </w:r>
    </w:p>
    <w:p w14:paraId="45E74E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pPr>
      <w:r>
        <w:rPr>
          <w:rFonts w:eastAsia="標楷體"/>
          <w:spacing w:val="4"/>
          <w:kern w:val="0"/>
          <w:sz w:val="28"/>
          <w:szCs w:val="22"/>
        </w:rPr>
        <w:t>－為協助企業加強環境管理，國際標準組織</w:t>
      </w:r>
      <w:r>
        <w:rPr>
          <w:rFonts w:ascii="標楷體" w:eastAsia="標楷體" w:hAnsi="標楷體"/>
          <w:spacing w:val="4"/>
          <w:kern w:val="0"/>
          <w:sz w:val="28"/>
          <w:szCs w:val="22"/>
        </w:rPr>
        <w:t>(</w:t>
      </w:r>
      <w:r>
        <w:rPr>
          <w:rFonts w:eastAsia="標楷體"/>
          <w:spacing w:val="4"/>
          <w:kern w:val="0"/>
          <w:sz w:val="28"/>
          <w:szCs w:val="22"/>
        </w:rPr>
        <w:t>ISO</w:t>
      </w:r>
      <w:r>
        <w:rPr>
          <w:rFonts w:ascii="標楷體" w:eastAsia="標楷體" w:hAnsi="標楷體"/>
          <w:spacing w:val="4"/>
          <w:kern w:val="0"/>
          <w:sz w:val="28"/>
          <w:szCs w:val="22"/>
        </w:rPr>
        <w:t>)</w:t>
      </w:r>
      <w:r>
        <w:rPr>
          <w:rFonts w:eastAsia="標楷體"/>
          <w:spacing w:val="4"/>
          <w:kern w:val="0"/>
          <w:sz w:val="28"/>
          <w:szCs w:val="22"/>
        </w:rPr>
        <w:t>先後於</w:t>
      </w:r>
      <w:r>
        <w:rPr>
          <w:rFonts w:eastAsia="標楷體"/>
          <w:spacing w:val="4"/>
          <w:kern w:val="0"/>
          <w:sz w:val="28"/>
          <w:szCs w:val="22"/>
        </w:rPr>
        <w:t>2000</w:t>
      </w:r>
      <w:r>
        <w:rPr>
          <w:rFonts w:eastAsia="標楷體"/>
          <w:spacing w:val="4"/>
          <w:kern w:val="0"/>
          <w:sz w:val="28"/>
          <w:szCs w:val="22"/>
        </w:rPr>
        <w:t>年公布「環境標誌與宣告－第三類環境宣告標準」</w:t>
      </w:r>
      <w:r>
        <w:rPr>
          <w:rFonts w:ascii="標楷體" w:eastAsia="標楷體" w:hAnsi="標楷體"/>
          <w:spacing w:val="4"/>
          <w:kern w:val="0"/>
          <w:sz w:val="28"/>
          <w:szCs w:val="22"/>
        </w:rPr>
        <w:t>(</w:t>
      </w:r>
      <w:r>
        <w:rPr>
          <w:rFonts w:eastAsia="標楷體"/>
          <w:spacing w:val="4"/>
          <w:kern w:val="0"/>
          <w:sz w:val="28"/>
          <w:szCs w:val="22"/>
        </w:rPr>
        <w:t>ISO14025</w:t>
      </w:r>
      <w:r>
        <w:rPr>
          <w:rFonts w:ascii="標楷體" w:eastAsia="標楷體" w:hAnsi="標楷體"/>
          <w:spacing w:val="4"/>
          <w:kern w:val="0"/>
          <w:sz w:val="28"/>
          <w:szCs w:val="22"/>
        </w:rPr>
        <w:t>)</w:t>
      </w:r>
      <w:r>
        <w:rPr>
          <w:rFonts w:eastAsia="標楷體"/>
          <w:spacing w:val="4"/>
          <w:kern w:val="0"/>
          <w:sz w:val="28"/>
          <w:szCs w:val="22"/>
        </w:rPr>
        <w:t>、</w:t>
      </w:r>
      <w:r>
        <w:rPr>
          <w:rFonts w:eastAsia="標楷體"/>
          <w:spacing w:val="4"/>
          <w:kern w:val="0"/>
          <w:sz w:val="28"/>
          <w:szCs w:val="22"/>
        </w:rPr>
        <w:t>2011</w:t>
      </w:r>
      <w:r>
        <w:rPr>
          <w:rFonts w:eastAsia="標楷體"/>
          <w:spacing w:val="4"/>
          <w:kern w:val="0"/>
          <w:sz w:val="28"/>
          <w:szCs w:val="22"/>
        </w:rPr>
        <w:t>年公布「碳足跡量化與溝通標準」</w:t>
      </w:r>
      <w:r>
        <w:rPr>
          <w:rFonts w:ascii="標楷體" w:eastAsia="標楷體" w:hAnsi="標楷體"/>
          <w:spacing w:val="4"/>
          <w:kern w:val="0"/>
          <w:sz w:val="28"/>
          <w:szCs w:val="22"/>
        </w:rPr>
        <w:t>(</w:t>
      </w:r>
      <w:r>
        <w:rPr>
          <w:rFonts w:eastAsia="標楷體"/>
          <w:spacing w:val="4"/>
          <w:kern w:val="0"/>
          <w:sz w:val="28"/>
          <w:szCs w:val="22"/>
        </w:rPr>
        <w:t>ISO14067</w:t>
      </w:r>
      <w:r>
        <w:rPr>
          <w:rFonts w:ascii="標楷體" w:eastAsia="標楷體" w:hAnsi="標楷體"/>
          <w:spacing w:val="4"/>
          <w:kern w:val="0"/>
          <w:sz w:val="28"/>
          <w:szCs w:val="22"/>
        </w:rPr>
        <w:t>)</w:t>
      </w:r>
      <w:r>
        <w:rPr>
          <w:rFonts w:eastAsia="標楷體"/>
          <w:spacing w:val="4"/>
          <w:kern w:val="0"/>
          <w:sz w:val="28"/>
          <w:szCs w:val="22"/>
        </w:rPr>
        <w:t>；英國標準協會</w:t>
      </w:r>
      <w:r>
        <w:rPr>
          <w:rFonts w:ascii="標楷體" w:eastAsia="標楷體" w:hAnsi="標楷體"/>
          <w:spacing w:val="4"/>
          <w:kern w:val="0"/>
          <w:sz w:val="28"/>
          <w:szCs w:val="22"/>
        </w:rPr>
        <w:t>(</w:t>
      </w:r>
      <w:r>
        <w:rPr>
          <w:rFonts w:eastAsia="標楷體"/>
          <w:spacing w:val="4"/>
          <w:kern w:val="0"/>
          <w:sz w:val="28"/>
          <w:szCs w:val="22"/>
        </w:rPr>
        <w:t>BIS</w:t>
      </w:r>
      <w:r>
        <w:rPr>
          <w:rFonts w:ascii="標楷體" w:eastAsia="標楷體" w:hAnsi="標楷體"/>
          <w:spacing w:val="4"/>
          <w:kern w:val="0"/>
          <w:sz w:val="28"/>
          <w:szCs w:val="22"/>
        </w:rPr>
        <w:t>)</w:t>
      </w:r>
      <w:r>
        <w:rPr>
          <w:rFonts w:eastAsia="標楷體"/>
          <w:spacing w:val="4"/>
          <w:kern w:val="0"/>
          <w:sz w:val="28"/>
          <w:szCs w:val="22"/>
        </w:rPr>
        <w:t>亦於</w:t>
      </w:r>
      <w:r>
        <w:rPr>
          <w:rFonts w:eastAsia="標楷體"/>
          <w:spacing w:val="4"/>
          <w:kern w:val="0"/>
          <w:sz w:val="28"/>
          <w:szCs w:val="22"/>
        </w:rPr>
        <w:t>2008</w:t>
      </w:r>
      <w:r>
        <w:rPr>
          <w:rFonts w:eastAsia="標楷體"/>
          <w:spacing w:val="4"/>
          <w:kern w:val="0"/>
          <w:sz w:val="28"/>
          <w:szCs w:val="22"/>
        </w:rPr>
        <w:t>年公告「產業碳足跡計算準則」</w:t>
      </w:r>
      <w:r>
        <w:rPr>
          <w:rFonts w:ascii="標楷體" w:eastAsia="標楷體" w:hAnsi="標楷體"/>
          <w:spacing w:val="4"/>
          <w:kern w:val="0"/>
          <w:sz w:val="28"/>
          <w:szCs w:val="22"/>
        </w:rPr>
        <w:t>(</w:t>
      </w:r>
      <w:r>
        <w:rPr>
          <w:rFonts w:eastAsia="標楷體"/>
          <w:spacing w:val="4"/>
          <w:kern w:val="0"/>
          <w:sz w:val="28"/>
          <w:szCs w:val="22"/>
        </w:rPr>
        <w:t>PAS2050</w:t>
      </w:r>
      <w:r>
        <w:rPr>
          <w:rFonts w:ascii="標楷體" w:eastAsia="標楷體" w:hAnsi="標楷體"/>
          <w:spacing w:val="4"/>
          <w:kern w:val="0"/>
          <w:sz w:val="28"/>
          <w:szCs w:val="22"/>
        </w:rPr>
        <w:t>)</w:t>
      </w:r>
      <w:r>
        <w:rPr>
          <w:rFonts w:eastAsia="標楷體"/>
          <w:spacing w:val="4"/>
          <w:kern w:val="0"/>
          <w:sz w:val="28"/>
          <w:szCs w:val="22"/>
        </w:rPr>
        <w:t>，產品環境宣告、產品碳足跡等環境資訊揭露已成趨勢。另，全球水資源匱乏問題嚴重，產品水足跡</w:t>
      </w:r>
      <w:r>
        <w:rPr>
          <w:rFonts w:ascii="標楷體" w:eastAsia="標楷體" w:hAnsi="標楷體"/>
          <w:spacing w:val="4"/>
          <w:kern w:val="0"/>
          <w:sz w:val="28"/>
          <w:szCs w:val="22"/>
        </w:rPr>
        <w:t>(</w:t>
      </w:r>
      <w:r>
        <w:rPr>
          <w:rFonts w:eastAsia="標楷體"/>
          <w:spacing w:val="4"/>
          <w:kern w:val="0"/>
          <w:sz w:val="28"/>
          <w:szCs w:val="22"/>
        </w:rPr>
        <w:t>Water Footprint</w:t>
      </w:r>
      <w:r>
        <w:rPr>
          <w:rFonts w:ascii="標楷體" w:eastAsia="標楷體" w:hAnsi="標楷體"/>
          <w:spacing w:val="4"/>
          <w:kern w:val="0"/>
          <w:sz w:val="28"/>
          <w:szCs w:val="22"/>
        </w:rPr>
        <w:t>)</w:t>
      </w:r>
      <w:r>
        <w:rPr>
          <w:rFonts w:eastAsia="標楷體"/>
          <w:spacing w:val="4"/>
          <w:kern w:val="0"/>
          <w:sz w:val="28"/>
          <w:szCs w:val="22"/>
        </w:rPr>
        <w:t>揭露亦將成為未來環境資訊揭露的推動重點。</w:t>
      </w:r>
    </w:p>
    <w:p w14:paraId="55A8A720"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四、綠色產業商機可期</w:t>
      </w:r>
    </w:p>
    <w:p w14:paraId="42204EE4" w14:textId="77777777" w:rsidR="00052596" w:rsidRDefault="00000000">
      <w:pPr>
        <w:overflowPunct w:val="0"/>
        <w:autoSpaceDE w:val="0"/>
        <w:spacing w:line="400" w:lineRule="exact"/>
        <w:ind w:left="240" w:firstLine="576"/>
        <w:jc w:val="both"/>
        <w:textAlignment w:val="center"/>
      </w:pPr>
      <w:r>
        <w:rPr>
          <w:rFonts w:eastAsia="標楷體"/>
          <w:spacing w:val="4"/>
          <w:kern w:val="0"/>
          <w:sz w:val="28"/>
          <w:szCs w:val="26"/>
        </w:rPr>
        <w:t>鑒於大氣中溫室氣體濃度逐年提高，為避免氣候變遷造成生態浩劫，聯合國</w:t>
      </w:r>
      <w:r>
        <w:rPr>
          <w:rFonts w:eastAsia="標楷體"/>
          <w:spacing w:val="6"/>
          <w:kern w:val="0"/>
          <w:sz w:val="28"/>
          <w:szCs w:val="26"/>
        </w:rPr>
        <w:t>等國際組織皆積極推動綠色倡議，主要國家亦相繼提出節能減碳政策，全力發展環保節能、再生能源等相關綠色科技，並進一步提高國際環保規範標準，預期將為綠色產業帶來龐大商機。</w:t>
      </w:r>
    </w:p>
    <w:p w14:paraId="6C7F599E"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504" w:hanging="288"/>
        <w:jc w:val="both"/>
        <w:textAlignment w:val="center"/>
      </w:pPr>
      <w:r>
        <w:rPr>
          <w:rFonts w:eastAsia="標楷體"/>
          <w:spacing w:val="4"/>
          <w:kern w:val="0"/>
          <w:sz w:val="28"/>
          <w:szCs w:val="26"/>
        </w:rPr>
        <w:t>－國際能源總署</w:t>
      </w:r>
      <w:r>
        <w:rPr>
          <w:rFonts w:ascii="標楷體" w:eastAsia="標楷體" w:hAnsi="標楷體"/>
          <w:spacing w:val="4"/>
          <w:kern w:val="0"/>
          <w:sz w:val="28"/>
          <w:szCs w:val="26"/>
        </w:rPr>
        <w:t>(</w:t>
      </w:r>
      <w:r>
        <w:rPr>
          <w:rFonts w:eastAsia="標楷體"/>
          <w:spacing w:val="4"/>
          <w:kern w:val="0"/>
          <w:sz w:val="28"/>
          <w:szCs w:val="26"/>
        </w:rPr>
        <w:t>IEA</w:t>
      </w:r>
      <w:r>
        <w:rPr>
          <w:rFonts w:ascii="標楷體" w:eastAsia="標楷體" w:hAnsi="標楷體"/>
          <w:spacing w:val="4"/>
          <w:kern w:val="0"/>
          <w:sz w:val="28"/>
          <w:szCs w:val="26"/>
        </w:rPr>
        <w:t>)</w:t>
      </w:r>
      <w:r>
        <w:rPr>
          <w:rFonts w:eastAsia="標楷體"/>
          <w:spacing w:val="4"/>
          <w:kern w:val="0"/>
          <w:sz w:val="28"/>
          <w:szCs w:val="22"/>
        </w:rPr>
        <w:t>於「能源科技展望</w:t>
      </w:r>
      <w:r>
        <w:rPr>
          <w:rFonts w:eastAsia="標楷體"/>
          <w:spacing w:val="4"/>
          <w:kern w:val="0"/>
          <w:sz w:val="28"/>
          <w:szCs w:val="22"/>
        </w:rPr>
        <w:t>2012</w:t>
      </w:r>
      <w:r>
        <w:rPr>
          <w:rFonts w:eastAsia="標楷體"/>
          <w:spacing w:val="4"/>
          <w:kern w:val="0"/>
          <w:sz w:val="28"/>
          <w:szCs w:val="22"/>
        </w:rPr>
        <w:t>」</w:t>
      </w:r>
      <w:r>
        <w:rPr>
          <w:rFonts w:ascii="標楷體" w:eastAsia="標楷體" w:hAnsi="標楷體"/>
          <w:spacing w:val="4"/>
          <w:kern w:val="0"/>
          <w:sz w:val="28"/>
          <w:szCs w:val="22"/>
        </w:rPr>
        <w:t>(</w:t>
      </w:r>
      <w:r>
        <w:rPr>
          <w:rFonts w:eastAsia="標楷體"/>
          <w:spacing w:val="4"/>
          <w:kern w:val="0"/>
          <w:sz w:val="28"/>
          <w:szCs w:val="22"/>
        </w:rPr>
        <w:t>Energy Technology Perspectives 2012</w:t>
      </w:r>
      <w:r>
        <w:rPr>
          <w:rFonts w:eastAsia="標楷體"/>
          <w:spacing w:val="4"/>
          <w:kern w:val="0"/>
          <w:sz w:val="28"/>
          <w:szCs w:val="22"/>
        </w:rPr>
        <w:t>－</w:t>
      </w:r>
      <w:r>
        <w:rPr>
          <w:rFonts w:eastAsia="標楷體"/>
          <w:spacing w:val="4"/>
          <w:kern w:val="0"/>
          <w:sz w:val="28"/>
          <w:szCs w:val="22"/>
        </w:rPr>
        <w:t>Pathways to a Clean Energy System</w:t>
      </w:r>
      <w:r>
        <w:rPr>
          <w:rFonts w:ascii="標楷體" w:eastAsia="標楷體" w:hAnsi="標楷體"/>
          <w:spacing w:val="4"/>
          <w:kern w:val="0"/>
          <w:sz w:val="28"/>
          <w:szCs w:val="22"/>
        </w:rPr>
        <w:t>)</w:t>
      </w:r>
      <w:r>
        <w:rPr>
          <w:rFonts w:eastAsia="標楷體"/>
          <w:spacing w:val="4"/>
          <w:kern w:val="0"/>
          <w:sz w:val="28"/>
          <w:szCs w:val="22"/>
        </w:rPr>
        <w:t>報告中指出，為控制</w:t>
      </w:r>
      <w:r>
        <w:rPr>
          <w:rFonts w:eastAsia="標楷體"/>
          <w:spacing w:val="4"/>
          <w:kern w:val="0"/>
          <w:sz w:val="28"/>
          <w:szCs w:val="22"/>
        </w:rPr>
        <w:t>2100</w:t>
      </w:r>
      <w:r>
        <w:rPr>
          <w:rFonts w:eastAsia="標楷體"/>
          <w:spacing w:val="4"/>
          <w:kern w:val="0"/>
          <w:sz w:val="28"/>
          <w:szCs w:val="22"/>
        </w:rPr>
        <w:t>年地球升溫低於</w:t>
      </w:r>
      <w:r>
        <w:rPr>
          <w:rFonts w:eastAsia="標楷體"/>
          <w:spacing w:val="4"/>
          <w:kern w:val="0"/>
          <w:sz w:val="28"/>
          <w:szCs w:val="22"/>
        </w:rPr>
        <w:t>2</w:t>
      </w:r>
      <w:r>
        <w:rPr>
          <w:rFonts w:ascii="新細明體" w:hAnsi="新細明體"/>
          <w:spacing w:val="4"/>
          <w:kern w:val="0"/>
          <w:sz w:val="28"/>
          <w:szCs w:val="22"/>
        </w:rPr>
        <w:t>℃</w:t>
      </w:r>
      <w:r>
        <w:rPr>
          <w:rFonts w:eastAsia="標楷體"/>
          <w:spacing w:val="4"/>
          <w:kern w:val="0"/>
          <w:sz w:val="28"/>
          <w:szCs w:val="22"/>
          <w:vertAlign w:val="superscript"/>
        </w:rPr>
        <w:footnoteReference w:id="12"/>
      </w:r>
      <w:r>
        <w:rPr>
          <w:rFonts w:eastAsia="標楷體"/>
          <w:spacing w:val="4"/>
          <w:kern w:val="0"/>
          <w:sz w:val="28"/>
          <w:szCs w:val="26"/>
        </w:rPr>
        <w:t>，至</w:t>
      </w:r>
      <w:r>
        <w:rPr>
          <w:rFonts w:eastAsia="標楷體"/>
          <w:spacing w:val="4"/>
          <w:kern w:val="0"/>
          <w:sz w:val="28"/>
          <w:szCs w:val="26"/>
        </w:rPr>
        <w:t>2050</w:t>
      </w:r>
      <w:r>
        <w:rPr>
          <w:rFonts w:eastAsia="標楷體"/>
          <w:spacing w:val="4"/>
          <w:kern w:val="0"/>
          <w:sz w:val="28"/>
          <w:szCs w:val="26"/>
        </w:rPr>
        <w:t>年前，</w:t>
      </w:r>
      <w:r>
        <w:rPr>
          <w:rFonts w:eastAsia="標楷體"/>
          <w:spacing w:val="4"/>
          <w:kern w:val="0"/>
          <w:sz w:val="28"/>
          <w:szCs w:val="22"/>
        </w:rPr>
        <w:t>全球總計須額外投入</w:t>
      </w:r>
      <w:r>
        <w:rPr>
          <w:rFonts w:eastAsia="標楷體"/>
          <w:spacing w:val="4"/>
          <w:kern w:val="0"/>
          <w:sz w:val="28"/>
          <w:szCs w:val="22"/>
        </w:rPr>
        <w:t>36</w:t>
      </w:r>
      <w:r>
        <w:rPr>
          <w:rFonts w:eastAsia="標楷體"/>
          <w:spacing w:val="4"/>
          <w:kern w:val="0"/>
          <w:sz w:val="28"/>
          <w:szCs w:val="22"/>
        </w:rPr>
        <w:t>兆美元，推動低碳能源系統發展。其中，最主要減排科技依序為提升能源使用效率、再生能源、碳捕捉封存</w:t>
      </w:r>
      <w:r>
        <w:rPr>
          <w:rFonts w:ascii="標楷體" w:eastAsia="標楷體" w:hAnsi="標楷體"/>
          <w:spacing w:val="4"/>
          <w:kern w:val="0"/>
          <w:sz w:val="28"/>
          <w:szCs w:val="22"/>
        </w:rPr>
        <w:t>(</w:t>
      </w:r>
      <w:r>
        <w:rPr>
          <w:rFonts w:eastAsia="標楷體"/>
          <w:spacing w:val="4"/>
          <w:kern w:val="0"/>
          <w:sz w:val="28"/>
          <w:szCs w:val="22"/>
        </w:rPr>
        <w:t>Carbon Capture and Storage</w:t>
      </w:r>
      <w:r>
        <w:rPr>
          <w:rFonts w:ascii="標楷體" w:eastAsia="標楷體" w:hAnsi="標楷體"/>
          <w:spacing w:val="4"/>
          <w:kern w:val="0"/>
          <w:sz w:val="28"/>
          <w:szCs w:val="22"/>
        </w:rPr>
        <w:t>)</w:t>
      </w:r>
      <w:r>
        <w:rPr>
          <w:rFonts w:eastAsia="標楷體"/>
          <w:spacing w:val="4"/>
          <w:kern w:val="0"/>
          <w:sz w:val="28"/>
          <w:szCs w:val="22"/>
        </w:rPr>
        <w:t>，分別占總減排量</w:t>
      </w:r>
      <w:r>
        <w:rPr>
          <w:rFonts w:eastAsia="標楷體"/>
          <w:spacing w:val="4"/>
          <w:kern w:val="0"/>
          <w:sz w:val="28"/>
          <w:szCs w:val="22"/>
        </w:rPr>
        <w:t>31%</w:t>
      </w:r>
      <w:r>
        <w:rPr>
          <w:rFonts w:eastAsia="標楷體"/>
          <w:spacing w:val="4"/>
          <w:kern w:val="0"/>
          <w:sz w:val="28"/>
          <w:szCs w:val="22"/>
        </w:rPr>
        <w:t>、</w:t>
      </w:r>
      <w:r>
        <w:rPr>
          <w:rFonts w:eastAsia="標楷體"/>
          <w:spacing w:val="4"/>
          <w:kern w:val="0"/>
          <w:sz w:val="28"/>
          <w:szCs w:val="22"/>
        </w:rPr>
        <w:t>29%</w:t>
      </w:r>
      <w:r>
        <w:rPr>
          <w:rFonts w:eastAsia="標楷體"/>
          <w:spacing w:val="4"/>
          <w:kern w:val="0"/>
          <w:sz w:val="28"/>
          <w:szCs w:val="22"/>
        </w:rPr>
        <w:t>及</w:t>
      </w:r>
      <w:r>
        <w:rPr>
          <w:rFonts w:eastAsia="標楷體"/>
          <w:spacing w:val="4"/>
          <w:kern w:val="0"/>
          <w:sz w:val="28"/>
          <w:szCs w:val="22"/>
        </w:rPr>
        <w:t>20%</w:t>
      </w:r>
      <w:r>
        <w:rPr>
          <w:rFonts w:eastAsia="標楷體"/>
          <w:spacing w:val="4"/>
          <w:kern w:val="0"/>
          <w:sz w:val="28"/>
          <w:szCs w:val="22"/>
        </w:rPr>
        <w:t>。</w:t>
      </w:r>
    </w:p>
    <w:p w14:paraId="6C9DE59A"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504" w:hanging="288"/>
        <w:jc w:val="both"/>
        <w:textAlignment w:val="center"/>
      </w:pPr>
      <w:r>
        <w:rPr>
          <w:rFonts w:eastAsia="標楷體"/>
          <w:spacing w:val="4"/>
          <w:kern w:val="0"/>
          <w:sz w:val="28"/>
          <w:szCs w:val="22"/>
        </w:rPr>
        <w:lastRenderedPageBreak/>
        <w:t>－世界銀行於</w:t>
      </w:r>
      <w:r>
        <w:rPr>
          <w:rFonts w:eastAsia="標楷體"/>
          <w:spacing w:val="4"/>
          <w:kern w:val="0"/>
          <w:sz w:val="28"/>
          <w:szCs w:val="22"/>
        </w:rPr>
        <w:t>2012</w:t>
      </w:r>
      <w:r>
        <w:rPr>
          <w:rFonts w:eastAsia="標楷體"/>
          <w:spacing w:val="4"/>
          <w:kern w:val="0"/>
          <w:sz w:val="28"/>
          <w:szCs w:val="22"/>
        </w:rPr>
        <w:t>年「包容性綠色成長</w:t>
      </w:r>
      <w:r>
        <w:rPr>
          <w:rFonts w:ascii="標楷體" w:eastAsia="標楷體" w:hAnsi="標楷體"/>
          <w:spacing w:val="4"/>
          <w:kern w:val="0"/>
          <w:sz w:val="28"/>
          <w:szCs w:val="22"/>
        </w:rPr>
        <w:t>」(</w:t>
      </w:r>
      <w:r>
        <w:rPr>
          <w:rFonts w:eastAsia="標楷體"/>
          <w:spacing w:val="4"/>
          <w:kern w:val="0"/>
          <w:sz w:val="28"/>
          <w:szCs w:val="22"/>
        </w:rPr>
        <w:t>Inclusive Green Growth</w:t>
      </w:r>
      <w:r>
        <w:rPr>
          <w:rFonts w:ascii="標楷體" w:eastAsia="標楷體" w:hAnsi="標楷體"/>
          <w:spacing w:val="4"/>
          <w:kern w:val="0"/>
          <w:sz w:val="28"/>
          <w:szCs w:val="22"/>
        </w:rPr>
        <w:t>)</w:t>
      </w:r>
      <w:r>
        <w:rPr>
          <w:rFonts w:eastAsia="標楷體"/>
          <w:spacing w:val="4"/>
          <w:kern w:val="0"/>
          <w:sz w:val="28"/>
          <w:szCs w:val="22"/>
        </w:rPr>
        <w:t>報告中表示，為達控制大氣中溫室氣體濃度低於</w:t>
      </w:r>
      <w:r>
        <w:rPr>
          <w:rFonts w:eastAsia="標楷體"/>
          <w:spacing w:val="4"/>
          <w:kern w:val="0"/>
          <w:sz w:val="28"/>
          <w:szCs w:val="22"/>
        </w:rPr>
        <w:t>450ppm</w:t>
      </w:r>
      <w:r>
        <w:rPr>
          <w:rFonts w:eastAsia="標楷體"/>
          <w:spacing w:val="4"/>
          <w:kern w:val="0"/>
          <w:sz w:val="28"/>
          <w:szCs w:val="22"/>
        </w:rPr>
        <w:t>之目標，至</w:t>
      </w:r>
      <w:r>
        <w:rPr>
          <w:rFonts w:eastAsia="標楷體"/>
          <w:spacing w:val="4"/>
          <w:kern w:val="0"/>
          <w:sz w:val="28"/>
          <w:szCs w:val="22"/>
        </w:rPr>
        <w:t>2030</w:t>
      </w:r>
      <w:r>
        <w:rPr>
          <w:rFonts w:eastAsia="標楷體"/>
          <w:spacing w:val="4"/>
          <w:kern w:val="0"/>
          <w:sz w:val="28"/>
          <w:szCs w:val="22"/>
        </w:rPr>
        <w:t>年前，全球每年須額外投入</w:t>
      </w:r>
      <w:r>
        <w:rPr>
          <w:rFonts w:eastAsia="標楷體"/>
          <w:spacing w:val="4"/>
          <w:kern w:val="0"/>
          <w:sz w:val="28"/>
          <w:szCs w:val="22"/>
        </w:rPr>
        <w:t>3,500</w:t>
      </w:r>
      <w:r>
        <w:rPr>
          <w:rFonts w:eastAsia="標楷體"/>
          <w:spacing w:val="4"/>
          <w:kern w:val="0"/>
          <w:sz w:val="28"/>
          <w:szCs w:val="22"/>
        </w:rPr>
        <w:t>億至</w:t>
      </w:r>
      <w:r>
        <w:rPr>
          <w:rFonts w:eastAsia="標楷體"/>
          <w:spacing w:val="4"/>
          <w:kern w:val="0"/>
          <w:sz w:val="28"/>
          <w:szCs w:val="22"/>
        </w:rPr>
        <w:t>1.1</w:t>
      </w:r>
      <w:r>
        <w:rPr>
          <w:rFonts w:eastAsia="標楷體"/>
          <w:spacing w:val="4"/>
          <w:kern w:val="0"/>
          <w:sz w:val="28"/>
          <w:szCs w:val="22"/>
        </w:rPr>
        <w:t>兆美元，推動綠色科技發展。</w:t>
      </w:r>
    </w:p>
    <w:tbl>
      <w:tblPr>
        <w:tblW w:w="8525" w:type="dxa"/>
        <w:tblInd w:w="108" w:type="dxa"/>
        <w:tblCellMar>
          <w:left w:w="10" w:type="dxa"/>
          <w:right w:w="10" w:type="dxa"/>
        </w:tblCellMar>
        <w:tblLook w:val="04A0" w:firstRow="1" w:lastRow="0" w:firstColumn="1" w:lastColumn="0" w:noHBand="0" w:noVBand="1"/>
      </w:tblPr>
      <w:tblGrid>
        <w:gridCol w:w="8525"/>
      </w:tblGrid>
      <w:tr w:rsidR="00052596" w14:paraId="40EB16E8" w14:textId="77777777">
        <w:tblPrEx>
          <w:tblCellMar>
            <w:top w:w="0" w:type="dxa"/>
            <w:bottom w:w="0" w:type="dxa"/>
          </w:tblCellMar>
        </w:tblPrEx>
        <w:trPr>
          <w:trHeight w:val="6791"/>
        </w:trPr>
        <w:tc>
          <w:tcPr>
            <w:tcW w:w="852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07E31AC" w14:textId="77777777" w:rsidR="00052596" w:rsidRDefault="00000000">
            <w:pPr>
              <w:overflowPunct w:val="0"/>
              <w:autoSpaceDE w:val="0"/>
              <w:spacing w:before="240" w:after="120" w:line="360" w:lineRule="exact"/>
              <w:jc w:val="center"/>
              <w:textAlignment w:val="center"/>
              <w:rPr>
                <w:rFonts w:ascii="新細明體" w:hAnsi="新細明體"/>
                <w:b/>
                <w:color w:val="0000FF"/>
                <w:spacing w:val="14"/>
                <w:kern w:val="0"/>
              </w:rPr>
            </w:pPr>
            <w:r>
              <w:rPr>
                <w:rFonts w:ascii="新細明體" w:hAnsi="新細明體"/>
                <w:b/>
                <w:color w:val="0000FF"/>
                <w:spacing w:val="14"/>
                <w:kern w:val="0"/>
              </w:rPr>
              <w:t>國際能源長期供需情勢</w:t>
            </w:r>
          </w:p>
          <w:p w14:paraId="0444362E" w14:textId="77777777" w:rsidR="00052596" w:rsidRDefault="00000000">
            <w:pPr>
              <w:overflowPunct w:val="0"/>
              <w:autoSpaceDE w:val="0"/>
              <w:spacing w:line="30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國際能源總署(IEA)於「2012全球能源展望」(World Energy Outlook 2012)報告中指出，在各國確實履行溫室氣體減排承諾、能源價格逐年走高的假設下，2010至2035年間，全球能源需求將呈緩步增加，石油仍是最主要能源；再生能源由於生產技術漸趨成熟，生產成本下滑，將成為主要發電來源之一。</w:t>
            </w:r>
          </w:p>
          <w:p w14:paraId="47DF3A02" w14:textId="77777777" w:rsidR="00052596" w:rsidRDefault="00000000">
            <w:pPr>
              <w:overflowPunct w:val="0"/>
              <w:autoSpaceDE w:val="0"/>
              <w:spacing w:line="30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2010至2035年間，全球能源需求年平均成長率1.2%，其中，非OECD國家能源需求年平均成長率1.9%，占全球能源需求比重由55%增為65%，占全球能源需求增量達93.5%；其中，中國大陸、印度分占能源需求增量的前二名，占全球增量比重分別為32.6%及18.5%。</w:t>
            </w:r>
          </w:p>
          <w:p w14:paraId="59C14602" w14:textId="77777777" w:rsidR="00052596" w:rsidRDefault="00000000">
            <w:pPr>
              <w:overflowPunct w:val="0"/>
              <w:autoSpaceDE w:val="0"/>
              <w:spacing w:line="30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－2035年全球石油需求由2011年的每日8,740萬桶增至每日9,970萬桶，年平均成長率0.6%，占全球能源需求比重最高，為27.1%，其他依序為煤炭(24.5%)、天然氣(23.9%)、再生能源(17.9%)、核能(6.6%)。</w:t>
            </w:r>
          </w:p>
          <w:p w14:paraId="66A7AF2A" w14:textId="77777777" w:rsidR="00052596" w:rsidRDefault="00000000">
            <w:pPr>
              <w:overflowPunct w:val="0"/>
              <w:autoSpaceDE w:val="0"/>
              <w:spacing w:line="30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同期間，全球石油供給年平均成長率0.6%，增量主要來自石油輸出國家組織(OPEC)，占全球供給增量87.1%，其中，伊拉克將成為最大增產國，占全球供給增量的45.2%。另美國因頁岩油大幅量產，將於2020至2025年間成為全球最大產油國。</w:t>
            </w:r>
          </w:p>
          <w:p w14:paraId="49F7C270" w14:textId="77777777" w:rsidR="00052596" w:rsidRDefault="00000000">
            <w:pPr>
              <w:overflowPunct w:val="0"/>
              <w:autoSpaceDE w:val="0"/>
              <w:spacing w:line="300" w:lineRule="exact"/>
              <w:ind w:left="308" w:right="72" w:hanging="236"/>
              <w:jc w:val="both"/>
              <w:textAlignment w:val="center"/>
            </w:pPr>
            <w:r>
              <w:rPr>
                <w:rFonts w:ascii="新細明體" w:hAnsi="新細明體"/>
                <w:bCs/>
                <w:spacing w:val="8"/>
                <w:kern w:val="0"/>
                <w:sz w:val="22"/>
                <w:szCs w:val="22"/>
              </w:rPr>
              <w:t>－2010至2035年間，再生能源需求近倍數成長，由16.8億公噸油當量，上升為30.8億公噸油當量，占全球能源需求比重由13.2%增為17.9%。再生能源發電量年平均成長4%，占總發電量比重由20%上升至31%，其中，水力發電量最大，占再生能源總發電量50.1%，其他依序為風力(23.6%)、生質能(13.1%)、太陽能(9.9%)、地熱(2.8%)與海洋能(0.5%)。</w:t>
            </w:r>
          </w:p>
        </w:tc>
      </w:tr>
      <w:tr w:rsidR="00052596" w14:paraId="3C4B0F0F" w14:textId="77777777">
        <w:tblPrEx>
          <w:tblCellMar>
            <w:top w:w="0" w:type="dxa"/>
            <w:bottom w:w="0" w:type="dxa"/>
          </w:tblCellMar>
        </w:tblPrEx>
        <w:trPr>
          <w:trHeight w:val="5880"/>
        </w:trPr>
        <w:tc>
          <w:tcPr>
            <w:tcW w:w="85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AA26B" w14:textId="77777777" w:rsidR="00052596" w:rsidRDefault="00000000">
            <w:pPr>
              <w:overflowPunct w:val="0"/>
              <w:autoSpaceDE w:val="0"/>
              <w:spacing w:before="72" w:line="360" w:lineRule="exact"/>
              <w:ind w:left="283" w:right="238" w:hanging="283"/>
              <w:jc w:val="center"/>
              <w:textAlignment w:val="center"/>
            </w:pPr>
            <w:r>
              <w:rPr>
                <w:rFonts w:ascii="新細明體" w:hAnsi="新細明體"/>
                <w:b/>
                <w:bCs/>
                <w:color w:val="0000FF"/>
                <w:spacing w:val="8"/>
                <w:kern w:val="0"/>
                <w:sz w:val="22"/>
                <w:szCs w:val="22"/>
              </w:rPr>
              <w:lastRenderedPageBreak/>
              <w:t>全球石油供需</w:t>
            </w:r>
          </w:p>
          <w:p w14:paraId="7F959811" w14:textId="77777777" w:rsidR="00052596" w:rsidRDefault="00000000">
            <w:pPr>
              <w:overflowPunct w:val="0"/>
              <w:autoSpaceDE w:val="0"/>
              <w:spacing w:before="48" w:after="48" w:line="280" w:lineRule="exact"/>
              <w:ind w:left="283" w:right="238" w:hanging="283"/>
              <w:jc w:val="right"/>
              <w:textAlignment w:val="center"/>
            </w:pPr>
            <w:r>
              <w:rPr>
                <w:rFonts w:ascii="新細明體" w:hAnsi="新細明體"/>
                <w:bCs/>
                <w:spacing w:val="8"/>
                <w:kern w:val="0"/>
                <w:sz w:val="22"/>
                <w:szCs w:val="22"/>
              </w:rPr>
              <w:t xml:space="preserve"> </w:t>
            </w:r>
            <w:r>
              <w:rPr>
                <w:rFonts w:ascii="新細明體" w:hAnsi="新細明體"/>
                <w:bCs/>
                <w:spacing w:val="8"/>
                <w:kern w:val="0"/>
                <w:sz w:val="18"/>
                <w:szCs w:val="18"/>
              </w:rPr>
              <w:t>單位：萬桶/日</w:t>
            </w:r>
          </w:p>
          <w:tbl>
            <w:tblPr>
              <w:tblW w:w="8080" w:type="dxa"/>
              <w:tblInd w:w="108" w:type="dxa"/>
              <w:tblCellMar>
                <w:left w:w="10" w:type="dxa"/>
                <w:right w:w="10" w:type="dxa"/>
              </w:tblCellMar>
              <w:tblLook w:val="04A0" w:firstRow="1" w:lastRow="0" w:firstColumn="1" w:lastColumn="0" w:noHBand="0" w:noVBand="1"/>
            </w:tblPr>
            <w:tblGrid>
              <w:gridCol w:w="2127"/>
              <w:gridCol w:w="803"/>
              <w:gridCol w:w="803"/>
              <w:gridCol w:w="803"/>
              <w:gridCol w:w="803"/>
              <w:gridCol w:w="803"/>
              <w:gridCol w:w="804"/>
              <w:gridCol w:w="1134"/>
            </w:tblGrid>
            <w:tr w:rsidR="00052596" w14:paraId="30893527" w14:textId="77777777">
              <w:tblPrEx>
                <w:tblCellMar>
                  <w:top w:w="0" w:type="dxa"/>
                  <w:bottom w:w="0" w:type="dxa"/>
                </w:tblCellMar>
              </w:tblPrEx>
              <w:tc>
                <w:tcPr>
                  <w:tcW w:w="2127" w:type="dxa"/>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tcPr>
                <w:p w14:paraId="28F7C308" w14:textId="77777777" w:rsidR="00052596" w:rsidRDefault="00052596">
                  <w:pPr>
                    <w:overflowPunct w:val="0"/>
                    <w:autoSpaceDE w:val="0"/>
                    <w:spacing w:line="260" w:lineRule="exact"/>
                    <w:jc w:val="both"/>
                    <w:textAlignment w:val="center"/>
                    <w:rPr>
                      <w:rFonts w:ascii="新細明體" w:hAnsi="新細明體"/>
                      <w:bCs/>
                      <w:spacing w:val="8"/>
                      <w:kern w:val="0"/>
                      <w:sz w:val="20"/>
                    </w:rPr>
                  </w:pPr>
                </w:p>
              </w:tc>
              <w:tc>
                <w:tcPr>
                  <w:tcW w:w="803"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4401D150"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2011</w:t>
                  </w:r>
                </w:p>
              </w:tc>
              <w:tc>
                <w:tcPr>
                  <w:tcW w:w="803"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14C7C7E0"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2015</w:t>
                  </w:r>
                </w:p>
              </w:tc>
              <w:tc>
                <w:tcPr>
                  <w:tcW w:w="803"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4F4B9FBC"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2020</w:t>
                  </w:r>
                </w:p>
              </w:tc>
              <w:tc>
                <w:tcPr>
                  <w:tcW w:w="803"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233BD474"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2025</w:t>
                  </w:r>
                </w:p>
              </w:tc>
              <w:tc>
                <w:tcPr>
                  <w:tcW w:w="803"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495221DC"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2030</w:t>
                  </w:r>
                </w:p>
              </w:tc>
              <w:tc>
                <w:tcPr>
                  <w:tcW w:w="804"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6EE9C5D8"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2035</w:t>
                  </w:r>
                </w:p>
              </w:tc>
              <w:tc>
                <w:tcPr>
                  <w:tcW w:w="1134" w:type="dxa"/>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tcPr>
                <w:p w14:paraId="1957CFE7" w14:textId="77777777" w:rsidR="00052596" w:rsidRDefault="00000000">
                  <w:pPr>
                    <w:overflowPunct w:val="0"/>
                    <w:autoSpaceDE w:val="0"/>
                    <w:spacing w:line="260" w:lineRule="exact"/>
                    <w:jc w:val="both"/>
                    <w:textAlignment w:val="center"/>
                    <w:rPr>
                      <w:rFonts w:ascii="新細明體" w:hAnsi="新細明體"/>
                      <w:bCs/>
                      <w:spacing w:val="8"/>
                      <w:kern w:val="0"/>
                      <w:sz w:val="20"/>
                    </w:rPr>
                  </w:pPr>
                  <w:r>
                    <w:rPr>
                      <w:rFonts w:ascii="新細明體" w:hAnsi="新細明體"/>
                      <w:bCs/>
                      <w:spacing w:val="8"/>
                      <w:kern w:val="0"/>
                      <w:sz w:val="20"/>
                    </w:rPr>
                    <w:t>2011-2035</w:t>
                  </w:r>
                </w:p>
                <w:p w14:paraId="58CFA210" w14:textId="77777777" w:rsidR="00052596" w:rsidRDefault="00000000">
                  <w:pPr>
                    <w:overflowPunct w:val="0"/>
                    <w:autoSpaceDE w:val="0"/>
                    <w:spacing w:line="260" w:lineRule="exact"/>
                    <w:jc w:val="both"/>
                    <w:textAlignment w:val="center"/>
                    <w:rPr>
                      <w:rFonts w:ascii="新細明體" w:hAnsi="新細明體"/>
                      <w:bCs/>
                      <w:spacing w:val="8"/>
                      <w:kern w:val="0"/>
                      <w:sz w:val="20"/>
                    </w:rPr>
                  </w:pPr>
                  <w:r>
                    <w:rPr>
                      <w:rFonts w:ascii="新細明體" w:hAnsi="新細明體"/>
                      <w:bCs/>
                      <w:spacing w:val="8"/>
                      <w:kern w:val="0"/>
                      <w:sz w:val="20"/>
                    </w:rPr>
                    <w:t>年平均成長率(%)</w:t>
                  </w:r>
                </w:p>
              </w:tc>
            </w:tr>
            <w:tr w:rsidR="00052596" w14:paraId="36D225B2" w14:textId="77777777">
              <w:tblPrEx>
                <w:tblCellMar>
                  <w:top w:w="0" w:type="dxa"/>
                  <w:bottom w:w="0" w:type="dxa"/>
                </w:tblCellMar>
              </w:tblPrEx>
              <w:tc>
                <w:tcPr>
                  <w:tcW w:w="2127"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1AC8DDE1" w14:textId="77777777" w:rsidR="00052596" w:rsidRDefault="00000000">
                  <w:pPr>
                    <w:overflowPunct w:val="0"/>
                    <w:autoSpaceDE w:val="0"/>
                    <w:spacing w:line="260" w:lineRule="exact"/>
                    <w:jc w:val="both"/>
                    <w:textAlignment w:val="center"/>
                    <w:rPr>
                      <w:rFonts w:ascii="新細明體" w:hAnsi="新細明體"/>
                      <w:bCs/>
                      <w:spacing w:val="8"/>
                      <w:kern w:val="0"/>
                      <w:sz w:val="20"/>
                    </w:rPr>
                  </w:pPr>
                  <w:r>
                    <w:rPr>
                      <w:rFonts w:ascii="新細明體" w:hAnsi="新細明體"/>
                      <w:bCs/>
                      <w:spacing w:val="8"/>
                      <w:kern w:val="0"/>
                      <w:sz w:val="20"/>
                    </w:rPr>
                    <w:t>全球總供給</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26F4C9DF"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8,450</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17F12E48"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8,930</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1A893176"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9,170</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1C3B434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9,340</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2890B23E"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9,490</w:t>
                  </w:r>
                </w:p>
              </w:tc>
              <w:tc>
                <w:tcPr>
                  <w:tcW w:w="804"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5212B7E2"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9,690</w:t>
                  </w:r>
                </w:p>
              </w:tc>
              <w:tc>
                <w:tcPr>
                  <w:tcW w:w="1134" w:type="dxa"/>
                  <w:tcBorders>
                    <w:top w:val="single" w:sz="4" w:space="0" w:color="000000"/>
                    <w:left w:val="single" w:sz="4" w:space="0" w:color="000000"/>
                  </w:tcBorders>
                  <w:shd w:val="clear" w:color="auto" w:fill="FFF0E1"/>
                  <w:tcMar>
                    <w:top w:w="0" w:type="dxa"/>
                    <w:left w:w="108" w:type="dxa"/>
                    <w:bottom w:w="0" w:type="dxa"/>
                    <w:right w:w="108" w:type="dxa"/>
                  </w:tcMar>
                  <w:vAlign w:val="center"/>
                </w:tcPr>
                <w:p w14:paraId="33253E42"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0.6</w:t>
                  </w:r>
                </w:p>
              </w:tc>
            </w:tr>
            <w:tr w:rsidR="00052596" w14:paraId="4DC959C8"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36FCEE96" w14:textId="77777777" w:rsidR="00052596" w:rsidRDefault="00000000">
                  <w:pPr>
                    <w:overflowPunct w:val="0"/>
                    <w:autoSpaceDE w:val="0"/>
                    <w:spacing w:line="260" w:lineRule="exact"/>
                    <w:ind w:firstLine="216"/>
                    <w:jc w:val="both"/>
                    <w:textAlignment w:val="center"/>
                    <w:rPr>
                      <w:rFonts w:ascii="新細明體" w:hAnsi="新細明體"/>
                      <w:bCs/>
                      <w:spacing w:val="8"/>
                      <w:kern w:val="0"/>
                      <w:sz w:val="20"/>
                    </w:rPr>
                  </w:pPr>
                  <w:r>
                    <w:rPr>
                      <w:rFonts w:ascii="新細明體" w:hAnsi="新細明體"/>
                      <w:bCs/>
                      <w:spacing w:val="8"/>
                      <w:kern w:val="0"/>
                      <w:sz w:val="20"/>
                    </w:rPr>
                    <w:t>非OPEC國家</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059D0ED"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4,880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0B0E52C"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5,200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D5490FE"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5,320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04B291C"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5,300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E74B990"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5,190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EFFB17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5,040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7247F686"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0.1</w:t>
                  </w:r>
                </w:p>
              </w:tc>
            </w:tr>
            <w:tr w:rsidR="00052596" w14:paraId="0CAD4CAD"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40862519" w14:textId="77777777" w:rsidR="00052596" w:rsidRDefault="00000000">
                  <w:pPr>
                    <w:overflowPunct w:val="0"/>
                    <w:autoSpaceDE w:val="0"/>
                    <w:spacing w:line="260" w:lineRule="exact"/>
                    <w:ind w:firstLine="432"/>
                    <w:jc w:val="both"/>
                    <w:textAlignment w:val="center"/>
                    <w:rPr>
                      <w:rFonts w:ascii="新細明體" w:hAnsi="新細明體"/>
                      <w:bCs/>
                      <w:spacing w:val="8"/>
                      <w:kern w:val="0"/>
                      <w:sz w:val="20"/>
                    </w:rPr>
                  </w:pPr>
                  <w:r>
                    <w:rPr>
                      <w:rFonts w:ascii="新細明體" w:hAnsi="新細明體"/>
                      <w:bCs/>
                      <w:spacing w:val="8"/>
                      <w:kern w:val="0"/>
                      <w:sz w:val="20"/>
                    </w:rPr>
                    <w:t>俄羅斯</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54A08F2"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1,060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446161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1,050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FCA32AA"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1,010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B069A73"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950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75FD67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930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2B35EE8"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920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464CD5A7" w14:textId="77777777" w:rsidR="00052596" w:rsidRDefault="00000000">
                  <w:pPr>
                    <w:overflowPunct w:val="0"/>
                    <w:autoSpaceDE w:val="0"/>
                    <w:spacing w:line="260" w:lineRule="exact"/>
                    <w:ind w:left="-72"/>
                    <w:jc w:val="center"/>
                    <w:textAlignment w:val="center"/>
                    <w:rPr>
                      <w:rFonts w:ascii="新細明體" w:hAnsi="新細明體"/>
                      <w:bCs/>
                      <w:spacing w:val="8"/>
                      <w:kern w:val="0"/>
                      <w:sz w:val="20"/>
                    </w:rPr>
                  </w:pPr>
                  <w:r>
                    <w:rPr>
                      <w:rFonts w:ascii="新細明體" w:hAnsi="新細明體"/>
                      <w:bCs/>
                      <w:spacing w:val="8"/>
                      <w:kern w:val="0"/>
                      <w:sz w:val="20"/>
                    </w:rPr>
                    <w:t>-0.6</w:t>
                  </w:r>
                </w:p>
              </w:tc>
            </w:tr>
            <w:tr w:rsidR="00052596" w14:paraId="040E92E9"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6F6336A0" w14:textId="77777777" w:rsidR="00052596" w:rsidRDefault="00000000">
                  <w:pPr>
                    <w:overflowPunct w:val="0"/>
                    <w:autoSpaceDE w:val="0"/>
                    <w:spacing w:line="260" w:lineRule="exact"/>
                    <w:ind w:firstLine="432"/>
                    <w:jc w:val="both"/>
                    <w:textAlignment w:val="center"/>
                    <w:rPr>
                      <w:rFonts w:ascii="新細明體" w:hAnsi="新細明體"/>
                      <w:bCs/>
                      <w:spacing w:val="8"/>
                      <w:kern w:val="0"/>
                      <w:sz w:val="20"/>
                    </w:rPr>
                  </w:pPr>
                  <w:r>
                    <w:rPr>
                      <w:rFonts w:ascii="新細明體" w:hAnsi="新細明體"/>
                      <w:bCs/>
                      <w:spacing w:val="8"/>
                      <w:kern w:val="0"/>
                      <w:sz w:val="20"/>
                    </w:rPr>
                    <w:t>美國</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C3397A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810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24DC180"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1,000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C05318E"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1,110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E4AD758"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1,090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8344519"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1,020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84BD323"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920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5FEF8D5A"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0.5</w:t>
                  </w:r>
                </w:p>
              </w:tc>
            </w:tr>
            <w:tr w:rsidR="00052596" w14:paraId="371FF6DF"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3E26A69F" w14:textId="77777777" w:rsidR="00052596" w:rsidRDefault="00000000">
                  <w:pPr>
                    <w:overflowPunct w:val="0"/>
                    <w:autoSpaceDE w:val="0"/>
                    <w:spacing w:line="260" w:lineRule="exact"/>
                    <w:ind w:firstLine="216"/>
                    <w:jc w:val="both"/>
                    <w:textAlignment w:val="center"/>
                    <w:rPr>
                      <w:rFonts w:ascii="新細明體" w:hAnsi="新細明體"/>
                      <w:bCs/>
                      <w:spacing w:val="8"/>
                      <w:kern w:val="0"/>
                      <w:sz w:val="20"/>
                    </w:rPr>
                  </w:pPr>
                  <w:r>
                    <w:rPr>
                      <w:rFonts w:ascii="新細明體" w:hAnsi="新細明體"/>
                      <w:bCs/>
                      <w:spacing w:val="8"/>
                      <w:kern w:val="0"/>
                      <w:sz w:val="20"/>
                    </w:rPr>
                    <w:t>OPEC國家</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BD30185"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3,570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8EE2A6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3,730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3DD783B"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3,850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25A157F"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4,040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4F78D7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4,300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7FAF064"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4,650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10E4DDDC"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1.1</w:t>
                  </w:r>
                </w:p>
              </w:tc>
            </w:tr>
            <w:tr w:rsidR="00052596" w14:paraId="340C962C"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604E9A75" w14:textId="77777777" w:rsidR="00052596" w:rsidRDefault="00000000">
                  <w:pPr>
                    <w:overflowPunct w:val="0"/>
                    <w:autoSpaceDE w:val="0"/>
                    <w:spacing w:line="260" w:lineRule="exact"/>
                    <w:ind w:firstLine="432"/>
                    <w:jc w:val="both"/>
                    <w:textAlignment w:val="center"/>
                    <w:rPr>
                      <w:rFonts w:ascii="新細明體" w:hAnsi="新細明體"/>
                      <w:bCs/>
                      <w:spacing w:val="8"/>
                      <w:kern w:val="0"/>
                      <w:sz w:val="20"/>
                    </w:rPr>
                  </w:pPr>
                  <w:r>
                    <w:rPr>
                      <w:rFonts w:ascii="新細明體" w:hAnsi="新細明體"/>
                      <w:bCs/>
                      <w:spacing w:val="8"/>
                      <w:kern w:val="0"/>
                      <w:sz w:val="20"/>
                    </w:rPr>
                    <w:t>沙烏地阿拉伯</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288655A"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1,110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5A5084A"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1,090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73BA326"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1,060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5EEBF59"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1,080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32F8B4E"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1,140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1FFFE3C"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1,230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04C927E8"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0.4</w:t>
                  </w:r>
                </w:p>
              </w:tc>
            </w:tr>
            <w:tr w:rsidR="00052596" w14:paraId="5284CD88" w14:textId="77777777">
              <w:tblPrEx>
                <w:tblCellMar>
                  <w:top w:w="0" w:type="dxa"/>
                  <w:bottom w:w="0" w:type="dxa"/>
                </w:tblCellMar>
              </w:tblPrEx>
              <w:tc>
                <w:tcPr>
                  <w:tcW w:w="2127"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61E9D3E0" w14:textId="77777777" w:rsidR="00052596" w:rsidRDefault="00000000">
                  <w:pPr>
                    <w:overflowPunct w:val="0"/>
                    <w:autoSpaceDE w:val="0"/>
                    <w:spacing w:line="260" w:lineRule="exact"/>
                    <w:ind w:firstLine="432"/>
                    <w:jc w:val="both"/>
                    <w:textAlignment w:val="center"/>
                    <w:rPr>
                      <w:rFonts w:ascii="新細明體" w:hAnsi="新細明體"/>
                      <w:bCs/>
                      <w:spacing w:val="8"/>
                      <w:kern w:val="0"/>
                      <w:sz w:val="20"/>
                    </w:rPr>
                  </w:pPr>
                  <w:r>
                    <w:rPr>
                      <w:rFonts w:ascii="新細明體" w:hAnsi="新細明體"/>
                      <w:bCs/>
                      <w:spacing w:val="8"/>
                      <w:kern w:val="0"/>
                      <w:sz w:val="20"/>
                    </w:rPr>
                    <w:t>伊拉克</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62721390"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270</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4D655753"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420</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43D3E71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610</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33553253"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690</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6678733D"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750</w:t>
                  </w:r>
                </w:p>
              </w:tc>
              <w:tc>
                <w:tcPr>
                  <w:tcW w:w="804"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35E9EA3D"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830</w:t>
                  </w:r>
                </w:p>
              </w:tc>
              <w:tc>
                <w:tcPr>
                  <w:tcW w:w="1134" w:type="dxa"/>
                  <w:tcBorders>
                    <w:left w:val="single" w:sz="4" w:space="0" w:color="000000"/>
                    <w:bottom w:val="single" w:sz="4" w:space="0" w:color="000000"/>
                  </w:tcBorders>
                  <w:shd w:val="clear" w:color="auto" w:fill="FFF0E1"/>
                  <w:tcMar>
                    <w:top w:w="0" w:type="dxa"/>
                    <w:left w:w="108" w:type="dxa"/>
                    <w:bottom w:w="0" w:type="dxa"/>
                    <w:right w:w="108" w:type="dxa"/>
                  </w:tcMar>
                  <w:vAlign w:val="center"/>
                </w:tcPr>
                <w:p w14:paraId="69CC0265"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4.7</w:t>
                  </w:r>
                </w:p>
              </w:tc>
            </w:tr>
            <w:tr w:rsidR="00052596" w14:paraId="4BBA6B08" w14:textId="77777777">
              <w:tblPrEx>
                <w:tblCellMar>
                  <w:top w:w="0" w:type="dxa"/>
                  <w:bottom w:w="0" w:type="dxa"/>
                </w:tblCellMar>
              </w:tblPrEx>
              <w:tc>
                <w:tcPr>
                  <w:tcW w:w="2127"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4BCDC960" w14:textId="77777777" w:rsidR="00052596" w:rsidRDefault="00000000">
                  <w:pPr>
                    <w:overflowPunct w:val="0"/>
                    <w:autoSpaceDE w:val="0"/>
                    <w:spacing w:line="260" w:lineRule="exact"/>
                    <w:jc w:val="both"/>
                    <w:textAlignment w:val="center"/>
                    <w:rPr>
                      <w:rFonts w:ascii="新細明體" w:hAnsi="新細明體"/>
                      <w:bCs/>
                      <w:spacing w:val="8"/>
                      <w:kern w:val="0"/>
                      <w:sz w:val="20"/>
                    </w:rPr>
                  </w:pPr>
                  <w:r>
                    <w:rPr>
                      <w:rFonts w:ascii="新細明體" w:hAnsi="新細明體"/>
                      <w:bCs/>
                      <w:spacing w:val="8"/>
                      <w:kern w:val="0"/>
                      <w:sz w:val="20"/>
                    </w:rPr>
                    <w:t>全球總需求</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30B3421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8,740</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67FB3A81"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9,160</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2C005203"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9,420</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23570D31"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9,610</w:t>
                  </w:r>
                </w:p>
              </w:tc>
              <w:tc>
                <w:tcPr>
                  <w:tcW w:w="803"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5DA1CAF2"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9,770</w:t>
                  </w:r>
                </w:p>
              </w:tc>
              <w:tc>
                <w:tcPr>
                  <w:tcW w:w="804"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22F37DF5"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9,970</w:t>
                  </w:r>
                </w:p>
              </w:tc>
              <w:tc>
                <w:tcPr>
                  <w:tcW w:w="1134" w:type="dxa"/>
                  <w:tcBorders>
                    <w:top w:val="single" w:sz="4" w:space="0" w:color="000000"/>
                    <w:left w:val="single" w:sz="4" w:space="0" w:color="000000"/>
                  </w:tcBorders>
                  <w:shd w:val="clear" w:color="auto" w:fill="FFF0E1"/>
                  <w:tcMar>
                    <w:top w:w="0" w:type="dxa"/>
                    <w:left w:w="108" w:type="dxa"/>
                    <w:bottom w:w="0" w:type="dxa"/>
                    <w:right w:w="108" w:type="dxa"/>
                  </w:tcMar>
                  <w:vAlign w:val="center"/>
                </w:tcPr>
                <w:p w14:paraId="7233E3E3"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0.6</w:t>
                  </w:r>
                </w:p>
              </w:tc>
            </w:tr>
            <w:tr w:rsidR="00052596" w14:paraId="4D5B1656"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49A8FD94" w14:textId="77777777" w:rsidR="00052596" w:rsidRDefault="00000000">
                  <w:pPr>
                    <w:overflowPunct w:val="0"/>
                    <w:autoSpaceDE w:val="0"/>
                    <w:spacing w:line="260" w:lineRule="exact"/>
                    <w:ind w:firstLine="216"/>
                    <w:jc w:val="both"/>
                    <w:textAlignment w:val="center"/>
                    <w:rPr>
                      <w:rFonts w:ascii="新細明體" w:hAnsi="新細明體"/>
                      <w:bCs/>
                      <w:spacing w:val="8"/>
                      <w:kern w:val="0"/>
                      <w:sz w:val="20"/>
                    </w:rPr>
                  </w:pPr>
                  <w:r>
                    <w:rPr>
                      <w:rFonts w:ascii="新細明體" w:hAnsi="新細明體"/>
                      <w:bCs/>
                      <w:spacing w:val="8"/>
                      <w:kern w:val="0"/>
                      <w:sz w:val="20"/>
                    </w:rPr>
                    <w:t>OECD國家</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314F14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4,210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5791AD2"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4,120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2069EAB"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3,940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301B853"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3,740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4091675"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3,520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BAF32DD"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3,330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4B3F1024" w14:textId="77777777" w:rsidR="00052596" w:rsidRDefault="00000000">
                  <w:pPr>
                    <w:overflowPunct w:val="0"/>
                    <w:autoSpaceDE w:val="0"/>
                    <w:spacing w:line="260" w:lineRule="exact"/>
                    <w:ind w:left="-72"/>
                    <w:jc w:val="center"/>
                    <w:textAlignment w:val="center"/>
                    <w:rPr>
                      <w:rFonts w:ascii="新細明體" w:hAnsi="新細明體"/>
                      <w:bCs/>
                      <w:spacing w:val="8"/>
                      <w:kern w:val="0"/>
                      <w:sz w:val="20"/>
                    </w:rPr>
                  </w:pPr>
                  <w:r>
                    <w:rPr>
                      <w:rFonts w:ascii="新細明體" w:hAnsi="新細明體"/>
                      <w:bCs/>
                      <w:spacing w:val="8"/>
                      <w:kern w:val="0"/>
                      <w:sz w:val="20"/>
                    </w:rPr>
                    <w:t>-1.0</w:t>
                  </w:r>
                </w:p>
              </w:tc>
            </w:tr>
            <w:tr w:rsidR="00052596" w14:paraId="09C938A4"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3A74B23E" w14:textId="77777777" w:rsidR="00052596" w:rsidRDefault="00000000">
                  <w:pPr>
                    <w:overflowPunct w:val="0"/>
                    <w:autoSpaceDE w:val="0"/>
                    <w:spacing w:line="260" w:lineRule="exact"/>
                    <w:ind w:firstLine="432"/>
                    <w:jc w:val="both"/>
                    <w:textAlignment w:val="center"/>
                    <w:rPr>
                      <w:rFonts w:ascii="新細明體" w:hAnsi="新細明體"/>
                      <w:bCs/>
                      <w:spacing w:val="8"/>
                      <w:kern w:val="0"/>
                      <w:sz w:val="20"/>
                    </w:rPr>
                  </w:pPr>
                  <w:r>
                    <w:rPr>
                      <w:rFonts w:ascii="新細明體" w:hAnsi="新細明體"/>
                      <w:bCs/>
                      <w:spacing w:val="8"/>
                      <w:kern w:val="0"/>
                      <w:sz w:val="20"/>
                    </w:rPr>
                    <w:t>美國</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9E6B590"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1,760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2D02244"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1,750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5BF5315"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1,660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7E3384D"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1,540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2F3BC7C"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1,390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B92CB11"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1,260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79854C33" w14:textId="77777777" w:rsidR="00052596" w:rsidRDefault="00000000">
                  <w:pPr>
                    <w:overflowPunct w:val="0"/>
                    <w:autoSpaceDE w:val="0"/>
                    <w:spacing w:line="260" w:lineRule="exact"/>
                    <w:ind w:left="-72"/>
                    <w:jc w:val="center"/>
                    <w:textAlignment w:val="center"/>
                    <w:rPr>
                      <w:rFonts w:ascii="新細明體" w:hAnsi="新細明體"/>
                      <w:bCs/>
                      <w:spacing w:val="8"/>
                      <w:kern w:val="0"/>
                      <w:sz w:val="20"/>
                    </w:rPr>
                  </w:pPr>
                  <w:r>
                    <w:rPr>
                      <w:rFonts w:ascii="新細明體" w:hAnsi="新細明體"/>
                      <w:bCs/>
                      <w:spacing w:val="8"/>
                      <w:kern w:val="0"/>
                      <w:sz w:val="20"/>
                    </w:rPr>
                    <w:t>-1.4</w:t>
                  </w:r>
                </w:p>
              </w:tc>
            </w:tr>
            <w:tr w:rsidR="00052596" w14:paraId="62BD9A70"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078EA5A7" w14:textId="77777777" w:rsidR="00052596" w:rsidRDefault="00000000">
                  <w:pPr>
                    <w:overflowPunct w:val="0"/>
                    <w:autoSpaceDE w:val="0"/>
                    <w:spacing w:line="260" w:lineRule="exact"/>
                    <w:ind w:firstLine="432"/>
                    <w:jc w:val="both"/>
                    <w:textAlignment w:val="center"/>
                    <w:rPr>
                      <w:rFonts w:ascii="新細明體" w:hAnsi="新細明體"/>
                      <w:bCs/>
                      <w:spacing w:val="8"/>
                      <w:kern w:val="0"/>
                      <w:sz w:val="20"/>
                    </w:rPr>
                  </w:pPr>
                  <w:r>
                    <w:rPr>
                      <w:rFonts w:ascii="新細明體" w:hAnsi="新細明體"/>
                      <w:bCs/>
                      <w:spacing w:val="8"/>
                      <w:kern w:val="0"/>
                      <w:sz w:val="20"/>
                    </w:rPr>
                    <w:t>歐洲</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675A262"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1,260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9E32B3E"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1,200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AFED8B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1,140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DCCD39A"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1,090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5DE7CBC"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1,040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363FE34"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1,000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0E1BFCCA" w14:textId="77777777" w:rsidR="00052596" w:rsidRDefault="00000000">
                  <w:pPr>
                    <w:overflowPunct w:val="0"/>
                    <w:autoSpaceDE w:val="0"/>
                    <w:spacing w:line="260" w:lineRule="exact"/>
                    <w:ind w:left="-72"/>
                    <w:jc w:val="center"/>
                    <w:textAlignment w:val="center"/>
                    <w:rPr>
                      <w:rFonts w:ascii="新細明體" w:hAnsi="新細明體"/>
                      <w:bCs/>
                      <w:spacing w:val="8"/>
                      <w:kern w:val="0"/>
                      <w:sz w:val="20"/>
                    </w:rPr>
                  </w:pPr>
                  <w:r>
                    <w:rPr>
                      <w:rFonts w:ascii="新細明體" w:hAnsi="新細明體"/>
                      <w:bCs/>
                      <w:spacing w:val="8"/>
                      <w:kern w:val="0"/>
                      <w:sz w:val="20"/>
                    </w:rPr>
                    <w:t>-1.0</w:t>
                  </w:r>
                </w:p>
              </w:tc>
            </w:tr>
            <w:tr w:rsidR="00052596" w14:paraId="1944DD05"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1EDA985A" w14:textId="77777777" w:rsidR="00052596" w:rsidRDefault="00000000">
                  <w:pPr>
                    <w:overflowPunct w:val="0"/>
                    <w:autoSpaceDE w:val="0"/>
                    <w:spacing w:line="260" w:lineRule="exact"/>
                    <w:ind w:firstLine="216"/>
                    <w:jc w:val="both"/>
                    <w:textAlignment w:val="center"/>
                    <w:rPr>
                      <w:rFonts w:ascii="新細明體" w:hAnsi="新細明體"/>
                      <w:bCs/>
                      <w:spacing w:val="8"/>
                      <w:kern w:val="0"/>
                      <w:sz w:val="20"/>
                    </w:rPr>
                  </w:pPr>
                  <w:r>
                    <w:rPr>
                      <w:rFonts w:ascii="新細明體" w:hAnsi="新細明體"/>
                      <w:bCs/>
                      <w:spacing w:val="8"/>
                      <w:kern w:val="0"/>
                      <w:sz w:val="20"/>
                    </w:rPr>
                    <w:t>非OECD國家</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3136A1F"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3,840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ADAEE4B"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4,320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BF49495"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4,710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0F4C9BC"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5,050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9EBEE3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5,390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B1E814F"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5,710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2C53788F"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1.7</w:t>
                  </w:r>
                </w:p>
              </w:tc>
            </w:tr>
            <w:tr w:rsidR="00052596" w14:paraId="7CAB38FE" w14:textId="77777777">
              <w:tblPrEx>
                <w:tblCellMar>
                  <w:top w:w="0" w:type="dxa"/>
                  <w:bottom w:w="0" w:type="dxa"/>
                </w:tblCellMar>
              </w:tblPrEx>
              <w:tc>
                <w:tcPr>
                  <w:tcW w:w="2127" w:type="dxa"/>
                  <w:tcBorders>
                    <w:right w:val="single" w:sz="4" w:space="0" w:color="000000"/>
                  </w:tcBorders>
                  <w:shd w:val="clear" w:color="auto" w:fill="FFF0E1"/>
                  <w:tcMar>
                    <w:top w:w="0" w:type="dxa"/>
                    <w:left w:w="108" w:type="dxa"/>
                    <w:bottom w:w="0" w:type="dxa"/>
                    <w:right w:w="108" w:type="dxa"/>
                  </w:tcMar>
                  <w:vAlign w:val="center"/>
                </w:tcPr>
                <w:p w14:paraId="01DFBED8" w14:textId="77777777" w:rsidR="00052596" w:rsidRDefault="00000000">
                  <w:pPr>
                    <w:overflowPunct w:val="0"/>
                    <w:autoSpaceDE w:val="0"/>
                    <w:spacing w:line="260" w:lineRule="exact"/>
                    <w:ind w:firstLine="432"/>
                    <w:jc w:val="both"/>
                    <w:textAlignment w:val="center"/>
                    <w:rPr>
                      <w:rFonts w:ascii="新細明體" w:hAnsi="新細明體"/>
                      <w:bCs/>
                      <w:spacing w:val="8"/>
                      <w:kern w:val="0"/>
                      <w:sz w:val="20"/>
                    </w:rPr>
                  </w:pPr>
                  <w:r>
                    <w:rPr>
                      <w:rFonts w:ascii="新細明體" w:hAnsi="新細明體"/>
                      <w:bCs/>
                      <w:spacing w:val="8"/>
                      <w:kern w:val="0"/>
                      <w:sz w:val="20"/>
                    </w:rPr>
                    <w:t>中國大陸</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FA91684"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900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4D1D30C"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1,100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509A3EF6"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1,270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86E47C5"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1,390</w:t>
                  </w:r>
                </w:p>
              </w:tc>
              <w:tc>
                <w:tcPr>
                  <w:tcW w:w="803"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9C439B1"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1,470</w:t>
                  </w:r>
                </w:p>
              </w:tc>
              <w:tc>
                <w:tcPr>
                  <w:tcW w:w="80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7E60F13"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1,510</w:t>
                  </w:r>
                </w:p>
              </w:tc>
              <w:tc>
                <w:tcPr>
                  <w:tcW w:w="1134" w:type="dxa"/>
                  <w:tcBorders>
                    <w:left w:val="single" w:sz="4" w:space="0" w:color="000000"/>
                  </w:tcBorders>
                  <w:shd w:val="clear" w:color="auto" w:fill="FFF0E1"/>
                  <w:tcMar>
                    <w:top w:w="0" w:type="dxa"/>
                    <w:left w:w="108" w:type="dxa"/>
                    <w:bottom w:w="0" w:type="dxa"/>
                    <w:right w:w="108" w:type="dxa"/>
                  </w:tcMar>
                  <w:vAlign w:val="center"/>
                </w:tcPr>
                <w:p w14:paraId="1FDD023A"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2.2</w:t>
                  </w:r>
                </w:p>
              </w:tc>
            </w:tr>
            <w:tr w:rsidR="00052596" w14:paraId="49F7FFC7" w14:textId="77777777">
              <w:tblPrEx>
                <w:tblCellMar>
                  <w:top w:w="0" w:type="dxa"/>
                  <w:bottom w:w="0" w:type="dxa"/>
                </w:tblCellMar>
              </w:tblPrEx>
              <w:tc>
                <w:tcPr>
                  <w:tcW w:w="2127"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4FB664E1" w14:textId="77777777" w:rsidR="00052596" w:rsidRDefault="00000000">
                  <w:pPr>
                    <w:overflowPunct w:val="0"/>
                    <w:autoSpaceDE w:val="0"/>
                    <w:spacing w:line="260" w:lineRule="exact"/>
                    <w:ind w:firstLine="216"/>
                    <w:jc w:val="both"/>
                    <w:textAlignment w:val="center"/>
                    <w:rPr>
                      <w:rFonts w:ascii="新細明體" w:hAnsi="新細明體"/>
                      <w:bCs/>
                      <w:spacing w:val="8"/>
                      <w:kern w:val="0"/>
                      <w:sz w:val="20"/>
                    </w:rPr>
                  </w:pPr>
                  <w:r>
                    <w:rPr>
                      <w:rFonts w:ascii="新細明體" w:hAnsi="新細明體"/>
                      <w:bCs/>
                      <w:spacing w:val="8"/>
                      <w:kern w:val="0"/>
                      <w:sz w:val="20"/>
                    </w:rPr>
                    <w:t>其他</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2348E84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690</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3F03ABC8"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720</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0AE1F625"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770</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19AC9ECB"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820</w:t>
                  </w:r>
                </w:p>
              </w:tc>
              <w:tc>
                <w:tcPr>
                  <w:tcW w:w="803"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0E5491D0"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870</w:t>
                  </w:r>
                </w:p>
              </w:tc>
              <w:tc>
                <w:tcPr>
                  <w:tcW w:w="804"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5D6A97A7" w14:textId="77777777" w:rsidR="00052596" w:rsidRDefault="00000000">
                  <w:pPr>
                    <w:overflowPunct w:val="0"/>
                    <w:autoSpaceDE w:val="0"/>
                    <w:spacing w:line="260" w:lineRule="exact"/>
                    <w:jc w:val="right"/>
                    <w:textAlignment w:val="center"/>
                    <w:rPr>
                      <w:rFonts w:ascii="新細明體" w:hAnsi="新細明體"/>
                      <w:bCs/>
                      <w:spacing w:val="8"/>
                      <w:kern w:val="0"/>
                      <w:sz w:val="20"/>
                    </w:rPr>
                  </w:pPr>
                  <w:r>
                    <w:rPr>
                      <w:rFonts w:ascii="新細明體" w:hAnsi="新細明體"/>
                      <w:bCs/>
                      <w:spacing w:val="8"/>
                      <w:kern w:val="0"/>
                      <w:sz w:val="20"/>
                    </w:rPr>
                    <w:t>930</w:t>
                  </w:r>
                </w:p>
              </w:tc>
              <w:tc>
                <w:tcPr>
                  <w:tcW w:w="1134" w:type="dxa"/>
                  <w:tcBorders>
                    <w:left w:val="single" w:sz="4" w:space="0" w:color="000000"/>
                    <w:bottom w:val="single" w:sz="4" w:space="0" w:color="000000"/>
                  </w:tcBorders>
                  <w:shd w:val="clear" w:color="auto" w:fill="FFF0E1"/>
                  <w:tcMar>
                    <w:top w:w="0" w:type="dxa"/>
                    <w:left w:w="108" w:type="dxa"/>
                    <w:bottom w:w="0" w:type="dxa"/>
                    <w:right w:w="108" w:type="dxa"/>
                  </w:tcMar>
                  <w:vAlign w:val="center"/>
                </w:tcPr>
                <w:p w14:paraId="5D48B942" w14:textId="77777777" w:rsidR="00052596" w:rsidRDefault="00000000">
                  <w:pPr>
                    <w:overflowPunct w:val="0"/>
                    <w:autoSpaceDE w:val="0"/>
                    <w:spacing w:line="260" w:lineRule="exact"/>
                    <w:jc w:val="center"/>
                    <w:textAlignment w:val="center"/>
                    <w:rPr>
                      <w:rFonts w:ascii="新細明體" w:hAnsi="新細明體"/>
                      <w:bCs/>
                      <w:spacing w:val="8"/>
                      <w:kern w:val="0"/>
                      <w:sz w:val="20"/>
                    </w:rPr>
                  </w:pPr>
                  <w:r>
                    <w:rPr>
                      <w:rFonts w:ascii="新細明體" w:hAnsi="新細明體"/>
                      <w:bCs/>
                      <w:spacing w:val="8"/>
                      <w:kern w:val="0"/>
                      <w:sz w:val="20"/>
                    </w:rPr>
                    <w:t>1.2</w:t>
                  </w:r>
                </w:p>
              </w:tc>
            </w:tr>
          </w:tbl>
          <w:p w14:paraId="4A1C5739" w14:textId="77777777" w:rsidR="00052596" w:rsidRDefault="00000000">
            <w:pPr>
              <w:overflowPunct w:val="0"/>
              <w:autoSpaceDE w:val="0"/>
              <w:spacing w:before="14" w:line="340" w:lineRule="exact"/>
              <w:ind w:left="355" w:right="238" w:hanging="235"/>
              <w:textAlignment w:val="center"/>
            </w:pPr>
            <w:r>
              <w:rPr>
                <w:rFonts w:ascii="新細明體" w:hAnsi="新細明體"/>
                <w:color w:val="000000"/>
                <w:spacing w:val="-2"/>
                <w:kern w:val="0"/>
                <w:sz w:val="20"/>
              </w:rPr>
              <w:t>資料來源：IEA,</w:t>
            </w:r>
            <w:r>
              <w:rPr>
                <w:rFonts w:ascii="新細明體" w:hAnsi="新細明體"/>
                <w:i/>
                <w:color w:val="000000"/>
                <w:spacing w:val="-2"/>
                <w:kern w:val="0"/>
                <w:sz w:val="20"/>
              </w:rPr>
              <w:t xml:space="preserve"> World Energy Outlook 2012 </w:t>
            </w:r>
            <w:r>
              <w:rPr>
                <w:rFonts w:ascii="新細明體" w:hAnsi="新細明體"/>
                <w:color w:val="000000"/>
                <w:spacing w:val="-2"/>
                <w:kern w:val="0"/>
                <w:sz w:val="20"/>
              </w:rPr>
              <w:t>, Nov 2012.</w:t>
            </w:r>
          </w:p>
        </w:tc>
      </w:tr>
    </w:tbl>
    <w:p w14:paraId="268D74C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rPr>
          <w:rFonts w:eastAsia="標楷體"/>
          <w:spacing w:val="4"/>
          <w:kern w:val="0"/>
          <w:sz w:val="28"/>
          <w:szCs w:val="22"/>
        </w:rPr>
      </w:pPr>
      <w:r>
        <w:rPr>
          <w:rFonts w:eastAsia="標楷體"/>
          <w:spacing w:val="4"/>
          <w:kern w:val="0"/>
          <w:sz w:val="28"/>
          <w:szCs w:val="22"/>
        </w:rPr>
        <w:t>－</w:t>
      </w:r>
      <w:r>
        <w:rPr>
          <w:rFonts w:eastAsia="標楷體"/>
          <w:spacing w:val="4"/>
          <w:kern w:val="0"/>
          <w:sz w:val="28"/>
          <w:szCs w:val="22"/>
        </w:rPr>
        <w:t>IEA</w:t>
      </w:r>
      <w:r>
        <w:rPr>
          <w:rFonts w:eastAsia="標楷體"/>
          <w:spacing w:val="4"/>
          <w:kern w:val="0"/>
          <w:sz w:val="28"/>
          <w:szCs w:val="22"/>
        </w:rPr>
        <w:t>於「</w:t>
      </w:r>
      <w:r>
        <w:rPr>
          <w:rFonts w:eastAsia="標楷體"/>
          <w:spacing w:val="4"/>
          <w:kern w:val="0"/>
          <w:sz w:val="28"/>
          <w:szCs w:val="22"/>
        </w:rPr>
        <w:t>2012</w:t>
      </w:r>
      <w:r>
        <w:rPr>
          <w:rFonts w:eastAsia="標楷體"/>
          <w:spacing w:val="4"/>
          <w:kern w:val="0"/>
          <w:sz w:val="28"/>
          <w:szCs w:val="22"/>
        </w:rPr>
        <w:t>全球能源展望」報告中預估，</w:t>
      </w:r>
      <w:r>
        <w:rPr>
          <w:rFonts w:eastAsia="標楷體"/>
          <w:spacing w:val="4"/>
          <w:kern w:val="0"/>
          <w:sz w:val="28"/>
          <w:szCs w:val="22"/>
        </w:rPr>
        <w:t>2012</w:t>
      </w:r>
      <w:r>
        <w:rPr>
          <w:rFonts w:eastAsia="標楷體"/>
          <w:spacing w:val="4"/>
          <w:kern w:val="0"/>
          <w:sz w:val="28"/>
          <w:szCs w:val="22"/>
        </w:rPr>
        <w:t>至</w:t>
      </w:r>
      <w:r>
        <w:rPr>
          <w:rFonts w:eastAsia="標楷體"/>
          <w:spacing w:val="4"/>
          <w:kern w:val="0"/>
          <w:sz w:val="28"/>
          <w:szCs w:val="22"/>
        </w:rPr>
        <w:t>2035</w:t>
      </w:r>
      <w:r>
        <w:rPr>
          <w:rFonts w:eastAsia="標楷體"/>
          <w:spacing w:val="4"/>
          <w:kern w:val="0"/>
          <w:sz w:val="28"/>
          <w:szCs w:val="22"/>
        </w:rPr>
        <w:t>年間，全球將投入</w:t>
      </w:r>
      <w:r>
        <w:rPr>
          <w:rFonts w:eastAsia="標楷體"/>
          <w:spacing w:val="4"/>
          <w:kern w:val="0"/>
          <w:sz w:val="28"/>
          <w:szCs w:val="22"/>
        </w:rPr>
        <w:t>6.4</w:t>
      </w:r>
      <w:r>
        <w:rPr>
          <w:rFonts w:eastAsia="標楷體"/>
          <w:spacing w:val="4"/>
          <w:kern w:val="0"/>
          <w:sz w:val="28"/>
          <w:szCs w:val="22"/>
        </w:rPr>
        <w:t>兆美元於再生能源發電系統，其中，以風力發電投資</w:t>
      </w:r>
      <w:r>
        <w:rPr>
          <w:rFonts w:eastAsia="標楷體"/>
          <w:spacing w:val="4"/>
          <w:kern w:val="0"/>
          <w:sz w:val="28"/>
          <w:szCs w:val="22"/>
        </w:rPr>
        <w:t>2.1</w:t>
      </w:r>
      <w:r>
        <w:rPr>
          <w:rFonts w:eastAsia="標楷體"/>
          <w:spacing w:val="4"/>
          <w:kern w:val="0"/>
          <w:sz w:val="28"/>
          <w:szCs w:val="22"/>
        </w:rPr>
        <w:t>兆美元居首，其他依序為水力發電、太陽能發電、生質能發電，分別為</w:t>
      </w:r>
      <w:r>
        <w:rPr>
          <w:rFonts w:eastAsia="標楷體"/>
          <w:spacing w:val="4"/>
          <w:kern w:val="0"/>
          <w:sz w:val="28"/>
          <w:szCs w:val="22"/>
        </w:rPr>
        <w:t>1.5</w:t>
      </w:r>
      <w:r>
        <w:rPr>
          <w:rFonts w:eastAsia="標楷體"/>
          <w:spacing w:val="4"/>
          <w:kern w:val="0"/>
          <w:sz w:val="28"/>
          <w:szCs w:val="22"/>
        </w:rPr>
        <w:t>兆美元、</w:t>
      </w:r>
      <w:r>
        <w:rPr>
          <w:rFonts w:eastAsia="標楷體"/>
          <w:spacing w:val="4"/>
          <w:kern w:val="0"/>
          <w:sz w:val="28"/>
          <w:szCs w:val="22"/>
        </w:rPr>
        <w:t>1.3</w:t>
      </w:r>
      <w:r>
        <w:rPr>
          <w:rFonts w:eastAsia="標楷體"/>
          <w:spacing w:val="4"/>
          <w:kern w:val="0"/>
          <w:sz w:val="28"/>
          <w:szCs w:val="22"/>
        </w:rPr>
        <w:t>兆美元及</w:t>
      </w:r>
      <w:r>
        <w:rPr>
          <w:rFonts w:eastAsia="標楷體"/>
          <w:spacing w:val="4"/>
          <w:kern w:val="0"/>
          <w:sz w:val="28"/>
          <w:szCs w:val="22"/>
        </w:rPr>
        <w:t>0.36</w:t>
      </w:r>
      <w:r>
        <w:rPr>
          <w:rFonts w:eastAsia="標楷體"/>
          <w:spacing w:val="4"/>
          <w:kern w:val="0"/>
          <w:sz w:val="28"/>
          <w:szCs w:val="22"/>
        </w:rPr>
        <w:t>兆美元。</w:t>
      </w:r>
    </w:p>
    <w:p w14:paraId="1BC52D2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pPr>
      <w:r>
        <w:rPr>
          <w:rFonts w:eastAsia="標楷體"/>
          <w:spacing w:val="4"/>
          <w:kern w:val="0"/>
          <w:sz w:val="28"/>
          <w:szCs w:val="22"/>
        </w:rPr>
        <w:t>－美國綠色科技市場調查公司</w:t>
      </w:r>
      <w:r>
        <w:rPr>
          <w:rFonts w:eastAsia="標楷體"/>
          <w:spacing w:val="4"/>
          <w:kern w:val="0"/>
          <w:sz w:val="28"/>
          <w:szCs w:val="22"/>
        </w:rPr>
        <w:t>Clean Edge</w:t>
      </w:r>
      <w:r>
        <w:rPr>
          <w:rFonts w:eastAsia="標楷體"/>
          <w:spacing w:val="4"/>
          <w:kern w:val="0"/>
          <w:sz w:val="28"/>
          <w:szCs w:val="22"/>
        </w:rPr>
        <w:t>出刊之「</w:t>
      </w:r>
      <w:r>
        <w:rPr>
          <w:rFonts w:eastAsia="標楷體"/>
          <w:spacing w:val="4"/>
          <w:kern w:val="0"/>
          <w:sz w:val="28"/>
          <w:szCs w:val="22"/>
        </w:rPr>
        <w:t>2012</w:t>
      </w:r>
      <w:r>
        <w:rPr>
          <w:rFonts w:eastAsia="標楷體"/>
          <w:spacing w:val="4"/>
          <w:kern w:val="0"/>
          <w:sz w:val="28"/>
          <w:szCs w:val="22"/>
        </w:rPr>
        <w:t>清潔能源趨勢」</w:t>
      </w:r>
      <w:r>
        <w:rPr>
          <w:rFonts w:ascii="標楷體" w:eastAsia="標楷體" w:hAnsi="標楷體"/>
          <w:spacing w:val="4"/>
          <w:kern w:val="0"/>
          <w:sz w:val="28"/>
          <w:szCs w:val="22"/>
        </w:rPr>
        <w:t>(</w:t>
      </w:r>
      <w:r>
        <w:rPr>
          <w:rFonts w:eastAsia="標楷體"/>
          <w:spacing w:val="4"/>
          <w:kern w:val="0"/>
          <w:sz w:val="28"/>
          <w:szCs w:val="22"/>
        </w:rPr>
        <w:t>Clean Energy Trends 2012</w:t>
      </w:r>
      <w:r>
        <w:rPr>
          <w:rFonts w:ascii="標楷體" w:eastAsia="標楷體" w:hAnsi="標楷體"/>
          <w:spacing w:val="4"/>
          <w:kern w:val="0"/>
          <w:sz w:val="28"/>
          <w:szCs w:val="22"/>
        </w:rPr>
        <w:t>)報</w:t>
      </w:r>
      <w:r>
        <w:rPr>
          <w:rFonts w:eastAsia="標楷體"/>
          <w:spacing w:val="4"/>
          <w:kern w:val="0"/>
          <w:sz w:val="28"/>
          <w:szCs w:val="22"/>
        </w:rPr>
        <w:t>告顯示，風力發電、生質能源及太陽光電將成為再生能源中成長最快的產業，預估</w:t>
      </w:r>
      <w:r>
        <w:rPr>
          <w:rFonts w:eastAsia="標楷體"/>
          <w:spacing w:val="4"/>
          <w:kern w:val="0"/>
          <w:sz w:val="28"/>
          <w:szCs w:val="22"/>
        </w:rPr>
        <w:t>2021</w:t>
      </w:r>
      <w:r>
        <w:rPr>
          <w:rFonts w:eastAsia="標楷體"/>
          <w:spacing w:val="4"/>
          <w:kern w:val="0"/>
          <w:sz w:val="28"/>
          <w:szCs w:val="22"/>
        </w:rPr>
        <w:t>年三者產值將分別由</w:t>
      </w:r>
      <w:r>
        <w:rPr>
          <w:rFonts w:eastAsia="標楷體"/>
          <w:spacing w:val="4"/>
          <w:kern w:val="0"/>
          <w:sz w:val="28"/>
          <w:szCs w:val="22"/>
        </w:rPr>
        <w:t>2011</w:t>
      </w:r>
      <w:r>
        <w:rPr>
          <w:rFonts w:eastAsia="標楷體"/>
          <w:spacing w:val="4"/>
          <w:kern w:val="0"/>
          <w:sz w:val="28"/>
          <w:szCs w:val="22"/>
        </w:rPr>
        <w:t>年的</w:t>
      </w:r>
      <w:r>
        <w:rPr>
          <w:rFonts w:eastAsia="標楷體"/>
          <w:spacing w:val="4"/>
          <w:kern w:val="0"/>
          <w:sz w:val="28"/>
          <w:szCs w:val="22"/>
        </w:rPr>
        <w:t>715</w:t>
      </w:r>
      <w:r>
        <w:rPr>
          <w:rFonts w:eastAsia="標楷體"/>
          <w:spacing w:val="4"/>
          <w:kern w:val="0"/>
          <w:sz w:val="28"/>
          <w:szCs w:val="22"/>
        </w:rPr>
        <w:t>億美元、</w:t>
      </w:r>
      <w:r>
        <w:rPr>
          <w:rFonts w:eastAsia="標楷體"/>
          <w:spacing w:val="4"/>
          <w:kern w:val="0"/>
          <w:sz w:val="28"/>
          <w:szCs w:val="22"/>
        </w:rPr>
        <w:t>830</w:t>
      </w:r>
      <w:r>
        <w:rPr>
          <w:rFonts w:eastAsia="標楷體"/>
          <w:spacing w:val="4"/>
          <w:kern w:val="0"/>
          <w:sz w:val="28"/>
          <w:szCs w:val="22"/>
        </w:rPr>
        <w:t>億美元、</w:t>
      </w:r>
      <w:r>
        <w:rPr>
          <w:rFonts w:eastAsia="標楷體"/>
          <w:spacing w:val="4"/>
          <w:kern w:val="0"/>
          <w:sz w:val="28"/>
          <w:szCs w:val="22"/>
        </w:rPr>
        <w:t>916</w:t>
      </w:r>
      <w:r>
        <w:rPr>
          <w:rFonts w:eastAsia="標楷體"/>
          <w:spacing w:val="4"/>
          <w:kern w:val="0"/>
          <w:sz w:val="28"/>
          <w:szCs w:val="22"/>
        </w:rPr>
        <w:t>億美元，增為</w:t>
      </w:r>
      <w:r>
        <w:rPr>
          <w:rFonts w:eastAsia="標楷體"/>
          <w:spacing w:val="4"/>
          <w:kern w:val="0"/>
          <w:sz w:val="28"/>
          <w:szCs w:val="22"/>
        </w:rPr>
        <w:t>1,163</w:t>
      </w:r>
      <w:r>
        <w:rPr>
          <w:rFonts w:eastAsia="標楷體"/>
          <w:spacing w:val="4"/>
          <w:kern w:val="0"/>
          <w:sz w:val="28"/>
          <w:szCs w:val="22"/>
        </w:rPr>
        <w:t>億美元、</w:t>
      </w:r>
      <w:r>
        <w:rPr>
          <w:rFonts w:eastAsia="標楷體"/>
          <w:spacing w:val="4"/>
          <w:kern w:val="0"/>
          <w:sz w:val="28"/>
          <w:szCs w:val="22"/>
        </w:rPr>
        <w:t>1,390</w:t>
      </w:r>
      <w:r>
        <w:rPr>
          <w:rFonts w:eastAsia="標楷體"/>
          <w:spacing w:val="4"/>
          <w:kern w:val="0"/>
          <w:sz w:val="28"/>
          <w:szCs w:val="22"/>
        </w:rPr>
        <w:t>億美元、</w:t>
      </w:r>
      <w:r>
        <w:rPr>
          <w:rFonts w:eastAsia="標楷體"/>
          <w:spacing w:val="4"/>
          <w:kern w:val="0"/>
          <w:sz w:val="28"/>
          <w:szCs w:val="22"/>
        </w:rPr>
        <w:t>1,305</w:t>
      </w:r>
      <w:r>
        <w:rPr>
          <w:rFonts w:eastAsia="標楷體"/>
          <w:spacing w:val="4"/>
          <w:kern w:val="0"/>
          <w:sz w:val="28"/>
          <w:szCs w:val="22"/>
        </w:rPr>
        <w:t>億美元，平均年成長率分別為</w:t>
      </w:r>
      <w:r>
        <w:rPr>
          <w:rFonts w:eastAsia="標楷體"/>
          <w:spacing w:val="4"/>
          <w:kern w:val="0"/>
          <w:sz w:val="28"/>
          <w:szCs w:val="22"/>
        </w:rPr>
        <w:t>5%</w:t>
      </w:r>
      <w:r>
        <w:rPr>
          <w:rFonts w:eastAsia="標楷體"/>
          <w:spacing w:val="4"/>
          <w:kern w:val="0"/>
          <w:sz w:val="28"/>
          <w:szCs w:val="22"/>
        </w:rPr>
        <w:t>、</w:t>
      </w:r>
      <w:r>
        <w:rPr>
          <w:rFonts w:eastAsia="標楷體"/>
          <w:spacing w:val="4"/>
          <w:kern w:val="0"/>
          <w:sz w:val="28"/>
          <w:szCs w:val="22"/>
        </w:rPr>
        <w:t>5.3%</w:t>
      </w:r>
      <w:r>
        <w:rPr>
          <w:rFonts w:eastAsia="標楷體"/>
          <w:spacing w:val="4"/>
          <w:kern w:val="0"/>
          <w:sz w:val="28"/>
          <w:szCs w:val="22"/>
        </w:rPr>
        <w:t>、</w:t>
      </w:r>
      <w:r>
        <w:rPr>
          <w:rFonts w:eastAsia="標楷體"/>
          <w:spacing w:val="4"/>
          <w:kern w:val="0"/>
          <w:sz w:val="28"/>
          <w:szCs w:val="22"/>
        </w:rPr>
        <w:t>3.6%</w:t>
      </w:r>
      <w:r>
        <w:rPr>
          <w:rFonts w:eastAsia="標楷體"/>
          <w:spacing w:val="4"/>
          <w:kern w:val="0"/>
          <w:sz w:val="28"/>
          <w:szCs w:val="22"/>
        </w:rPr>
        <w:t>。</w:t>
      </w:r>
    </w:p>
    <w:p w14:paraId="7662734E" w14:textId="77777777" w:rsidR="00052596" w:rsidRDefault="00052596">
      <w:pPr>
        <w:pageBreakBefore/>
        <w:widowControl/>
      </w:pPr>
    </w:p>
    <w:p w14:paraId="39EE6961"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第二節　掌握內在課題</w:t>
      </w:r>
    </w:p>
    <w:p w14:paraId="0A4D7367"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850DCA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98</w:t>
      </w:r>
      <w:r>
        <w:rPr>
          <w:rFonts w:eastAsia="標楷體"/>
          <w:spacing w:val="4"/>
          <w:kern w:val="0"/>
          <w:sz w:val="28"/>
          <w:szCs w:val="26"/>
        </w:rPr>
        <w:t>至</w:t>
      </w:r>
      <w:r>
        <w:rPr>
          <w:rFonts w:eastAsia="標楷體"/>
          <w:spacing w:val="4"/>
          <w:kern w:val="0"/>
          <w:sz w:val="28"/>
          <w:szCs w:val="26"/>
        </w:rPr>
        <w:t>101</w:t>
      </w:r>
      <w:r>
        <w:rPr>
          <w:rFonts w:eastAsia="標楷體"/>
          <w:spacing w:val="4"/>
          <w:kern w:val="0"/>
          <w:sz w:val="28"/>
          <w:szCs w:val="26"/>
        </w:rPr>
        <w:t>年間，臺灣連續遭逢全球金融風暴及歐債危機引致全球經濟成長減緩的不利因素衝擊，幸賴政府積極因應縮小景氣波動程度，經濟成長率平均</w:t>
      </w:r>
      <w:r>
        <w:rPr>
          <w:rFonts w:eastAsia="標楷體"/>
          <w:spacing w:val="4"/>
          <w:kern w:val="0"/>
          <w:sz w:val="28"/>
          <w:szCs w:val="26"/>
        </w:rPr>
        <w:t>3.54%</w:t>
      </w:r>
      <w:r>
        <w:rPr>
          <w:rFonts w:eastAsia="標楷體"/>
          <w:spacing w:val="4"/>
          <w:kern w:val="0"/>
          <w:sz w:val="28"/>
          <w:szCs w:val="26"/>
        </w:rPr>
        <w:t>，較</w:t>
      </w:r>
      <w:r>
        <w:rPr>
          <w:rFonts w:eastAsia="標楷體"/>
          <w:spacing w:val="4"/>
          <w:kern w:val="0"/>
          <w:sz w:val="28"/>
          <w:szCs w:val="26"/>
        </w:rPr>
        <w:t>94</w:t>
      </w:r>
      <w:r>
        <w:rPr>
          <w:rFonts w:eastAsia="標楷體"/>
          <w:spacing w:val="4"/>
          <w:kern w:val="0"/>
          <w:sz w:val="28"/>
          <w:szCs w:val="26"/>
        </w:rPr>
        <w:t>至</w:t>
      </w:r>
      <w:r>
        <w:rPr>
          <w:rFonts w:eastAsia="標楷體"/>
          <w:spacing w:val="4"/>
          <w:kern w:val="0"/>
          <w:sz w:val="28"/>
          <w:szCs w:val="26"/>
        </w:rPr>
        <w:t>97</w:t>
      </w:r>
      <w:r>
        <w:rPr>
          <w:rFonts w:eastAsia="標楷體"/>
          <w:spacing w:val="4"/>
          <w:kern w:val="0"/>
          <w:sz w:val="28"/>
          <w:szCs w:val="26"/>
        </w:rPr>
        <w:t>年平均的</w:t>
      </w:r>
      <w:r>
        <w:rPr>
          <w:rFonts w:eastAsia="標楷體"/>
          <w:spacing w:val="4"/>
          <w:kern w:val="0"/>
          <w:sz w:val="28"/>
          <w:szCs w:val="26"/>
        </w:rPr>
        <w:t>4.21%</w:t>
      </w:r>
      <w:r>
        <w:rPr>
          <w:rFonts w:eastAsia="標楷體"/>
          <w:spacing w:val="4"/>
          <w:kern w:val="0"/>
          <w:sz w:val="28"/>
          <w:szCs w:val="26"/>
        </w:rPr>
        <w:t>僅略降</w:t>
      </w:r>
      <w:r>
        <w:rPr>
          <w:rFonts w:eastAsia="標楷體"/>
          <w:spacing w:val="4"/>
          <w:kern w:val="0"/>
          <w:sz w:val="28"/>
          <w:szCs w:val="26"/>
        </w:rPr>
        <w:t>0.67</w:t>
      </w:r>
      <w:r>
        <w:rPr>
          <w:rFonts w:eastAsia="標楷體"/>
          <w:spacing w:val="4"/>
          <w:kern w:val="0"/>
          <w:sz w:val="28"/>
          <w:szCs w:val="26"/>
        </w:rPr>
        <w:t>個百分點。</w:t>
      </w:r>
      <w:r>
        <w:rPr>
          <w:rFonts w:eastAsia="標楷體"/>
          <w:spacing w:val="4"/>
          <w:kern w:val="0"/>
          <w:sz w:val="28"/>
          <w:szCs w:val="26"/>
        </w:rPr>
        <w:t>IMD</w:t>
      </w:r>
      <w:r>
        <w:rPr>
          <w:rFonts w:eastAsia="標楷體"/>
          <w:spacing w:val="4"/>
          <w:kern w:val="0"/>
          <w:sz w:val="28"/>
          <w:szCs w:val="26"/>
        </w:rPr>
        <w:t>「</w:t>
      </w:r>
      <w:r>
        <w:rPr>
          <w:rFonts w:eastAsia="標楷體"/>
          <w:spacing w:val="4"/>
          <w:kern w:val="0"/>
          <w:sz w:val="28"/>
          <w:szCs w:val="26"/>
        </w:rPr>
        <w:t>2012</w:t>
      </w:r>
      <w:r>
        <w:rPr>
          <w:rFonts w:eastAsia="標楷體"/>
          <w:spacing w:val="4"/>
          <w:kern w:val="0"/>
          <w:sz w:val="28"/>
          <w:szCs w:val="26"/>
        </w:rPr>
        <w:t>年世界競爭力年報」讚譽臺灣經濟面對全球風險所展現的應變與韌性</w:t>
      </w:r>
      <w:r>
        <w:rPr>
          <w:rFonts w:ascii="標楷體" w:eastAsia="標楷體" w:hAnsi="標楷體"/>
          <w:spacing w:val="4"/>
          <w:kern w:val="0"/>
          <w:sz w:val="28"/>
          <w:szCs w:val="26"/>
        </w:rPr>
        <w:t>(</w:t>
      </w:r>
      <w:r>
        <w:rPr>
          <w:rFonts w:eastAsia="標楷體"/>
          <w:spacing w:val="4"/>
          <w:kern w:val="0"/>
          <w:sz w:val="28"/>
          <w:szCs w:val="26"/>
        </w:rPr>
        <w:t>resilient</w:t>
      </w:r>
      <w:r>
        <w:rPr>
          <w:rFonts w:ascii="標楷體" w:eastAsia="標楷體" w:hAnsi="標楷體"/>
          <w:spacing w:val="4"/>
          <w:kern w:val="0"/>
          <w:sz w:val="28"/>
          <w:szCs w:val="26"/>
        </w:rPr>
        <w:t>)</w:t>
      </w:r>
      <w:r>
        <w:rPr>
          <w:rFonts w:eastAsia="標楷體"/>
          <w:spacing w:val="4"/>
          <w:kern w:val="0"/>
          <w:sz w:val="28"/>
          <w:szCs w:val="26"/>
        </w:rPr>
        <w:t>。</w:t>
      </w:r>
    </w:p>
    <w:p w14:paraId="312CFEC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近年臺灣經濟成長率趨降，除來自國際經濟變動因素外，亦與國內總體經濟結構失衡，削弱經濟成長動能有關。例如：內需不足，成長易受外在風險衝擊；服務業對經濟成長貢獻與其占</w:t>
      </w:r>
      <w:r>
        <w:rPr>
          <w:rFonts w:eastAsia="標楷體"/>
          <w:spacing w:val="4"/>
          <w:kern w:val="0"/>
          <w:sz w:val="28"/>
          <w:szCs w:val="26"/>
        </w:rPr>
        <w:t>GDP</w:t>
      </w:r>
      <w:r>
        <w:rPr>
          <w:rFonts w:eastAsia="標楷體"/>
          <w:spacing w:val="4"/>
          <w:kern w:val="0"/>
          <w:sz w:val="28"/>
          <w:szCs w:val="26"/>
        </w:rPr>
        <w:t>比重不對稱，製造業附加價值偏低，整體經濟的總要素生產力</w:t>
      </w:r>
      <w:r>
        <w:rPr>
          <w:rFonts w:ascii="標楷體" w:eastAsia="標楷體" w:hAnsi="標楷體"/>
          <w:spacing w:val="4"/>
          <w:kern w:val="0"/>
          <w:sz w:val="28"/>
          <w:szCs w:val="26"/>
        </w:rPr>
        <w:t>(</w:t>
      </w:r>
      <w:r>
        <w:rPr>
          <w:rFonts w:eastAsia="標楷體"/>
          <w:spacing w:val="4"/>
          <w:kern w:val="0"/>
          <w:sz w:val="28"/>
          <w:szCs w:val="26"/>
        </w:rPr>
        <w:t>TFP</w:t>
      </w:r>
      <w:r>
        <w:rPr>
          <w:rFonts w:ascii="標楷體" w:eastAsia="標楷體" w:hAnsi="標楷體"/>
          <w:spacing w:val="4"/>
          <w:kern w:val="0"/>
          <w:sz w:val="28"/>
          <w:szCs w:val="26"/>
        </w:rPr>
        <w:t>)</w:t>
      </w:r>
      <w:r>
        <w:rPr>
          <w:rFonts w:eastAsia="標楷體"/>
          <w:spacing w:val="4"/>
          <w:kern w:val="0"/>
          <w:sz w:val="28"/>
          <w:szCs w:val="26"/>
        </w:rPr>
        <w:t>成長明顯趨緩。此外，貿易條件惡化，薪資成長遲滯，亦使得經濟成長果實無法為全民共享。另節能減碳績效漸趨改善，惟每人</w:t>
      </w:r>
      <w:r>
        <w:rPr>
          <w:rFonts w:eastAsia="標楷體"/>
          <w:spacing w:val="4"/>
          <w:kern w:val="0"/>
          <w:sz w:val="28"/>
          <w:szCs w:val="26"/>
        </w:rPr>
        <w:t>CO</w:t>
      </w:r>
      <w:r>
        <w:rPr>
          <w:rFonts w:eastAsia="標楷體"/>
          <w:spacing w:val="4"/>
          <w:kern w:val="0"/>
          <w:sz w:val="28"/>
          <w:szCs w:val="26"/>
          <w:vertAlign w:val="subscript"/>
        </w:rPr>
        <w:t>2</w:t>
      </w:r>
      <w:r>
        <w:rPr>
          <w:rFonts w:eastAsia="標楷體"/>
          <w:spacing w:val="4"/>
          <w:kern w:val="0"/>
          <w:sz w:val="28"/>
          <w:szCs w:val="26"/>
        </w:rPr>
        <w:t>排放量仍高於多數</w:t>
      </w:r>
      <w:r>
        <w:rPr>
          <w:rFonts w:eastAsia="標楷體"/>
          <w:spacing w:val="4"/>
          <w:kern w:val="0"/>
          <w:sz w:val="28"/>
          <w:szCs w:val="26"/>
        </w:rPr>
        <w:t>OECD</w:t>
      </w:r>
      <w:r>
        <w:rPr>
          <w:rFonts w:eastAsia="標楷體"/>
          <w:spacing w:val="4"/>
          <w:kern w:val="0"/>
          <w:sz w:val="28"/>
          <w:szCs w:val="26"/>
        </w:rPr>
        <w:t>國家水準。</w:t>
      </w:r>
    </w:p>
    <w:p w14:paraId="26360C07"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整體而言，政府除將持續加速經濟結構調整，促進均衡成長，並將促使經濟成長更富包容性與永續性。</w:t>
      </w:r>
    </w:p>
    <w:p w14:paraId="02784130" w14:textId="77777777" w:rsidR="00052596" w:rsidRDefault="00000000">
      <w:pPr>
        <w:overflowPunct w:val="0"/>
        <w:autoSpaceDE w:val="0"/>
        <w:snapToGrid w:val="0"/>
        <w:spacing w:before="180" w:after="120" w:line="280" w:lineRule="exact"/>
        <w:jc w:val="center"/>
        <w:textAlignment w:val="center"/>
        <w:rPr>
          <w:rFonts w:eastAsia="標楷體"/>
          <w:b/>
          <w:color w:val="0000FF"/>
          <w:kern w:val="0"/>
          <w:sz w:val="25"/>
          <w:szCs w:val="22"/>
        </w:rPr>
      </w:pPr>
      <w:r>
        <w:rPr>
          <w:rFonts w:eastAsia="標楷體"/>
          <w:b/>
          <w:color w:val="0000FF"/>
          <w:kern w:val="0"/>
          <w:sz w:val="25"/>
          <w:szCs w:val="22"/>
        </w:rPr>
        <w:t>表</w:t>
      </w:r>
      <w:r>
        <w:rPr>
          <w:rFonts w:eastAsia="標楷體"/>
          <w:b/>
          <w:color w:val="0000FF"/>
          <w:kern w:val="0"/>
          <w:sz w:val="25"/>
          <w:szCs w:val="22"/>
        </w:rPr>
        <w:t>1.2.1</w:t>
      </w:r>
      <w:r>
        <w:rPr>
          <w:rFonts w:eastAsia="標楷體"/>
          <w:b/>
          <w:color w:val="0000FF"/>
          <w:kern w:val="0"/>
          <w:sz w:val="25"/>
          <w:szCs w:val="22"/>
        </w:rPr>
        <w:t xml:space="preserve">　臺灣經濟面臨的內在課題與挑戰</w:t>
      </w:r>
    </w:p>
    <w:tbl>
      <w:tblPr>
        <w:tblW w:w="8422" w:type="dxa"/>
        <w:jc w:val="center"/>
        <w:tblCellMar>
          <w:left w:w="10" w:type="dxa"/>
          <w:right w:w="10" w:type="dxa"/>
        </w:tblCellMar>
        <w:tblLook w:val="04A0" w:firstRow="1" w:lastRow="0" w:firstColumn="1" w:lastColumn="0" w:noHBand="0" w:noVBand="1"/>
      </w:tblPr>
      <w:tblGrid>
        <w:gridCol w:w="1802"/>
        <w:gridCol w:w="4111"/>
        <w:gridCol w:w="2509"/>
      </w:tblGrid>
      <w:tr w:rsidR="00052596" w14:paraId="4DDCF119" w14:textId="77777777">
        <w:tblPrEx>
          <w:tblCellMar>
            <w:top w:w="0" w:type="dxa"/>
            <w:bottom w:w="0" w:type="dxa"/>
          </w:tblCellMar>
        </w:tblPrEx>
        <w:trPr>
          <w:jc w:val="center"/>
        </w:trPr>
        <w:tc>
          <w:tcPr>
            <w:tcW w:w="1802" w:type="dxa"/>
            <w:tcBorders>
              <w:top w:val="single" w:sz="4" w:space="0" w:color="000000"/>
              <w:bottom w:val="single" w:sz="4" w:space="0" w:color="000000"/>
              <w:right w:val="single" w:sz="4" w:space="0" w:color="000000"/>
            </w:tcBorders>
            <w:shd w:val="clear" w:color="auto" w:fill="auto"/>
            <w:tcMar>
              <w:top w:w="0" w:type="dxa"/>
              <w:left w:w="85" w:type="dxa"/>
              <w:bottom w:w="0" w:type="dxa"/>
              <w:right w:w="85" w:type="dxa"/>
            </w:tcMar>
          </w:tcPr>
          <w:p w14:paraId="5A697D57" w14:textId="77777777" w:rsidR="00052596" w:rsidRDefault="00000000">
            <w:pPr>
              <w:widowControl/>
              <w:snapToGrid w:val="0"/>
              <w:spacing w:before="60" w:after="60" w:line="290" w:lineRule="exact"/>
              <w:rPr>
                <w:rFonts w:eastAsia="標楷體"/>
                <w:spacing w:val="-2"/>
                <w:kern w:val="0"/>
                <w:sz w:val="23"/>
                <w:szCs w:val="23"/>
              </w:rPr>
            </w:pPr>
            <w:r>
              <w:rPr>
                <w:rFonts w:eastAsia="標楷體"/>
                <w:spacing w:val="-2"/>
                <w:kern w:val="0"/>
                <w:sz w:val="23"/>
                <w:szCs w:val="23"/>
              </w:rPr>
              <w:t>面向</w:t>
            </w:r>
          </w:p>
        </w:tc>
        <w:tc>
          <w:tcPr>
            <w:tcW w:w="4111"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1BFA6793" w14:textId="77777777" w:rsidR="00052596" w:rsidRDefault="00000000">
            <w:pPr>
              <w:widowControl/>
              <w:snapToGrid w:val="0"/>
              <w:spacing w:before="60" w:after="60" w:line="290" w:lineRule="exact"/>
              <w:rPr>
                <w:rFonts w:eastAsia="標楷體"/>
                <w:spacing w:val="-2"/>
                <w:kern w:val="0"/>
                <w:sz w:val="23"/>
                <w:szCs w:val="23"/>
              </w:rPr>
            </w:pPr>
            <w:r>
              <w:rPr>
                <w:rFonts w:eastAsia="標楷體"/>
                <w:spacing w:val="-2"/>
                <w:kern w:val="0"/>
                <w:sz w:val="23"/>
                <w:szCs w:val="23"/>
              </w:rPr>
              <w:t>課題</w:t>
            </w:r>
          </w:p>
        </w:tc>
        <w:tc>
          <w:tcPr>
            <w:tcW w:w="2509"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70642B45" w14:textId="77777777" w:rsidR="00052596" w:rsidRDefault="00000000">
            <w:pPr>
              <w:widowControl/>
              <w:snapToGrid w:val="0"/>
              <w:spacing w:before="60" w:after="60" w:line="290" w:lineRule="exact"/>
              <w:rPr>
                <w:rFonts w:eastAsia="標楷體"/>
                <w:spacing w:val="-2"/>
                <w:kern w:val="0"/>
                <w:sz w:val="23"/>
                <w:szCs w:val="23"/>
              </w:rPr>
            </w:pPr>
            <w:r>
              <w:rPr>
                <w:rFonts w:eastAsia="標楷體"/>
                <w:spacing w:val="-2"/>
                <w:kern w:val="0"/>
                <w:sz w:val="23"/>
                <w:szCs w:val="23"/>
              </w:rPr>
              <w:t>挑戰</w:t>
            </w:r>
          </w:p>
        </w:tc>
      </w:tr>
      <w:tr w:rsidR="00052596" w14:paraId="296124F3" w14:textId="77777777">
        <w:tblPrEx>
          <w:tblCellMar>
            <w:top w:w="0" w:type="dxa"/>
            <w:bottom w:w="0" w:type="dxa"/>
          </w:tblCellMar>
        </w:tblPrEx>
        <w:trPr>
          <w:jc w:val="center"/>
        </w:trPr>
        <w:tc>
          <w:tcPr>
            <w:tcW w:w="1802" w:type="dxa"/>
            <w:tcBorders>
              <w:top w:val="single" w:sz="4" w:space="0" w:color="000000"/>
              <w:bottom w:val="single" w:sz="4" w:space="0" w:color="000000"/>
              <w:right w:val="single" w:sz="4" w:space="0" w:color="000000"/>
            </w:tcBorders>
            <w:shd w:val="clear" w:color="auto" w:fill="auto"/>
            <w:tcMar>
              <w:top w:w="0" w:type="dxa"/>
              <w:left w:w="85" w:type="dxa"/>
              <w:bottom w:w="0" w:type="dxa"/>
              <w:right w:w="85" w:type="dxa"/>
            </w:tcMar>
          </w:tcPr>
          <w:p w14:paraId="301A2FD0" w14:textId="77777777" w:rsidR="00052596" w:rsidRDefault="00000000">
            <w:pPr>
              <w:widowControl/>
              <w:snapToGrid w:val="0"/>
              <w:spacing w:line="290" w:lineRule="exact"/>
              <w:rPr>
                <w:rFonts w:eastAsia="標楷體"/>
                <w:spacing w:val="-2"/>
                <w:kern w:val="0"/>
                <w:sz w:val="23"/>
                <w:szCs w:val="23"/>
              </w:rPr>
            </w:pPr>
            <w:r>
              <w:rPr>
                <w:rFonts w:eastAsia="標楷體"/>
                <w:spacing w:val="-2"/>
                <w:kern w:val="0"/>
                <w:sz w:val="23"/>
                <w:szCs w:val="23"/>
              </w:rPr>
              <w:t>經濟創新與開放</w:t>
            </w:r>
          </w:p>
        </w:tc>
        <w:tc>
          <w:tcPr>
            <w:tcW w:w="4111"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77A90F55"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成長動力以出口為主，消費及投資動能相對不足；出口市場過度集中在中國大陸；出口產品過度集中在中間財。</w:t>
            </w:r>
          </w:p>
          <w:p w14:paraId="2BBE28BD"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貿易條件惡化，實質國民所得成長低於經濟成長。</w:t>
            </w:r>
          </w:p>
        </w:tc>
        <w:tc>
          <w:tcPr>
            <w:tcW w:w="2509"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392DB40D"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加速推動經濟自由化，積極進行法規鬆綁，促進民間投資與創新發展，帶動總要素生產力成長。</w:t>
            </w:r>
          </w:p>
        </w:tc>
      </w:tr>
      <w:tr w:rsidR="00052596" w14:paraId="59D47E11" w14:textId="77777777">
        <w:tblPrEx>
          <w:tblCellMar>
            <w:top w:w="0" w:type="dxa"/>
            <w:bottom w:w="0" w:type="dxa"/>
          </w:tblCellMar>
        </w:tblPrEx>
        <w:trPr>
          <w:jc w:val="center"/>
        </w:trPr>
        <w:tc>
          <w:tcPr>
            <w:tcW w:w="1802" w:type="dxa"/>
            <w:tcBorders>
              <w:top w:val="single" w:sz="4" w:space="0" w:color="000000"/>
              <w:bottom w:val="single" w:sz="4" w:space="0" w:color="000000"/>
              <w:right w:val="single" w:sz="4" w:space="0" w:color="000000"/>
            </w:tcBorders>
            <w:shd w:val="clear" w:color="auto" w:fill="auto"/>
            <w:tcMar>
              <w:top w:w="0" w:type="dxa"/>
              <w:left w:w="85" w:type="dxa"/>
              <w:bottom w:w="0" w:type="dxa"/>
              <w:right w:w="85" w:type="dxa"/>
            </w:tcMar>
          </w:tcPr>
          <w:p w14:paraId="0ED34A08" w14:textId="77777777" w:rsidR="00052596" w:rsidRDefault="00000000">
            <w:pPr>
              <w:widowControl/>
              <w:snapToGrid w:val="0"/>
              <w:spacing w:line="290" w:lineRule="exact"/>
              <w:rPr>
                <w:rFonts w:eastAsia="標楷體"/>
                <w:spacing w:val="-2"/>
                <w:kern w:val="0"/>
                <w:sz w:val="23"/>
                <w:szCs w:val="23"/>
              </w:rPr>
            </w:pPr>
            <w:r>
              <w:rPr>
                <w:rFonts w:eastAsia="標楷體"/>
                <w:spacing w:val="-2"/>
                <w:kern w:val="0"/>
                <w:sz w:val="23"/>
                <w:szCs w:val="23"/>
              </w:rPr>
              <w:t>產業結構調整與升級</w:t>
            </w:r>
          </w:p>
        </w:tc>
        <w:tc>
          <w:tcPr>
            <w:tcW w:w="4111"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5ACBE0E2"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服務業研發投資偏低，創新程度不足，對經濟成長貢獻與其占</w:t>
            </w:r>
            <w:r>
              <w:rPr>
                <w:rFonts w:eastAsia="標楷體"/>
                <w:spacing w:val="-2"/>
                <w:kern w:val="0"/>
                <w:sz w:val="23"/>
                <w:szCs w:val="23"/>
              </w:rPr>
              <w:t>GDP</w:t>
            </w:r>
            <w:r>
              <w:rPr>
                <w:rFonts w:eastAsia="標楷體"/>
                <w:spacing w:val="-2"/>
                <w:kern w:val="0"/>
                <w:sz w:val="23"/>
                <w:szCs w:val="23"/>
              </w:rPr>
              <w:t>比重不對稱；製造業過度集中在</w:t>
            </w:r>
            <w:r>
              <w:rPr>
                <w:rFonts w:eastAsia="標楷體"/>
                <w:spacing w:val="-2"/>
                <w:kern w:val="0"/>
                <w:sz w:val="23"/>
                <w:szCs w:val="23"/>
              </w:rPr>
              <w:t>ICT</w:t>
            </w:r>
            <w:r>
              <w:rPr>
                <w:rFonts w:eastAsia="標楷體"/>
                <w:spacing w:val="-2"/>
                <w:kern w:val="0"/>
                <w:sz w:val="23"/>
                <w:szCs w:val="23"/>
              </w:rPr>
              <w:t>領域，且附加價值率偏低。</w:t>
            </w:r>
          </w:p>
        </w:tc>
        <w:tc>
          <w:tcPr>
            <w:tcW w:w="2509"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5A7F1EFC"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推動產業創新營運模式，提升服務業在生產、輸出與研發的比率。</w:t>
            </w:r>
          </w:p>
        </w:tc>
      </w:tr>
      <w:tr w:rsidR="00052596" w14:paraId="06F4AC54" w14:textId="77777777">
        <w:tblPrEx>
          <w:tblCellMar>
            <w:top w:w="0" w:type="dxa"/>
            <w:bottom w:w="0" w:type="dxa"/>
          </w:tblCellMar>
        </w:tblPrEx>
        <w:trPr>
          <w:jc w:val="center"/>
        </w:trPr>
        <w:tc>
          <w:tcPr>
            <w:tcW w:w="1802" w:type="dxa"/>
            <w:tcBorders>
              <w:top w:val="single" w:sz="4" w:space="0" w:color="000000"/>
              <w:bottom w:val="single" w:sz="4" w:space="0" w:color="000000"/>
              <w:right w:val="single" w:sz="4" w:space="0" w:color="000000"/>
            </w:tcBorders>
            <w:shd w:val="clear" w:color="auto" w:fill="auto"/>
            <w:tcMar>
              <w:top w:w="0" w:type="dxa"/>
              <w:left w:w="85" w:type="dxa"/>
              <w:bottom w:w="0" w:type="dxa"/>
              <w:right w:w="85" w:type="dxa"/>
            </w:tcMar>
          </w:tcPr>
          <w:p w14:paraId="47F527D2" w14:textId="77777777" w:rsidR="00052596" w:rsidRDefault="00000000">
            <w:pPr>
              <w:widowControl/>
              <w:snapToGrid w:val="0"/>
              <w:spacing w:line="290" w:lineRule="exact"/>
              <w:rPr>
                <w:rFonts w:eastAsia="標楷體"/>
                <w:spacing w:val="-2"/>
                <w:kern w:val="0"/>
                <w:sz w:val="23"/>
                <w:szCs w:val="23"/>
              </w:rPr>
            </w:pPr>
            <w:r>
              <w:rPr>
                <w:rFonts w:eastAsia="標楷體"/>
                <w:spacing w:val="-2"/>
                <w:kern w:val="0"/>
                <w:sz w:val="23"/>
                <w:szCs w:val="23"/>
              </w:rPr>
              <w:t>經濟成長與就業創造</w:t>
            </w:r>
          </w:p>
        </w:tc>
        <w:tc>
          <w:tcPr>
            <w:tcW w:w="4111"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23056E5F"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就業、薪資與經濟成長的關聯性減弱。</w:t>
            </w:r>
          </w:p>
        </w:tc>
        <w:tc>
          <w:tcPr>
            <w:tcW w:w="2509"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2267E624"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加強活絡勞動市場機制，促進包容性成長。</w:t>
            </w:r>
          </w:p>
        </w:tc>
      </w:tr>
      <w:tr w:rsidR="00052596" w14:paraId="2439F1C9" w14:textId="77777777">
        <w:tblPrEx>
          <w:tblCellMar>
            <w:top w:w="0" w:type="dxa"/>
            <w:bottom w:w="0" w:type="dxa"/>
          </w:tblCellMar>
        </w:tblPrEx>
        <w:trPr>
          <w:jc w:val="center"/>
        </w:trPr>
        <w:tc>
          <w:tcPr>
            <w:tcW w:w="1802" w:type="dxa"/>
            <w:tcBorders>
              <w:top w:val="single" w:sz="4" w:space="0" w:color="000000"/>
              <w:bottom w:val="single" w:sz="4" w:space="0" w:color="000000"/>
              <w:right w:val="single" w:sz="4" w:space="0" w:color="000000"/>
            </w:tcBorders>
            <w:shd w:val="clear" w:color="auto" w:fill="auto"/>
            <w:tcMar>
              <w:top w:w="0" w:type="dxa"/>
              <w:left w:w="85" w:type="dxa"/>
              <w:bottom w:w="0" w:type="dxa"/>
              <w:right w:w="85" w:type="dxa"/>
            </w:tcMar>
          </w:tcPr>
          <w:p w14:paraId="7383BD4C" w14:textId="77777777" w:rsidR="00052596" w:rsidRDefault="00000000">
            <w:pPr>
              <w:widowControl/>
              <w:snapToGrid w:val="0"/>
              <w:spacing w:line="290" w:lineRule="exact"/>
              <w:rPr>
                <w:rFonts w:eastAsia="標楷體"/>
                <w:spacing w:val="-2"/>
                <w:kern w:val="0"/>
                <w:sz w:val="23"/>
                <w:szCs w:val="23"/>
              </w:rPr>
            </w:pPr>
            <w:r>
              <w:rPr>
                <w:rFonts w:eastAsia="標楷體"/>
                <w:spacing w:val="-2"/>
                <w:kern w:val="0"/>
                <w:sz w:val="23"/>
                <w:szCs w:val="23"/>
              </w:rPr>
              <w:t>經濟成長與所得分配</w:t>
            </w:r>
          </w:p>
        </w:tc>
        <w:tc>
          <w:tcPr>
            <w:tcW w:w="4111"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200201F3"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受僱人員報酬份額長期趨降，所得分配差距擴大。</w:t>
            </w:r>
          </w:p>
        </w:tc>
        <w:tc>
          <w:tcPr>
            <w:tcW w:w="2509"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08118C24"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完善社會安全機制，落實經濟成長果實為全民共享。</w:t>
            </w:r>
          </w:p>
        </w:tc>
      </w:tr>
      <w:tr w:rsidR="00052596" w14:paraId="388AF7FA" w14:textId="77777777">
        <w:tblPrEx>
          <w:tblCellMar>
            <w:top w:w="0" w:type="dxa"/>
            <w:bottom w:w="0" w:type="dxa"/>
          </w:tblCellMar>
        </w:tblPrEx>
        <w:trPr>
          <w:jc w:val="center"/>
        </w:trPr>
        <w:tc>
          <w:tcPr>
            <w:tcW w:w="1802" w:type="dxa"/>
            <w:tcBorders>
              <w:top w:val="single" w:sz="4" w:space="0" w:color="000000"/>
              <w:bottom w:val="single" w:sz="4" w:space="0" w:color="000000"/>
              <w:right w:val="single" w:sz="4" w:space="0" w:color="000000"/>
            </w:tcBorders>
            <w:shd w:val="clear" w:color="auto" w:fill="auto"/>
            <w:tcMar>
              <w:top w:w="0" w:type="dxa"/>
              <w:left w:w="85" w:type="dxa"/>
              <w:bottom w:w="0" w:type="dxa"/>
              <w:right w:w="85" w:type="dxa"/>
            </w:tcMar>
          </w:tcPr>
          <w:p w14:paraId="5DFD620B" w14:textId="77777777" w:rsidR="00052596" w:rsidRDefault="00000000">
            <w:pPr>
              <w:widowControl/>
              <w:snapToGrid w:val="0"/>
              <w:spacing w:line="290" w:lineRule="exact"/>
              <w:rPr>
                <w:rFonts w:eastAsia="標楷體"/>
                <w:spacing w:val="-2"/>
                <w:kern w:val="0"/>
                <w:sz w:val="23"/>
                <w:szCs w:val="23"/>
              </w:rPr>
            </w:pPr>
            <w:r>
              <w:rPr>
                <w:rFonts w:eastAsia="標楷體"/>
                <w:spacing w:val="-2"/>
                <w:kern w:val="0"/>
                <w:sz w:val="23"/>
                <w:szCs w:val="23"/>
              </w:rPr>
              <w:lastRenderedPageBreak/>
              <w:t>綠色成長與社會包容</w:t>
            </w:r>
          </w:p>
        </w:tc>
        <w:tc>
          <w:tcPr>
            <w:tcW w:w="4111"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5CA71869"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節能減碳及生態環境治理仍待增強。</w:t>
            </w:r>
          </w:p>
        </w:tc>
        <w:tc>
          <w:tcPr>
            <w:tcW w:w="2509"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tcPr>
          <w:p w14:paraId="11605AE0" w14:textId="77777777" w:rsidR="00052596" w:rsidRDefault="00000000">
            <w:pPr>
              <w:widowControl/>
              <w:numPr>
                <w:ilvl w:val="0"/>
                <w:numId w:val="1"/>
              </w:numPr>
              <w:snapToGrid w:val="0"/>
              <w:spacing w:line="290" w:lineRule="exact"/>
              <w:ind w:left="149" w:hanging="149"/>
              <w:jc w:val="both"/>
              <w:rPr>
                <w:rFonts w:eastAsia="標楷體"/>
                <w:spacing w:val="-2"/>
                <w:kern w:val="0"/>
                <w:sz w:val="23"/>
                <w:szCs w:val="23"/>
              </w:rPr>
            </w:pPr>
            <w:r>
              <w:rPr>
                <w:rFonts w:eastAsia="標楷體"/>
                <w:spacing w:val="-2"/>
                <w:kern w:val="0"/>
                <w:sz w:val="23"/>
                <w:szCs w:val="23"/>
              </w:rPr>
              <w:t>開拓綠色商機，創造綠色就業機會，提升綠色競爭力。</w:t>
            </w:r>
          </w:p>
        </w:tc>
      </w:tr>
    </w:tbl>
    <w:p w14:paraId="4657F8ED" w14:textId="77777777" w:rsidR="00052596" w:rsidRDefault="00052596">
      <w:pPr>
        <w:overflowPunct w:val="0"/>
        <w:autoSpaceDE w:val="0"/>
        <w:spacing w:line="160" w:lineRule="exact"/>
        <w:ind w:left="828" w:hanging="780"/>
        <w:jc w:val="both"/>
        <w:textAlignment w:val="center"/>
        <w:rPr>
          <w:rFonts w:eastAsia="標楷體"/>
          <w:spacing w:val="-2"/>
          <w:kern w:val="0"/>
          <w:sz w:val="16"/>
          <w:szCs w:val="16"/>
        </w:rPr>
      </w:pPr>
    </w:p>
    <w:p w14:paraId="37F58466"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壹、經濟創新與開放</w:t>
      </w:r>
    </w:p>
    <w:p w14:paraId="60E510E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240" w:firstLine="576"/>
        <w:jc w:val="center"/>
        <w:textAlignment w:val="center"/>
        <w:rPr>
          <w:rFonts w:ascii="Calibri" w:eastAsia="標楷體" w:hAnsi="Calibri"/>
          <w:spacing w:val="4"/>
          <w:kern w:val="0"/>
          <w:sz w:val="28"/>
          <w:szCs w:val="28"/>
        </w:rPr>
      </w:pPr>
    </w:p>
    <w:p w14:paraId="4EC62B35"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color w:val="000000"/>
          <w:spacing w:val="4"/>
          <w:kern w:val="0"/>
          <w:sz w:val="28"/>
          <w:szCs w:val="28"/>
        </w:rPr>
        <w:t>創新與開放是打造</w:t>
      </w:r>
      <w:r>
        <w:rPr>
          <w:rFonts w:eastAsia="標楷體"/>
          <w:color w:val="000000"/>
          <w:spacing w:val="4"/>
          <w:kern w:val="0"/>
          <w:sz w:val="28"/>
          <w:szCs w:val="26"/>
        </w:rPr>
        <w:t>「黃金十年　國家願景」三項關鍵驅動力中的二項</w:t>
      </w:r>
      <w:r>
        <w:rPr>
          <w:rFonts w:eastAsia="標楷體"/>
          <w:color w:val="000000"/>
          <w:spacing w:val="4"/>
          <w:kern w:val="0"/>
          <w:sz w:val="28"/>
          <w:szCs w:val="28"/>
        </w:rPr>
        <w:t>，兩者緊密相關，都是要打破生產要素或資源組合的僵固性，突破機會的疆界，提升成長空間。過去臺灣持續進行研發創新活動，並善用國際貿易與投資，引進國外先進技術，激發技術創新，帶動產業轉型。同時，政府持續推展經濟自由化進程，開放程度不斷提高。在創新與開放的驅動下，創造廣受國際肯定的臺灣經驗。</w:t>
      </w:r>
    </w:p>
    <w:p w14:paraId="2374806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color w:val="000000"/>
          <w:spacing w:val="4"/>
          <w:kern w:val="0"/>
          <w:sz w:val="28"/>
          <w:szCs w:val="28"/>
        </w:rPr>
        <w:t>近年來，政府審酌全球競爭態勢及國內經濟結構轉變需求，積極從制度面推動</w:t>
      </w:r>
      <w:r>
        <w:rPr>
          <w:rFonts w:eastAsia="標楷體"/>
          <w:color w:val="000000"/>
          <w:spacing w:val="4"/>
          <w:kern w:val="0"/>
          <w:sz w:val="28"/>
          <w:szCs w:val="26"/>
        </w:rPr>
        <w:t>「</w:t>
      </w:r>
      <w:r>
        <w:rPr>
          <w:rFonts w:eastAsia="標楷體"/>
          <w:color w:val="000000"/>
          <w:spacing w:val="4"/>
          <w:kern w:val="0"/>
          <w:sz w:val="28"/>
          <w:szCs w:val="28"/>
        </w:rPr>
        <w:t>以創新為經、以開放為緯</w:t>
      </w:r>
      <w:r>
        <w:rPr>
          <w:rFonts w:eastAsia="標楷體"/>
          <w:color w:val="000000"/>
          <w:spacing w:val="4"/>
          <w:kern w:val="0"/>
          <w:sz w:val="28"/>
          <w:szCs w:val="26"/>
        </w:rPr>
        <w:t>」的發展策略，強化二者在生產、就業、投資及貿易的角色與作用。例如，</w:t>
      </w:r>
      <w:r>
        <w:rPr>
          <w:rFonts w:eastAsia="標楷體"/>
          <w:color w:val="000000"/>
          <w:spacing w:val="4"/>
          <w:kern w:val="0"/>
          <w:sz w:val="28"/>
          <w:szCs w:val="26"/>
        </w:rPr>
        <w:t>99</w:t>
      </w:r>
      <w:r>
        <w:rPr>
          <w:rFonts w:eastAsia="標楷體"/>
          <w:color w:val="000000"/>
          <w:spacing w:val="4"/>
          <w:kern w:val="0"/>
          <w:sz w:val="28"/>
          <w:szCs w:val="26"/>
        </w:rPr>
        <w:t>年</w:t>
      </w:r>
      <w:r>
        <w:rPr>
          <w:rFonts w:eastAsia="標楷體"/>
          <w:color w:val="000000"/>
          <w:spacing w:val="4"/>
          <w:kern w:val="0"/>
          <w:sz w:val="28"/>
          <w:szCs w:val="26"/>
        </w:rPr>
        <w:t>5</w:t>
      </w:r>
      <w:r>
        <w:rPr>
          <w:rFonts w:eastAsia="標楷體"/>
          <w:color w:val="000000"/>
          <w:spacing w:val="4"/>
          <w:kern w:val="0"/>
          <w:sz w:val="28"/>
          <w:szCs w:val="26"/>
        </w:rPr>
        <w:t>月公布的「產業創新條例」，即從過去產業別及租稅優惠為主的獎勵方式，轉為注重產業環境的建構及多元政策工具的運用，以引導更多的產業創新。另</w:t>
      </w:r>
      <w:r>
        <w:rPr>
          <w:rFonts w:eastAsia="標楷體"/>
          <w:color w:val="000000"/>
          <w:spacing w:val="4"/>
          <w:kern w:val="0"/>
          <w:sz w:val="28"/>
          <w:szCs w:val="26"/>
        </w:rPr>
        <w:t>97</w:t>
      </w:r>
      <w:r>
        <w:rPr>
          <w:rFonts w:eastAsia="標楷體"/>
          <w:color w:val="000000"/>
          <w:spacing w:val="4"/>
          <w:kern w:val="0"/>
          <w:sz w:val="28"/>
          <w:szCs w:val="26"/>
        </w:rPr>
        <w:t>年</w:t>
      </w:r>
      <w:r>
        <w:rPr>
          <w:rFonts w:eastAsia="標楷體"/>
          <w:color w:val="000000"/>
          <w:spacing w:val="4"/>
          <w:kern w:val="0"/>
          <w:sz w:val="28"/>
          <w:szCs w:val="26"/>
        </w:rPr>
        <w:t>7</w:t>
      </w:r>
      <w:r>
        <w:rPr>
          <w:rFonts w:eastAsia="標楷體"/>
          <w:color w:val="000000"/>
          <w:spacing w:val="4"/>
          <w:kern w:val="0"/>
          <w:sz w:val="28"/>
          <w:szCs w:val="26"/>
        </w:rPr>
        <w:t>月對中國大陸開放直航，</w:t>
      </w:r>
      <w:r>
        <w:rPr>
          <w:rFonts w:eastAsia="標楷體"/>
          <w:color w:val="000000"/>
          <w:spacing w:val="4"/>
          <w:kern w:val="0"/>
          <w:sz w:val="28"/>
          <w:szCs w:val="26"/>
        </w:rPr>
        <w:t>99</w:t>
      </w:r>
      <w:r>
        <w:rPr>
          <w:rFonts w:eastAsia="標楷體"/>
          <w:color w:val="000000"/>
          <w:spacing w:val="4"/>
          <w:kern w:val="0"/>
          <w:sz w:val="28"/>
          <w:szCs w:val="26"/>
        </w:rPr>
        <w:t>年</w:t>
      </w:r>
      <w:r>
        <w:rPr>
          <w:rFonts w:eastAsia="標楷體"/>
          <w:color w:val="000000"/>
          <w:spacing w:val="4"/>
          <w:kern w:val="0"/>
          <w:sz w:val="28"/>
          <w:szCs w:val="26"/>
        </w:rPr>
        <w:t>6</w:t>
      </w:r>
      <w:r>
        <w:rPr>
          <w:rFonts w:eastAsia="標楷體"/>
          <w:color w:val="000000"/>
          <w:spacing w:val="4"/>
          <w:kern w:val="0"/>
          <w:sz w:val="28"/>
          <w:szCs w:val="26"/>
        </w:rPr>
        <w:t>月兩岸進一步簽署</w:t>
      </w:r>
      <w:r>
        <w:rPr>
          <w:rFonts w:eastAsia="標楷體"/>
          <w:color w:val="000000"/>
          <w:spacing w:val="4"/>
          <w:kern w:val="0"/>
          <w:sz w:val="28"/>
          <w:szCs w:val="26"/>
        </w:rPr>
        <w:t>ECFA</w:t>
      </w:r>
      <w:r>
        <w:rPr>
          <w:rFonts w:eastAsia="標楷體"/>
          <w:color w:val="000000"/>
          <w:spacing w:val="4"/>
          <w:kern w:val="0"/>
          <w:sz w:val="28"/>
          <w:szCs w:val="26"/>
        </w:rPr>
        <w:t>，明顯改善兩岸經貿關係，並有助於我國參與區域經濟整合。展望未來，政府將掌握全球創新版圖變遷的契機，</w:t>
      </w:r>
      <w:r>
        <w:rPr>
          <w:rFonts w:eastAsia="標楷體"/>
          <w:color w:val="000000"/>
          <w:spacing w:val="4"/>
          <w:kern w:val="0"/>
          <w:sz w:val="28"/>
          <w:szCs w:val="28"/>
        </w:rPr>
        <w:t>充分運用經濟資源與市場商機，讓臺灣經濟成長再創佳績。</w:t>
      </w:r>
    </w:p>
    <w:p w14:paraId="476F85D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一、創新</w:t>
      </w:r>
    </w:p>
    <w:p w14:paraId="1C6ED523" w14:textId="77777777" w:rsidR="00052596" w:rsidRDefault="00000000">
      <w:pPr>
        <w:overflowPunct w:val="0"/>
        <w:autoSpaceDE w:val="0"/>
        <w:spacing w:line="430" w:lineRule="exact"/>
        <w:ind w:left="240" w:firstLine="560"/>
        <w:jc w:val="both"/>
        <w:textAlignment w:val="center"/>
      </w:pPr>
      <w:r>
        <w:rPr>
          <w:rFonts w:eastAsia="標楷體"/>
          <w:color w:val="000000"/>
          <w:kern w:val="0"/>
          <w:sz w:val="28"/>
          <w:szCs w:val="26"/>
        </w:rPr>
        <w:t>近年國內</w:t>
      </w:r>
      <w:r>
        <w:rPr>
          <w:rFonts w:eastAsia="標楷體"/>
          <w:kern w:val="0"/>
          <w:sz w:val="28"/>
          <w:szCs w:val="26"/>
        </w:rPr>
        <w:t>創新活動活躍，創新競爭力相關指標國際評比表現優異。根據</w:t>
      </w:r>
      <w:r>
        <w:rPr>
          <w:rFonts w:eastAsia="標楷體"/>
          <w:kern w:val="0"/>
          <w:sz w:val="28"/>
          <w:szCs w:val="26"/>
        </w:rPr>
        <w:t>WEF</w:t>
      </w:r>
      <w:r>
        <w:rPr>
          <w:rFonts w:eastAsia="標楷體"/>
          <w:kern w:val="0"/>
          <w:sz w:val="28"/>
          <w:szCs w:val="26"/>
        </w:rPr>
        <w:t>「</w:t>
      </w:r>
      <w:r>
        <w:rPr>
          <w:rFonts w:eastAsia="標楷體"/>
          <w:kern w:val="0"/>
          <w:sz w:val="28"/>
          <w:szCs w:val="26"/>
        </w:rPr>
        <w:t>2011-2012</w:t>
      </w:r>
      <w:r>
        <w:rPr>
          <w:rFonts w:eastAsia="標楷體"/>
          <w:kern w:val="0"/>
          <w:sz w:val="28"/>
          <w:szCs w:val="26"/>
        </w:rPr>
        <w:t>年全球競爭力報告」</w:t>
      </w:r>
      <w:r>
        <w:rPr>
          <w:rFonts w:eastAsia="標楷體"/>
          <w:color w:val="000000"/>
          <w:kern w:val="0"/>
          <w:sz w:val="28"/>
          <w:szCs w:val="26"/>
        </w:rPr>
        <w:t>，我國經濟發展已由「效率驅動往創新驅動轉型」階段晉升至</w:t>
      </w:r>
      <w:r>
        <w:rPr>
          <w:rFonts w:eastAsia="標楷體"/>
          <w:kern w:val="0"/>
          <w:sz w:val="28"/>
          <w:szCs w:val="26"/>
        </w:rPr>
        <w:t>「</w:t>
      </w:r>
      <w:r>
        <w:rPr>
          <w:rFonts w:eastAsia="標楷體"/>
          <w:color w:val="000000"/>
          <w:kern w:val="0"/>
          <w:sz w:val="28"/>
          <w:szCs w:val="26"/>
        </w:rPr>
        <w:t>創新驅動</w:t>
      </w:r>
      <w:r>
        <w:rPr>
          <w:rFonts w:eastAsia="標楷體"/>
          <w:kern w:val="0"/>
          <w:sz w:val="28"/>
          <w:szCs w:val="26"/>
        </w:rPr>
        <w:t>」</w:t>
      </w:r>
      <w:r>
        <w:rPr>
          <w:rFonts w:eastAsia="標楷體"/>
          <w:color w:val="000000"/>
          <w:kern w:val="0"/>
          <w:sz w:val="28"/>
          <w:szCs w:val="26"/>
        </w:rPr>
        <w:t>階段。惟另方面近年來我國經濟成長減緩，就投入面成長來源觀察，反映整體經濟效率與技術進步的總要素生產力</w:t>
      </w:r>
      <w:r>
        <w:rPr>
          <w:rFonts w:ascii="標楷體" w:eastAsia="標楷體" w:hAnsi="標楷體"/>
          <w:color w:val="000000"/>
          <w:kern w:val="0"/>
          <w:sz w:val="28"/>
          <w:szCs w:val="26"/>
        </w:rPr>
        <w:t>(</w:t>
      </w:r>
      <w:r>
        <w:rPr>
          <w:rFonts w:eastAsia="標楷體"/>
          <w:color w:val="000000"/>
          <w:kern w:val="0"/>
          <w:sz w:val="28"/>
          <w:szCs w:val="26"/>
        </w:rPr>
        <w:t>TFP</w:t>
      </w:r>
      <w:r>
        <w:rPr>
          <w:rFonts w:ascii="標楷體" w:eastAsia="標楷體" w:hAnsi="標楷體"/>
          <w:color w:val="000000"/>
          <w:kern w:val="0"/>
          <w:sz w:val="28"/>
          <w:szCs w:val="26"/>
        </w:rPr>
        <w:t>)</w:t>
      </w:r>
      <w:r>
        <w:rPr>
          <w:rFonts w:eastAsia="標楷體"/>
          <w:color w:val="000000"/>
          <w:kern w:val="0"/>
          <w:sz w:val="28"/>
          <w:szCs w:val="26"/>
        </w:rPr>
        <w:t>成長活力趨緩，亟需提升。</w:t>
      </w:r>
    </w:p>
    <w:p w14:paraId="62F36A7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)創新競爭力</w:t>
      </w:r>
    </w:p>
    <w:p w14:paraId="2F49484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－根據</w:t>
      </w:r>
      <w:r>
        <w:rPr>
          <w:rFonts w:eastAsia="標楷體"/>
          <w:spacing w:val="4"/>
          <w:kern w:val="0"/>
          <w:sz w:val="28"/>
          <w:szCs w:val="26"/>
        </w:rPr>
        <w:t>IMD</w:t>
      </w:r>
      <w:r>
        <w:rPr>
          <w:rFonts w:eastAsia="標楷體"/>
          <w:spacing w:val="4"/>
          <w:kern w:val="0"/>
          <w:sz w:val="28"/>
          <w:szCs w:val="26"/>
        </w:rPr>
        <w:t>「</w:t>
      </w:r>
      <w:r>
        <w:rPr>
          <w:rFonts w:eastAsia="標楷體"/>
          <w:spacing w:val="4"/>
          <w:kern w:val="0"/>
          <w:sz w:val="28"/>
          <w:szCs w:val="26"/>
        </w:rPr>
        <w:t>2012</w:t>
      </w:r>
      <w:r>
        <w:rPr>
          <w:rFonts w:eastAsia="標楷體"/>
          <w:spacing w:val="4"/>
          <w:kern w:val="0"/>
          <w:sz w:val="28"/>
          <w:szCs w:val="26"/>
        </w:rPr>
        <w:t>年世界競爭力年報」，在</w:t>
      </w:r>
      <w:r>
        <w:rPr>
          <w:rFonts w:eastAsia="標楷體"/>
          <w:spacing w:val="4"/>
          <w:kern w:val="0"/>
          <w:sz w:val="28"/>
          <w:szCs w:val="26"/>
        </w:rPr>
        <w:t>59</w:t>
      </w:r>
      <w:r>
        <w:rPr>
          <w:rFonts w:eastAsia="標楷體"/>
          <w:spacing w:val="4"/>
          <w:kern w:val="0"/>
          <w:sz w:val="28"/>
          <w:szCs w:val="26"/>
        </w:rPr>
        <w:t>個受評比經濟體中，臺灣「技術基礎建設」排名第</w:t>
      </w:r>
      <w:r>
        <w:rPr>
          <w:rFonts w:eastAsia="標楷體"/>
          <w:spacing w:val="4"/>
          <w:kern w:val="0"/>
          <w:sz w:val="28"/>
          <w:szCs w:val="26"/>
        </w:rPr>
        <w:t>4</w:t>
      </w:r>
      <w:r>
        <w:rPr>
          <w:rFonts w:eastAsia="標楷體"/>
          <w:spacing w:val="4"/>
          <w:kern w:val="0"/>
          <w:sz w:val="28"/>
          <w:szCs w:val="26"/>
        </w:rPr>
        <w:t>位，較上年進步</w:t>
      </w:r>
      <w:r>
        <w:rPr>
          <w:rFonts w:eastAsia="標楷體"/>
          <w:spacing w:val="4"/>
          <w:kern w:val="0"/>
          <w:sz w:val="28"/>
          <w:szCs w:val="26"/>
        </w:rPr>
        <w:t>2</w:t>
      </w:r>
      <w:r>
        <w:rPr>
          <w:rFonts w:eastAsia="標楷體"/>
          <w:spacing w:val="4"/>
          <w:kern w:val="0"/>
          <w:sz w:val="28"/>
          <w:szCs w:val="26"/>
        </w:rPr>
        <w:t>名；</w:t>
      </w:r>
      <w:r>
        <w:rPr>
          <w:rFonts w:eastAsia="標楷體"/>
          <w:spacing w:val="4"/>
          <w:kern w:val="0"/>
          <w:sz w:val="28"/>
          <w:szCs w:val="26"/>
        </w:rPr>
        <w:lastRenderedPageBreak/>
        <w:t>「科學基礎建設」排名第</w:t>
      </w:r>
      <w:r>
        <w:rPr>
          <w:rFonts w:eastAsia="標楷體"/>
          <w:spacing w:val="4"/>
          <w:kern w:val="0"/>
          <w:sz w:val="28"/>
          <w:szCs w:val="26"/>
        </w:rPr>
        <w:t>7</w:t>
      </w:r>
      <w:r>
        <w:rPr>
          <w:rFonts w:eastAsia="標楷體"/>
          <w:spacing w:val="4"/>
          <w:kern w:val="0"/>
          <w:sz w:val="28"/>
          <w:szCs w:val="26"/>
        </w:rPr>
        <w:t>位。此外，</w:t>
      </w:r>
      <w:r>
        <w:rPr>
          <w:rFonts w:eastAsia="標楷體"/>
          <w:spacing w:val="4"/>
          <w:kern w:val="0"/>
          <w:sz w:val="28"/>
          <w:szCs w:val="26"/>
        </w:rPr>
        <w:t>2010</w:t>
      </w:r>
      <w:r>
        <w:rPr>
          <w:rFonts w:eastAsia="標楷體"/>
          <w:spacing w:val="4"/>
          <w:kern w:val="0"/>
          <w:sz w:val="28"/>
          <w:szCs w:val="26"/>
        </w:rPr>
        <w:t>年我國每十萬人口專利申請件數</w:t>
      </w:r>
      <w:r>
        <w:rPr>
          <w:rFonts w:eastAsia="標楷體"/>
          <w:spacing w:val="4"/>
          <w:kern w:val="0"/>
          <w:sz w:val="28"/>
          <w:szCs w:val="26"/>
        </w:rPr>
        <w:t>348</w:t>
      </w:r>
      <w:r>
        <w:rPr>
          <w:rFonts w:eastAsia="標楷體"/>
          <w:spacing w:val="4"/>
          <w:kern w:val="0"/>
          <w:sz w:val="28"/>
          <w:szCs w:val="26"/>
        </w:rPr>
        <w:t>件，居全球第</w:t>
      </w:r>
      <w:r>
        <w:rPr>
          <w:rFonts w:ascii="標楷體" w:eastAsia="標楷體" w:hAnsi="標楷體"/>
          <w:color w:val="000000"/>
          <w:spacing w:val="4"/>
          <w:kern w:val="0"/>
          <w:sz w:val="28"/>
          <w:szCs w:val="26"/>
        </w:rPr>
        <w:t>一。</w:t>
      </w:r>
    </w:p>
    <w:p w14:paraId="2965AF5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w:t>
      </w:r>
      <w:r>
        <w:rPr>
          <w:rFonts w:eastAsia="標楷體"/>
          <w:spacing w:val="4"/>
          <w:kern w:val="0"/>
          <w:sz w:val="28"/>
          <w:szCs w:val="26"/>
        </w:rPr>
        <w:t>WEF</w:t>
      </w:r>
      <w:r>
        <w:rPr>
          <w:rFonts w:eastAsia="標楷體"/>
          <w:spacing w:val="4"/>
          <w:kern w:val="0"/>
          <w:sz w:val="28"/>
          <w:szCs w:val="26"/>
        </w:rPr>
        <w:t>「</w:t>
      </w:r>
      <w:r>
        <w:rPr>
          <w:rFonts w:eastAsia="標楷體"/>
          <w:spacing w:val="4"/>
          <w:kern w:val="0"/>
          <w:sz w:val="28"/>
          <w:szCs w:val="26"/>
        </w:rPr>
        <w:t>2012-2013</w:t>
      </w:r>
      <w:r>
        <w:rPr>
          <w:rFonts w:eastAsia="標楷體"/>
          <w:spacing w:val="4"/>
          <w:kern w:val="0"/>
          <w:sz w:val="28"/>
          <w:szCs w:val="26"/>
        </w:rPr>
        <w:t>年全球競爭力報告」指出，創新是我國價值鏈持續升級的關鍵，我國創新力具全球競爭優勢，排名第</w:t>
      </w:r>
      <w:r>
        <w:rPr>
          <w:rFonts w:eastAsia="標楷體"/>
          <w:spacing w:val="4"/>
          <w:kern w:val="0"/>
          <w:sz w:val="28"/>
          <w:szCs w:val="26"/>
        </w:rPr>
        <w:t>14</w:t>
      </w:r>
      <w:r>
        <w:rPr>
          <w:rFonts w:eastAsia="標楷體"/>
          <w:spacing w:val="4"/>
          <w:kern w:val="0"/>
          <w:sz w:val="28"/>
          <w:szCs w:val="26"/>
        </w:rPr>
        <w:t>位。</w:t>
      </w:r>
      <w:r>
        <w:rPr>
          <w:rFonts w:eastAsia="標楷體"/>
          <w:color w:val="000000"/>
          <w:spacing w:val="4"/>
          <w:kern w:val="0"/>
          <w:sz w:val="28"/>
          <w:szCs w:val="26"/>
        </w:rPr>
        <w:t>此外，臺灣在</w:t>
      </w:r>
      <w:r>
        <w:rPr>
          <w:rFonts w:eastAsia="標楷體"/>
          <w:spacing w:val="4"/>
          <w:kern w:val="0"/>
          <w:sz w:val="28"/>
          <w:szCs w:val="26"/>
        </w:rPr>
        <w:t>「</w:t>
      </w:r>
      <w:r>
        <w:rPr>
          <w:rFonts w:eastAsia="標楷體"/>
          <w:color w:val="000000"/>
          <w:spacing w:val="4"/>
          <w:kern w:val="0"/>
          <w:sz w:val="28"/>
          <w:szCs w:val="26"/>
        </w:rPr>
        <w:t>產業聚落發展指標</w:t>
      </w:r>
      <w:r>
        <w:rPr>
          <w:rFonts w:eastAsia="標楷體"/>
          <w:spacing w:val="4"/>
          <w:kern w:val="0"/>
          <w:sz w:val="28"/>
          <w:szCs w:val="26"/>
        </w:rPr>
        <w:t>」已</w:t>
      </w:r>
      <w:r>
        <w:rPr>
          <w:rFonts w:eastAsia="標楷體"/>
          <w:color w:val="000000"/>
          <w:spacing w:val="4"/>
          <w:kern w:val="0"/>
          <w:sz w:val="28"/>
          <w:szCs w:val="26"/>
        </w:rPr>
        <w:t>連續二年排名全球第一，堪稱全球創新產業聚落發展典範。</w:t>
      </w:r>
    </w:p>
    <w:p w14:paraId="3D04929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－我國科研</w:t>
      </w:r>
      <w:r>
        <w:rPr>
          <w:rFonts w:eastAsia="標楷體"/>
          <w:color w:val="000000"/>
          <w:spacing w:val="4"/>
          <w:kern w:val="0"/>
          <w:sz w:val="28"/>
          <w:szCs w:val="26"/>
        </w:rPr>
        <w:t>創新</w:t>
      </w:r>
      <w:r>
        <w:rPr>
          <w:rFonts w:eastAsia="標楷體"/>
          <w:spacing w:val="4"/>
          <w:kern w:val="0"/>
          <w:sz w:val="28"/>
          <w:szCs w:val="26"/>
        </w:rPr>
        <w:t>及汲取全球知識的能力表現優異，根據世界銀行公布的「</w:t>
      </w:r>
      <w:r>
        <w:rPr>
          <w:rFonts w:eastAsia="標楷體"/>
          <w:spacing w:val="4"/>
          <w:kern w:val="0"/>
          <w:sz w:val="28"/>
          <w:szCs w:val="26"/>
        </w:rPr>
        <w:t>2012</w:t>
      </w:r>
      <w:r>
        <w:rPr>
          <w:rFonts w:eastAsia="標楷體"/>
          <w:spacing w:val="4"/>
          <w:kern w:val="0"/>
          <w:sz w:val="28"/>
          <w:szCs w:val="26"/>
        </w:rPr>
        <w:t>年知識經濟競爭力評比」，在</w:t>
      </w:r>
      <w:r>
        <w:rPr>
          <w:rFonts w:eastAsia="標楷體"/>
          <w:spacing w:val="4"/>
          <w:kern w:val="0"/>
          <w:sz w:val="28"/>
          <w:szCs w:val="26"/>
        </w:rPr>
        <w:t>146</w:t>
      </w:r>
      <w:r>
        <w:rPr>
          <w:rFonts w:eastAsia="標楷體"/>
          <w:spacing w:val="4"/>
          <w:kern w:val="0"/>
          <w:sz w:val="28"/>
          <w:szCs w:val="26"/>
        </w:rPr>
        <w:t>個受評比經濟體中，臺灣</w:t>
      </w:r>
      <w:r>
        <w:rPr>
          <w:rFonts w:eastAsia="標楷體"/>
          <w:spacing w:val="2"/>
          <w:kern w:val="0"/>
          <w:sz w:val="28"/>
          <w:szCs w:val="28"/>
        </w:rPr>
        <w:t>創新系統指標</w:t>
      </w:r>
      <w:r>
        <w:rPr>
          <w:rFonts w:eastAsia="標楷體"/>
          <w:spacing w:val="4"/>
          <w:kern w:val="0"/>
          <w:sz w:val="28"/>
          <w:szCs w:val="26"/>
        </w:rPr>
        <w:t>排名第</w:t>
      </w:r>
      <w:r>
        <w:rPr>
          <w:rFonts w:eastAsia="標楷體"/>
          <w:spacing w:val="4"/>
          <w:kern w:val="0"/>
          <w:sz w:val="28"/>
          <w:szCs w:val="26"/>
        </w:rPr>
        <w:t>9</w:t>
      </w:r>
      <w:r>
        <w:rPr>
          <w:rFonts w:eastAsia="標楷體"/>
          <w:spacing w:val="4"/>
          <w:kern w:val="0"/>
          <w:sz w:val="28"/>
          <w:szCs w:val="26"/>
        </w:rPr>
        <w:t>位，較</w:t>
      </w:r>
      <w:r>
        <w:rPr>
          <w:rFonts w:eastAsia="標楷體"/>
          <w:spacing w:val="4"/>
          <w:kern w:val="0"/>
          <w:sz w:val="28"/>
          <w:szCs w:val="26"/>
        </w:rPr>
        <w:t>2000</w:t>
      </w:r>
      <w:r>
        <w:rPr>
          <w:rFonts w:eastAsia="標楷體"/>
          <w:spacing w:val="4"/>
          <w:kern w:val="0"/>
          <w:sz w:val="28"/>
          <w:szCs w:val="26"/>
        </w:rPr>
        <w:t>年進步</w:t>
      </w:r>
      <w:r>
        <w:rPr>
          <w:rFonts w:eastAsia="標楷體"/>
          <w:spacing w:val="4"/>
          <w:kern w:val="0"/>
          <w:sz w:val="28"/>
          <w:szCs w:val="26"/>
        </w:rPr>
        <w:t>3</w:t>
      </w:r>
      <w:r>
        <w:rPr>
          <w:rFonts w:eastAsia="標楷體"/>
          <w:spacing w:val="4"/>
          <w:kern w:val="0"/>
          <w:sz w:val="28"/>
          <w:szCs w:val="26"/>
        </w:rPr>
        <w:t>名，居亞洲第二，僅次於新加坡。</w:t>
      </w:r>
    </w:p>
    <w:p w14:paraId="737994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－根據經濟部</w:t>
      </w:r>
      <w:r>
        <w:rPr>
          <w:rFonts w:ascii="新細明體" w:hAnsi="新細明體"/>
          <w:color w:val="000000"/>
          <w:spacing w:val="4"/>
          <w:kern w:val="0"/>
          <w:sz w:val="28"/>
          <w:szCs w:val="26"/>
        </w:rPr>
        <w:t>「</w:t>
      </w:r>
      <w:r>
        <w:rPr>
          <w:rFonts w:eastAsia="標楷體"/>
          <w:color w:val="000000"/>
          <w:spacing w:val="4"/>
          <w:kern w:val="0"/>
          <w:sz w:val="28"/>
          <w:szCs w:val="26"/>
        </w:rPr>
        <w:t>2020</w:t>
      </w:r>
      <w:r>
        <w:rPr>
          <w:rFonts w:eastAsia="標楷體"/>
          <w:color w:val="000000"/>
          <w:spacing w:val="4"/>
          <w:kern w:val="0"/>
          <w:sz w:val="28"/>
          <w:szCs w:val="26"/>
        </w:rPr>
        <w:t>臺灣產業新願景</w:t>
      </w:r>
      <w:r>
        <w:rPr>
          <w:rFonts w:ascii="標楷體" w:eastAsia="標楷體" w:hAnsi="標楷體"/>
          <w:color w:val="000000"/>
          <w:spacing w:val="4"/>
          <w:kern w:val="0"/>
          <w:sz w:val="28"/>
          <w:szCs w:val="26"/>
        </w:rPr>
        <w:t>」建構的</w:t>
      </w:r>
      <w:r>
        <w:rPr>
          <w:rFonts w:eastAsia="標楷體"/>
          <w:color w:val="000000"/>
          <w:spacing w:val="4"/>
          <w:kern w:val="0"/>
          <w:sz w:val="28"/>
          <w:szCs w:val="26"/>
        </w:rPr>
        <w:t>「軟性經濟創意者」評估指標系統</w:t>
      </w:r>
      <w:r>
        <w:rPr>
          <w:rFonts w:ascii="標楷體" w:eastAsia="標楷體" w:hAnsi="標楷體"/>
          <w:spacing w:val="4"/>
          <w:kern w:val="0"/>
          <w:sz w:val="28"/>
          <w:szCs w:val="26"/>
        </w:rPr>
        <w:t>，</w:t>
      </w:r>
      <w:r>
        <w:rPr>
          <w:rFonts w:eastAsia="標楷體"/>
          <w:spacing w:val="4"/>
          <w:kern w:val="0"/>
          <w:sz w:val="28"/>
          <w:szCs w:val="26"/>
        </w:rPr>
        <w:t>在</w:t>
      </w:r>
      <w:r>
        <w:rPr>
          <w:rFonts w:eastAsia="標楷體"/>
          <w:spacing w:val="4"/>
          <w:kern w:val="0"/>
          <w:sz w:val="28"/>
          <w:szCs w:val="26"/>
        </w:rPr>
        <w:t>59</w:t>
      </w:r>
      <w:r>
        <w:rPr>
          <w:rFonts w:eastAsia="標楷體"/>
          <w:spacing w:val="4"/>
          <w:kern w:val="0"/>
          <w:sz w:val="28"/>
          <w:szCs w:val="26"/>
        </w:rPr>
        <w:t>個評比國家中，</w:t>
      </w:r>
      <w:r>
        <w:rPr>
          <w:rFonts w:eastAsia="標楷體"/>
          <w:spacing w:val="4"/>
          <w:kern w:val="0"/>
          <w:sz w:val="28"/>
          <w:szCs w:val="26"/>
        </w:rPr>
        <w:t>2011</w:t>
      </w:r>
      <w:r>
        <w:rPr>
          <w:rFonts w:eastAsia="標楷體"/>
          <w:spacing w:val="4"/>
          <w:kern w:val="0"/>
          <w:sz w:val="28"/>
          <w:szCs w:val="26"/>
        </w:rPr>
        <w:t>年臺灣排名第</w:t>
      </w:r>
      <w:r>
        <w:rPr>
          <w:rFonts w:eastAsia="標楷體"/>
          <w:spacing w:val="4"/>
          <w:kern w:val="0"/>
          <w:sz w:val="28"/>
          <w:szCs w:val="26"/>
        </w:rPr>
        <w:t>15</w:t>
      </w:r>
      <w:r>
        <w:rPr>
          <w:rFonts w:eastAsia="標楷體"/>
          <w:spacing w:val="4"/>
          <w:kern w:val="0"/>
          <w:sz w:val="28"/>
          <w:szCs w:val="26"/>
        </w:rPr>
        <w:t>位，優於</w:t>
      </w:r>
      <w:r>
        <w:rPr>
          <w:rFonts w:eastAsia="標楷體"/>
          <w:spacing w:val="4"/>
          <w:kern w:val="0"/>
          <w:sz w:val="28"/>
          <w:szCs w:val="26"/>
        </w:rPr>
        <w:t>2007</w:t>
      </w:r>
      <w:r>
        <w:rPr>
          <w:rFonts w:eastAsia="標楷體"/>
          <w:spacing w:val="4"/>
          <w:kern w:val="0"/>
          <w:sz w:val="28"/>
          <w:szCs w:val="26"/>
        </w:rPr>
        <w:t>年及</w:t>
      </w:r>
      <w:r>
        <w:rPr>
          <w:rFonts w:eastAsia="標楷體"/>
          <w:spacing w:val="4"/>
          <w:kern w:val="0"/>
          <w:sz w:val="28"/>
          <w:szCs w:val="26"/>
        </w:rPr>
        <w:t>2009</w:t>
      </w:r>
      <w:r>
        <w:rPr>
          <w:rFonts w:eastAsia="標楷體"/>
          <w:spacing w:val="4"/>
          <w:kern w:val="0"/>
          <w:sz w:val="28"/>
          <w:szCs w:val="26"/>
        </w:rPr>
        <w:t>年的第</w:t>
      </w:r>
      <w:r>
        <w:rPr>
          <w:rFonts w:eastAsia="標楷體"/>
          <w:spacing w:val="4"/>
          <w:kern w:val="0"/>
          <w:sz w:val="28"/>
          <w:szCs w:val="26"/>
        </w:rPr>
        <w:t>22</w:t>
      </w:r>
      <w:r>
        <w:rPr>
          <w:rFonts w:eastAsia="標楷體"/>
          <w:spacing w:val="4"/>
          <w:kern w:val="0"/>
          <w:sz w:val="28"/>
          <w:szCs w:val="26"/>
        </w:rPr>
        <w:t>位，顯示臺灣在提升知識創意上的努力已見成效；另</w:t>
      </w:r>
      <w:r>
        <w:rPr>
          <w:rFonts w:eastAsia="標楷體"/>
          <w:color w:val="000000"/>
          <w:spacing w:val="4"/>
          <w:kern w:val="0"/>
          <w:sz w:val="28"/>
          <w:szCs w:val="26"/>
        </w:rPr>
        <w:t>「產業技術領導者」及</w:t>
      </w:r>
      <w:r>
        <w:rPr>
          <w:rFonts w:eastAsia="標楷體"/>
          <w:spacing w:val="4"/>
          <w:kern w:val="0"/>
          <w:sz w:val="28"/>
          <w:szCs w:val="26"/>
        </w:rPr>
        <w:t>「生活型態先驅者」</w:t>
      </w:r>
      <w:r>
        <w:rPr>
          <w:rFonts w:eastAsia="標楷體"/>
          <w:color w:val="000000"/>
          <w:spacing w:val="4"/>
          <w:kern w:val="0"/>
          <w:sz w:val="28"/>
          <w:szCs w:val="26"/>
        </w:rPr>
        <w:t>評估指標系統排名分別為第</w:t>
      </w:r>
      <w:r>
        <w:rPr>
          <w:rFonts w:eastAsia="標楷體"/>
          <w:color w:val="000000"/>
          <w:spacing w:val="4"/>
          <w:kern w:val="0"/>
          <w:sz w:val="28"/>
          <w:szCs w:val="26"/>
        </w:rPr>
        <w:t>9</w:t>
      </w:r>
      <w:r>
        <w:rPr>
          <w:rFonts w:eastAsia="標楷體"/>
          <w:color w:val="000000"/>
          <w:spacing w:val="4"/>
          <w:kern w:val="0"/>
          <w:sz w:val="28"/>
          <w:szCs w:val="26"/>
        </w:rPr>
        <w:t>位及</w:t>
      </w:r>
      <w:r>
        <w:rPr>
          <w:rFonts w:eastAsia="標楷體"/>
          <w:spacing w:val="4"/>
          <w:kern w:val="0"/>
          <w:sz w:val="28"/>
          <w:szCs w:val="26"/>
        </w:rPr>
        <w:t>第</w:t>
      </w:r>
      <w:r>
        <w:rPr>
          <w:rFonts w:eastAsia="標楷體"/>
          <w:spacing w:val="4"/>
          <w:kern w:val="0"/>
          <w:sz w:val="28"/>
          <w:szCs w:val="26"/>
        </w:rPr>
        <w:t>26</w:t>
      </w:r>
      <w:r>
        <w:rPr>
          <w:rFonts w:eastAsia="標楷體"/>
          <w:spacing w:val="4"/>
          <w:kern w:val="0"/>
          <w:sz w:val="28"/>
          <w:szCs w:val="26"/>
        </w:rPr>
        <w:t>位，均優於</w:t>
      </w:r>
      <w:r>
        <w:rPr>
          <w:rFonts w:eastAsia="標楷體"/>
          <w:spacing w:val="4"/>
          <w:kern w:val="0"/>
          <w:sz w:val="28"/>
          <w:szCs w:val="26"/>
        </w:rPr>
        <w:t>2007</w:t>
      </w:r>
      <w:r>
        <w:rPr>
          <w:rFonts w:eastAsia="標楷體"/>
          <w:spacing w:val="4"/>
          <w:kern w:val="0"/>
          <w:sz w:val="28"/>
          <w:szCs w:val="26"/>
        </w:rPr>
        <w:t>年及</w:t>
      </w:r>
      <w:r>
        <w:rPr>
          <w:rFonts w:eastAsia="標楷體"/>
          <w:spacing w:val="4"/>
          <w:kern w:val="0"/>
          <w:sz w:val="28"/>
          <w:szCs w:val="26"/>
        </w:rPr>
        <w:t>2009</w:t>
      </w:r>
      <w:r>
        <w:rPr>
          <w:rFonts w:eastAsia="標楷體"/>
          <w:spacing w:val="4"/>
          <w:kern w:val="0"/>
          <w:sz w:val="28"/>
          <w:szCs w:val="26"/>
        </w:rPr>
        <w:t>年的表現。</w:t>
      </w:r>
    </w:p>
    <w:p w14:paraId="1A413D46" w14:textId="77777777" w:rsidR="00052596" w:rsidRDefault="00000000">
      <w:pPr>
        <w:overflowPunct w:val="0"/>
        <w:autoSpaceDE w:val="0"/>
        <w:snapToGrid w:val="0"/>
        <w:spacing w:before="240" w:after="120" w:line="260" w:lineRule="exact"/>
        <w:jc w:val="center"/>
        <w:textAlignment w:val="center"/>
      </w:pPr>
      <w:r>
        <w:rPr>
          <w:rFonts w:eastAsia="標楷體"/>
          <w:b/>
          <w:color w:val="0000FF"/>
          <w:spacing w:val="-4"/>
          <w:kern w:val="0"/>
          <w:sz w:val="25"/>
          <w:szCs w:val="22"/>
        </w:rPr>
        <w:t xml:space="preserve">          </w:t>
      </w:r>
      <w:r>
        <w:rPr>
          <w:rFonts w:eastAsia="標楷體"/>
          <w:b/>
          <w:color w:val="0000FF"/>
          <w:spacing w:val="-4"/>
          <w:kern w:val="0"/>
          <w:sz w:val="25"/>
          <w:szCs w:val="22"/>
        </w:rPr>
        <w:t>表</w:t>
      </w:r>
      <w:r>
        <w:rPr>
          <w:rFonts w:eastAsia="標楷體"/>
          <w:b/>
          <w:color w:val="0000FF"/>
          <w:spacing w:val="-4"/>
          <w:kern w:val="0"/>
          <w:sz w:val="25"/>
          <w:szCs w:val="22"/>
        </w:rPr>
        <w:t>1.2.2</w:t>
      </w:r>
      <w:r>
        <w:rPr>
          <w:rFonts w:eastAsia="標楷體"/>
          <w:b/>
          <w:color w:val="0000FF"/>
          <w:spacing w:val="-4"/>
          <w:kern w:val="0"/>
          <w:sz w:val="25"/>
          <w:szCs w:val="22"/>
        </w:rPr>
        <w:t xml:space="preserve">　世界銀行知識經濟指數</w:t>
      </w:r>
      <w:r>
        <w:rPr>
          <w:rFonts w:ascii="標楷體" w:eastAsia="標楷體" w:hAnsi="標楷體"/>
          <w:b/>
          <w:color w:val="0000FF"/>
          <w:spacing w:val="-4"/>
          <w:kern w:val="0"/>
          <w:sz w:val="25"/>
          <w:szCs w:val="22"/>
        </w:rPr>
        <w:t>(</w:t>
      </w:r>
      <w:r>
        <w:rPr>
          <w:rFonts w:eastAsia="標楷體"/>
          <w:b/>
          <w:color w:val="0000FF"/>
          <w:spacing w:val="-4"/>
          <w:kern w:val="0"/>
          <w:sz w:val="25"/>
          <w:szCs w:val="22"/>
        </w:rPr>
        <w:t>KEI</w:t>
      </w:r>
      <w:r>
        <w:rPr>
          <w:rFonts w:ascii="標楷體" w:eastAsia="標楷體" w:hAnsi="標楷體"/>
          <w:b/>
          <w:color w:val="0000FF"/>
          <w:spacing w:val="-4"/>
          <w:kern w:val="0"/>
          <w:sz w:val="25"/>
          <w:szCs w:val="22"/>
        </w:rPr>
        <w:t>)</w:t>
      </w:r>
      <w:r>
        <w:rPr>
          <w:rFonts w:eastAsia="標楷體"/>
          <w:b/>
          <w:color w:val="0000FF"/>
          <w:spacing w:val="-4"/>
          <w:kern w:val="0"/>
          <w:sz w:val="25"/>
          <w:szCs w:val="22"/>
        </w:rPr>
        <w:t>之創新系統指標評比</w:t>
      </w:r>
    </w:p>
    <w:tbl>
      <w:tblPr>
        <w:tblW w:w="7371" w:type="dxa"/>
        <w:jc w:val="right"/>
        <w:tblLayout w:type="fixed"/>
        <w:tblCellMar>
          <w:left w:w="10" w:type="dxa"/>
          <w:right w:w="10" w:type="dxa"/>
        </w:tblCellMar>
        <w:tblLook w:val="04A0" w:firstRow="1" w:lastRow="0" w:firstColumn="1" w:lastColumn="0" w:noHBand="0" w:noVBand="1"/>
      </w:tblPr>
      <w:tblGrid>
        <w:gridCol w:w="2127"/>
        <w:gridCol w:w="1417"/>
        <w:gridCol w:w="1307"/>
        <w:gridCol w:w="1265"/>
        <w:gridCol w:w="1255"/>
      </w:tblGrid>
      <w:tr w:rsidR="00052596" w14:paraId="6C7FC3A8" w14:textId="77777777">
        <w:tblPrEx>
          <w:tblCellMar>
            <w:top w:w="0" w:type="dxa"/>
            <w:bottom w:w="0" w:type="dxa"/>
          </w:tblCellMar>
        </w:tblPrEx>
        <w:trPr>
          <w:trHeight w:val="244"/>
          <w:jc w:val="right"/>
        </w:trPr>
        <w:tc>
          <w:tcPr>
            <w:tcW w:w="2127" w:type="dxa"/>
            <w:vMerge w:val="restart"/>
            <w:tcBorders>
              <w:top w:val="single" w:sz="4" w:space="0" w:color="000000"/>
              <w:bottom w:val="single" w:sz="4" w:space="0" w:color="000000"/>
              <w:right w:val="single" w:sz="4" w:space="0" w:color="000000"/>
            </w:tcBorders>
            <w:shd w:val="clear" w:color="auto" w:fill="EFFFEF"/>
            <w:tcMar>
              <w:top w:w="0" w:type="dxa"/>
              <w:left w:w="0" w:type="dxa"/>
              <w:bottom w:w="0" w:type="dxa"/>
              <w:right w:w="0" w:type="dxa"/>
            </w:tcMar>
            <w:vAlign w:val="center"/>
          </w:tcPr>
          <w:p w14:paraId="53D86824" w14:textId="77777777" w:rsidR="00052596" w:rsidRDefault="00000000">
            <w:pPr>
              <w:widowControl/>
              <w:tabs>
                <w:tab w:val="left" w:pos="960"/>
                <w:tab w:val="left" w:pos="1920"/>
                <w:tab w:val="left" w:pos="2880"/>
                <w:tab w:val="left" w:pos="3840"/>
                <w:tab w:val="left" w:pos="4800"/>
                <w:tab w:val="left" w:pos="5760"/>
              </w:tabs>
              <w:spacing w:line="360" w:lineRule="exact"/>
              <w:jc w:val="center"/>
            </w:pPr>
            <w:r>
              <w:rPr>
                <w:rFonts w:eastAsia="標楷體"/>
                <w:color w:val="000000"/>
                <w:spacing w:val="-6"/>
                <w:kern w:val="0"/>
                <w:szCs w:val="24"/>
              </w:rPr>
              <w:t>國家或地區</w:t>
            </w:r>
          </w:p>
        </w:tc>
        <w:tc>
          <w:tcPr>
            <w:tcW w:w="2724" w:type="dxa"/>
            <w:gridSpan w:val="2"/>
            <w:tcBorders>
              <w:top w:val="single" w:sz="4" w:space="0" w:color="000000"/>
              <w:bottom w:val="single" w:sz="4" w:space="0" w:color="000000"/>
              <w:right w:val="single" w:sz="4" w:space="0" w:color="000000"/>
            </w:tcBorders>
            <w:shd w:val="clear" w:color="auto" w:fill="EFFFEF"/>
            <w:tcMar>
              <w:top w:w="0" w:type="dxa"/>
              <w:left w:w="57" w:type="dxa"/>
              <w:bottom w:w="0" w:type="dxa"/>
              <w:right w:w="57" w:type="dxa"/>
            </w:tcMar>
            <w:vAlign w:val="center"/>
          </w:tcPr>
          <w:p w14:paraId="30201262" w14:textId="77777777" w:rsidR="00052596" w:rsidRDefault="00000000">
            <w:pPr>
              <w:widowControl/>
              <w:tabs>
                <w:tab w:val="left" w:pos="960"/>
                <w:tab w:val="left" w:pos="1920"/>
                <w:tab w:val="left" w:pos="2880"/>
                <w:tab w:val="left" w:pos="3840"/>
                <w:tab w:val="left" w:pos="4800"/>
                <w:tab w:val="left" w:pos="5760"/>
              </w:tabs>
              <w:spacing w:line="240" w:lineRule="atLeast"/>
              <w:jc w:val="center"/>
            </w:pPr>
            <w:r>
              <w:rPr>
                <w:rFonts w:eastAsia="標楷體"/>
                <w:color w:val="000000"/>
                <w:spacing w:val="-6"/>
                <w:kern w:val="0"/>
                <w:szCs w:val="24"/>
              </w:rPr>
              <w:t>2012</w:t>
            </w:r>
            <w:r>
              <w:rPr>
                <w:rFonts w:eastAsia="標楷體"/>
                <w:color w:val="000000"/>
                <w:spacing w:val="-6"/>
                <w:kern w:val="0"/>
                <w:szCs w:val="24"/>
              </w:rPr>
              <w:t>年</w:t>
            </w:r>
          </w:p>
        </w:tc>
        <w:tc>
          <w:tcPr>
            <w:tcW w:w="2520" w:type="dxa"/>
            <w:gridSpan w:val="2"/>
            <w:tcBorders>
              <w:top w:val="single" w:sz="4" w:space="0" w:color="000000"/>
              <w:bottom w:val="single" w:sz="4" w:space="0" w:color="000000"/>
            </w:tcBorders>
            <w:shd w:val="clear" w:color="auto" w:fill="EFFFEF"/>
            <w:tcMar>
              <w:top w:w="0" w:type="dxa"/>
              <w:left w:w="57" w:type="dxa"/>
              <w:bottom w:w="0" w:type="dxa"/>
              <w:right w:w="57" w:type="dxa"/>
            </w:tcMar>
            <w:vAlign w:val="center"/>
          </w:tcPr>
          <w:p w14:paraId="596E0341" w14:textId="77777777" w:rsidR="00052596" w:rsidRDefault="00000000">
            <w:pPr>
              <w:widowControl/>
              <w:tabs>
                <w:tab w:val="left" w:pos="960"/>
                <w:tab w:val="left" w:pos="1920"/>
                <w:tab w:val="left" w:pos="2880"/>
                <w:tab w:val="left" w:pos="3840"/>
                <w:tab w:val="left" w:pos="4800"/>
                <w:tab w:val="left" w:pos="5760"/>
              </w:tabs>
              <w:spacing w:line="240" w:lineRule="atLeast"/>
              <w:jc w:val="center"/>
            </w:pPr>
            <w:r>
              <w:rPr>
                <w:rFonts w:eastAsia="標楷體"/>
                <w:color w:val="000000"/>
                <w:spacing w:val="-6"/>
                <w:kern w:val="0"/>
                <w:szCs w:val="24"/>
              </w:rPr>
              <w:t>2000</w:t>
            </w:r>
            <w:r>
              <w:rPr>
                <w:rFonts w:eastAsia="標楷體"/>
                <w:color w:val="000000"/>
                <w:spacing w:val="-6"/>
                <w:kern w:val="0"/>
                <w:szCs w:val="24"/>
              </w:rPr>
              <w:t>年</w:t>
            </w:r>
          </w:p>
        </w:tc>
      </w:tr>
      <w:tr w:rsidR="00052596" w14:paraId="2E2AE4DC" w14:textId="77777777">
        <w:tblPrEx>
          <w:tblCellMar>
            <w:top w:w="0" w:type="dxa"/>
            <w:bottom w:w="0" w:type="dxa"/>
          </w:tblCellMar>
        </w:tblPrEx>
        <w:trPr>
          <w:trHeight w:val="244"/>
          <w:jc w:val="right"/>
        </w:trPr>
        <w:tc>
          <w:tcPr>
            <w:tcW w:w="2127" w:type="dxa"/>
            <w:vMerge/>
            <w:tcBorders>
              <w:top w:val="single" w:sz="4" w:space="0" w:color="000000"/>
              <w:bottom w:val="single" w:sz="4" w:space="0" w:color="000000"/>
              <w:right w:val="single" w:sz="4" w:space="0" w:color="000000"/>
            </w:tcBorders>
            <w:shd w:val="clear" w:color="auto" w:fill="EFFFEF"/>
            <w:tcMar>
              <w:top w:w="0" w:type="dxa"/>
              <w:left w:w="0" w:type="dxa"/>
              <w:bottom w:w="0" w:type="dxa"/>
              <w:right w:w="0" w:type="dxa"/>
            </w:tcMar>
            <w:vAlign w:val="center"/>
          </w:tcPr>
          <w:p w14:paraId="7C81E536" w14:textId="77777777" w:rsidR="00052596" w:rsidRDefault="00052596">
            <w:pPr>
              <w:widowControl/>
              <w:tabs>
                <w:tab w:val="left" w:pos="960"/>
                <w:tab w:val="left" w:pos="1920"/>
                <w:tab w:val="left" w:pos="2880"/>
                <w:tab w:val="left" w:pos="3840"/>
                <w:tab w:val="left" w:pos="4800"/>
                <w:tab w:val="left" w:pos="5760"/>
              </w:tabs>
              <w:spacing w:line="360" w:lineRule="exact"/>
              <w:rPr>
                <w:rFonts w:eastAsia="標楷體"/>
                <w:color w:val="000000"/>
                <w:kern w:val="0"/>
                <w:szCs w:val="24"/>
              </w:rPr>
            </w:pPr>
          </w:p>
        </w:tc>
        <w:tc>
          <w:tcPr>
            <w:tcW w:w="1417" w:type="dxa"/>
            <w:tcBorders>
              <w:top w:val="single" w:sz="4" w:space="0" w:color="000000"/>
              <w:bottom w:val="single" w:sz="4" w:space="0" w:color="000000"/>
              <w:right w:val="single" w:sz="4" w:space="0" w:color="000000"/>
            </w:tcBorders>
            <w:shd w:val="clear" w:color="auto" w:fill="EFFFEF"/>
            <w:tcMar>
              <w:top w:w="0" w:type="dxa"/>
              <w:left w:w="57" w:type="dxa"/>
              <w:bottom w:w="0" w:type="dxa"/>
              <w:right w:w="57" w:type="dxa"/>
            </w:tcMar>
            <w:vAlign w:val="center"/>
          </w:tcPr>
          <w:p w14:paraId="1E433916" w14:textId="77777777" w:rsidR="00052596" w:rsidRDefault="00000000">
            <w:pPr>
              <w:widowControl/>
              <w:tabs>
                <w:tab w:val="left" w:pos="960"/>
                <w:tab w:val="left" w:pos="1920"/>
                <w:tab w:val="left" w:pos="2880"/>
                <w:tab w:val="left" w:pos="3840"/>
                <w:tab w:val="left" w:pos="4800"/>
                <w:tab w:val="left" w:pos="5760"/>
              </w:tabs>
              <w:spacing w:line="240" w:lineRule="atLeast"/>
              <w:jc w:val="center"/>
              <w:rPr>
                <w:rFonts w:eastAsia="標楷體"/>
                <w:color w:val="000000"/>
                <w:kern w:val="0"/>
                <w:szCs w:val="24"/>
              </w:rPr>
            </w:pPr>
            <w:r>
              <w:rPr>
                <w:rFonts w:eastAsia="標楷體"/>
                <w:color w:val="000000"/>
                <w:kern w:val="0"/>
                <w:szCs w:val="24"/>
              </w:rPr>
              <w:t>全球排名</w:t>
            </w:r>
          </w:p>
        </w:tc>
        <w:tc>
          <w:tcPr>
            <w:tcW w:w="1307" w:type="dxa"/>
            <w:tcBorders>
              <w:top w:val="single" w:sz="4" w:space="0" w:color="000000"/>
              <w:bottom w:val="single" w:sz="4" w:space="0" w:color="000000"/>
              <w:right w:val="single" w:sz="4" w:space="0" w:color="000000"/>
            </w:tcBorders>
            <w:shd w:val="clear" w:color="auto" w:fill="EFFFEF"/>
            <w:tcMar>
              <w:top w:w="0" w:type="dxa"/>
              <w:left w:w="57" w:type="dxa"/>
              <w:bottom w:w="0" w:type="dxa"/>
              <w:right w:w="57" w:type="dxa"/>
            </w:tcMar>
            <w:vAlign w:val="center"/>
          </w:tcPr>
          <w:p w14:paraId="13F1CD33" w14:textId="77777777" w:rsidR="00052596" w:rsidRDefault="00000000">
            <w:pPr>
              <w:widowControl/>
              <w:tabs>
                <w:tab w:val="left" w:pos="960"/>
                <w:tab w:val="left" w:pos="1920"/>
                <w:tab w:val="left" w:pos="2880"/>
                <w:tab w:val="left" w:pos="3840"/>
                <w:tab w:val="left" w:pos="4800"/>
                <w:tab w:val="left" w:pos="5760"/>
              </w:tabs>
              <w:spacing w:line="240" w:lineRule="atLeast"/>
              <w:jc w:val="center"/>
              <w:rPr>
                <w:rFonts w:eastAsia="標楷體"/>
                <w:color w:val="000000"/>
                <w:kern w:val="0"/>
                <w:szCs w:val="24"/>
              </w:rPr>
            </w:pPr>
            <w:r>
              <w:rPr>
                <w:rFonts w:eastAsia="標楷體"/>
                <w:color w:val="000000"/>
                <w:kern w:val="0"/>
                <w:szCs w:val="24"/>
              </w:rPr>
              <w:t>評分</w:t>
            </w:r>
          </w:p>
        </w:tc>
        <w:tc>
          <w:tcPr>
            <w:tcW w:w="1265" w:type="dxa"/>
            <w:tcBorders>
              <w:top w:val="single" w:sz="4" w:space="0" w:color="000000"/>
              <w:bottom w:val="single" w:sz="4" w:space="0" w:color="000000"/>
              <w:right w:val="single" w:sz="4" w:space="0" w:color="000000"/>
            </w:tcBorders>
            <w:shd w:val="clear" w:color="auto" w:fill="EFFFEF"/>
            <w:tcMar>
              <w:top w:w="0" w:type="dxa"/>
              <w:left w:w="57" w:type="dxa"/>
              <w:bottom w:w="0" w:type="dxa"/>
              <w:right w:w="57" w:type="dxa"/>
            </w:tcMar>
            <w:vAlign w:val="center"/>
          </w:tcPr>
          <w:p w14:paraId="3E59C697" w14:textId="77777777" w:rsidR="00052596" w:rsidRDefault="00000000">
            <w:pPr>
              <w:widowControl/>
              <w:tabs>
                <w:tab w:val="left" w:pos="960"/>
                <w:tab w:val="left" w:pos="1920"/>
                <w:tab w:val="left" w:pos="2880"/>
                <w:tab w:val="left" w:pos="3840"/>
                <w:tab w:val="left" w:pos="4800"/>
                <w:tab w:val="left" w:pos="5760"/>
              </w:tabs>
              <w:spacing w:line="240" w:lineRule="atLeast"/>
              <w:jc w:val="center"/>
              <w:rPr>
                <w:rFonts w:eastAsia="標楷體"/>
                <w:color w:val="000000"/>
                <w:kern w:val="0"/>
                <w:szCs w:val="24"/>
              </w:rPr>
            </w:pPr>
            <w:r>
              <w:rPr>
                <w:rFonts w:eastAsia="標楷體"/>
                <w:color w:val="000000"/>
                <w:kern w:val="0"/>
                <w:szCs w:val="24"/>
              </w:rPr>
              <w:t>全球排名</w:t>
            </w:r>
          </w:p>
        </w:tc>
        <w:tc>
          <w:tcPr>
            <w:tcW w:w="1255" w:type="dxa"/>
            <w:tcBorders>
              <w:top w:val="single" w:sz="4" w:space="0" w:color="000000"/>
              <w:bottom w:val="single" w:sz="4" w:space="0" w:color="000000"/>
            </w:tcBorders>
            <w:shd w:val="clear" w:color="auto" w:fill="EFFFEF"/>
            <w:tcMar>
              <w:top w:w="0" w:type="dxa"/>
              <w:left w:w="57" w:type="dxa"/>
              <w:bottom w:w="0" w:type="dxa"/>
              <w:right w:w="57" w:type="dxa"/>
            </w:tcMar>
            <w:vAlign w:val="center"/>
          </w:tcPr>
          <w:p w14:paraId="15245704" w14:textId="77777777" w:rsidR="00052596" w:rsidRDefault="00000000">
            <w:pPr>
              <w:widowControl/>
              <w:tabs>
                <w:tab w:val="left" w:pos="960"/>
                <w:tab w:val="left" w:pos="1920"/>
                <w:tab w:val="left" w:pos="2880"/>
                <w:tab w:val="left" w:pos="3840"/>
                <w:tab w:val="left" w:pos="4800"/>
                <w:tab w:val="left" w:pos="5760"/>
              </w:tabs>
              <w:spacing w:line="240" w:lineRule="atLeast"/>
              <w:jc w:val="center"/>
              <w:rPr>
                <w:rFonts w:eastAsia="標楷體"/>
                <w:color w:val="000000"/>
                <w:kern w:val="0"/>
                <w:szCs w:val="24"/>
              </w:rPr>
            </w:pPr>
            <w:r>
              <w:rPr>
                <w:rFonts w:eastAsia="標楷體"/>
                <w:color w:val="000000"/>
                <w:kern w:val="0"/>
                <w:szCs w:val="24"/>
              </w:rPr>
              <w:t>評分</w:t>
            </w:r>
          </w:p>
        </w:tc>
      </w:tr>
      <w:tr w:rsidR="00052596" w14:paraId="7AC84827" w14:textId="77777777">
        <w:tblPrEx>
          <w:tblCellMar>
            <w:top w:w="0" w:type="dxa"/>
            <w:bottom w:w="0" w:type="dxa"/>
          </w:tblCellMar>
        </w:tblPrEx>
        <w:trPr>
          <w:trHeight w:val="324"/>
          <w:jc w:val="right"/>
        </w:trPr>
        <w:tc>
          <w:tcPr>
            <w:tcW w:w="2127" w:type="dxa"/>
            <w:tcBorders>
              <w:top w:val="single" w:sz="4" w:space="0" w:color="000000"/>
              <w:bottom w:val="single" w:sz="4" w:space="0" w:color="000000"/>
            </w:tcBorders>
            <w:shd w:val="clear" w:color="auto" w:fill="FFF0E1"/>
            <w:tcMar>
              <w:top w:w="0" w:type="dxa"/>
              <w:left w:w="0" w:type="dxa"/>
              <w:bottom w:w="0" w:type="dxa"/>
              <w:right w:w="0" w:type="dxa"/>
            </w:tcMar>
            <w:vAlign w:val="center"/>
          </w:tcPr>
          <w:p w14:paraId="3E9A8C70" w14:textId="77777777" w:rsidR="00052596" w:rsidRDefault="00000000">
            <w:pPr>
              <w:widowControl/>
              <w:tabs>
                <w:tab w:val="left" w:pos="960"/>
                <w:tab w:val="left" w:pos="1920"/>
                <w:tab w:val="left" w:pos="2880"/>
                <w:tab w:val="left" w:pos="3840"/>
                <w:tab w:val="left" w:pos="4800"/>
                <w:tab w:val="left" w:pos="5760"/>
              </w:tabs>
              <w:spacing w:line="240" w:lineRule="atLeast"/>
              <w:rPr>
                <w:rFonts w:eastAsia="標楷體"/>
                <w:color w:val="000000"/>
                <w:kern w:val="0"/>
                <w:szCs w:val="24"/>
              </w:rPr>
            </w:pPr>
            <w:r>
              <w:rPr>
                <w:rFonts w:eastAsia="標楷體"/>
                <w:color w:val="000000"/>
                <w:kern w:val="0"/>
                <w:szCs w:val="24"/>
              </w:rPr>
              <w:t>G8</w:t>
            </w:r>
            <w:r>
              <w:rPr>
                <w:rFonts w:eastAsia="標楷體"/>
                <w:color w:val="000000"/>
                <w:kern w:val="0"/>
                <w:szCs w:val="24"/>
              </w:rPr>
              <w:t>國家</w:t>
            </w:r>
          </w:p>
        </w:tc>
        <w:tc>
          <w:tcPr>
            <w:tcW w:w="1417" w:type="dxa"/>
            <w:tcBorders>
              <w:top w:val="single" w:sz="4" w:space="0" w:color="000000"/>
              <w:bottom w:val="single" w:sz="4" w:space="0" w:color="000000"/>
            </w:tcBorders>
            <w:shd w:val="clear" w:color="auto" w:fill="FFF0E1"/>
            <w:tcMar>
              <w:top w:w="0" w:type="dxa"/>
              <w:left w:w="108" w:type="dxa"/>
              <w:bottom w:w="0" w:type="dxa"/>
              <w:right w:w="108" w:type="dxa"/>
            </w:tcMar>
            <w:vAlign w:val="center"/>
          </w:tcPr>
          <w:p w14:paraId="4A0A6739" w14:textId="77777777" w:rsidR="00052596" w:rsidRDefault="00052596">
            <w:pPr>
              <w:widowControl/>
              <w:tabs>
                <w:tab w:val="left" w:pos="960"/>
                <w:tab w:val="left" w:pos="1920"/>
                <w:tab w:val="left" w:pos="2880"/>
                <w:tab w:val="left" w:pos="3840"/>
                <w:tab w:val="left" w:pos="4800"/>
                <w:tab w:val="left" w:pos="5760"/>
              </w:tabs>
              <w:spacing w:line="360" w:lineRule="exact"/>
              <w:jc w:val="center"/>
              <w:rPr>
                <w:rFonts w:eastAsia="標楷體"/>
                <w:color w:val="000000"/>
                <w:kern w:val="0"/>
                <w:szCs w:val="24"/>
              </w:rPr>
            </w:pPr>
          </w:p>
        </w:tc>
        <w:tc>
          <w:tcPr>
            <w:tcW w:w="1307" w:type="dxa"/>
            <w:tcBorders>
              <w:top w:val="single" w:sz="4" w:space="0" w:color="000000"/>
              <w:bottom w:val="single" w:sz="4" w:space="0" w:color="000000"/>
            </w:tcBorders>
            <w:shd w:val="clear" w:color="auto" w:fill="FFF0E1"/>
            <w:tcMar>
              <w:top w:w="0" w:type="dxa"/>
              <w:left w:w="108" w:type="dxa"/>
              <w:bottom w:w="0" w:type="dxa"/>
              <w:right w:w="108" w:type="dxa"/>
            </w:tcMar>
            <w:vAlign w:val="center"/>
          </w:tcPr>
          <w:p w14:paraId="0C26DAF0" w14:textId="77777777" w:rsidR="00052596" w:rsidRDefault="00052596">
            <w:pPr>
              <w:widowControl/>
              <w:tabs>
                <w:tab w:val="left" w:pos="960"/>
                <w:tab w:val="left" w:pos="1920"/>
                <w:tab w:val="left" w:pos="2880"/>
                <w:tab w:val="left" w:pos="3840"/>
                <w:tab w:val="left" w:pos="4800"/>
                <w:tab w:val="left" w:pos="5760"/>
              </w:tabs>
              <w:spacing w:line="360" w:lineRule="exact"/>
              <w:jc w:val="center"/>
              <w:rPr>
                <w:rFonts w:eastAsia="標楷體"/>
                <w:color w:val="000000"/>
                <w:kern w:val="0"/>
                <w:szCs w:val="24"/>
              </w:rPr>
            </w:pPr>
          </w:p>
        </w:tc>
        <w:tc>
          <w:tcPr>
            <w:tcW w:w="1265" w:type="dxa"/>
            <w:tcBorders>
              <w:top w:val="single" w:sz="4" w:space="0" w:color="000000"/>
              <w:bottom w:val="single" w:sz="4" w:space="0" w:color="000000"/>
            </w:tcBorders>
            <w:shd w:val="clear" w:color="auto" w:fill="FFF0E1"/>
            <w:tcMar>
              <w:top w:w="0" w:type="dxa"/>
              <w:left w:w="108" w:type="dxa"/>
              <w:bottom w:w="0" w:type="dxa"/>
              <w:right w:w="108" w:type="dxa"/>
            </w:tcMar>
            <w:vAlign w:val="center"/>
          </w:tcPr>
          <w:p w14:paraId="49A9EBE0" w14:textId="77777777" w:rsidR="00052596" w:rsidRDefault="00052596">
            <w:pPr>
              <w:widowControl/>
              <w:tabs>
                <w:tab w:val="left" w:pos="960"/>
                <w:tab w:val="left" w:pos="1920"/>
                <w:tab w:val="left" w:pos="2880"/>
                <w:tab w:val="left" w:pos="3840"/>
                <w:tab w:val="left" w:pos="4800"/>
                <w:tab w:val="left" w:pos="5760"/>
              </w:tabs>
              <w:spacing w:line="360" w:lineRule="exact"/>
              <w:jc w:val="center"/>
              <w:rPr>
                <w:rFonts w:eastAsia="標楷體"/>
                <w:color w:val="000000"/>
                <w:kern w:val="0"/>
                <w:szCs w:val="24"/>
              </w:rPr>
            </w:pPr>
          </w:p>
        </w:tc>
        <w:tc>
          <w:tcPr>
            <w:tcW w:w="1255" w:type="dxa"/>
            <w:tcBorders>
              <w:top w:val="single" w:sz="4" w:space="0" w:color="000000"/>
              <w:bottom w:val="single" w:sz="4" w:space="0" w:color="000000"/>
            </w:tcBorders>
            <w:shd w:val="clear" w:color="auto" w:fill="FFF0E1"/>
            <w:tcMar>
              <w:top w:w="0" w:type="dxa"/>
              <w:left w:w="108" w:type="dxa"/>
              <w:bottom w:w="0" w:type="dxa"/>
              <w:right w:w="108" w:type="dxa"/>
            </w:tcMar>
            <w:vAlign w:val="center"/>
          </w:tcPr>
          <w:p w14:paraId="16CABD2E" w14:textId="77777777" w:rsidR="00052596" w:rsidRDefault="00052596">
            <w:pPr>
              <w:widowControl/>
              <w:tabs>
                <w:tab w:val="left" w:pos="960"/>
                <w:tab w:val="left" w:pos="1920"/>
                <w:tab w:val="left" w:pos="2880"/>
                <w:tab w:val="left" w:pos="3840"/>
                <w:tab w:val="left" w:pos="4800"/>
                <w:tab w:val="left" w:pos="5760"/>
              </w:tabs>
              <w:spacing w:line="360" w:lineRule="exact"/>
              <w:jc w:val="center"/>
              <w:rPr>
                <w:rFonts w:eastAsia="標楷體"/>
                <w:color w:val="000000"/>
                <w:kern w:val="0"/>
                <w:szCs w:val="24"/>
              </w:rPr>
            </w:pPr>
          </w:p>
        </w:tc>
      </w:tr>
      <w:tr w:rsidR="00052596" w14:paraId="3CBF5BDF" w14:textId="77777777">
        <w:tblPrEx>
          <w:tblCellMar>
            <w:top w:w="0" w:type="dxa"/>
            <w:bottom w:w="0" w:type="dxa"/>
          </w:tblCellMar>
        </w:tblPrEx>
        <w:trPr>
          <w:trHeight w:val="227"/>
          <w:jc w:val="right"/>
        </w:trPr>
        <w:tc>
          <w:tcPr>
            <w:tcW w:w="2127" w:type="dxa"/>
            <w:tcBorders>
              <w:top w:val="single" w:sz="4" w:space="0" w:color="000000"/>
              <w:right w:val="single" w:sz="4" w:space="0" w:color="000000"/>
            </w:tcBorders>
            <w:shd w:val="clear" w:color="auto" w:fill="FFF0E1"/>
            <w:tcMar>
              <w:top w:w="0" w:type="dxa"/>
              <w:left w:w="0" w:type="dxa"/>
              <w:bottom w:w="0" w:type="dxa"/>
              <w:right w:w="0" w:type="dxa"/>
            </w:tcMar>
            <w:vAlign w:val="center"/>
          </w:tcPr>
          <w:p w14:paraId="7084F414"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美國</w:t>
            </w:r>
          </w:p>
        </w:tc>
        <w:tc>
          <w:tcPr>
            <w:tcW w:w="1417"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3794A378"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7</w:t>
            </w:r>
          </w:p>
        </w:tc>
        <w:tc>
          <w:tcPr>
            <w:tcW w:w="1307"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5C500457"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9.46</w:t>
            </w:r>
          </w:p>
        </w:tc>
        <w:tc>
          <w:tcPr>
            <w:tcW w:w="1265"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04C35DF8"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4</w:t>
            </w:r>
          </w:p>
        </w:tc>
        <w:tc>
          <w:tcPr>
            <w:tcW w:w="1255" w:type="dxa"/>
            <w:tcBorders>
              <w:top w:val="single" w:sz="4" w:space="0" w:color="000000"/>
            </w:tcBorders>
            <w:shd w:val="clear" w:color="auto" w:fill="FFF0E1"/>
            <w:tcMar>
              <w:top w:w="0" w:type="dxa"/>
              <w:left w:w="108" w:type="dxa"/>
              <w:bottom w:w="0" w:type="dxa"/>
              <w:right w:w="108" w:type="dxa"/>
            </w:tcMar>
            <w:vAlign w:val="center"/>
          </w:tcPr>
          <w:p w14:paraId="55F896D5"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9.55</w:t>
            </w:r>
          </w:p>
        </w:tc>
      </w:tr>
      <w:tr w:rsidR="00052596" w14:paraId="3AE10B9B" w14:textId="77777777">
        <w:tblPrEx>
          <w:tblCellMar>
            <w:top w:w="0" w:type="dxa"/>
            <w:bottom w:w="0" w:type="dxa"/>
          </w:tblCellMar>
        </w:tblPrEx>
        <w:trPr>
          <w:trHeight w:val="227"/>
          <w:jc w:val="right"/>
        </w:trPr>
        <w:tc>
          <w:tcPr>
            <w:tcW w:w="2127" w:type="dxa"/>
            <w:tcBorders>
              <w:right w:val="single" w:sz="4" w:space="0" w:color="000000"/>
            </w:tcBorders>
            <w:shd w:val="clear" w:color="auto" w:fill="FFF0E1"/>
            <w:tcMar>
              <w:top w:w="0" w:type="dxa"/>
              <w:left w:w="0" w:type="dxa"/>
              <w:bottom w:w="0" w:type="dxa"/>
              <w:right w:w="0" w:type="dxa"/>
            </w:tcMar>
            <w:vAlign w:val="center"/>
          </w:tcPr>
          <w:p w14:paraId="14344278"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英國</w:t>
            </w:r>
          </w:p>
        </w:tc>
        <w:tc>
          <w:tcPr>
            <w:tcW w:w="1417" w:type="dxa"/>
            <w:tcBorders>
              <w:right w:val="single" w:sz="4" w:space="0" w:color="000000"/>
            </w:tcBorders>
            <w:shd w:val="clear" w:color="auto" w:fill="FFF0E1"/>
            <w:tcMar>
              <w:top w:w="0" w:type="dxa"/>
              <w:left w:w="108" w:type="dxa"/>
              <w:bottom w:w="0" w:type="dxa"/>
              <w:right w:w="108" w:type="dxa"/>
            </w:tcMar>
            <w:vAlign w:val="center"/>
          </w:tcPr>
          <w:p w14:paraId="33E6C1DF"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11</w:t>
            </w:r>
          </w:p>
        </w:tc>
        <w:tc>
          <w:tcPr>
            <w:tcW w:w="1307" w:type="dxa"/>
            <w:tcBorders>
              <w:right w:val="single" w:sz="4" w:space="0" w:color="000000"/>
            </w:tcBorders>
            <w:shd w:val="clear" w:color="auto" w:fill="FFF0E1"/>
            <w:tcMar>
              <w:top w:w="0" w:type="dxa"/>
              <w:left w:w="108" w:type="dxa"/>
              <w:bottom w:w="0" w:type="dxa"/>
              <w:right w:w="108" w:type="dxa"/>
            </w:tcMar>
            <w:vAlign w:val="center"/>
          </w:tcPr>
          <w:p w14:paraId="36A85E68"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9.12</w:t>
            </w:r>
          </w:p>
        </w:tc>
        <w:tc>
          <w:tcPr>
            <w:tcW w:w="1265" w:type="dxa"/>
            <w:tcBorders>
              <w:right w:val="single" w:sz="4" w:space="0" w:color="000000"/>
            </w:tcBorders>
            <w:shd w:val="clear" w:color="auto" w:fill="FFF0E1"/>
            <w:tcMar>
              <w:top w:w="0" w:type="dxa"/>
              <w:left w:w="108" w:type="dxa"/>
              <w:bottom w:w="0" w:type="dxa"/>
              <w:right w:w="108" w:type="dxa"/>
            </w:tcMar>
            <w:vAlign w:val="center"/>
          </w:tcPr>
          <w:p w14:paraId="743A7FD0"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9</w:t>
            </w:r>
          </w:p>
        </w:tc>
        <w:tc>
          <w:tcPr>
            <w:tcW w:w="1255" w:type="dxa"/>
            <w:shd w:val="clear" w:color="auto" w:fill="FFF0E1"/>
            <w:tcMar>
              <w:top w:w="0" w:type="dxa"/>
              <w:left w:w="108" w:type="dxa"/>
              <w:bottom w:w="0" w:type="dxa"/>
              <w:right w:w="108" w:type="dxa"/>
            </w:tcMar>
            <w:vAlign w:val="center"/>
          </w:tcPr>
          <w:p w14:paraId="03464C12"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9.38</w:t>
            </w:r>
          </w:p>
        </w:tc>
      </w:tr>
      <w:tr w:rsidR="00052596" w14:paraId="76C5D4C3" w14:textId="77777777">
        <w:tblPrEx>
          <w:tblCellMar>
            <w:top w:w="0" w:type="dxa"/>
            <w:bottom w:w="0" w:type="dxa"/>
          </w:tblCellMar>
        </w:tblPrEx>
        <w:trPr>
          <w:trHeight w:val="227"/>
          <w:jc w:val="right"/>
        </w:trPr>
        <w:tc>
          <w:tcPr>
            <w:tcW w:w="2127" w:type="dxa"/>
            <w:tcBorders>
              <w:right w:val="single" w:sz="4" w:space="0" w:color="000000"/>
            </w:tcBorders>
            <w:shd w:val="clear" w:color="auto" w:fill="FFF0E1"/>
            <w:tcMar>
              <w:top w:w="0" w:type="dxa"/>
              <w:left w:w="0" w:type="dxa"/>
              <w:bottom w:w="0" w:type="dxa"/>
              <w:right w:w="0" w:type="dxa"/>
            </w:tcMar>
            <w:vAlign w:val="center"/>
          </w:tcPr>
          <w:p w14:paraId="66871492"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法國</w:t>
            </w:r>
          </w:p>
        </w:tc>
        <w:tc>
          <w:tcPr>
            <w:tcW w:w="1417" w:type="dxa"/>
            <w:tcBorders>
              <w:right w:val="single" w:sz="4" w:space="0" w:color="000000"/>
            </w:tcBorders>
            <w:shd w:val="clear" w:color="auto" w:fill="FFF0E1"/>
            <w:tcMar>
              <w:top w:w="0" w:type="dxa"/>
              <w:left w:w="108" w:type="dxa"/>
              <w:bottom w:w="0" w:type="dxa"/>
              <w:right w:w="108" w:type="dxa"/>
            </w:tcMar>
            <w:vAlign w:val="center"/>
          </w:tcPr>
          <w:p w14:paraId="672D1F05"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22</w:t>
            </w:r>
          </w:p>
        </w:tc>
        <w:tc>
          <w:tcPr>
            <w:tcW w:w="1307" w:type="dxa"/>
            <w:tcBorders>
              <w:right w:val="single" w:sz="4" w:space="0" w:color="000000"/>
            </w:tcBorders>
            <w:shd w:val="clear" w:color="auto" w:fill="FFF0E1"/>
            <w:tcMar>
              <w:top w:w="0" w:type="dxa"/>
              <w:left w:w="108" w:type="dxa"/>
              <w:bottom w:w="0" w:type="dxa"/>
              <w:right w:w="108" w:type="dxa"/>
            </w:tcMar>
            <w:vAlign w:val="center"/>
          </w:tcPr>
          <w:p w14:paraId="490BF7EE"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8.66</w:t>
            </w:r>
          </w:p>
        </w:tc>
        <w:tc>
          <w:tcPr>
            <w:tcW w:w="1265" w:type="dxa"/>
            <w:tcBorders>
              <w:right w:val="single" w:sz="4" w:space="0" w:color="000000"/>
            </w:tcBorders>
            <w:shd w:val="clear" w:color="auto" w:fill="FFF0E1"/>
            <w:tcMar>
              <w:top w:w="0" w:type="dxa"/>
              <w:left w:w="108" w:type="dxa"/>
              <w:bottom w:w="0" w:type="dxa"/>
              <w:right w:w="108" w:type="dxa"/>
            </w:tcMar>
            <w:vAlign w:val="center"/>
          </w:tcPr>
          <w:p w14:paraId="6B333BA0"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21</w:t>
            </w:r>
          </w:p>
        </w:tc>
        <w:tc>
          <w:tcPr>
            <w:tcW w:w="1255" w:type="dxa"/>
            <w:shd w:val="clear" w:color="auto" w:fill="FFF0E1"/>
            <w:tcMar>
              <w:top w:w="0" w:type="dxa"/>
              <w:left w:w="108" w:type="dxa"/>
              <w:bottom w:w="0" w:type="dxa"/>
              <w:right w:w="108" w:type="dxa"/>
            </w:tcMar>
            <w:vAlign w:val="center"/>
          </w:tcPr>
          <w:p w14:paraId="278364FC"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8.75</w:t>
            </w:r>
          </w:p>
        </w:tc>
      </w:tr>
      <w:tr w:rsidR="00052596" w14:paraId="3CC32FDB" w14:textId="77777777">
        <w:tblPrEx>
          <w:tblCellMar>
            <w:top w:w="0" w:type="dxa"/>
            <w:bottom w:w="0" w:type="dxa"/>
          </w:tblCellMar>
        </w:tblPrEx>
        <w:trPr>
          <w:trHeight w:val="227"/>
          <w:jc w:val="right"/>
        </w:trPr>
        <w:tc>
          <w:tcPr>
            <w:tcW w:w="2127" w:type="dxa"/>
            <w:tcBorders>
              <w:right w:val="single" w:sz="4" w:space="0" w:color="000000"/>
            </w:tcBorders>
            <w:shd w:val="clear" w:color="auto" w:fill="FFF0E1"/>
            <w:tcMar>
              <w:top w:w="0" w:type="dxa"/>
              <w:left w:w="0" w:type="dxa"/>
              <w:bottom w:w="0" w:type="dxa"/>
              <w:right w:w="0" w:type="dxa"/>
            </w:tcMar>
            <w:vAlign w:val="center"/>
          </w:tcPr>
          <w:p w14:paraId="1E80260B"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德國</w:t>
            </w:r>
          </w:p>
        </w:tc>
        <w:tc>
          <w:tcPr>
            <w:tcW w:w="1417" w:type="dxa"/>
            <w:tcBorders>
              <w:right w:val="single" w:sz="4" w:space="0" w:color="000000"/>
            </w:tcBorders>
            <w:shd w:val="clear" w:color="auto" w:fill="FFF0E1"/>
            <w:tcMar>
              <w:top w:w="0" w:type="dxa"/>
              <w:left w:w="108" w:type="dxa"/>
              <w:bottom w:w="0" w:type="dxa"/>
              <w:right w:w="108" w:type="dxa"/>
            </w:tcMar>
            <w:vAlign w:val="center"/>
          </w:tcPr>
          <w:p w14:paraId="3540285F"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12</w:t>
            </w:r>
          </w:p>
        </w:tc>
        <w:tc>
          <w:tcPr>
            <w:tcW w:w="1307" w:type="dxa"/>
            <w:tcBorders>
              <w:right w:val="single" w:sz="4" w:space="0" w:color="000000"/>
            </w:tcBorders>
            <w:shd w:val="clear" w:color="auto" w:fill="FFF0E1"/>
            <w:tcMar>
              <w:top w:w="0" w:type="dxa"/>
              <w:left w:w="108" w:type="dxa"/>
              <w:bottom w:w="0" w:type="dxa"/>
              <w:right w:w="108" w:type="dxa"/>
            </w:tcMar>
            <w:vAlign w:val="center"/>
          </w:tcPr>
          <w:p w14:paraId="79599D13"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9.11</w:t>
            </w:r>
          </w:p>
        </w:tc>
        <w:tc>
          <w:tcPr>
            <w:tcW w:w="1265" w:type="dxa"/>
            <w:tcBorders>
              <w:right w:val="single" w:sz="4" w:space="0" w:color="000000"/>
            </w:tcBorders>
            <w:shd w:val="clear" w:color="auto" w:fill="FFF0E1"/>
            <w:tcMar>
              <w:top w:w="0" w:type="dxa"/>
              <w:left w:w="108" w:type="dxa"/>
              <w:bottom w:w="0" w:type="dxa"/>
              <w:right w:w="108" w:type="dxa"/>
            </w:tcMar>
            <w:vAlign w:val="center"/>
          </w:tcPr>
          <w:p w14:paraId="7DEBD690"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14</w:t>
            </w:r>
          </w:p>
        </w:tc>
        <w:tc>
          <w:tcPr>
            <w:tcW w:w="1255" w:type="dxa"/>
            <w:shd w:val="clear" w:color="auto" w:fill="FFF0E1"/>
            <w:tcMar>
              <w:top w:w="0" w:type="dxa"/>
              <w:left w:w="108" w:type="dxa"/>
              <w:bottom w:w="0" w:type="dxa"/>
              <w:right w:w="108" w:type="dxa"/>
            </w:tcMar>
            <w:vAlign w:val="center"/>
          </w:tcPr>
          <w:p w14:paraId="5B934B78"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9.09</w:t>
            </w:r>
          </w:p>
        </w:tc>
      </w:tr>
      <w:tr w:rsidR="00052596" w14:paraId="24CFEF9E" w14:textId="77777777">
        <w:tblPrEx>
          <w:tblCellMar>
            <w:top w:w="0" w:type="dxa"/>
            <w:bottom w:w="0" w:type="dxa"/>
          </w:tblCellMar>
        </w:tblPrEx>
        <w:trPr>
          <w:trHeight w:val="227"/>
          <w:jc w:val="right"/>
        </w:trPr>
        <w:tc>
          <w:tcPr>
            <w:tcW w:w="2127" w:type="dxa"/>
            <w:tcBorders>
              <w:right w:val="single" w:sz="4" w:space="0" w:color="000000"/>
            </w:tcBorders>
            <w:shd w:val="clear" w:color="auto" w:fill="FFF0E1"/>
            <w:tcMar>
              <w:top w:w="0" w:type="dxa"/>
              <w:left w:w="0" w:type="dxa"/>
              <w:bottom w:w="0" w:type="dxa"/>
              <w:right w:w="0" w:type="dxa"/>
            </w:tcMar>
            <w:vAlign w:val="center"/>
          </w:tcPr>
          <w:p w14:paraId="270FC8AA"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義大利</w:t>
            </w:r>
          </w:p>
        </w:tc>
        <w:tc>
          <w:tcPr>
            <w:tcW w:w="1417" w:type="dxa"/>
            <w:tcBorders>
              <w:right w:val="single" w:sz="4" w:space="0" w:color="000000"/>
            </w:tcBorders>
            <w:shd w:val="clear" w:color="auto" w:fill="FFF0E1"/>
            <w:tcMar>
              <w:top w:w="0" w:type="dxa"/>
              <w:left w:w="108" w:type="dxa"/>
              <w:bottom w:w="0" w:type="dxa"/>
              <w:right w:w="108" w:type="dxa"/>
            </w:tcMar>
            <w:vAlign w:val="center"/>
          </w:tcPr>
          <w:p w14:paraId="2391EF03"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27</w:t>
            </w:r>
          </w:p>
        </w:tc>
        <w:tc>
          <w:tcPr>
            <w:tcW w:w="1307" w:type="dxa"/>
            <w:tcBorders>
              <w:right w:val="single" w:sz="4" w:space="0" w:color="000000"/>
            </w:tcBorders>
            <w:shd w:val="clear" w:color="auto" w:fill="FFF0E1"/>
            <w:tcMar>
              <w:top w:w="0" w:type="dxa"/>
              <w:left w:w="108" w:type="dxa"/>
              <w:bottom w:w="0" w:type="dxa"/>
              <w:right w:w="108" w:type="dxa"/>
            </w:tcMar>
            <w:vAlign w:val="center"/>
          </w:tcPr>
          <w:p w14:paraId="308B03FB"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8.01</w:t>
            </w:r>
          </w:p>
        </w:tc>
        <w:tc>
          <w:tcPr>
            <w:tcW w:w="1265" w:type="dxa"/>
            <w:tcBorders>
              <w:right w:val="single" w:sz="4" w:space="0" w:color="000000"/>
            </w:tcBorders>
            <w:shd w:val="clear" w:color="auto" w:fill="FFF0E1"/>
            <w:tcMar>
              <w:top w:w="0" w:type="dxa"/>
              <w:left w:w="108" w:type="dxa"/>
              <w:bottom w:w="0" w:type="dxa"/>
              <w:right w:w="108" w:type="dxa"/>
            </w:tcMar>
            <w:vAlign w:val="center"/>
          </w:tcPr>
          <w:p w14:paraId="60248F5F"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24</w:t>
            </w:r>
          </w:p>
        </w:tc>
        <w:tc>
          <w:tcPr>
            <w:tcW w:w="1255" w:type="dxa"/>
            <w:shd w:val="clear" w:color="auto" w:fill="FFF0E1"/>
            <w:tcMar>
              <w:top w:w="0" w:type="dxa"/>
              <w:left w:w="108" w:type="dxa"/>
              <w:bottom w:w="0" w:type="dxa"/>
              <w:right w:w="108" w:type="dxa"/>
            </w:tcMar>
            <w:vAlign w:val="center"/>
          </w:tcPr>
          <w:p w14:paraId="759D0B85"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8.24</w:t>
            </w:r>
          </w:p>
        </w:tc>
      </w:tr>
      <w:tr w:rsidR="00052596" w14:paraId="55E1918A" w14:textId="77777777">
        <w:tblPrEx>
          <w:tblCellMar>
            <w:top w:w="0" w:type="dxa"/>
            <w:bottom w:w="0" w:type="dxa"/>
          </w:tblCellMar>
        </w:tblPrEx>
        <w:trPr>
          <w:trHeight w:val="227"/>
          <w:jc w:val="right"/>
        </w:trPr>
        <w:tc>
          <w:tcPr>
            <w:tcW w:w="2127" w:type="dxa"/>
            <w:tcBorders>
              <w:right w:val="single" w:sz="4" w:space="0" w:color="000000"/>
            </w:tcBorders>
            <w:shd w:val="clear" w:color="auto" w:fill="FFF0E1"/>
            <w:tcMar>
              <w:top w:w="0" w:type="dxa"/>
              <w:left w:w="0" w:type="dxa"/>
              <w:bottom w:w="0" w:type="dxa"/>
              <w:right w:w="0" w:type="dxa"/>
            </w:tcMar>
            <w:vAlign w:val="center"/>
          </w:tcPr>
          <w:p w14:paraId="58285571"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加拿大</w:t>
            </w:r>
          </w:p>
        </w:tc>
        <w:tc>
          <w:tcPr>
            <w:tcW w:w="1417" w:type="dxa"/>
            <w:tcBorders>
              <w:right w:val="single" w:sz="4" w:space="0" w:color="000000"/>
            </w:tcBorders>
            <w:shd w:val="clear" w:color="auto" w:fill="FFF0E1"/>
            <w:tcMar>
              <w:top w:w="0" w:type="dxa"/>
              <w:left w:w="108" w:type="dxa"/>
              <w:bottom w:w="0" w:type="dxa"/>
              <w:right w:w="108" w:type="dxa"/>
            </w:tcMar>
            <w:vAlign w:val="center"/>
          </w:tcPr>
          <w:p w14:paraId="1E62B01C"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10</w:t>
            </w:r>
          </w:p>
        </w:tc>
        <w:tc>
          <w:tcPr>
            <w:tcW w:w="1307" w:type="dxa"/>
            <w:tcBorders>
              <w:right w:val="single" w:sz="4" w:space="0" w:color="000000"/>
            </w:tcBorders>
            <w:shd w:val="clear" w:color="auto" w:fill="FFF0E1"/>
            <w:tcMar>
              <w:top w:w="0" w:type="dxa"/>
              <w:left w:w="108" w:type="dxa"/>
              <w:bottom w:w="0" w:type="dxa"/>
              <w:right w:w="108" w:type="dxa"/>
            </w:tcMar>
            <w:vAlign w:val="center"/>
          </w:tcPr>
          <w:p w14:paraId="4B0AF6C4"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9.32</w:t>
            </w:r>
          </w:p>
        </w:tc>
        <w:tc>
          <w:tcPr>
            <w:tcW w:w="1265" w:type="dxa"/>
            <w:tcBorders>
              <w:right w:val="single" w:sz="4" w:space="0" w:color="000000"/>
            </w:tcBorders>
            <w:shd w:val="clear" w:color="auto" w:fill="FFF0E1"/>
            <w:tcMar>
              <w:top w:w="0" w:type="dxa"/>
              <w:left w:w="108" w:type="dxa"/>
              <w:bottom w:w="0" w:type="dxa"/>
              <w:right w:w="108" w:type="dxa"/>
            </w:tcMar>
            <w:vAlign w:val="center"/>
          </w:tcPr>
          <w:p w14:paraId="7EA999D0"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8</w:t>
            </w:r>
          </w:p>
        </w:tc>
        <w:tc>
          <w:tcPr>
            <w:tcW w:w="1255" w:type="dxa"/>
            <w:shd w:val="clear" w:color="auto" w:fill="FFF0E1"/>
            <w:tcMar>
              <w:top w:w="0" w:type="dxa"/>
              <w:left w:w="108" w:type="dxa"/>
              <w:bottom w:w="0" w:type="dxa"/>
              <w:right w:w="108" w:type="dxa"/>
            </w:tcMar>
            <w:vAlign w:val="center"/>
          </w:tcPr>
          <w:p w14:paraId="4B7EADE2"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9.39</w:t>
            </w:r>
          </w:p>
        </w:tc>
      </w:tr>
      <w:tr w:rsidR="00052596" w14:paraId="06790105" w14:textId="77777777">
        <w:tblPrEx>
          <w:tblCellMar>
            <w:top w:w="0" w:type="dxa"/>
            <w:bottom w:w="0" w:type="dxa"/>
          </w:tblCellMar>
        </w:tblPrEx>
        <w:trPr>
          <w:trHeight w:val="227"/>
          <w:jc w:val="right"/>
        </w:trPr>
        <w:tc>
          <w:tcPr>
            <w:tcW w:w="2127" w:type="dxa"/>
            <w:tcBorders>
              <w:right w:val="single" w:sz="4" w:space="0" w:color="000000"/>
            </w:tcBorders>
            <w:shd w:val="clear" w:color="auto" w:fill="FFF0E1"/>
            <w:tcMar>
              <w:top w:w="0" w:type="dxa"/>
              <w:left w:w="0" w:type="dxa"/>
              <w:bottom w:w="0" w:type="dxa"/>
              <w:right w:w="0" w:type="dxa"/>
            </w:tcMar>
            <w:vAlign w:val="center"/>
          </w:tcPr>
          <w:p w14:paraId="49993E30"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日本</w:t>
            </w:r>
          </w:p>
        </w:tc>
        <w:tc>
          <w:tcPr>
            <w:tcW w:w="1417" w:type="dxa"/>
            <w:tcBorders>
              <w:right w:val="single" w:sz="4" w:space="0" w:color="000000"/>
            </w:tcBorders>
            <w:shd w:val="clear" w:color="auto" w:fill="FFF0E1"/>
            <w:tcMar>
              <w:top w:w="0" w:type="dxa"/>
              <w:left w:w="108" w:type="dxa"/>
              <w:bottom w:w="0" w:type="dxa"/>
              <w:right w:w="108" w:type="dxa"/>
            </w:tcMar>
            <w:vAlign w:val="center"/>
          </w:tcPr>
          <w:p w14:paraId="16F3963A"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15</w:t>
            </w:r>
          </w:p>
        </w:tc>
        <w:tc>
          <w:tcPr>
            <w:tcW w:w="1307" w:type="dxa"/>
            <w:tcBorders>
              <w:right w:val="single" w:sz="4" w:space="0" w:color="000000"/>
            </w:tcBorders>
            <w:shd w:val="clear" w:color="auto" w:fill="FFF0E1"/>
            <w:tcMar>
              <w:top w:w="0" w:type="dxa"/>
              <w:left w:w="108" w:type="dxa"/>
              <w:bottom w:w="0" w:type="dxa"/>
              <w:right w:w="108" w:type="dxa"/>
            </w:tcMar>
            <w:vAlign w:val="center"/>
          </w:tcPr>
          <w:p w14:paraId="19D6D9EF"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9.08</w:t>
            </w:r>
          </w:p>
        </w:tc>
        <w:tc>
          <w:tcPr>
            <w:tcW w:w="1265" w:type="dxa"/>
            <w:tcBorders>
              <w:right w:val="single" w:sz="4" w:space="0" w:color="000000"/>
            </w:tcBorders>
            <w:shd w:val="clear" w:color="auto" w:fill="FFF0E1"/>
            <w:tcMar>
              <w:top w:w="0" w:type="dxa"/>
              <w:left w:w="108" w:type="dxa"/>
              <w:bottom w:w="0" w:type="dxa"/>
              <w:right w:w="108" w:type="dxa"/>
            </w:tcMar>
            <w:vAlign w:val="center"/>
          </w:tcPr>
          <w:p w14:paraId="62735567"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10</w:t>
            </w:r>
          </w:p>
        </w:tc>
        <w:tc>
          <w:tcPr>
            <w:tcW w:w="1255" w:type="dxa"/>
            <w:shd w:val="clear" w:color="auto" w:fill="FFF0E1"/>
            <w:tcMar>
              <w:top w:w="0" w:type="dxa"/>
              <w:left w:w="108" w:type="dxa"/>
              <w:bottom w:w="0" w:type="dxa"/>
              <w:right w:w="108" w:type="dxa"/>
            </w:tcMar>
            <w:vAlign w:val="center"/>
          </w:tcPr>
          <w:p w14:paraId="7DA0375E"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9.31</w:t>
            </w:r>
          </w:p>
        </w:tc>
      </w:tr>
      <w:tr w:rsidR="00052596" w14:paraId="603B7B45" w14:textId="77777777">
        <w:tblPrEx>
          <w:tblCellMar>
            <w:top w:w="0" w:type="dxa"/>
            <w:bottom w:w="0" w:type="dxa"/>
          </w:tblCellMar>
        </w:tblPrEx>
        <w:trPr>
          <w:trHeight w:val="227"/>
          <w:jc w:val="right"/>
        </w:trPr>
        <w:tc>
          <w:tcPr>
            <w:tcW w:w="2127" w:type="dxa"/>
            <w:tcBorders>
              <w:bottom w:val="single" w:sz="4" w:space="0" w:color="000000"/>
              <w:right w:val="single" w:sz="4" w:space="0" w:color="000000"/>
            </w:tcBorders>
            <w:shd w:val="clear" w:color="auto" w:fill="FFF0E1"/>
            <w:tcMar>
              <w:top w:w="0" w:type="dxa"/>
              <w:left w:w="0" w:type="dxa"/>
              <w:bottom w:w="0" w:type="dxa"/>
              <w:right w:w="0" w:type="dxa"/>
            </w:tcMar>
            <w:vAlign w:val="center"/>
          </w:tcPr>
          <w:p w14:paraId="6B28D7A2"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俄羅斯</w:t>
            </w:r>
          </w:p>
        </w:tc>
        <w:tc>
          <w:tcPr>
            <w:tcW w:w="1417"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18E5523F"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40</w:t>
            </w:r>
          </w:p>
        </w:tc>
        <w:tc>
          <w:tcPr>
            <w:tcW w:w="1307"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3091000C"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6.93</w:t>
            </w:r>
          </w:p>
        </w:tc>
        <w:tc>
          <w:tcPr>
            <w:tcW w:w="1265"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45BB98F0"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50</w:t>
            </w:r>
          </w:p>
        </w:tc>
        <w:tc>
          <w:tcPr>
            <w:tcW w:w="1255" w:type="dxa"/>
            <w:tcBorders>
              <w:bottom w:val="single" w:sz="4" w:space="0" w:color="000000"/>
            </w:tcBorders>
            <w:shd w:val="clear" w:color="auto" w:fill="FFF0E1"/>
            <w:tcMar>
              <w:top w:w="0" w:type="dxa"/>
              <w:left w:w="108" w:type="dxa"/>
              <w:bottom w:w="0" w:type="dxa"/>
              <w:right w:w="108" w:type="dxa"/>
            </w:tcMar>
            <w:vAlign w:val="center"/>
          </w:tcPr>
          <w:p w14:paraId="48E6FB17"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6.18</w:t>
            </w:r>
          </w:p>
        </w:tc>
      </w:tr>
      <w:tr w:rsidR="00052596" w14:paraId="21109B06" w14:textId="77777777">
        <w:tblPrEx>
          <w:tblCellMar>
            <w:top w:w="0" w:type="dxa"/>
            <w:bottom w:w="0" w:type="dxa"/>
          </w:tblCellMar>
        </w:tblPrEx>
        <w:trPr>
          <w:trHeight w:val="347"/>
          <w:jc w:val="right"/>
        </w:trPr>
        <w:tc>
          <w:tcPr>
            <w:tcW w:w="7371" w:type="dxa"/>
            <w:gridSpan w:val="5"/>
            <w:tcBorders>
              <w:top w:val="single" w:sz="4" w:space="0" w:color="000000"/>
              <w:bottom w:val="single" w:sz="4" w:space="0" w:color="000000"/>
            </w:tcBorders>
            <w:shd w:val="clear" w:color="auto" w:fill="FFF0E1"/>
            <w:tcMar>
              <w:top w:w="0" w:type="dxa"/>
              <w:left w:w="0" w:type="dxa"/>
              <w:bottom w:w="0" w:type="dxa"/>
              <w:right w:w="0" w:type="dxa"/>
            </w:tcMar>
            <w:vAlign w:val="center"/>
          </w:tcPr>
          <w:p w14:paraId="64F4DEB4" w14:textId="77777777" w:rsidR="00052596" w:rsidRDefault="00000000">
            <w:pPr>
              <w:widowControl/>
              <w:tabs>
                <w:tab w:val="left" w:pos="960"/>
                <w:tab w:val="left" w:pos="1920"/>
                <w:tab w:val="left" w:pos="2880"/>
                <w:tab w:val="left" w:pos="3840"/>
                <w:tab w:val="left" w:pos="4800"/>
                <w:tab w:val="left" w:pos="5760"/>
              </w:tabs>
              <w:spacing w:line="240" w:lineRule="atLeast"/>
              <w:ind w:right="432"/>
              <w:rPr>
                <w:rFonts w:eastAsia="標楷體"/>
                <w:color w:val="000000"/>
                <w:spacing w:val="-12"/>
                <w:kern w:val="0"/>
                <w:szCs w:val="24"/>
              </w:rPr>
            </w:pPr>
            <w:r>
              <w:rPr>
                <w:rFonts w:eastAsia="標楷體"/>
                <w:color w:val="000000"/>
                <w:spacing w:val="-12"/>
                <w:kern w:val="0"/>
                <w:szCs w:val="24"/>
              </w:rPr>
              <w:t>亞洲四小龍</w:t>
            </w:r>
          </w:p>
        </w:tc>
      </w:tr>
      <w:tr w:rsidR="00052596" w14:paraId="1E2454AB" w14:textId="77777777">
        <w:tblPrEx>
          <w:tblCellMar>
            <w:top w:w="0" w:type="dxa"/>
            <w:bottom w:w="0" w:type="dxa"/>
          </w:tblCellMar>
        </w:tblPrEx>
        <w:trPr>
          <w:trHeight w:val="262"/>
          <w:jc w:val="right"/>
        </w:trPr>
        <w:tc>
          <w:tcPr>
            <w:tcW w:w="2127" w:type="dxa"/>
            <w:tcBorders>
              <w:top w:val="single" w:sz="4" w:space="0" w:color="000000"/>
              <w:right w:val="single" w:sz="4" w:space="0" w:color="000000"/>
            </w:tcBorders>
            <w:shd w:val="clear" w:color="auto" w:fill="FFF0E1"/>
            <w:tcMar>
              <w:top w:w="0" w:type="dxa"/>
              <w:left w:w="0" w:type="dxa"/>
              <w:bottom w:w="0" w:type="dxa"/>
              <w:right w:w="0" w:type="dxa"/>
            </w:tcMar>
            <w:vAlign w:val="center"/>
          </w:tcPr>
          <w:p w14:paraId="151803C8"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南韓</w:t>
            </w:r>
          </w:p>
        </w:tc>
        <w:tc>
          <w:tcPr>
            <w:tcW w:w="1417"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5555D7E3"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21</w:t>
            </w:r>
          </w:p>
        </w:tc>
        <w:tc>
          <w:tcPr>
            <w:tcW w:w="1307"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5947FD33"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8.80</w:t>
            </w:r>
          </w:p>
        </w:tc>
        <w:tc>
          <w:tcPr>
            <w:tcW w:w="1265"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39C97049"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22</w:t>
            </w:r>
          </w:p>
        </w:tc>
        <w:tc>
          <w:tcPr>
            <w:tcW w:w="1255" w:type="dxa"/>
            <w:tcBorders>
              <w:top w:val="single" w:sz="4" w:space="0" w:color="000000"/>
            </w:tcBorders>
            <w:shd w:val="clear" w:color="auto" w:fill="FFF0E1"/>
            <w:tcMar>
              <w:top w:w="0" w:type="dxa"/>
              <w:left w:w="108" w:type="dxa"/>
              <w:bottom w:w="0" w:type="dxa"/>
              <w:right w:w="108" w:type="dxa"/>
            </w:tcMar>
            <w:vAlign w:val="center"/>
          </w:tcPr>
          <w:p w14:paraId="7FE5636D"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8.58</w:t>
            </w:r>
          </w:p>
        </w:tc>
      </w:tr>
      <w:tr w:rsidR="00052596" w14:paraId="606188E3" w14:textId="77777777">
        <w:tblPrEx>
          <w:tblCellMar>
            <w:top w:w="0" w:type="dxa"/>
            <w:bottom w:w="0" w:type="dxa"/>
          </w:tblCellMar>
        </w:tblPrEx>
        <w:trPr>
          <w:trHeight w:val="262"/>
          <w:jc w:val="right"/>
        </w:trPr>
        <w:tc>
          <w:tcPr>
            <w:tcW w:w="2127" w:type="dxa"/>
            <w:tcBorders>
              <w:right w:val="single" w:sz="4" w:space="0" w:color="000000"/>
            </w:tcBorders>
            <w:shd w:val="clear" w:color="auto" w:fill="FFF0E1"/>
            <w:tcMar>
              <w:top w:w="0" w:type="dxa"/>
              <w:left w:w="0" w:type="dxa"/>
              <w:bottom w:w="0" w:type="dxa"/>
              <w:right w:w="0" w:type="dxa"/>
            </w:tcMar>
            <w:vAlign w:val="center"/>
          </w:tcPr>
          <w:p w14:paraId="72D0F890"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b/>
                <w:color w:val="800000"/>
                <w:kern w:val="0"/>
                <w:szCs w:val="24"/>
              </w:rPr>
            </w:pPr>
            <w:r>
              <w:rPr>
                <w:rFonts w:eastAsia="標楷體"/>
                <w:b/>
                <w:color w:val="800000"/>
                <w:kern w:val="0"/>
                <w:szCs w:val="24"/>
              </w:rPr>
              <w:t>臺灣</w:t>
            </w:r>
          </w:p>
        </w:tc>
        <w:tc>
          <w:tcPr>
            <w:tcW w:w="1417" w:type="dxa"/>
            <w:tcBorders>
              <w:right w:val="single" w:sz="4" w:space="0" w:color="000000"/>
            </w:tcBorders>
            <w:shd w:val="clear" w:color="auto" w:fill="FFF0E1"/>
            <w:tcMar>
              <w:top w:w="0" w:type="dxa"/>
              <w:left w:w="108" w:type="dxa"/>
              <w:bottom w:w="0" w:type="dxa"/>
              <w:right w:w="108" w:type="dxa"/>
            </w:tcMar>
            <w:vAlign w:val="center"/>
          </w:tcPr>
          <w:p w14:paraId="55DCA159"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b/>
                <w:color w:val="800000"/>
                <w:kern w:val="0"/>
                <w:szCs w:val="24"/>
              </w:rPr>
            </w:pPr>
            <w:r>
              <w:rPr>
                <w:rFonts w:eastAsia="標楷體"/>
                <w:b/>
                <w:color w:val="800000"/>
                <w:kern w:val="0"/>
                <w:szCs w:val="24"/>
              </w:rPr>
              <w:t>9</w:t>
            </w:r>
          </w:p>
        </w:tc>
        <w:tc>
          <w:tcPr>
            <w:tcW w:w="1307" w:type="dxa"/>
            <w:tcBorders>
              <w:right w:val="single" w:sz="4" w:space="0" w:color="000000"/>
            </w:tcBorders>
            <w:shd w:val="clear" w:color="auto" w:fill="FFF0E1"/>
            <w:tcMar>
              <w:top w:w="0" w:type="dxa"/>
              <w:left w:w="108" w:type="dxa"/>
              <w:bottom w:w="0" w:type="dxa"/>
              <w:right w:w="108" w:type="dxa"/>
            </w:tcMar>
            <w:vAlign w:val="center"/>
          </w:tcPr>
          <w:p w14:paraId="0C26C90C"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b/>
                <w:color w:val="800000"/>
                <w:kern w:val="0"/>
                <w:szCs w:val="24"/>
              </w:rPr>
            </w:pPr>
            <w:r>
              <w:rPr>
                <w:rFonts w:eastAsia="標楷體"/>
                <w:b/>
                <w:color w:val="800000"/>
                <w:kern w:val="0"/>
                <w:szCs w:val="24"/>
              </w:rPr>
              <w:t>9.38</w:t>
            </w:r>
          </w:p>
        </w:tc>
        <w:tc>
          <w:tcPr>
            <w:tcW w:w="1265" w:type="dxa"/>
            <w:tcBorders>
              <w:right w:val="single" w:sz="4" w:space="0" w:color="000000"/>
            </w:tcBorders>
            <w:shd w:val="clear" w:color="auto" w:fill="FFF0E1"/>
            <w:tcMar>
              <w:top w:w="0" w:type="dxa"/>
              <w:left w:w="108" w:type="dxa"/>
              <w:bottom w:w="0" w:type="dxa"/>
              <w:right w:w="108" w:type="dxa"/>
            </w:tcMar>
            <w:vAlign w:val="center"/>
          </w:tcPr>
          <w:p w14:paraId="46FB928C"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b/>
                <w:color w:val="800000"/>
                <w:kern w:val="0"/>
                <w:szCs w:val="24"/>
              </w:rPr>
            </w:pPr>
            <w:r>
              <w:rPr>
                <w:rFonts w:eastAsia="標楷體"/>
                <w:b/>
                <w:color w:val="800000"/>
                <w:kern w:val="0"/>
                <w:szCs w:val="24"/>
              </w:rPr>
              <w:t>12</w:t>
            </w:r>
          </w:p>
        </w:tc>
        <w:tc>
          <w:tcPr>
            <w:tcW w:w="1255" w:type="dxa"/>
            <w:shd w:val="clear" w:color="auto" w:fill="FFF0E1"/>
            <w:tcMar>
              <w:top w:w="0" w:type="dxa"/>
              <w:left w:w="108" w:type="dxa"/>
              <w:bottom w:w="0" w:type="dxa"/>
              <w:right w:w="108" w:type="dxa"/>
            </w:tcMar>
            <w:vAlign w:val="center"/>
          </w:tcPr>
          <w:p w14:paraId="3C31DFBF"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b/>
                <w:color w:val="800000"/>
                <w:kern w:val="0"/>
                <w:szCs w:val="24"/>
              </w:rPr>
            </w:pPr>
            <w:r>
              <w:rPr>
                <w:rFonts w:eastAsia="標楷體"/>
                <w:b/>
                <w:color w:val="800000"/>
                <w:kern w:val="0"/>
                <w:szCs w:val="24"/>
              </w:rPr>
              <w:t>9.14</w:t>
            </w:r>
          </w:p>
        </w:tc>
      </w:tr>
      <w:tr w:rsidR="00052596" w14:paraId="4D1C2416" w14:textId="77777777">
        <w:tblPrEx>
          <w:tblCellMar>
            <w:top w:w="0" w:type="dxa"/>
            <w:bottom w:w="0" w:type="dxa"/>
          </w:tblCellMar>
        </w:tblPrEx>
        <w:trPr>
          <w:trHeight w:val="262"/>
          <w:jc w:val="right"/>
        </w:trPr>
        <w:tc>
          <w:tcPr>
            <w:tcW w:w="2127" w:type="dxa"/>
            <w:tcBorders>
              <w:right w:val="single" w:sz="4" w:space="0" w:color="000000"/>
            </w:tcBorders>
            <w:shd w:val="clear" w:color="auto" w:fill="FFF0E1"/>
            <w:tcMar>
              <w:top w:w="0" w:type="dxa"/>
              <w:left w:w="0" w:type="dxa"/>
              <w:bottom w:w="0" w:type="dxa"/>
              <w:right w:w="0" w:type="dxa"/>
            </w:tcMar>
            <w:vAlign w:val="center"/>
          </w:tcPr>
          <w:p w14:paraId="18CD58E4"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新加坡</w:t>
            </w:r>
          </w:p>
        </w:tc>
        <w:tc>
          <w:tcPr>
            <w:tcW w:w="1417" w:type="dxa"/>
            <w:tcBorders>
              <w:right w:val="single" w:sz="4" w:space="0" w:color="000000"/>
            </w:tcBorders>
            <w:shd w:val="clear" w:color="auto" w:fill="FFF0E1"/>
            <w:tcMar>
              <w:top w:w="0" w:type="dxa"/>
              <w:left w:w="108" w:type="dxa"/>
              <w:bottom w:w="0" w:type="dxa"/>
              <w:right w:w="108" w:type="dxa"/>
            </w:tcMar>
            <w:vAlign w:val="center"/>
          </w:tcPr>
          <w:p w14:paraId="18D7CFF0"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4</w:t>
            </w:r>
          </w:p>
        </w:tc>
        <w:tc>
          <w:tcPr>
            <w:tcW w:w="1307" w:type="dxa"/>
            <w:tcBorders>
              <w:right w:val="single" w:sz="4" w:space="0" w:color="000000"/>
            </w:tcBorders>
            <w:shd w:val="clear" w:color="auto" w:fill="FFF0E1"/>
            <w:tcMar>
              <w:top w:w="0" w:type="dxa"/>
              <w:left w:w="108" w:type="dxa"/>
              <w:bottom w:w="0" w:type="dxa"/>
              <w:right w:w="108" w:type="dxa"/>
            </w:tcMar>
            <w:vAlign w:val="center"/>
          </w:tcPr>
          <w:p w14:paraId="2A50EB01"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9.49</w:t>
            </w:r>
          </w:p>
        </w:tc>
        <w:tc>
          <w:tcPr>
            <w:tcW w:w="1265" w:type="dxa"/>
            <w:tcBorders>
              <w:right w:val="single" w:sz="4" w:space="0" w:color="000000"/>
            </w:tcBorders>
            <w:shd w:val="clear" w:color="auto" w:fill="FFF0E1"/>
            <w:tcMar>
              <w:top w:w="0" w:type="dxa"/>
              <w:left w:w="108" w:type="dxa"/>
              <w:bottom w:w="0" w:type="dxa"/>
              <w:right w:w="108" w:type="dxa"/>
            </w:tcMar>
            <w:vAlign w:val="center"/>
          </w:tcPr>
          <w:p w14:paraId="7D543D68"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11</w:t>
            </w:r>
          </w:p>
        </w:tc>
        <w:tc>
          <w:tcPr>
            <w:tcW w:w="1255" w:type="dxa"/>
            <w:shd w:val="clear" w:color="auto" w:fill="FFF0E1"/>
            <w:tcMar>
              <w:top w:w="0" w:type="dxa"/>
              <w:left w:w="108" w:type="dxa"/>
              <w:bottom w:w="0" w:type="dxa"/>
              <w:right w:w="108" w:type="dxa"/>
            </w:tcMar>
            <w:vAlign w:val="center"/>
          </w:tcPr>
          <w:p w14:paraId="23C4B9E4"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9.29</w:t>
            </w:r>
          </w:p>
        </w:tc>
      </w:tr>
      <w:tr w:rsidR="00052596" w14:paraId="64EE6D76" w14:textId="77777777">
        <w:tblPrEx>
          <w:tblCellMar>
            <w:top w:w="0" w:type="dxa"/>
            <w:bottom w:w="0" w:type="dxa"/>
          </w:tblCellMar>
        </w:tblPrEx>
        <w:trPr>
          <w:trHeight w:val="262"/>
          <w:jc w:val="right"/>
        </w:trPr>
        <w:tc>
          <w:tcPr>
            <w:tcW w:w="2127" w:type="dxa"/>
            <w:tcBorders>
              <w:bottom w:val="single" w:sz="4" w:space="0" w:color="000000"/>
              <w:right w:val="single" w:sz="4" w:space="0" w:color="000000"/>
            </w:tcBorders>
            <w:shd w:val="clear" w:color="auto" w:fill="FFF0E1"/>
            <w:tcMar>
              <w:top w:w="0" w:type="dxa"/>
              <w:left w:w="0" w:type="dxa"/>
              <w:bottom w:w="0" w:type="dxa"/>
              <w:right w:w="0" w:type="dxa"/>
            </w:tcMar>
            <w:vAlign w:val="center"/>
          </w:tcPr>
          <w:p w14:paraId="4BA14C0A" w14:textId="77777777" w:rsidR="00052596" w:rsidRDefault="00000000">
            <w:pPr>
              <w:widowControl/>
              <w:tabs>
                <w:tab w:val="left" w:pos="960"/>
                <w:tab w:val="left" w:pos="1920"/>
                <w:tab w:val="left" w:pos="2880"/>
                <w:tab w:val="left" w:pos="3840"/>
                <w:tab w:val="left" w:pos="4800"/>
                <w:tab w:val="left" w:pos="5760"/>
              </w:tabs>
              <w:spacing w:line="280" w:lineRule="exact"/>
              <w:ind w:left="240" w:right="240"/>
              <w:rPr>
                <w:rFonts w:eastAsia="標楷體"/>
                <w:color w:val="000000"/>
                <w:kern w:val="0"/>
                <w:szCs w:val="24"/>
              </w:rPr>
            </w:pPr>
            <w:r>
              <w:rPr>
                <w:rFonts w:eastAsia="標楷體"/>
                <w:color w:val="000000"/>
                <w:kern w:val="0"/>
                <w:szCs w:val="24"/>
              </w:rPr>
              <w:t>香港</w:t>
            </w:r>
          </w:p>
        </w:tc>
        <w:tc>
          <w:tcPr>
            <w:tcW w:w="1417"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05EEF2A1"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14</w:t>
            </w:r>
          </w:p>
        </w:tc>
        <w:tc>
          <w:tcPr>
            <w:tcW w:w="1307"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3ADEB98B"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9.10</w:t>
            </w:r>
          </w:p>
        </w:tc>
        <w:tc>
          <w:tcPr>
            <w:tcW w:w="1265"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0D80E609" w14:textId="77777777" w:rsidR="00052596" w:rsidRDefault="00000000">
            <w:pPr>
              <w:widowControl/>
              <w:tabs>
                <w:tab w:val="left" w:pos="960"/>
                <w:tab w:val="left" w:pos="1920"/>
                <w:tab w:val="left" w:pos="2880"/>
                <w:tab w:val="left" w:pos="3840"/>
                <w:tab w:val="left" w:pos="4800"/>
                <w:tab w:val="left" w:pos="5760"/>
              </w:tabs>
              <w:spacing w:line="280" w:lineRule="exact"/>
              <w:ind w:right="432"/>
              <w:jc w:val="right"/>
              <w:rPr>
                <w:rFonts w:eastAsia="標楷體"/>
                <w:color w:val="000000"/>
                <w:kern w:val="0"/>
                <w:szCs w:val="24"/>
              </w:rPr>
            </w:pPr>
            <w:r>
              <w:rPr>
                <w:rFonts w:eastAsia="標楷體"/>
                <w:color w:val="000000"/>
                <w:kern w:val="0"/>
                <w:szCs w:val="24"/>
              </w:rPr>
              <w:t>27</w:t>
            </w:r>
          </w:p>
        </w:tc>
        <w:tc>
          <w:tcPr>
            <w:tcW w:w="1255" w:type="dxa"/>
            <w:tcBorders>
              <w:bottom w:val="single" w:sz="4" w:space="0" w:color="000000"/>
            </w:tcBorders>
            <w:shd w:val="clear" w:color="auto" w:fill="FFF0E1"/>
            <w:tcMar>
              <w:top w:w="0" w:type="dxa"/>
              <w:left w:w="108" w:type="dxa"/>
              <w:bottom w:w="0" w:type="dxa"/>
              <w:right w:w="108" w:type="dxa"/>
            </w:tcMar>
            <w:vAlign w:val="center"/>
          </w:tcPr>
          <w:p w14:paraId="2505A743" w14:textId="77777777" w:rsidR="00052596" w:rsidRDefault="00000000">
            <w:pPr>
              <w:widowControl/>
              <w:tabs>
                <w:tab w:val="left" w:pos="960"/>
                <w:tab w:val="left" w:pos="1920"/>
                <w:tab w:val="left" w:pos="2880"/>
                <w:tab w:val="left" w:pos="3840"/>
                <w:tab w:val="left" w:pos="4800"/>
                <w:tab w:val="left" w:pos="5760"/>
              </w:tabs>
              <w:spacing w:line="280" w:lineRule="exact"/>
              <w:jc w:val="center"/>
              <w:rPr>
                <w:rFonts w:eastAsia="標楷體"/>
                <w:color w:val="000000"/>
                <w:kern w:val="0"/>
                <w:szCs w:val="24"/>
              </w:rPr>
            </w:pPr>
            <w:r>
              <w:rPr>
                <w:rFonts w:eastAsia="標楷體"/>
                <w:color w:val="000000"/>
                <w:kern w:val="0"/>
                <w:szCs w:val="24"/>
              </w:rPr>
              <w:t>7.93</w:t>
            </w:r>
          </w:p>
        </w:tc>
      </w:tr>
    </w:tbl>
    <w:p w14:paraId="29EA2395" w14:textId="77777777" w:rsidR="00052596" w:rsidRDefault="00000000">
      <w:pPr>
        <w:overflowPunct w:val="0"/>
        <w:autoSpaceDE w:val="0"/>
        <w:spacing w:before="48" w:line="240" w:lineRule="exact"/>
        <w:ind w:left="1140" w:right="238" w:firstLine="624"/>
        <w:jc w:val="both"/>
        <w:textAlignment w:val="center"/>
        <w:rPr>
          <w:rFonts w:eastAsia="標楷體"/>
          <w:color w:val="000000"/>
          <w:spacing w:val="-2"/>
          <w:kern w:val="0"/>
          <w:sz w:val="22"/>
          <w:szCs w:val="22"/>
        </w:rPr>
      </w:pPr>
      <w:r>
        <w:rPr>
          <w:rFonts w:eastAsia="標楷體"/>
          <w:color w:val="000000"/>
          <w:spacing w:val="-2"/>
          <w:kern w:val="0"/>
          <w:sz w:val="22"/>
          <w:szCs w:val="22"/>
        </w:rPr>
        <w:t>註：指標評分滿分為</w:t>
      </w:r>
      <w:r>
        <w:rPr>
          <w:rFonts w:eastAsia="標楷體"/>
          <w:color w:val="000000"/>
          <w:spacing w:val="-2"/>
          <w:kern w:val="0"/>
          <w:sz w:val="22"/>
          <w:szCs w:val="22"/>
        </w:rPr>
        <w:t>10</w:t>
      </w:r>
      <w:r>
        <w:rPr>
          <w:rFonts w:eastAsia="標楷體"/>
          <w:color w:val="000000"/>
          <w:spacing w:val="-2"/>
          <w:kern w:val="0"/>
          <w:sz w:val="22"/>
          <w:szCs w:val="22"/>
        </w:rPr>
        <w:t>分。</w:t>
      </w:r>
    </w:p>
    <w:p w14:paraId="1663CB32" w14:textId="77777777" w:rsidR="00052596" w:rsidRDefault="00000000">
      <w:pPr>
        <w:overflowPunct w:val="0"/>
        <w:autoSpaceDE w:val="0"/>
        <w:spacing w:after="240" w:line="240" w:lineRule="exact"/>
        <w:ind w:left="1135" w:right="238" w:hanging="43"/>
        <w:jc w:val="both"/>
        <w:textAlignment w:val="center"/>
        <w:rPr>
          <w:rFonts w:eastAsia="標楷體"/>
          <w:spacing w:val="-2"/>
          <w:kern w:val="0"/>
          <w:sz w:val="22"/>
          <w:szCs w:val="22"/>
        </w:rPr>
      </w:pPr>
      <w:r>
        <w:rPr>
          <w:rFonts w:eastAsia="標楷體"/>
          <w:spacing w:val="-2"/>
          <w:kern w:val="0"/>
          <w:sz w:val="22"/>
          <w:szCs w:val="22"/>
        </w:rPr>
        <w:t>資料來源：世界銀行網站。</w:t>
      </w:r>
    </w:p>
    <w:p w14:paraId="0D76FC4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二</w:t>
      </w:r>
      <w:r>
        <w:rPr>
          <w:rFonts w:ascii="標楷體" w:eastAsia="標楷體" w:hAnsi="標楷體"/>
          <w:spacing w:val="4"/>
          <w:kern w:val="0"/>
          <w:sz w:val="28"/>
          <w:szCs w:val="22"/>
        </w:rPr>
        <w:t>)總要素生產力</w:t>
      </w:r>
    </w:p>
    <w:p w14:paraId="28B82135" w14:textId="77777777" w:rsidR="00052596" w:rsidRDefault="00000000">
      <w:pPr>
        <w:overflowPunct w:val="0"/>
        <w:autoSpaceDE w:val="0"/>
        <w:spacing w:line="420" w:lineRule="exact"/>
        <w:ind w:left="792" w:firstLine="596"/>
        <w:textAlignment w:val="center"/>
      </w:pPr>
      <w:r>
        <w:rPr>
          <w:rFonts w:eastAsia="標楷體"/>
          <w:color w:val="000000"/>
          <w:spacing w:val="2"/>
          <w:kern w:val="0"/>
          <w:sz w:val="28"/>
          <w:szCs w:val="26"/>
        </w:rPr>
        <w:t>90</w:t>
      </w:r>
      <w:r>
        <w:rPr>
          <w:rFonts w:eastAsia="標楷體"/>
          <w:color w:val="000000"/>
          <w:spacing w:val="2"/>
          <w:kern w:val="0"/>
          <w:sz w:val="28"/>
          <w:szCs w:val="26"/>
        </w:rPr>
        <w:t>至</w:t>
      </w:r>
      <w:r>
        <w:rPr>
          <w:rFonts w:eastAsia="標楷體"/>
          <w:color w:val="000000"/>
          <w:spacing w:val="2"/>
          <w:kern w:val="0"/>
          <w:sz w:val="28"/>
          <w:szCs w:val="26"/>
        </w:rPr>
        <w:t>100</w:t>
      </w:r>
      <w:r>
        <w:rPr>
          <w:rFonts w:eastAsia="標楷體"/>
          <w:color w:val="000000"/>
          <w:spacing w:val="2"/>
          <w:kern w:val="0"/>
          <w:sz w:val="28"/>
          <w:szCs w:val="26"/>
        </w:rPr>
        <w:t>年臺灣經濟成長率平均</w:t>
      </w:r>
      <w:r>
        <w:rPr>
          <w:rFonts w:eastAsia="標楷體"/>
          <w:color w:val="000000"/>
          <w:spacing w:val="2"/>
          <w:kern w:val="0"/>
          <w:sz w:val="28"/>
          <w:szCs w:val="26"/>
        </w:rPr>
        <w:t>3.94%</w:t>
      </w:r>
      <w:r>
        <w:rPr>
          <w:rFonts w:eastAsia="標楷體"/>
          <w:color w:val="000000"/>
          <w:spacing w:val="2"/>
          <w:kern w:val="0"/>
          <w:sz w:val="28"/>
          <w:szCs w:val="26"/>
        </w:rPr>
        <w:t>，</w:t>
      </w:r>
      <w:r>
        <w:rPr>
          <w:rFonts w:eastAsia="標楷體"/>
          <w:spacing w:val="2"/>
          <w:kern w:val="0"/>
          <w:sz w:val="28"/>
          <w:szCs w:val="26"/>
        </w:rPr>
        <w:t>遠低於</w:t>
      </w:r>
      <w:r>
        <w:rPr>
          <w:rFonts w:eastAsia="標楷體"/>
          <w:spacing w:val="2"/>
          <w:kern w:val="0"/>
          <w:sz w:val="28"/>
          <w:szCs w:val="26"/>
        </w:rPr>
        <w:t>80</w:t>
      </w:r>
      <w:r>
        <w:rPr>
          <w:rFonts w:eastAsia="標楷體"/>
          <w:spacing w:val="2"/>
          <w:kern w:val="0"/>
          <w:sz w:val="28"/>
          <w:szCs w:val="26"/>
        </w:rPr>
        <w:t>至</w:t>
      </w:r>
      <w:r>
        <w:rPr>
          <w:rFonts w:eastAsia="標楷體"/>
          <w:spacing w:val="2"/>
          <w:kern w:val="0"/>
          <w:sz w:val="28"/>
          <w:szCs w:val="26"/>
        </w:rPr>
        <w:t>89</w:t>
      </w:r>
      <w:r>
        <w:rPr>
          <w:rFonts w:eastAsia="標楷體"/>
          <w:spacing w:val="2"/>
          <w:kern w:val="0"/>
          <w:sz w:val="28"/>
          <w:szCs w:val="26"/>
        </w:rPr>
        <w:t>年的平均</w:t>
      </w:r>
      <w:r>
        <w:rPr>
          <w:rFonts w:eastAsia="標楷體"/>
          <w:spacing w:val="2"/>
          <w:kern w:val="0"/>
          <w:sz w:val="28"/>
          <w:szCs w:val="26"/>
        </w:rPr>
        <w:t>6.24%</w:t>
      </w:r>
      <w:r>
        <w:rPr>
          <w:rFonts w:eastAsia="標楷體"/>
          <w:spacing w:val="2"/>
          <w:kern w:val="0"/>
          <w:sz w:val="28"/>
          <w:szCs w:val="26"/>
        </w:rPr>
        <w:t>。從經濟成長來源分析，主因有二：一是來自民間投資實質成長率下降，所導致資本累積減緩的效應；二是來自總</w:t>
      </w:r>
    </w:p>
    <w:p w14:paraId="3ADEAEB1" w14:textId="77777777" w:rsidR="00052596" w:rsidRDefault="00000000">
      <w:pPr>
        <w:overflowPunct w:val="0"/>
        <w:autoSpaceDE w:val="0"/>
        <w:spacing w:line="420" w:lineRule="exact"/>
        <w:ind w:left="792" w:firstLine="504"/>
        <w:textAlignment w:val="center"/>
      </w:pPr>
      <w:r>
        <w:rPr>
          <w:noProof/>
        </w:rPr>
        <mc:AlternateContent>
          <mc:Choice Requires="wps">
            <w:drawing>
              <wp:anchor distT="0" distB="0" distL="114300" distR="114300" simplePos="0" relativeHeight="251638272" behindDoc="1" locked="0" layoutInCell="1" allowOverlap="1" wp14:anchorId="27039718" wp14:editId="4FC83F2C">
                <wp:simplePos x="0" y="0"/>
                <wp:positionH relativeFrom="column">
                  <wp:posOffset>91440</wp:posOffset>
                </wp:positionH>
                <wp:positionV relativeFrom="paragraph">
                  <wp:posOffset>-11430</wp:posOffset>
                </wp:positionV>
                <wp:extent cx="5255898" cy="8136258"/>
                <wp:effectExtent l="0" t="0" r="20952" b="17142"/>
                <wp:wrapNone/>
                <wp:docPr id="86" name="文字方塊 17478"/>
                <wp:cNvGraphicFramePr/>
                <a:graphic xmlns:a="http://schemas.openxmlformats.org/drawingml/2006/main">
                  <a:graphicData uri="http://schemas.microsoft.com/office/word/2010/wordprocessingShape">
                    <wps:wsp>
                      <wps:cNvSpPr txBox="1"/>
                      <wps:spPr>
                        <a:xfrm>
                          <a:off x="0" y="0"/>
                          <a:ext cx="5255898" cy="8136258"/>
                        </a:xfrm>
                        <a:prstGeom prst="rect">
                          <a:avLst/>
                        </a:prstGeom>
                        <a:solidFill>
                          <a:srgbClr val="EFF5FF"/>
                        </a:solidFill>
                        <a:ln w="9528">
                          <a:solidFill>
                            <a:srgbClr val="000000"/>
                          </a:solidFill>
                          <a:prstDash val="solid"/>
                        </a:ln>
                      </wps:spPr>
                      <wps:txbx>
                        <w:txbxContent>
                          <w:p w14:paraId="65563C36" w14:textId="77777777" w:rsidR="00052596" w:rsidRDefault="00000000">
                            <w:pPr>
                              <w:pStyle w:val="t12"/>
                              <w:spacing w:before="240" w:after="120"/>
                              <w:rPr>
                                <w:color w:val="0000FF"/>
                              </w:rPr>
                            </w:pPr>
                            <w:r>
                              <w:rPr>
                                <w:color w:val="0000FF"/>
                              </w:rPr>
                              <w:t>全球創新版圖與臺灣機會</w:t>
                            </w:r>
                          </w:p>
                          <w:p w14:paraId="3850CBB2" w14:textId="77777777" w:rsidR="00052596" w:rsidRDefault="00000000">
                            <w:pPr>
                              <w:pStyle w:val="t11"/>
                              <w:spacing w:line="340" w:lineRule="exact"/>
                              <w:ind w:left="72" w:right="72" w:firstLine="472"/>
                            </w:pPr>
                            <w:r>
                              <w:t>聯合國教科文組織「2010年科學報告」(UNESCO Science Report 2010)指出，隨著知識經濟及ICT技術的快速發展，知識累積愈加重要，知識傳播更無遠弗屆，知識投資與創意流動在全球經濟中的角色也愈加凸顯。當前全球創新版圖顯現二項重要趨勢：(1)全球創新動能朝亞洲轉移，亞洲占世界研發支出比重由2002年的27.1%增至2007年(可供國際比較的最近年度)的32.2%，略低於美洲的37.9%，但高於歐洲的27.4%。(2)跨境創意流動成為全球化的重要一環，與商品及服務貿易同等重要。我國應掌握此一新趨勢，</w:t>
                            </w:r>
                            <w:r>
                              <w:rPr>
                                <w:color w:val="000000"/>
                              </w:rPr>
                              <w:t>以打造臺灣成為亞太智財創造與應用的強國。</w:t>
                            </w:r>
                          </w:p>
                          <w:p w14:paraId="0EA32A9B" w14:textId="77777777" w:rsidR="00052596" w:rsidRDefault="00000000">
                            <w:pPr>
                              <w:pStyle w:val="t11"/>
                              <w:spacing w:line="340" w:lineRule="exact"/>
                              <w:ind w:left="72" w:right="72" w:firstLine="472"/>
                            </w:pPr>
                            <w:r>
                              <w:t>近年來，面對國際研發創新競爭態勢，政府持續強化研發創新投入，創新成果的質與量均佳。</w:t>
                            </w:r>
                          </w:p>
                          <w:p w14:paraId="24A645F7" w14:textId="77777777" w:rsidR="00052596" w:rsidRDefault="00000000">
                            <w:pPr>
                              <w:pStyle w:val="t11"/>
                              <w:spacing w:line="340" w:lineRule="exact"/>
                              <w:ind w:left="308" w:right="72" w:hanging="236"/>
                            </w:pPr>
                            <w:r>
                              <w:t>－創新投入：94至96年國內研發經費占GDP比率由2.39%增至2.57%，97及98年研發經費續增，加以GDP受全球金融海嘯影響而轉降，研發經費占GDP比率分別提升至2.78%及2</w:t>
                            </w:r>
                            <w:r>
                              <w:rPr>
                                <w:color w:val="000000"/>
                              </w:rPr>
                              <w:t>.94%。99年研發經費3,950億元，較98年增加7.6%，然因低於GDP的成長率10.76%，致研發經費占GDP比率略降為2.91%，低於同期日本3.3%及南韓3.7%。另99年企業研發經費占產業附加價值比率2.64%，為近6年來次高水準；每千人口研究人員數7.1人，為94年以來最高。</w:t>
                            </w:r>
                          </w:p>
                          <w:p w14:paraId="19D6DD6A" w14:textId="77777777" w:rsidR="00052596" w:rsidRDefault="00000000">
                            <w:pPr>
                              <w:pStyle w:val="t11"/>
                              <w:spacing w:line="340" w:lineRule="exact"/>
                              <w:ind w:left="308" w:right="72" w:hanging="236"/>
                            </w:pPr>
                            <w:r>
                              <w:rPr>
                                <w:color w:val="000000"/>
                              </w:rPr>
                              <w:t>－創新產出：100年我國獲美國專利數8,786件，較99年增加6.6</w:t>
                            </w:r>
                            <w:r>
                              <w:t>%，排名全球第5位；前10大國際品牌價值115.58億美元，較99年成長43.9%；獲國際4大設計獎(德國iF、德國reddot、美國IDEA及日本G-Mark)計290件。</w:t>
                            </w:r>
                          </w:p>
                          <w:p w14:paraId="62F8E653" w14:textId="77777777" w:rsidR="00052596" w:rsidRDefault="00000000">
                            <w:pPr>
                              <w:pStyle w:val="t11"/>
                              <w:spacing w:line="340" w:lineRule="exact"/>
                              <w:ind w:left="308" w:right="72" w:hanging="236"/>
                            </w:pPr>
                            <w:r>
                              <w:t>－創意流動：95至99年我國SCI論文被引用次數全球排名第19位；平均每篇被引用次數3.5次，全球排名第23位。世界銀行指出，1990年代中期以來，我國創意活動中知識外溢效果日益增強，東亞各國引用臺灣專利的頻率，遠高於美國及日本，顯示我國在東亞跨境知識流動具影響力。</w:t>
                            </w:r>
                          </w:p>
                        </w:txbxContent>
                      </wps:txbx>
                      <wps:bodyPr wrap="square" lIns="90004" tIns="0" rIns="90004" bIns="0" anchor="t">
                        <a:noAutofit/>
                      </wps:bodyPr>
                    </wps:wsp>
                  </a:graphicData>
                </a:graphic>
              </wp:anchor>
            </w:drawing>
          </mc:Choice>
          <mc:Fallback>
            <w:pict>
              <v:shape w14:anchorId="27039718" id="文字方塊 17478" o:spid="_x0000_s1031" type="#_x0000_t202" style="position:absolute;left:0;text-align:left;margin-left:7.2pt;margin-top:-.9pt;width:413.85pt;height:640.6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" fillcolor="#eff5ff" strokeweight=".26467mm">
                <v:textbox inset="2.50011mm,0,2.50011mm,0">
                  <w:txbxContent>
                    <w:p w14:paraId="65563C36" w14:textId="77777777" w:rsidR="00052596" w:rsidRDefault="00000000">
                      <w:pPr>
                        <w:pStyle w:val="t12"/>
                        <w:spacing w:before="240" w:after="120"/>
                        <w:rPr>
                          <w:color w:val="0000FF"/>
                        </w:rPr>
                      </w:pPr>
                      <w:r>
                        <w:rPr>
                          <w:color w:val="0000FF"/>
                        </w:rPr>
                        <w:t>全球創新版圖與臺灣機會</w:t>
                      </w:r>
                    </w:p>
                    <w:p w14:paraId="3850CBB2" w14:textId="77777777" w:rsidR="00052596" w:rsidRDefault="00000000">
                      <w:pPr>
                        <w:pStyle w:val="t11"/>
                        <w:spacing w:line="340" w:lineRule="exact"/>
                        <w:ind w:left="72" w:right="72" w:firstLine="472"/>
                      </w:pPr>
                      <w:r>
                        <w:t>聯合國教科文組織「2010年科學報告」(UNESCO Science Report 2010)指出，隨著知識經濟及ICT技術的快速發展，知識累積愈加重要，知識傳播更無遠弗屆，知識投資與創意流動在全球經濟中的角色也愈加凸顯。當前全球創新版圖顯現二項重要趨勢：(1)全球創新動能朝亞洲轉移，亞洲占世界研發支出比重由2002年的27.1%增至2007年(可供國際比較的最近年度)的32.2%，略低於美洲的37.9%，但高於歐洲的27.4%。(2)跨境創意流動成為全球化的重要一環，與商品及服務貿易同等重要。我國應掌握此一新趨勢，</w:t>
                      </w:r>
                      <w:r>
                        <w:rPr>
                          <w:color w:val="000000"/>
                        </w:rPr>
                        <w:t>以打造臺灣成為亞太智財創造與應用的強國。</w:t>
                      </w:r>
                    </w:p>
                    <w:p w14:paraId="0EA32A9B" w14:textId="77777777" w:rsidR="00052596" w:rsidRDefault="00000000">
                      <w:pPr>
                        <w:pStyle w:val="t11"/>
                        <w:spacing w:line="340" w:lineRule="exact"/>
                        <w:ind w:left="72" w:right="72" w:firstLine="472"/>
                      </w:pPr>
                      <w:r>
                        <w:t>近年來，面對國際研發創新競爭態勢，政府持續強化研發創新投入，創新成果的質與量均佳。</w:t>
                      </w:r>
                    </w:p>
                    <w:p w14:paraId="24A645F7" w14:textId="77777777" w:rsidR="00052596" w:rsidRDefault="00000000">
                      <w:pPr>
                        <w:pStyle w:val="t11"/>
                        <w:spacing w:line="340" w:lineRule="exact"/>
                        <w:ind w:left="308" w:right="72" w:hanging="236"/>
                      </w:pPr>
                      <w:r>
                        <w:t>－創新投入：94至96年國內研發經費占GDP比率由2.39%增至2.57%，97及98年研發經費續增，加以GDP受全球金融海嘯影響而轉降，研發經費占GDP比率分別提升至2.78%及2</w:t>
                      </w:r>
                      <w:r>
                        <w:rPr>
                          <w:color w:val="000000"/>
                        </w:rPr>
                        <w:t>.94%。99年研發經費3,950億元，較98年增加7.6%，然因低於GDP的成長率10.76%，致研發經費占GDP比率略降為2.91%，低於同期日本3.3%及南韓3.7%。另99年企業研發經費占產業附加價值比率2.64%，為近6年來次高水準；每千人口研究人員數7.1人，為94年以來最高。</w:t>
                      </w:r>
                    </w:p>
                    <w:p w14:paraId="19D6DD6A" w14:textId="77777777" w:rsidR="00052596" w:rsidRDefault="00000000">
                      <w:pPr>
                        <w:pStyle w:val="t11"/>
                        <w:spacing w:line="340" w:lineRule="exact"/>
                        <w:ind w:left="308" w:right="72" w:hanging="236"/>
                      </w:pPr>
                      <w:r>
                        <w:rPr>
                          <w:color w:val="000000"/>
                        </w:rPr>
                        <w:t>－創新產出：100年我國獲美國專利數8,786件，較99年增加6.6</w:t>
                      </w:r>
                      <w:r>
                        <w:t>%，排名全球第5位；前10大國際品牌價值115.58億美元，較99年成長43.9%；獲國際4大設計獎(德國iF、德國reddot、美國IDEA及日本G-Mark)計290件。</w:t>
                      </w:r>
                    </w:p>
                    <w:p w14:paraId="62F8E653" w14:textId="77777777" w:rsidR="00052596" w:rsidRDefault="00000000">
                      <w:pPr>
                        <w:pStyle w:val="t11"/>
                        <w:spacing w:line="340" w:lineRule="exact"/>
                        <w:ind w:left="308" w:right="72" w:hanging="236"/>
                      </w:pPr>
                      <w:r>
                        <w:t>－創意流動：95至99年我國SCI論文被引用次數全球排名第19位；平均每篇被引用次數3.5次，全球排名第23位。世界銀行指出，1990年代中期以來，我國創意活動中知識外溢效果日益增強，東亞各國引用臺灣專利的頻率，遠高於美國及日本，顯示我國在東亞跨境知識流動具影響力。</w:t>
                      </w:r>
                    </w:p>
                  </w:txbxContent>
                </v:textbox>
              </v:shape>
            </w:pict>
          </mc:Fallback>
        </mc:AlternateContent>
      </w:r>
    </w:p>
    <w:p w14:paraId="0BE09E3C" w14:textId="77777777" w:rsidR="00052596" w:rsidRDefault="00052596">
      <w:pPr>
        <w:overflowPunct w:val="0"/>
        <w:autoSpaceDE w:val="0"/>
        <w:spacing w:line="420" w:lineRule="exact"/>
        <w:ind w:left="792" w:firstLine="596"/>
        <w:textAlignment w:val="center"/>
        <w:rPr>
          <w:rFonts w:eastAsia="標楷體"/>
          <w:spacing w:val="2"/>
          <w:kern w:val="0"/>
          <w:sz w:val="28"/>
          <w:szCs w:val="26"/>
        </w:rPr>
      </w:pPr>
    </w:p>
    <w:p w14:paraId="432326C8" w14:textId="77777777" w:rsidR="00052596" w:rsidRDefault="00000000">
      <w:pPr>
        <w:widowControl/>
      </w:pPr>
      <w:r>
        <w:rPr>
          <w:noProof/>
        </w:rPr>
        <mc:AlternateContent>
          <mc:Choice Requires="wpg">
            <w:drawing>
              <wp:anchor distT="0" distB="0" distL="114300" distR="114300" simplePos="0" relativeHeight="251639296" behindDoc="1" locked="0" layoutInCell="1" allowOverlap="1" wp14:anchorId="502C5173" wp14:editId="4F3D9A25">
                <wp:simplePos x="0" y="0"/>
                <wp:positionH relativeFrom="column">
                  <wp:posOffset>158118</wp:posOffset>
                </wp:positionH>
                <wp:positionV relativeFrom="paragraph">
                  <wp:posOffset>4912998</wp:posOffset>
                </wp:positionV>
                <wp:extent cx="5124453" cy="2666992"/>
                <wp:effectExtent l="0" t="0" r="0" b="8"/>
                <wp:wrapNone/>
                <wp:docPr id="87" name="群組 17475"/>
                <wp:cNvGraphicFramePr/>
                <a:graphic xmlns:a="http://schemas.openxmlformats.org/drawingml/2006/main">
                  <a:graphicData uri="http://schemas.microsoft.com/office/word/2010/wordprocessingGroup">
                    <wpg:wgp>
                      <wpg:cNvGrpSpPr/>
                      <wpg:grpSpPr>
                        <a:xfrm>
                          <a:off x="0" y="0"/>
                          <a:ext cx="5124453" cy="2666992"/>
                          <a:chOff x="0" y="0"/>
                          <a:chExt cx="5124453" cy="2666992"/>
                        </a:xfrm>
                      </wpg:grpSpPr>
                      <wps:wsp>
                        <wps:cNvPr id="88" name="矩形 49"/>
                        <wps:cNvSpPr/>
                        <wps:spPr>
                          <a:xfrm>
                            <a:off x="2514600" y="9518"/>
                            <a:ext cx="2609853" cy="2657474"/>
                          </a:xfrm>
                          <a:prstGeom prst="rect">
                            <a:avLst/>
                          </a:prstGeom>
                          <a:solidFill>
                            <a:srgbClr val="FFF0E1"/>
                          </a:solidFill>
                          <a:ln>
                            <a:noFill/>
                            <a:prstDash val="solid"/>
                          </a:ln>
                        </wps:spPr>
                        <wps:txbx>
                          <w:txbxContent>
                            <w:p w14:paraId="48D43605" w14:textId="77777777" w:rsidR="00052596" w:rsidRDefault="00000000">
                              <w:pPr>
                                <w:pStyle w:val="t115"/>
                                <w:spacing w:after="120" w:line="240" w:lineRule="exact"/>
                                <w:ind w:left="0" w:right="0" w:firstLine="0"/>
                                <w:jc w:val="center"/>
                                <w:rPr>
                                  <w:b/>
                                  <w:color w:val="0000FF"/>
                                  <w:sz w:val="22"/>
                                  <w:szCs w:val="22"/>
                                </w:rPr>
                              </w:pPr>
                              <w:r>
                                <w:rPr>
                                  <w:b/>
                                  <w:color w:val="0000FF"/>
                                  <w:sz w:val="22"/>
                                  <w:szCs w:val="22"/>
                                </w:rPr>
                                <w:t>我國創新成果</w:t>
                              </w:r>
                            </w:p>
                            <w:p w14:paraId="10292A66" w14:textId="77777777" w:rsidR="00052596" w:rsidRDefault="00000000">
                              <w:pPr>
                                <w:pStyle w:val="t11"/>
                                <w:spacing w:line="280" w:lineRule="exact"/>
                                <w:ind w:left="0" w:right="0" w:firstLine="0"/>
                                <w:jc w:val="center"/>
                                <w:rPr>
                                  <w:color w:val="000000"/>
                                  <w:spacing w:val="0"/>
                                  <w:sz w:val="20"/>
                                  <w:szCs w:val="20"/>
                                </w:rPr>
                              </w:pPr>
                              <w:r>
                                <w:rPr>
                                  <w:color w:val="000000"/>
                                  <w:spacing w:val="0"/>
                                  <w:sz w:val="20"/>
                                  <w:szCs w:val="20"/>
                                </w:rPr>
                                <w:t>年 別</w:t>
                              </w:r>
                            </w:p>
                            <w:p w14:paraId="164C3C10"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獲美國</w:t>
                              </w:r>
                            </w:p>
                            <w:p w14:paraId="05A8DD5A"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專利數</w:t>
                              </w:r>
                            </w:p>
                            <w:p w14:paraId="3A406744"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(件)</w:t>
                              </w:r>
                            </w:p>
                            <w:p w14:paraId="53C65D90"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獲國際4大設計獎件數(件)</w:t>
                              </w:r>
                            </w:p>
                            <w:p w14:paraId="7C00508D"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前10大國際品牌價值</w:t>
                              </w:r>
                            </w:p>
                            <w:p w14:paraId="331F1900"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(億美元)</w:t>
                              </w:r>
                            </w:p>
                            <w:p w14:paraId="4B0EDE81"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94</w:t>
                              </w:r>
                            </w:p>
                            <w:p w14:paraId="147ADBF9"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5,118</w:t>
                              </w:r>
                            </w:p>
                            <w:p w14:paraId="4855A285"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100</w:t>
                              </w:r>
                            </w:p>
                            <w:p w14:paraId="18489199"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46.06</w:t>
                              </w:r>
                            </w:p>
                            <w:p w14:paraId="330666C9"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95</w:t>
                              </w:r>
                            </w:p>
                            <w:p w14:paraId="17A1FC72"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6,361</w:t>
                              </w:r>
                            </w:p>
                            <w:p w14:paraId="3C5E6992"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148</w:t>
                              </w:r>
                            </w:p>
                            <w:p w14:paraId="0D04DCCF"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51.92</w:t>
                              </w:r>
                            </w:p>
                            <w:p w14:paraId="0E97B1B7"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96</w:t>
                              </w:r>
                            </w:p>
                            <w:p w14:paraId="6C897C04"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6,130</w:t>
                              </w:r>
                            </w:p>
                            <w:p w14:paraId="71678AAE"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133</w:t>
                              </w:r>
                            </w:p>
                            <w:p w14:paraId="2C401E56"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67.40</w:t>
                              </w:r>
                            </w:p>
                            <w:p w14:paraId="32D89D17"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97</w:t>
                              </w:r>
                            </w:p>
                            <w:p w14:paraId="3B0F38A6"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6,339</w:t>
                              </w:r>
                            </w:p>
                            <w:p w14:paraId="51FD021C"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201</w:t>
                              </w:r>
                            </w:p>
                            <w:p w14:paraId="7246C2C9"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75.37</w:t>
                              </w:r>
                            </w:p>
                            <w:p w14:paraId="1FAB9853"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98</w:t>
                              </w:r>
                            </w:p>
                            <w:p w14:paraId="14FF7302"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6,642</w:t>
                              </w:r>
                            </w:p>
                            <w:p w14:paraId="26EBD8D0"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160</w:t>
                              </w:r>
                            </w:p>
                            <w:p w14:paraId="40E9692C"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73.26</w:t>
                              </w:r>
                            </w:p>
                            <w:p w14:paraId="55748D02"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99</w:t>
                              </w:r>
                            </w:p>
                            <w:p w14:paraId="73525F43"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8,243</w:t>
                              </w:r>
                            </w:p>
                            <w:p w14:paraId="3A1D8FDE"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260</w:t>
                              </w:r>
                            </w:p>
                            <w:p w14:paraId="1B24FB50"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80.31</w:t>
                              </w:r>
                            </w:p>
                            <w:p w14:paraId="74C9E05C"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100</w:t>
                              </w:r>
                            </w:p>
                            <w:p w14:paraId="7FB12161"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8,786</w:t>
                              </w:r>
                            </w:p>
                            <w:p w14:paraId="495A7F19"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290</w:t>
                              </w:r>
                            </w:p>
                            <w:p w14:paraId="2FCABB79"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115.58</w:t>
                              </w:r>
                            </w:p>
                            <w:p w14:paraId="0F86DF2F" w14:textId="77777777" w:rsidR="00052596" w:rsidRDefault="00000000">
                              <w:pPr>
                                <w:pStyle w:val="k4a"/>
                                <w:tabs>
                                  <w:tab w:val="clear" w:pos="3840"/>
                                </w:tabs>
                                <w:spacing w:before="36" w:after="120" w:line="240" w:lineRule="exact"/>
                                <w:ind w:left="1122" w:right="132" w:hanging="980"/>
                                <w:outlineLvl w:val="9"/>
                              </w:pPr>
                              <w:r>
                                <w:rPr>
                                  <w:rFonts w:ascii="新細明體" w:eastAsia="新細明體" w:hAnsi="新細明體"/>
                                  <w:spacing w:val="-2"/>
                                  <w:sz w:val="20"/>
                                </w:rPr>
                                <w:t>資料來源：</w:t>
                              </w:r>
                              <w:r>
                                <w:rPr>
                                  <w:rFonts w:ascii="新細明體" w:eastAsia="新細明體" w:hAnsi="新細明體"/>
                                  <w:spacing w:val="-4"/>
                                  <w:sz w:val="20"/>
                                </w:rPr>
                                <w:t>行政院國家科學委員會、經濟部編印之2012產業技術白皮書、臺灣創意設計中心、品牌臺灣網站。</w:t>
                              </w:r>
                            </w:p>
                          </w:txbxContent>
                        </wps:txbx>
                        <wps:bodyPr wrap="square" lIns="35999" tIns="18004" rIns="35999" bIns="18004" anchor="t">
                          <a:noAutofit/>
                        </wps:bodyPr>
                      </wps:wsp>
                      <wps:wsp>
                        <wps:cNvPr id="89" name="矩形 49"/>
                        <wps:cNvSpPr/>
                        <wps:spPr>
                          <a:xfrm>
                            <a:off x="0" y="0"/>
                            <a:ext cx="2609853" cy="2647946"/>
                          </a:xfrm>
                          <a:prstGeom prst="rect">
                            <a:avLst/>
                          </a:prstGeom>
                          <a:solidFill>
                            <a:srgbClr val="FFF0E1"/>
                          </a:solidFill>
                          <a:ln>
                            <a:noFill/>
                            <a:prstDash val="solid"/>
                          </a:ln>
                        </wps:spPr>
                        <wps:txbx>
                          <w:txbxContent>
                            <w:p w14:paraId="07AD65FF" w14:textId="77777777" w:rsidR="00052596" w:rsidRDefault="00000000">
                              <w:pPr>
                                <w:pStyle w:val="t115"/>
                                <w:spacing w:after="120" w:line="240" w:lineRule="exact"/>
                                <w:ind w:left="0" w:right="0" w:firstLine="0"/>
                                <w:jc w:val="center"/>
                                <w:rPr>
                                  <w:b/>
                                  <w:color w:val="0000FF"/>
                                  <w:sz w:val="22"/>
                                  <w:szCs w:val="22"/>
                                </w:rPr>
                              </w:pPr>
                              <w:r>
                                <w:rPr>
                                  <w:b/>
                                  <w:color w:val="0000FF"/>
                                  <w:sz w:val="22"/>
                                  <w:szCs w:val="22"/>
                                </w:rPr>
                                <w:t>我國創新投入</w:t>
                              </w:r>
                            </w:p>
                            <w:p w14:paraId="222EA228" w14:textId="77777777" w:rsidR="00052596" w:rsidRDefault="00000000">
                              <w:pPr>
                                <w:pStyle w:val="t11"/>
                                <w:spacing w:line="280" w:lineRule="exact"/>
                                <w:ind w:left="0" w:right="0" w:firstLine="0"/>
                                <w:jc w:val="center"/>
                                <w:rPr>
                                  <w:color w:val="000000"/>
                                  <w:spacing w:val="0"/>
                                  <w:sz w:val="20"/>
                                  <w:szCs w:val="20"/>
                                </w:rPr>
                              </w:pPr>
                              <w:r>
                                <w:rPr>
                                  <w:color w:val="000000"/>
                                  <w:spacing w:val="0"/>
                                  <w:sz w:val="20"/>
                                  <w:szCs w:val="20"/>
                                </w:rPr>
                                <w:t>年 別</w:t>
                              </w:r>
                            </w:p>
                            <w:p w14:paraId="720FAD0C" w14:textId="77777777" w:rsidR="00052596" w:rsidRDefault="00000000">
                              <w:pPr>
                                <w:pStyle w:val="t11"/>
                                <w:spacing w:line="220" w:lineRule="exact"/>
                                <w:ind w:left="0" w:right="0" w:firstLine="0"/>
                                <w:jc w:val="center"/>
                                <w:rPr>
                                  <w:color w:val="000000"/>
                                  <w:spacing w:val="-6"/>
                                  <w:sz w:val="20"/>
                                  <w:szCs w:val="20"/>
                                </w:rPr>
                              </w:pPr>
                              <w:r>
                                <w:rPr>
                                  <w:color w:val="000000"/>
                                  <w:spacing w:val="-6"/>
                                  <w:sz w:val="20"/>
                                  <w:szCs w:val="20"/>
                                </w:rPr>
                                <w:t>研發經費占GDP</w:t>
                              </w:r>
                            </w:p>
                            <w:p w14:paraId="5E6EA15D" w14:textId="77777777" w:rsidR="00052596" w:rsidRDefault="00000000">
                              <w:pPr>
                                <w:pStyle w:val="t11"/>
                                <w:spacing w:line="220" w:lineRule="exact"/>
                                <w:ind w:left="0" w:right="0" w:firstLine="0"/>
                                <w:jc w:val="center"/>
                                <w:rPr>
                                  <w:color w:val="000000"/>
                                  <w:spacing w:val="-6"/>
                                  <w:sz w:val="20"/>
                                  <w:szCs w:val="20"/>
                                </w:rPr>
                              </w:pPr>
                              <w:r>
                                <w:rPr>
                                  <w:color w:val="000000"/>
                                  <w:spacing w:val="-6"/>
                                  <w:sz w:val="20"/>
                                  <w:szCs w:val="20"/>
                                </w:rPr>
                                <w:t>比率</w:t>
                              </w:r>
                            </w:p>
                            <w:p w14:paraId="55315E4D" w14:textId="77777777" w:rsidR="00052596" w:rsidRDefault="00000000">
                              <w:pPr>
                                <w:pStyle w:val="t11"/>
                                <w:spacing w:line="220" w:lineRule="exact"/>
                                <w:ind w:left="0" w:right="0" w:firstLine="0"/>
                                <w:jc w:val="center"/>
                                <w:rPr>
                                  <w:color w:val="000000"/>
                                  <w:spacing w:val="-6"/>
                                  <w:sz w:val="20"/>
                                  <w:szCs w:val="20"/>
                                </w:rPr>
                              </w:pPr>
                              <w:r>
                                <w:rPr>
                                  <w:color w:val="000000"/>
                                  <w:spacing w:val="-6"/>
                                  <w:sz w:val="20"/>
                                  <w:szCs w:val="20"/>
                                </w:rPr>
                                <w:t>(%)</w:t>
                              </w:r>
                            </w:p>
                            <w:p w14:paraId="61FB90EE" w14:textId="77777777" w:rsidR="00052596" w:rsidRDefault="00000000">
                              <w:pPr>
                                <w:pStyle w:val="t11"/>
                                <w:spacing w:line="220" w:lineRule="exact"/>
                                <w:ind w:left="0" w:right="0" w:firstLine="0"/>
                                <w:jc w:val="center"/>
                                <w:rPr>
                                  <w:color w:val="000000"/>
                                  <w:spacing w:val="-6"/>
                                  <w:sz w:val="20"/>
                                  <w:szCs w:val="20"/>
                                </w:rPr>
                              </w:pPr>
                              <w:r>
                                <w:rPr>
                                  <w:color w:val="000000"/>
                                  <w:spacing w:val="-6"/>
                                  <w:sz w:val="20"/>
                                  <w:szCs w:val="20"/>
                                </w:rPr>
                                <w:t>企業研發經費占產業附加價值比率(%)</w:t>
                              </w:r>
                            </w:p>
                            <w:p w14:paraId="0AF3D5F4" w14:textId="77777777" w:rsidR="00052596" w:rsidRDefault="00000000">
                              <w:pPr>
                                <w:pStyle w:val="t11"/>
                                <w:spacing w:line="240" w:lineRule="atLeast"/>
                                <w:ind w:left="0" w:right="0" w:firstLine="0"/>
                                <w:jc w:val="center"/>
                                <w:rPr>
                                  <w:color w:val="000000"/>
                                  <w:spacing w:val="-6"/>
                                  <w:sz w:val="20"/>
                                  <w:szCs w:val="20"/>
                                </w:rPr>
                              </w:pPr>
                              <w:r>
                                <w:rPr>
                                  <w:color w:val="000000"/>
                                  <w:spacing w:val="-6"/>
                                  <w:sz w:val="20"/>
                                  <w:szCs w:val="20"/>
                                </w:rPr>
                                <w:t>每千人口</w:t>
                              </w:r>
                            </w:p>
                            <w:p w14:paraId="47639CCD" w14:textId="77777777" w:rsidR="00052596" w:rsidRDefault="00000000">
                              <w:pPr>
                                <w:pStyle w:val="t11"/>
                                <w:spacing w:line="240" w:lineRule="atLeast"/>
                                <w:ind w:left="0" w:right="0" w:firstLine="0"/>
                                <w:jc w:val="center"/>
                                <w:rPr>
                                  <w:color w:val="000000"/>
                                  <w:spacing w:val="-6"/>
                                  <w:sz w:val="20"/>
                                  <w:szCs w:val="20"/>
                                </w:rPr>
                              </w:pPr>
                              <w:r>
                                <w:rPr>
                                  <w:color w:val="000000"/>
                                  <w:spacing w:val="-6"/>
                                  <w:sz w:val="20"/>
                                  <w:szCs w:val="20"/>
                                </w:rPr>
                                <w:t>研究人員數</w:t>
                              </w:r>
                            </w:p>
                            <w:p w14:paraId="53832FED" w14:textId="77777777" w:rsidR="00052596" w:rsidRDefault="00000000">
                              <w:pPr>
                                <w:pStyle w:val="t11"/>
                                <w:spacing w:line="240" w:lineRule="atLeast"/>
                                <w:ind w:left="0" w:right="0" w:firstLine="0"/>
                                <w:jc w:val="center"/>
                                <w:rPr>
                                  <w:color w:val="000000"/>
                                  <w:spacing w:val="-6"/>
                                  <w:sz w:val="20"/>
                                  <w:szCs w:val="20"/>
                                </w:rPr>
                              </w:pPr>
                              <w:r>
                                <w:rPr>
                                  <w:color w:val="000000"/>
                                  <w:spacing w:val="-6"/>
                                  <w:sz w:val="20"/>
                                  <w:szCs w:val="20"/>
                                </w:rPr>
                                <w:t>(人)</w:t>
                              </w:r>
                            </w:p>
                            <w:p w14:paraId="6AD26D90"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94</w:t>
                              </w:r>
                            </w:p>
                            <w:p w14:paraId="25C21EAE"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2.39</w:t>
                              </w:r>
                            </w:p>
                            <w:p w14:paraId="231FCC4F"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2.04</w:t>
                              </w:r>
                            </w:p>
                            <w:p w14:paraId="15EDB709"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5.1</w:t>
                              </w:r>
                            </w:p>
                            <w:p w14:paraId="5B93A0EB"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95</w:t>
                              </w:r>
                            </w:p>
                            <w:p w14:paraId="4991509B"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2.51</w:t>
                              </w:r>
                            </w:p>
                            <w:p w14:paraId="66CE2019"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2.16</w:t>
                              </w:r>
                            </w:p>
                            <w:p w14:paraId="0CB25E77"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5.5</w:t>
                              </w:r>
                            </w:p>
                            <w:p w14:paraId="31DEA69D"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96</w:t>
                              </w:r>
                            </w:p>
                            <w:p w14:paraId="45AAB565"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2.57</w:t>
                              </w:r>
                            </w:p>
                            <w:p w14:paraId="40FDADCC"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2.26</w:t>
                              </w:r>
                            </w:p>
                            <w:p w14:paraId="5F01373C"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5.9</w:t>
                              </w:r>
                            </w:p>
                            <w:p w14:paraId="4CB0E79E"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97</w:t>
                              </w:r>
                            </w:p>
                            <w:p w14:paraId="39B264AD"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2.78</w:t>
                              </w:r>
                            </w:p>
                            <w:p w14:paraId="0BCD173E"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2.52</w:t>
                              </w:r>
                            </w:p>
                            <w:p w14:paraId="5601698F"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6.2</w:t>
                              </w:r>
                            </w:p>
                            <w:p w14:paraId="0F3B6A18"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98</w:t>
                              </w:r>
                            </w:p>
                            <w:p w14:paraId="7561D7B5"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2.94</w:t>
                              </w:r>
                            </w:p>
                            <w:p w14:paraId="459D3569"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2.68</w:t>
                              </w:r>
                            </w:p>
                            <w:p w14:paraId="3B16E452"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6.7</w:t>
                              </w:r>
                            </w:p>
                            <w:p w14:paraId="7841FC32"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99</w:t>
                              </w:r>
                            </w:p>
                            <w:p w14:paraId="16750546"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2.91</w:t>
                              </w:r>
                            </w:p>
                            <w:p w14:paraId="225812B1"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2.64</w:t>
                              </w:r>
                            </w:p>
                            <w:p w14:paraId="27D1D5FC"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7.1</w:t>
                              </w:r>
                            </w:p>
                            <w:p w14:paraId="380AFB8A" w14:textId="77777777" w:rsidR="00052596" w:rsidRDefault="00000000">
                              <w:pPr>
                                <w:autoSpaceDE w:val="0"/>
                                <w:spacing w:before="48" w:line="200" w:lineRule="exact"/>
                                <w:ind w:left="1102" w:right="72" w:hanging="392"/>
                                <w:jc w:val="both"/>
                              </w:pPr>
                              <w:r>
                                <w:rPr>
                                  <w:rFonts w:ascii="新細明體" w:hAnsi="新細明體"/>
                                  <w:color w:val="000000"/>
                                  <w:spacing w:val="-2"/>
                                  <w:sz w:val="20"/>
                                </w:rPr>
                                <w:t>註：99年研發經費占GDP比率配合</w:t>
                              </w:r>
                              <w:r>
                                <w:rPr>
                                  <w:rFonts w:ascii="新細明體" w:hAnsi="新細明體"/>
                                  <w:color w:val="000000"/>
                                  <w:sz w:val="20"/>
                                </w:rPr>
                                <w:t>行政院主計總處101年11月23日修正數調整。</w:t>
                              </w:r>
                            </w:p>
                            <w:p w14:paraId="1860B28E" w14:textId="77777777" w:rsidR="00052596" w:rsidRDefault="00000000">
                              <w:pPr>
                                <w:pStyle w:val="k4a"/>
                                <w:spacing w:before="36" w:after="120" w:line="200" w:lineRule="exact"/>
                                <w:ind w:left="1096" w:right="168" w:hanging="1000"/>
                                <w:outlineLvl w:val="9"/>
                              </w:pPr>
                              <w:r>
                                <w:rPr>
                                  <w:rFonts w:ascii="新細明體" w:eastAsia="新細明體" w:hAnsi="新細明體"/>
                                  <w:color w:val="000000"/>
                                  <w:spacing w:val="-2"/>
                                  <w:sz w:val="20"/>
                                </w:rPr>
                                <w:t>資料來源：行政院國家科學委員會，</w:t>
                              </w:r>
                              <w:r>
                                <w:rPr>
                                  <w:rFonts w:ascii="新細明體" w:eastAsia="新細明體" w:hAnsi="新細明體"/>
                                  <w:spacing w:val="-2"/>
                                  <w:sz w:val="20"/>
                                </w:rPr>
                                <w:t>2011科學技術統計要覽，100年12月。</w:t>
                              </w:r>
                            </w:p>
                          </w:txbxContent>
                        </wps:txbx>
                        <wps:bodyPr wrap="square" lIns="35999" tIns="18004" rIns="35999" bIns="18004" anchor="t">
                          <a:noAutofit/>
                        </wps:bodyPr>
                      </wps:wsp>
                    </wpg:wgp>
                  </a:graphicData>
                </a:graphic>
              </wp:anchor>
            </w:drawing>
          </mc:Choice>
          <mc:Fallback>
            <w:pict>
              <v:group w14:anchorId="502C5173" id="群組 17475" o:spid="_x0000_s1032" style="position:absolute;margin-left:12.45pt;margin-top:386.85pt;width:403.5pt;height:210pt;z-index:-251677184" coordsize="51244,2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">
                <v:rect id="矩形 49" o:spid="_x0000_s1033" style="position:absolute;left:25146;top:95;width:26098;height:2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" fillcolor="#fff0e1" stroked="f">
                  <v:textbox inset=".99997mm,.50011mm,.99997mm,.50011mm">
                    <w:txbxContent>
                      <w:p w14:paraId="48D43605" w14:textId="77777777" w:rsidR="00052596" w:rsidRDefault="00000000">
                        <w:pPr>
                          <w:pStyle w:val="t115"/>
                          <w:spacing w:after="120" w:line="240" w:lineRule="exact"/>
                          <w:ind w:left="0" w:right="0" w:firstLine="0"/>
                          <w:jc w:val="center"/>
                          <w:rPr>
                            <w:b/>
                            <w:color w:val="0000FF"/>
                            <w:sz w:val="22"/>
                            <w:szCs w:val="22"/>
                          </w:rPr>
                        </w:pPr>
                        <w:r>
                          <w:rPr>
                            <w:b/>
                            <w:color w:val="0000FF"/>
                            <w:sz w:val="22"/>
                            <w:szCs w:val="22"/>
                          </w:rPr>
                          <w:t>我國創新成果</w:t>
                        </w:r>
                      </w:p>
                      <w:p w14:paraId="10292A66" w14:textId="77777777" w:rsidR="00052596" w:rsidRDefault="00000000">
                        <w:pPr>
                          <w:pStyle w:val="t11"/>
                          <w:spacing w:line="280" w:lineRule="exact"/>
                          <w:ind w:left="0" w:right="0" w:firstLine="0"/>
                          <w:jc w:val="center"/>
                          <w:rPr>
                            <w:color w:val="000000"/>
                            <w:spacing w:val="0"/>
                            <w:sz w:val="20"/>
                            <w:szCs w:val="20"/>
                          </w:rPr>
                        </w:pPr>
                        <w:r>
                          <w:rPr>
                            <w:color w:val="000000"/>
                            <w:spacing w:val="0"/>
                            <w:sz w:val="20"/>
                            <w:szCs w:val="20"/>
                          </w:rPr>
                          <w:t>年 別</w:t>
                        </w:r>
                      </w:p>
                      <w:p w14:paraId="164C3C10"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獲美國</w:t>
                        </w:r>
                      </w:p>
                      <w:p w14:paraId="05A8DD5A"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專利數</w:t>
                        </w:r>
                      </w:p>
                      <w:p w14:paraId="3A406744"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(件)</w:t>
                        </w:r>
                      </w:p>
                      <w:p w14:paraId="53C65D90"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獲國際4大設計獎件數(件)</w:t>
                        </w:r>
                      </w:p>
                      <w:p w14:paraId="7C00508D"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前10大國際品牌價值</w:t>
                        </w:r>
                      </w:p>
                      <w:p w14:paraId="331F1900" w14:textId="77777777" w:rsidR="00052596" w:rsidRDefault="00000000">
                        <w:pPr>
                          <w:pStyle w:val="t11"/>
                          <w:spacing w:line="280" w:lineRule="exact"/>
                          <w:ind w:left="0" w:right="0" w:firstLine="0"/>
                          <w:jc w:val="center"/>
                          <w:rPr>
                            <w:color w:val="000000"/>
                            <w:spacing w:val="-6"/>
                            <w:sz w:val="20"/>
                            <w:szCs w:val="20"/>
                          </w:rPr>
                        </w:pPr>
                        <w:r>
                          <w:rPr>
                            <w:color w:val="000000"/>
                            <w:spacing w:val="-6"/>
                            <w:sz w:val="20"/>
                            <w:szCs w:val="20"/>
                          </w:rPr>
                          <w:t>(億美元)</w:t>
                        </w:r>
                      </w:p>
                      <w:p w14:paraId="4B0EDE81"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94</w:t>
                        </w:r>
                      </w:p>
                      <w:p w14:paraId="147ADBF9"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5,118</w:t>
                        </w:r>
                      </w:p>
                      <w:p w14:paraId="4855A285"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100</w:t>
                        </w:r>
                      </w:p>
                      <w:p w14:paraId="18489199"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46.06</w:t>
                        </w:r>
                      </w:p>
                      <w:p w14:paraId="330666C9"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95</w:t>
                        </w:r>
                      </w:p>
                      <w:p w14:paraId="17A1FC72"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6,361</w:t>
                        </w:r>
                      </w:p>
                      <w:p w14:paraId="3C5E6992"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148</w:t>
                        </w:r>
                      </w:p>
                      <w:p w14:paraId="0D04DCCF"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51.92</w:t>
                        </w:r>
                      </w:p>
                      <w:p w14:paraId="0E97B1B7"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96</w:t>
                        </w:r>
                      </w:p>
                      <w:p w14:paraId="6C897C04"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6,130</w:t>
                        </w:r>
                      </w:p>
                      <w:p w14:paraId="71678AAE"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133</w:t>
                        </w:r>
                      </w:p>
                      <w:p w14:paraId="2C401E56"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67.40</w:t>
                        </w:r>
                      </w:p>
                      <w:p w14:paraId="32D89D17"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97</w:t>
                        </w:r>
                      </w:p>
                      <w:p w14:paraId="3B0F38A6"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6,339</w:t>
                        </w:r>
                      </w:p>
                      <w:p w14:paraId="51FD021C"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201</w:t>
                        </w:r>
                      </w:p>
                      <w:p w14:paraId="7246C2C9"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75.37</w:t>
                        </w:r>
                      </w:p>
                      <w:p w14:paraId="1FAB9853"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98</w:t>
                        </w:r>
                      </w:p>
                      <w:p w14:paraId="14FF7302"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6,642</w:t>
                        </w:r>
                      </w:p>
                      <w:p w14:paraId="26EBD8D0"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160</w:t>
                        </w:r>
                      </w:p>
                      <w:p w14:paraId="40E9692C"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73.26</w:t>
                        </w:r>
                      </w:p>
                      <w:p w14:paraId="55748D02"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99</w:t>
                        </w:r>
                      </w:p>
                      <w:p w14:paraId="73525F43"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8,243</w:t>
                        </w:r>
                      </w:p>
                      <w:p w14:paraId="3A1D8FDE"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260</w:t>
                        </w:r>
                      </w:p>
                      <w:p w14:paraId="1B24FB50"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80.31</w:t>
                        </w:r>
                      </w:p>
                      <w:p w14:paraId="74C9E05C"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100</w:t>
                        </w:r>
                      </w:p>
                      <w:p w14:paraId="7FB12161"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8,786</w:t>
                        </w:r>
                      </w:p>
                      <w:p w14:paraId="495A7F19" w14:textId="77777777" w:rsidR="00052596" w:rsidRDefault="00000000">
                        <w:pPr>
                          <w:pStyle w:val="t11"/>
                          <w:spacing w:line="200" w:lineRule="atLeast"/>
                          <w:ind w:left="0" w:right="0" w:firstLine="0"/>
                          <w:jc w:val="center"/>
                          <w:rPr>
                            <w:color w:val="000000"/>
                            <w:spacing w:val="0"/>
                            <w:sz w:val="20"/>
                            <w:szCs w:val="20"/>
                          </w:rPr>
                        </w:pPr>
                        <w:r>
                          <w:rPr>
                            <w:color w:val="000000"/>
                            <w:spacing w:val="0"/>
                            <w:sz w:val="20"/>
                            <w:szCs w:val="20"/>
                          </w:rPr>
                          <w:t>290</w:t>
                        </w:r>
                      </w:p>
                      <w:p w14:paraId="2FCABB79" w14:textId="77777777" w:rsidR="00052596" w:rsidRDefault="00000000">
                        <w:pPr>
                          <w:pStyle w:val="t11"/>
                          <w:spacing w:line="200" w:lineRule="atLeast"/>
                          <w:ind w:left="0" w:right="240" w:firstLine="0"/>
                          <w:jc w:val="right"/>
                          <w:rPr>
                            <w:color w:val="000000"/>
                            <w:spacing w:val="0"/>
                            <w:sz w:val="20"/>
                            <w:szCs w:val="20"/>
                          </w:rPr>
                        </w:pPr>
                        <w:r>
                          <w:rPr>
                            <w:color w:val="000000"/>
                            <w:spacing w:val="0"/>
                            <w:sz w:val="20"/>
                            <w:szCs w:val="20"/>
                          </w:rPr>
                          <w:t>115.58</w:t>
                        </w:r>
                      </w:p>
                      <w:p w14:paraId="0F86DF2F" w14:textId="77777777" w:rsidR="00052596" w:rsidRDefault="00000000">
                        <w:pPr>
                          <w:pStyle w:val="k4a"/>
                          <w:tabs>
                            <w:tab w:val="clear" w:pos="3840"/>
                          </w:tabs>
                          <w:spacing w:before="36" w:after="120" w:line="240" w:lineRule="exact"/>
                          <w:ind w:left="1122" w:right="132" w:hanging="980"/>
                          <w:outlineLvl w:val="9"/>
                        </w:pPr>
                        <w:r>
                          <w:rPr>
                            <w:rFonts w:ascii="新細明體" w:eastAsia="新細明體" w:hAnsi="新細明體"/>
                            <w:spacing w:val="-2"/>
                            <w:sz w:val="20"/>
                          </w:rPr>
                          <w:t>資料來源：</w:t>
                        </w:r>
                        <w:r>
                          <w:rPr>
                            <w:rFonts w:ascii="新細明體" w:eastAsia="新細明體" w:hAnsi="新細明體"/>
                            <w:spacing w:val="-4"/>
                            <w:sz w:val="20"/>
                          </w:rPr>
                          <w:t>行政院國家科學委員會、經濟部編印之2012產業技術白皮書、臺灣創意設計中心、品牌臺灣網站。</w:t>
                        </w:r>
                      </w:p>
                    </w:txbxContent>
                  </v:textbox>
                </v:rect>
                <v:rect id="矩形 49" o:spid="_x0000_s1034" style="position:absolute;width:26098;height:2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" fillcolor="#fff0e1" stroked="f">
                  <v:textbox inset=".99997mm,.50011mm,.99997mm,.50011mm">
                    <w:txbxContent>
                      <w:p w14:paraId="07AD65FF" w14:textId="77777777" w:rsidR="00052596" w:rsidRDefault="00000000">
                        <w:pPr>
                          <w:pStyle w:val="t115"/>
                          <w:spacing w:after="120" w:line="240" w:lineRule="exact"/>
                          <w:ind w:left="0" w:right="0" w:firstLine="0"/>
                          <w:jc w:val="center"/>
                          <w:rPr>
                            <w:b/>
                            <w:color w:val="0000FF"/>
                            <w:sz w:val="22"/>
                            <w:szCs w:val="22"/>
                          </w:rPr>
                        </w:pPr>
                        <w:r>
                          <w:rPr>
                            <w:b/>
                            <w:color w:val="0000FF"/>
                            <w:sz w:val="22"/>
                            <w:szCs w:val="22"/>
                          </w:rPr>
                          <w:t>我國創新投入</w:t>
                        </w:r>
                      </w:p>
                      <w:p w14:paraId="222EA228" w14:textId="77777777" w:rsidR="00052596" w:rsidRDefault="00000000">
                        <w:pPr>
                          <w:pStyle w:val="t11"/>
                          <w:spacing w:line="280" w:lineRule="exact"/>
                          <w:ind w:left="0" w:right="0" w:firstLine="0"/>
                          <w:jc w:val="center"/>
                          <w:rPr>
                            <w:color w:val="000000"/>
                            <w:spacing w:val="0"/>
                            <w:sz w:val="20"/>
                            <w:szCs w:val="20"/>
                          </w:rPr>
                        </w:pPr>
                        <w:r>
                          <w:rPr>
                            <w:color w:val="000000"/>
                            <w:spacing w:val="0"/>
                            <w:sz w:val="20"/>
                            <w:szCs w:val="20"/>
                          </w:rPr>
                          <w:t>年 別</w:t>
                        </w:r>
                      </w:p>
                      <w:p w14:paraId="720FAD0C" w14:textId="77777777" w:rsidR="00052596" w:rsidRDefault="00000000">
                        <w:pPr>
                          <w:pStyle w:val="t11"/>
                          <w:spacing w:line="220" w:lineRule="exact"/>
                          <w:ind w:left="0" w:right="0" w:firstLine="0"/>
                          <w:jc w:val="center"/>
                          <w:rPr>
                            <w:color w:val="000000"/>
                            <w:spacing w:val="-6"/>
                            <w:sz w:val="20"/>
                            <w:szCs w:val="20"/>
                          </w:rPr>
                        </w:pPr>
                        <w:r>
                          <w:rPr>
                            <w:color w:val="000000"/>
                            <w:spacing w:val="-6"/>
                            <w:sz w:val="20"/>
                            <w:szCs w:val="20"/>
                          </w:rPr>
                          <w:t>研發經費占GDP</w:t>
                        </w:r>
                      </w:p>
                      <w:p w14:paraId="5E6EA15D" w14:textId="77777777" w:rsidR="00052596" w:rsidRDefault="00000000">
                        <w:pPr>
                          <w:pStyle w:val="t11"/>
                          <w:spacing w:line="220" w:lineRule="exact"/>
                          <w:ind w:left="0" w:right="0" w:firstLine="0"/>
                          <w:jc w:val="center"/>
                          <w:rPr>
                            <w:color w:val="000000"/>
                            <w:spacing w:val="-6"/>
                            <w:sz w:val="20"/>
                            <w:szCs w:val="20"/>
                          </w:rPr>
                        </w:pPr>
                        <w:r>
                          <w:rPr>
                            <w:color w:val="000000"/>
                            <w:spacing w:val="-6"/>
                            <w:sz w:val="20"/>
                            <w:szCs w:val="20"/>
                          </w:rPr>
                          <w:t>比率</w:t>
                        </w:r>
                      </w:p>
                      <w:p w14:paraId="55315E4D" w14:textId="77777777" w:rsidR="00052596" w:rsidRDefault="00000000">
                        <w:pPr>
                          <w:pStyle w:val="t11"/>
                          <w:spacing w:line="220" w:lineRule="exact"/>
                          <w:ind w:left="0" w:right="0" w:firstLine="0"/>
                          <w:jc w:val="center"/>
                          <w:rPr>
                            <w:color w:val="000000"/>
                            <w:spacing w:val="-6"/>
                            <w:sz w:val="20"/>
                            <w:szCs w:val="20"/>
                          </w:rPr>
                        </w:pPr>
                        <w:r>
                          <w:rPr>
                            <w:color w:val="000000"/>
                            <w:spacing w:val="-6"/>
                            <w:sz w:val="20"/>
                            <w:szCs w:val="20"/>
                          </w:rPr>
                          <w:t>(%)</w:t>
                        </w:r>
                      </w:p>
                      <w:p w14:paraId="61FB90EE" w14:textId="77777777" w:rsidR="00052596" w:rsidRDefault="00000000">
                        <w:pPr>
                          <w:pStyle w:val="t11"/>
                          <w:spacing w:line="220" w:lineRule="exact"/>
                          <w:ind w:left="0" w:right="0" w:firstLine="0"/>
                          <w:jc w:val="center"/>
                          <w:rPr>
                            <w:color w:val="000000"/>
                            <w:spacing w:val="-6"/>
                            <w:sz w:val="20"/>
                            <w:szCs w:val="20"/>
                          </w:rPr>
                        </w:pPr>
                        <w:r>
                          <w:rPr>
                            <w:color w:val="000000"/>
                            <w:spacing w:val="-6"/>
                            <w:sz w:val="20"/>
                            <w:szCs w:val="20"/>
                          </w:rPr>
                          <w:t>企業研發經費占產業附加價值比率(%)</w:t>
                        </w:r>
                      </w:p>
                      <w:p w14:paraId="0AF3D5F4" w14:textId="77777777" w:rsidR="00052596" w:rsidRDefault="00000000">
                        <w:pPr>
                          <w:pStyle w:val="t11"/>
                          <w:spacing w:line="240" w:lineRule="atLeast"/>
                          <w:ind w:left="0" w:right="0" w:firstLine="0"/>
                          <w:jc w:val="center"/>
                          <w:rPr>
                            <w:color w:val="000000"/>
                            <w:spacing w:val="-6"/>
                            <w:sz w:val="20"/>
                            <w:szCs w:val="20"/>
                          </w:rPr>
                        </w:pPr>
                        <w:r>
                          <w:rPr>
                            <w:color w:val="000000"/>
                            <w:spacing w:val="-6"/>
                            <w:sz w:val="20"/>
                            <w:szCs w:val="20"/>
                          </w:rPr>
                          <w:t>每千人口</w:t>
                        </w:r>
                      </w:p>
                      <w:p w14:paraId="47639CCD" w14:textId="77777777" w:rsidR="00052596" w:rsidRDefault="00000000">
                        <w:pPr>
                          <w:pStyle w:val="t11"/>
                          <w:spacing w:line="240" w:lineRule="atLeast"/>
                          <w:ind w:left="0" w:right="0" w:firstLine="0"/>
                          <w:jc w:val="center"/>
                          <w:rPr>
                            <w:color w:val="000000"/>
                            <w:spacing w:val="-6"/>
                            <w:sz w:val="20"/>
                            <w:szCs w:val="20"/>
                          </w:rPr>
                        </w:pPr>
                        <w:r>
                          <w:rPr>
                            <w:color w:val="000000"/>
                            <w:spacing w:val="-6"/>
                            <w:sz w:val="20"/>
                            <w:szCs w:val="20"/>
                          </w:rPr>
                          <w:t>研究人員數</w:t>
                        </w:r>
                      </w:p>
                      <w:p w14:paraId="53832FED" w14:textId="77777777" w:rsidR="00052596" w:rsidRDefault="00000000">
                        <w:pPr>
                          <w:pStyle w:val="t11"/>
                          <w:spacing w:line="240" w:lineRule="atLeast"/>
                          <w:ind w:left="0" w:right="0" w:firstLine="0"/>
                          <w:jc w:val="center"/>
                          <w:rPr>
                            <w:color w:val="000000"/>
                            <w:spacing w:val="-6"/>
                            <w:sz w:val="20"/>
                            <w:szCs w:val="20"/>
                          </w:rPr>
                        </w:pPr>
                        <w:r>
                          <w:rPr>
                            <w:color w:val="000000"/>
                            <w:spacing w:val="-6"/>
                            <w:sz w:val="20"/>
                            <w:szCs w:val="20"/>
                          </w:rPr>
                          <w:t>(人)</w:t>
                        </w:r>
                      </w:p>
                      <w:p w14:paraId="6AD26D90"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94</w:t>
                        </w:r>
                      </w:p>
                      <w:p w14:paraId="25C21EAE"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2.39</w:t>
                        </w:r>
                      </w:p>
                      <w:p w14:paraId="231FCC4F"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2.04</w:t>
                        </w:r>
                      </w:p>
                      <w:p w14:paraId="15EDB709"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5.1</w:t>
                        </w:r>
                      </w:p>
                      <w:p w14:paraId="5B93A0EB"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95</w:t>
                        </w:r>
                      </w:p>
                      <w:p w14:paraId="4991509B"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2.51</w:t>
                        </w:r>
                      </w:p>
                      <w:p w14:paraId="66CE2019"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2.16</w:t>
                        </w:r>
                      </w:p>
                      <w:p w14:paraId="0CB25E77"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5.5</w:t>
                        </w:r>
                      </w:p>
                      <w:p w14:paraId="31DEA69D"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96</w:t>
                        </w:r>
                      </w:p>
                      <w:p w14:paraId="45AAB565"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2.57</w:t>
                        </w:r>
                      </w:p>
                      <w:p w14:paraId="40FDADCC"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2.26</w:t>
                        </w:r>
                      </w:p>
                      <w:p w14:paraId="5F01373C"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5.9</w:t>
                        </w:r>
                      </w:p>
                      <w:p w14:paraId="4CB0E79E"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97</w:t>
                        </w:r>
                      </w:p>
                      <w:p w14:paraId="39B264AD"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2.78</w:t>
                        </w:r>
                      </w:p>
                      <w:p w14:paraId="0BCD173E"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2.52</w:t>
                        </w:r>
                      </w:p>
                      <w:p w14:paraId="5601698F"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6.2</w:t>
                        </w:r>
                      </w:p>
                      <w:p w14:paraId="0F3B6A18"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98</w:t>
                        </w:r>
                      </w:p>
                      <w:p w14:paraId="7561D7B5"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2.94</w:t>
                        </w:r>
                      </w:p>
                      <w:p w14:paraId="459D3569"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2.68</w:t>
                        </w:r>
                      </w:p>
                      <w:p w14:paraId="3B16E452"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6.7</w:t>
                        </w:r>
                      </w:p>
                      <w:p w14:paraId="7841FC32"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99</w:t>
                        </w:r>
                      </w:p>
                      <w:p w14:paraId="16750546"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2.91</w:t>
                        </w:r>
                      </w:p>
                      <w:p w14:paraId="225812B1"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2.64</w:t>
                        </w:r>
                      </w:p>
                      <w:p w14:paraId="27D1D5FC" w14:textId="77777777" w:rsidR="00052596" w:rsidRDefault="00000000">
                        <w:pPr>
                          <w:pStyle w:val="t11"/>
                          <w:spacing w:line="240" w:lineRule="exact"/>
                          <w:ind w:left="0" w:right="0" w:firstLine="0"/>
                          <w:jc w:val="center"/>
                          <w:rPr>
                            <w:color w:val="000000"/>
                            <w:spacing w:val="0"/>
                            <w:sz w:val="20"/>
                            <w:szCs w:val="20"/>
                          </w:rPr>
                        </w:pPr>
                        <w:r>
                          <w:rPr>
                            <w:color w:val="000000"/>
                            <w:spacing w:val="0"/>
                            <w:sz w:val="20"/>
                            <w:szCs w:val="20"/>
                          </w:rPr>
                          <w:t>7.1</w:t>
                        </w:r>
                      </w:p>
                      <w:p w14:paraId="380AFB8A" w14:textId="77777777" w:rsidR="00052596" w:rsidRDefault="00000000">
                        <w:pPr>
                          <w:autoSpaceDE w:val="0"/>
                          <w:spacing w:before="48" w:line="200" w:lineRule="exact"/>
                          <w:ind w:left="1102" w:right="72" w:hanging="392"/>
                          <w:jc w:val="both"/>
                        </w:pPr>
                        <w:r>
                          <w:rPr>
                            <w:rFonts w:ascii="新細明體" w:hAnsi="新細明體"/>
                            <w:color w:val="000000"/>
                            <w:spacing w:val="-2"/>
                            <w:sz w:val="20"/>
                          </w:rPr>
                          <w:t>註：99年研發經費占GDP比率配合</w:t>
                        </w:r>
                        <w:r>
                          <w:rPr>
                            <w:rFonts w:ascii="新細明體" w:hAnsi="新細明體"/>
                            <w:color w:val="000000"/>
                            <w:sz w:val="20"/>
                          </w:rPr>
                          <w:t>行政院主計總處101年11月23日修正數調整。</w:t>
                        </w:r>
                      </w:p>
                      <w:p w14:paraId="1860B28E" w14:textId="77777777" w:rsidR="00052596" w:rsidRDefault="00000000">
                        <w:pPr>
                          <w:pStyle w:val="k4a"/>
                          <w:spacing w:before="36" w:after="120" w:line="200" w:lineRule="exact"/>
                          <w:ind w:left="1096" w:right="168" w:hanging="1000"/>
                          <w:outlineLvl w:val="9"/>
                        </w:pPr>
                        <w:r>
                          <w:rPr>
                            <w:rFonts w:ascii="新細明體" w:eastAsia="新細明體" w:hAnsi="新細明體"/>
                            <w:color w:val="000000"/>
                            <w:spacing w:val="-2"/>
                            <w:sz w:val="20"/>
                          </w:rPr>
                          <w:t>資料來源：行政院國家科學委員會，</w:t>
                        </w:r>
                        <w:r>
                          <w:rPr>
                            <w:rFonts w:ascii="新細明體" w:eastAsia="新細明體" w:hAnsi="新細明體"/>
                            <w:spacing w:val="-2"/>
                            <w:sz w:val="20"/>
                          </w:rPr>
                          <w:t>2011科學技術統計要覽，100年12月。</w:t>
                        </w:r>
                      </w:p>
                    </w:txbxContent>
                  </v:textbox>
                </v:rect>
              </v:group>
            </w:pict>
          </mc:Fallback>
        </mc:AlternateContent>
      </w:r>
    </w:p>
    <w:p w14:paraId="3693AF55" w14:textId="77777777" w:rsidR="00052596" w:rsidRDefault="00000000">
      <w:pPr>
        <w:pageBreakBefore/>
        <w:overflowPunct w:val="0"/>
        <w:autoSpaceDE w:val="0"/>
        <w:spacing w:line="420" w:lineRule="exact"/>
        <w:ind w:left="792"/>
        <w:jc w:val="both"/>
        <w:textAlignment w:val="center"/>
      </w:pPr>
      <w:r>
        <w:rPr>
          <w:rFonts w:eastAsia="標楷體"/>
          <w:spacing w:val="2"/>
          <w:kern w:val="0"/>
          <w:sz w:val="28"/>
          <w:szCs w:val="26"/>
        </w:rPr>
        <w:lastRenderedPageBreak/>
        <w:t>要素生產力成長減緩所致。依亞洲開發銀行經濟學家</w:t>
      </w:r>
      <w:r>
        <w:rPr>
          <w:rFonts w:eastAsia="標楷體"/>
          <w:spacing w:val="2"/>
          <w:kern w:val="0"/>
          <w:sz w:val="28"/>
          <w:szCs w:val="26"/>
        </w:rPr>
        <w:t>Jong-Wha Lee</w:t>
      </w:r>
      <w:r>
        <w:rPr>
          <w:rFonts w:eastAsia="標楷體"/>
          <w:spacing w:val="2"/>
          <w:kern w:val="0"/>
          <w:sz w:val="28"/>
          <w:szCs w:val="26"/>
        </w:rPr>
        <w:t>等</w:t>
      </w:r>
      <w:r>
        <w:rPr>
          <w:rFonts w:ascii="標楷體" w:eastAsia="標楷體" w:hAnsi="標楷體"/>
          <w:spacing w:val="2"/>
          <w:kern w:val="0"/>
          <w:sz w:val="28"/>
          <w:szCs w:val="26"/>
        </w:rPr>
        <w:t>(</w:t>
      </w:r>
      <w:r>
        <w:rPr>
          <w:rFonts w:eastAsia="標楷體"/>
          <w:spacing w:val="2"/>
          <w:kern w:val="0"/>
          <w:sz w:val="28"/>
          <w:szCs w:val="26"/>
        </w:rPr>
        <w:t>2012</w:t>
      </w:r>
      <w:r>
        <w:rPr>
          <w:rFonts w:ascii="標楷體" w:eastAsia="標楷體" w:hAnsi="標楷體"/>
          <w:spacing w:val="2"/>
          <w:kern w:val="0"/>
          <w:sz w:val="28"/>
          <w:szCs w:val="26"/>
        </w:rPr>
        <w:t>)</w:t>
      </w:r>
      <w:r>
        <w:rPr>
          <w:rFonts w:eastAsia="標楷體"/>
          <w:spacing w:val="4"/>
          <w:kern w:val="0"/>
          <w:sz w:val="28"/>
          <w:szCs w:val="26"/>
        </w:rPr>
        <w:t>對亞洲經濟體長期總要素生產力成長之估測，</w:t>
      </w:r>
      <w:r>
        <w:rPr>
          <w:rFonts w:eastAsia="標楷體"/>
          <w:spacing w:val="4"/>
          <w:kern w:val="0"/>
          <w:sz w:val="28"/>
          <w:szCs w:val="26"/>
        </w:rPr>
        <w:t>2001</w:t>
      </w:r>
      <w:r>
        <w:rPr>
          <w:rFonts w:eastAsia="標楷體"/>
          <w:spacing w:val="4"/>
          <w:kern w:val="0"/>
          <w:sz w:val="28"/>
          <w:szCs w:val="26"/>
        </w:rPr>
        <w:t>至</w:t>
      </w:r>
      <w:r>
        <w:rPr>
          <w:rFonts w:eastAsia="標楷體"/>
          <w:spacing w:val="4"/>
          <w:kern w:val="0"/>
          <w:sz w:val="28"/>
          <w:szCs w:val="26"/>
        </w:rPr>
        <w:t>2007</w:t>
      </w:r>
      <w:r>
        <w:rPr>
          <w:rFonts w:eastAsia="標楷體"/>
          <w:spacing w:val="4"/>
          <w:kern w:val="0"/>
          <w:sz w:val="28"/>
          <w:szCs w:val="26"/>
        </w:rPr>
        <w:t>年我國總要素生產力成長率不但低於</w:t>
      </w:r>
      <w:r>
        <w:rPr>
          <w:rFonts w:eastAsia="標楷體"/>
          <w:spacing w:val="4"/>
          <w:kern w:val="0"/>
          <w:sz w:val="28"/>
          <w:szCs w:val="26"/>
        </w:rPr>
        <w:t>1991</w:t>
      </w:r>
      <w:r>
        <w:rPr>
          <w:rFonts w:eastAsia="標楷體"/>
          <w:spacing w:val="4"/>
          <w:kern w:val="0"/>
          <w:sz w:val="28"/>
          <w:szCs w:val="26"/>
        </w:rPr>
        <w:t>至</w:t>
      </w:r>
      <w:r>
        <w:rPr>
          <w:rFonts w:eastAsia="標楷體"/>
          <w:spacing w:val="4"/>
          <w:kern w:val="0"/>
          <w:sz w:val="28"/>
          <w:szCs w:val="26"/>
        </w:rPr>
        <w:t>2000</w:t>
      </w:r>
      <w:r>
        <w:rPr>
          <w:rFonts w:eastAsia="標楷體"/>
          <w:spacing w:val="4"/>
          <w:kern w:val="0"/>
          <w:sz w:val="28"/>
          <w:szCs w:val="26"/>
        </w:rPr>
        <w:t>年的水準，且不及其他東亞主要經濟體。為扭轉此一趨勢，</w:t>
      </w:r>
      <w:r>
        <w:rPr>
          <w:rFonts w:eastAsia="標楷體"/>
          <w:color w:val="000000"/>
          <w:spacing w:val="2"/>
          <w:kern w:val="0"/>
          <w:sz w:val="28"/>
          <w:szCs w:val="26"/>
        </w:rPr>
        <w:t>政府將持續提升人力資本、強化科技創新及推動經濟結構轉型升級，在此等效果帶動下，據該研究估計，</w:t>
      </w:r>
      <w:r>
        <w:rPr>
          <w:rFonts w:eastAsia="標楷體"/>
          <w:color w:val="000000"/>
          <w:spacing w:val="2"/>
          <w:kern w:val="0"/>
          <w:sz w:val="28"/>
          <w:szCs w:val="26"/>
        </w:rPr>
        <w:t>2011</w:t>
      </w:r>
      <w:r>
        <w:rPr>
          <w:rFonts w:eastAsia="標楷體"/>
          <w:color w:val="000000"/>
          <w:spacing w:val="2"/>
          <w:kern w:val="0"/>
          <w:sz w:val="28"/>
          <w:szCs w:val="26"/>
        </w:rPr>
        <w:t>至</w:t>
      </w:r>
      <w:r>
        <w:rPr>
          <w:rFonts w:eastAsia="標楷體"/>
          <w:color w:val="000000"/>
          <w:spacing w:val="2"/>
          <w:kern w:val="0"/>
          <w:sz w:val="28"/>
          <w:szCs w:val="26"/>
        </w:rPr>
        <w:t>2020</w:t>
      </w:r>
      <w:r>
        <w:rPr>
          <w:rFonts w:eastAsia="標楷體"/>
          <w:color w:val="000000"/>
          <w:spacing w:val="2"/>
          <w:kern w:val="0"/>
          <w:sz w:val="28"/>
          <w:szCs w:val="26"/>
        </w:rPr>
        <w:t>年臺灣總要素生產力平均成長率可望回升至</w:t>
      </w:r>
      <w:r>
        <w:rPr>
          <w:rFonts w:eastAsia="標楷體"/>
          <w:color w:val="000000"/>
          <w:spacing w:val="2"/>
          <w:kern w:val="0"/>
          <w:sz w:val="28"/>
          <w:szCs w:val="26"/>
        </w:rPr>
        <w:t>1.80%</w:t>
      </w:r>
      <w:r>
        <w:rPr>
          <w:rFonts w:eastAsia="標楷體"/>
          <w:color w:val="000000"/>
          <w:spacing w:val="2"/>
          <w:kern w:val="0"/>
          <w:sz w:val="28"/>
          <w:szCs w:val="26"/>
        </w:rPr>
        <w:t>，將優於新加坡</w:t>
      </w:r>
      <w:r>
        <w:rPr>
          <w:rFonts w:ascii="標楷體" w:eastAsia="標楷體" w:hAnsi="標楷體"/>
          <w:color w:val="000000"/>
          <w:spacing w:val="2"/>
          <w:kern w:val="0"/>
          <w:sz w:val="28"/>
          <w:szCs w:val="26"/>
        </w:rPr>
        <w:t>(</w:t>
      </w:r>
      <w:r>
        <w:rPr>
          <w:rFonts w:eastAsia="標楷體"/>
          <w:color w:val="000000"/>
          <w:spacing w:val="2"/>
          <w:kern w:val="0"/>
          <w:sz w:val="28"/>
          <w:szCs w:val="26"/>
        </w:rPr>
        <w:t>1.55%</w:t>
      </w:r>
      <w:r>
        <w:rPr>
          <w:rFonts w:ascii="標楷體" w:eastAsia="標楷體" w:hAnsi="標楷體"/>
          <w:color w:val="000000"/>
          <w:spacing w:val="2"/>
          <w:kern w:val="0"/>
          <w:sz w:val="28"/>
          <w:szCs w:val="26"/>
        </w:rPr>
        <w:t>)</w:t>
      </w:r>
      <w:r>
        <w:rPr>
          <w:rFonts w:eastAsia="標楷體"/>
          <w:color w:val="000000"/>
          <w:spacing w:val="2"/>
          <w:kern w:val="0"/>
          <w:sz w:val="28"/>
          <w:szCs w:val="26"/>
        </w:rPr>
        <w:t>、香港</w:t>
      </w:r>
      <w:r>
        <w:rPr>
          <w:rFonts w:ascii="標楷體" w:eastAsia="標楷體" w:hAnsi="標楷體"/>
          <w:color w:val="000000"/>
          <w:spacing w:val="2"/>
          <w:kern w:val="0"/>
          <w:sz w:val="28"/>
          <w:szCs w:val="26"/>
        </w:rPr>
        <w:t>(</w:t>
      </w:r>
      <w:r>
        <w:rPr>
          <w:rFonts w:eastAsia="標楷體"/>
          <w:color w:val="000000"/>
          <w:spacing w:val="2"/>
          <w:kern w:val="0"/>
          <w:sz w:val="28"/>
          <w:szCs w:val="26"/>
        </w:rPr>
        <w:t>1.63%</w:t>
      </w:r>
      <w:r>
        <w:rPr>
          <w:rFonts w:ascii="標楷體" w:eastAsia="標楷體" w:hAnsi="標楷體"/>
          <w:color w:val="000000"/>
          <w:spacing w:val="2"/>
          <w:kern w:val="0"/>
          <w:sz w:val="28"/>
          <w:szCs w:val="26"/>
        </w:rPr>
        <w:t>)</w:t>
      </w:r>
      <w:r>
        <w:rPr>
          <w:rFonts w:eastAsia="標楷體"/>
          <w:color w:val="000000"/>
          <w:spacing w:val="2"/>
          <w:kern w:val="0"/>
          <w:sz w:val="28"/>
          <w:szCs w:val="26"/>
        </w:rPr>
        <w:t>，低於南韓</w:t>
      </w:r>
      <w:r>
        <w:rPr>
          <w:rFonts w:ascii="標楷體" w:eastAsia="標楷體" w:hAnsi="標楷體"/>
          <w:color w:val="000000"/>
          <w:spacing w:val="2"/>
          <w:kern w:val="0"/>
          <w:sz w:val="28"/>
          <w:szCs w:val="26"/>
        </w:rPr>
        <w:t>(</w:t>
      </w:r>
      <w:r>
        <w:rPr>
          <w:rFonts w:eastAsia="標楷體"/>
          <w:color w:val="000000"/>
          <w:spacing w:val="2"/>
          <w:kern w:val="0"/>
          <w:sz w:val="28"/>
          <w:szCs w:val="26"/>
        </w:rPr>
        <w:t>2.34%</w:t>
      </w:r>
      <w:r>
        <w:rPr>
          <w:rFonts w:ascii="標楷體" w:eastAsia="標楷體" w:hAnsi="標楷體"/>
          <w:color w:val="000000"/>
          <w:spacing w:val="2"/>
          <w:kern w:val="0"/>
          <w:sz w:val="28"/>
          <w:szCs w:val="26"/>
        </w:rPr>
        <w:t>)</w:t>
      </w:r>
      <w:r>
        <w:rPr>
          <w:rFonts w:eastAsia="標楷體"/>
          <w:color w:val="000000"/>
          <w:spacing w:val="2"/>
          <w:kern w:val="0"/>
          <w:sz w:val="28"/>
          <w:szCs w:val="26"/>
        </w:rPr>
        <w:t>。</w:t>
      </w:r>
      <w:r>
        <w:rPr>
          <w:rFonts w:eastAsia="標楷體"/>
          <w:color w:val="000000"/>
          <w:spacing w:val="4"/>
          <w:kern w:val="0"/>
          <w:sz w:val="28"/>
          <w:szCs w:val="26"/>
        </w:rPr>
        <w:t xml:space="preserve"> </w:t>
      </w:r>
    </w:p>
    <w:p w14:paraId="5ABA2033" w14:textId="77777777" w:rsidR="00052596" w:rsidRDefault="00000000">
      <w:pPr>
        <w:overflowPunct w:val="0"/>
        <w:autoSpaceDE w:val="0"/>
        <w:snapToGrid w:val="0"/>
        <w:spacing w:before="240" w:line="260" w:lineRule="exact"/>
        <w:jc w:val="center"/>
        <w:textAlignment w:val="center"/>
        <w:rPr>
          <w:rFonts w:eastAsia="標楷體"/>
          <w:b/>
          <w:color w:val="0000FF"/>
          <w:kern w:val="0"/>
          <w:sz w:val="25"/>
          <w:szCs w:val="22"/>
        </w:rPr>
      </w:pPr>
      <w:r>
        <w:rPr>
          <w:rFonts w:eastAsia="標楷體"/>
          <w:b/>
          <w:color w:val="0000FF"/>
          <w:kern w:val="0"/>
          <w:sz w:val="25"/>
          <w:szCs w:val="22"/>
        </w:rPr>
        <w:t>表</w:t>
      </w:r>
      <w:r>
        <w:rPr>
          <w:rFonts w:eastAsia="標楷體"/>
          <w:b/>
          <w:color w:val="0000FF"/>
          <w:kern w:val="0"/>
          <w:sz w:val="25"/>
          <w:szCs w:val="22"/>
        </w:rPr>
        <w:t>1.2.3</w:t>
      </w:r>
      <w:r>
        <w:rPr>
          <w:rFonts w:eastAsia="標楷體"/>
          <w:b/>
          <w:color w:val="0000FF"/>
          <w:kern w:val="0"/>
          <w:sz w:val="25"/>
          <w:szCs w:val="22"/>
        </w:rPr>
        <w:t xml:space="preserve">　東亞經濟體總要素生產力成長率</w:t>
      </w:r>
    </w:p>
    <w:p w14:paraId="317239F1" w14:textId="77777777" w:rsidR="00052596" w:rsidRDefault="00000000">
      <w:pPr>
        <w:overflowPunct w:val="0"/>
        <w:autoSpaceDE w:val="0"/>
        <w:snapToGrid w:val="0"/>
        <w:spacing w:before="120" w:after="48" w:line="240" w:lineRule="exact"/>
        <w:ind w:left="1032" w:right="744" w:firstLine="493"/>
        <w:jc w:val="right"/>
        <w:textAlignment w:val="center"/>
        <w:rPr>
          <w:rFonts w:eastAsia="標楷體"/>
          <w:kern w:val="0"/>
          <w:szCs w:val="24"/>
          <w:lang w:bidi="hi-IN"/>
        </w:rPr>
      </w:pPr>
      <w:r>
        <w:rPr>
          <w:rFonts w:eastAsia="標楷體"/>
          <w:kern w:val="0"/>
          <w:szCs w:val="24"/>
          <w:lang w:bidi="hi-IN"/>
        </w:rPr>
        <w:t>單位：</w:t>
      </w:r>
      <w:r>
        <w:rPr>
          <w:rFonts w:eastAsia="標楷體"/>
          <w:kern w:val="0"/>
          <w:szCs w:val="24"/>
          <w:lang w:bidi="hi-IN"/>
        </w:rPr>
        <w:t>%</w:t>
      </w:r>
    </w:p>
    <w:tbl>
      <w:tblPr>
        <w:tblW w:w="6996" w:type="dxa"/>
        <w:jc w:val="center"/>
        <w:tblCellMar>
          <w:left w:w="10" w:type="dxa"/>
          <w:right w:w="10" w:type="dxa"/>
        </w:tblCellMar>
        <w:tblLook w:val="04A0" w:firstRow="1" w:lastRow="0" w:firstColumn="1" w:lastColumn="0" w:noHBand="0" w:noVBand="1"/>
      </w:tblPr>
      <w:tblGrid>
        <w:gridCol w:w="1871"/>
        <w:gridCol w:w="1708"/>
        <w:gridCol w:w="1708"/>
        <w:gridCol w:w="1709"/>
      </w:tblGrid>
      <w:tr w:rsidR="00052596" w14:paraId="554E9844" w14:textId="77777777">
        <w:tblPrEx>
          <w:tblCellMar>
            <w:top w:w="0" w:type="dxa"/>
            <w:bottom w:w="0" w:type="dxa"/>
          </w:tblCellMar>
        </w:tblPrEx>
        <w:trPr>
          <w:trHeight w:val="587"/>
          <w:jc w:val="center"/>
        </w:trPr>
        <w:tc>
          <w:tcPr>
            <w:tcW w:w="1871" w:type="dxa"/>
            <w:tcBorders>
              <w:top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06259E3B" w14:textId="77777777" w:rsidR="00052596" w:rsidRDefault="00000000">
            <w:pPr>
              <w:widowControl/>
              <w:jc w:val="center"/>
              <w:rPr>
                <w:rFonts w:eastAsia="標楷體"/>
                <w:kern w:val="0"/>
                <w:szCs w:val="24"/>
                <w:lang w:bidi="he-IL"/>
              </w:rPr>
            </w:pPr>
            <w:r>
              <w:rPr>
                <w:rFonts w:eastAsia="標楷體"/>
                <w:kern w:val="0"/>
                <w:szCs w:val="24"/>
                <w:lang w:bidi="he-IL"/>
              </w:rPr>
              <w:t>國家或地區</w:t>
            </w:r>
          </w:p>
        </w:tc>
        <w:tc>
          <w:tcPr>
            <w:tcW w:w="1708" w:type="dxa"/>
            <w:tcBorders>
              <w:top w:val="single" w:sz="6" w:space="0" w:color="000000"/>
              <w:left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6C340271" w14:textId="77777777" w:rsidR="00052596" w:rsidRDefault="00000000">
            <w:pPr>
              <w:widowControl/>
              <w:jc w:val="center"/>
              <w:rPr>
                <w:rFonts w:eastAsia="標楷體"/>
                <w:kern w:val="0"/>
                <w:szCs w:val="24"/>
                <w:lang w:bidi="he-IL"/>
              </w:rPr>
            </w:pPr>
            <w:r>
              <w:rPr>
                <w:rFonts w:eastAsia="標楷體"/>
                <w:kern w:val="0"/>
                <w:szCs w:val="24"/>
                <w:lang w:bidi="he-IL"/>
              </w:rPr>
              <w:t>1991-2000</w:t>
            </w:r>
            <w:r>
              <w:rPr>
                <w:rFonts w:eastAsia="標楷體"/>
                <w:kern w:val="0"/>
                <w:szCs w:val="24"/>
                <w:lang w:bidi="he-IL"/>
              </w:rPr>
              <w:t>年</w:t>
            </w:r>
          </w:p>
        </w:tc>
        <w:tc>
          <w:tcPr>
            <w:tcW w:w="1708" w:type="dxa"/>
            <w:tcBorders>
              <w:top w:val="single" w:sz="6" w:space="0" w:color="000000"/>
              <w:left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224E8E0E" w14:textId="77777777" w:rsidR="00052596" w:rsidRDefault="00000000">
            <w:pPr>
              <w:widowControl/>
              <w:jc w:val="center"/>
              <w:rPr>
                <w:rFonts w:eastAsia="標楷體"/>
                <w:kern w:val="0"/>
                <w:szCs w:val="24"/>
                <w:lang w:bidi="he-IL"/>
              </w:rPr>
            </w:pPr>
            <w:r>
              <w:rPr>
                <w:rFonts w:eastAsia="標楷體"/>
                <w:kern w:val="0"/>
                <w:szCs w:val="24"/>
                <w:lang w:bidi="he-IL"/>
              </w:rPr>
              <w:t>2001-2007</w:t>
            </w:r>
            <w:r>
              <w:rPr>
                <w:rFonts w:eastAsia="標楷體"/>
                <w:kern w:val="0"/>
                <w:szCs w:val="24"/>
                <w:lang w:bidi="he-IL"/>
              </w:rPr>
              <w:t>年</w:t>
            </w:r>
          </w:p>
        </w:tc>
        <w:tc>
          <w:tcPr>
            <w:tcW w:w="1709" w:type="dxa"/>
            <w:tcBorders>
              <w:top w:val="single" w:sz="6" w:space="0" w:color="000000"/>
              <w:left w:val="single" w:sz="6" w:space="0" w:color="000000"/>
              <w:bottom w:val="single" w:sz="6" w:space="0" w:color="000000"/>
            </w:tcBorders>
            <w:shd w:val="clear" w:color="auto" w:fill="EFFFEF"/>
            <w:tcMar>
              <w:top w:w="0" w:type="dxa"/>
              <w:left w:w="108" w:type="dxa"/>
              <w:bottom w:w="0" w:type="dxa"/>
              <w:right w:w="108" w:type="dxa"/>
            </w:tcMar>
            <w:vAlign w:val="center"/>
          </w:tcPr>
          <w:p w14:paraId="3AAC833B" w14:textId="77777777" w:rsidR="00052596" w:rsidRDefault="00000000">
            <w:pPr>
              <w:widowControl/>
              <w:spacing w:line="260" w:lineRule="exact"/>
              <w:jc w:val="center"/>
              <w:rPr>
                <w:rFonts w:eastAsia="標楷體"/>
                <w:kern w:val="0"/>
                <w:szCs w:val="24"/>
                <w:lang w:bidi="he-IL"/>
              </w:rPr>
            </w:pPr>
            <w:r>
              <w:rPr>
                <w:rFonts w:eastAsia="標楷體"/>
                <w:kern w:val="0"/>
                <w:szCs w:val="24"/>
                <w:lang w:bidi="he-IL"/>
              </w:rPr>
              <w:t>2011-2020</w:t>
            </w:r>
            <w:r>
              <w:rPr>
                <w:rFonts w:eastAsia="標楷體"/>
                <w:kern w:val="0"/>
                <w:szCs w:val="24"/>
                <w:lang w:bidi="he-IL"/>
              </w:rPr>
              <w:t>年</w:t>
            </w:r>
          </w:p>
          <w:p w14:paraId="0733479A" w14:textId="77777777" w:rsidR="00052596" w:rsidRDefault="00000000">
            <w:pPr>
              <w:widowControl/>
              <w:spacing w:line="260" w:lineRule="exact"/>
              <w:jc w:val="center"/>
            </w:pPr>
            <w:r>
              <w:rPr>
                <w:rFonts w:ascii="標楷體" w:eastAsia="標楷體" w:hAnsi="標楷體"/>
                <w:kern w:val="0"/>
                <w:szCs w:val="24"/>
                <w:lang w:bidi="he-IL"/>
              </w:rPr>
              <w:t>(</w:t>
            </w:r>
            <w:r>
              <w:rPr>
                <w:rFonts w:eastAsia="標楷體"/>
                <w:kern w:val="0"/>
                <w:szCs w:val="24"/>
                <w:lang w:bidi="he-IL"/>
              </w:rPr>
              <w:t>基準預測</w:t>
            </w:r>
            <w:r>
              <w:rPr>
                <w:rFonts w:ascii="標楷體" w:eastAsia="標楷體" w:hAnsi="標楷體"/>
                <w:kern w:val="0"/>
                <w:szCs w:val="24"/>
                <w:lang w:bidi="he-IL"/>
              </w:rPr>
              <w:t>)</w:t>
            </w:r>
          </w:p>
        </w:tc>
      </w:tr>
      <w:tr w:rsidR="00052596" w14:paraId="0B3135B2" w14:textId="77777777">
        <w:tblPrEx>
          <w:tblCellMar>
            <w:top w:w="0" w:type="dxa"/>
            <w:bottom w:w="0" w:type="dxa"/>
          </w:tblCellMar>
        </w:tblPrEx>
        <w:trPr>
          <w:trHeight w:val="369"/>
          <w:jc w:val="center"/>
        </w:trPr>
        <w:tc>
          <w:tcPr>
            <w:tcW w:w="1871" w:type="dxa"/>
            <w:tcBorders>
              <w:top w:val="single" w:sz="6" w:space="0" w:color="000000"/>
              <w:right w:val="single" w:sz="6" w:space="0" w:color="000000"/>
            </w:tcBorders>
            <w:shd w:val="clear" w:color="auto" w:fill="FFF0E1"/>
            <w:tcMar>
              <w:top w:w="0" w:type="dxa"/>
              <w:left w:w="28" w:type="dxa"/>
              <w:bottom w:w="0" w:type="dxa"/>
              <w:right w:w="28" w:type="dxa"/>
            </w:tcMar>
            <w:vAlign w:val="center"/>
          </w:tcPr>
          <w:p w14:paraId="433440D2" w14:textId="77777777" w:rsidR="00052596" w:rsidRDefault="00000000">
            <w:pPr>
              <w:widowControl/>
              <w:ind w:left="240" w:right="240"/>
              <w:rPr>
                <w:rFonts w:eastAsia="標楷體"/>
                <w:spacing w:val="-20"/>
                <w:kern w:val="0"/>
                <w:szCs w:val="24"/>
                <w:lang w:bidi="he-IL"/>
              </w:rPr>
            </w:pPr>
            <w:r>
              <w:rPr>
                <w:rFonts w:eastAsia="標楷體"/>
                <w:spacing w:val="-20"/>
                <w:kern w:val="0"/>
                <w:szCs w:val="24"/>
                <w:lang w:bidi="he-IL"/>
              </w:rPr>
              <w:t>臺　灣</w:t>
            </w:r>
          </w:p>
        </w:tc>
        <w:tc>
          <w:tcPr>
            <w:tcW w:w="1708" w:type="dxa"/>
            <w:tcBorders>
              <w:top w:val="single" w:sz="6" w:space="0" w:color="000000"/>
              <w:left w:val="single" w:sz="6" w:space="0" w:color="000000"/>
              <w:right w:val="single" w:sz="6" w:space="0" w:color="000000"/>
            </w:tcBorders>
            <w:shd w:val="clear" w:color="auto" w:fill="FFF0E1"/>
            <w:tcMar>
              <w:top w:w="0" w:type="dxa"/>
              <w:left w:w="28" w:type="dxa"/>
              <w:bottom w:w="0" w:type="dxa"/>
              <w:right w:w="28" w:type="dxa"/>
            </w:tcMar>
            <w:vAlign w:val="center"/>
          </w:tcPr>
          <w:p w14:paraId="46A78324" w14:textId="77777777" w:rsidR="00052596" w:rsidRDefault="00000000">
            <w:pPr>
              <w:widowControl/>
              <w:jc w:val="center"/>
            </w:pPr>
            <w:r>
              <w:rPr>
                <w:rFonts w:eastAsia="標楷體"/>
                <w:kern w:val="0"/>
                <w:szCs w:val="24"/>
                <w:lang w:bidi="he-IL"/>
              </w:rPr>
              <w:t>1.93</w:t>
            </w:r>
            <w:r>
              <w:rPr>
                <w:rFonts w:ascii="標楷體" w:eastAsia="標楷體" w:hAnsi="標楷體"/>
                <w:kern w:val="0"/>
                <w:szCs w:val="24"/>
                <w:lang w:bidi="he-IL"/>
              </w:rPr>
              <w:t>(</w:t>
            </w:r>
            <w:r>
              <w:rPr>
                <w:rFonts w:eastAsia="標楷體"/>
                <w:kern w:val="0"/>
                <w:szCs w:val="24"/>
                <w:lang w:bidi="he-IL"/>
              </w:rPr>
              <w:t>1.35</w:t>
            </w:r>
            <w:r>
              <w:rPr>
                <w:rFonts w:ascii="標楷體" w:eastAsia="標楷體" w:hAnsi="標楷體"/>
                <w:kern w:val="0"/>
                <w:szCs w:val="24"/>
                <w:lang w:bidi="he-IL"/>
              </w:rPr>
              <w:t>)</w:t>
            </w:r>
          </w:p>
        </w:tc>
        <w:tc>
          <w:tcPr>
            <w:tcW w:w="1708" w:type="dxa"/>
            <w:tcBorders>
              <w:top w:val="single" w:sz="6" w:space="0" w:color="000000"/>
              <w:left w:val="single" w:sz="6" w:space="0" w:color="000000"/>
              <w:right w:val="single" w:sz="6" w:space="0" w:color="000000"/>
            </w:tcBorders>
            <w:shd w:val="clear" w:color="auto" w:fill="FFF0E1"/>
            <w:tcMar>
              <w:top w:w="0" w:type="dxa"/>
              <w:left w:w="28" w:type="dxa"/>
              <w:bottom w:w="0" w:type="dxa"/>
              <w:right w:w="28" w:type="dxa"/>
            </w:tcMar>
            <w:vAlign w:val="center"/>
          </w:tcPr>
          <w:p w14:paraId="235EE787" w14:textId="77777777" w:rsidR="00052596" w:rsidRDefault="00000000">
            <w:pPr>
              <w:widowControl/>
              <w:jc w:val="center"/>
            </w:pPr>
            <w:r>
              <w:rPr>
                <w:rFonts w:eastAsia="標楷體"/>
                <w:kern w:val="0"/>
                <w:szCs w:val="24"/>
                <w:lang w:bidi="he-IL"/>
              </w:rPr>
              <w:t>1.17</w:t>
            </w:r>
            <w:r>
              <w:rPr>
                <w:rFonts w:ascii="標楷體" w:eastAsia="標楷體" w:hAnsi="標楷體"/>
                <w:kern w:val="0"/>
                <w:szCs w:val="24"/>
                <w:lang w:bidi="he-IL"/>
              </w:rPr>
              <w:t>(</w:t>
            </w:r>
            <w:r>
              <w:rPr>
                <w:rFonts w:eastAsia="標楷體"/>
                <w:kern w:val="0"/>
                <w:szCs w:val="24"/>
                <w:lang w:bidi="he-IL"/>
              </w:rPr>
              <w:t>0.41</w:t>
            </w:r>
            <w:r>
              <w:rPr>
                <w:rFonts w:ascii="標楷體" w:eastAsia="標楷體" w:hAnsi="標楷體"/>
                <w:kern w:val="0"/>
                <w:szCs w:val="24"/>
                <w:lang w:bidi="he-IL"/>
              </w:rPr>
              <w:t>)</w:t>
            </w:r>
          </w:p>
        </w:tc>
        <w:tc>
          <w:tcPr>
            <w:tcW w:w="1709" w:type="dxa"/>
            <w:tcBorders>
              <w:top w:val="single" w:sz="6" w:space="0" w:color="000000"/>
              <w:left w:val="single" w:sz="6" w:space="0" w:color="000000"/>
            </w:tcBorders>
            <w:shd w:val="clear" w:color="auto" w:fill="FFF0E1"/>
            <w:tcMar>
              <w:top w:w="0" w:type="dxa"/>
              <w:left w:w="108" w:type="dxa"/>
              <w:bottom w:w="0" w:type="dxa"/>
              <w:right w:w="108" w:type="dxa"/>
            </w:tcMar>
            <w:vAlign w:val="center"/>
          </w:tcPr>
          <w:p w14:paraId="0AE4EBA8" w14:textId="77777777" w:rsidR="00052596" w:rsidRDefault="00000000">
            <w:pPr>
              <w:widowControl/>
              <w:jc w:val="center"/>
            </w:pPr>
            <w:r>
              <w:rPr>
                <w:rFonts w:eastAsia="標楷體"/>
                <w:kern w:val="0"/>
                <w:szCs w:val="24"/>
                <w:lang w:bidi="he-IL"/>
              </w:rPr>
              <w:t>1.80</w:t>
            </w:r>
            <w:r>
              <w:rPr>
                <w:rFonts w:ascii="標楷體" w:eastAsia="標楷體" w:hAnsi="標楷體"/>
                <w:kern w:val="0"/>
                <w:szCs w:val="24"/>
                <w:lang w:bidi="he-IL"/>
              </w:rPr>
              <w:t>(</w:t>
            </w:r>
            <w:r>
              <w:rPr>
                <w:rFonts w:eastAsia="標楷體"/>
                <w:kern w:val="0"/>
                <w:szCs w:val="24"/>
                <w:lang w:bidi="he-IL"/>
              </w:rPr>
              <w:t>1.52</w:t>
            </w:r>
            <w:r>
              <w:rPr>
                <w:rFonts w:ascii="標楷體" w:eastAsia="標楷體" w:hAnsi="標楷體"/>
                <w:kern w:val="0"/>
                <w:szCs w:val="24"/>
                <w:lang w:bidi="he-IL"/>
              </w:rPr>
              <w:t>)</w:t>
            </w:r>
          </w:p>
        </w:tc>
      </w:tr>
      <w:tr w:rsidR="00052596" w14:paraId="612EAF43" w14:textId="77777777">
        <w:tblPrEx>
          <w:tblCellMar>
            <w:top w:w="0" w:type="dxa"/>
            <w:bottom w:w="0" w:type="dxa"/>
          </w:tblCellMar>
        </w:tblPrEx>
        <w:trPr>
          <w:trHeight w:val="369"/>
          <w:jc w:val="center"/>
        </w:trPr>
        <w:tc>
          <w:tcPr>
            <w:tcW w:w="1871" w:type="dxa"/>
            <w:tcBorders>
              <w:right w:val="single" w:sz="6" w:space="0" w:color="000000"/>
            </w:tcBorders>
            <w:shd w:val="clear" w:color="auto" w:fill="FFF0E1"/>
            <w:tcMar>
              <w:top w:w="0" w:type="dxa"/>
              <w:left w:w="28" w:type="dxa"/>
              <w:bottom w:w="0" w:type="dxa"/>
              <w:right w:w="28" w:type="dxa"/>
            </w:tcMar>
            <w:vAlign w:val="center"/>
          </w:tcPr>
          <w:p w14:paraId="79E5A0D6" w14:textId="77777777" w:rsidR="00052596" w:rsidRDefault="00000000">
            <w:pPr>
              <w:widowControl/>
              <w:ind w:left="240" w:right="240"/>
              <w:rPr>
                <w:rFonts w:eastAsia="標楷體"/>
                <w:spacing w:val="-20"/>
                <w:kern w:val="0"/>
                <w:szCs w:val="24"/>
                <w:lang w:bidi="he-IL"/>
              </w:rPr>
            </w:pPr>
            <w:r>
              <w:rPr>
                <w:rFonts w:eastAsia="標楷體"/>
                <w:spacing w:val="-20"/>
                <w:kern w:val="0"/>
                <w:szCs w:val="24"/>
                <w:lang w:bidi="he-IL"/>
              </w:rPr>
              <w:t>南</w:t>
            </w:r>
            <w:r>
              <w:rPr>
                <w:rFonts w:eastAsia="標楷體"/>
                <w:spacing w:val="-20"/>
                <w:kern w:val="0"/>
                <w:szCs w:val="24"/>
                <w:lang w:bidi="he-IL"/>
              </w:rPr>
              <w:t xml:space="preserve">  </w:t>
            </w:r>
            <w:r>
              <w:rPr>
                <w:rFonts w:eastAsia="標楷體"/>
                <w:spacing w:val="-20"/>
                <w:kern w:val="0"/>
                <w:szCs w:val="24"/>
                <w:lang w:bidi="he-IL"/>
              </w:rPr>
              <w:t>韓</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79583444" w14:textId="77777777" w:rsidR="00052596" w:rsidRDefault="00000000">
            <w:pPr>
              <w:widowControl/>
              <w:jc w:val="center"/>
            </w:pPr>
            <w:r>
              <w:rPr>
                <w:rFonts w:eastAsia="標楷體"/>
                <w:kern w:val="0"/>
                <w:szCs w:val="24"/>
                <w:lang w:bidi="he-IL"/>
              </w:rPr>
              <w:t>0.87</w:t>
            </w:r>
            <w:r>
              <w:rPr>
                <w:rFonts w:ascii="標楷體" w:eastAsia="標楷體" w:hAnsi="標楷體"/>
                <w:kern w:val="0"/>
                <w:szCs w:val="24"/>
                <w:lang w:bidi="he-IL"/>
              </w:rPr>
              <w:t>(</w:t>
            </w:r>
            <w:r>
              <w:rPr>
                <w:rFonts w:eastAsia="標楷體"/>
                <w:kern w:val="0"/>
                <w:szCs w:val="24"/>
                <w:lang w:bidi="he-IL"/>
              </w:rPr>
              <w:t>0.05</w:t>
            </w:r>
            <w:r>
              <w:rPr>
                <w:rFonts w:ascii="標楷體" w:eastAsia="標楷體" w:hAnsi="標楷體"/>
                <w:kern w:val="0"/>
                <w:szCs w:val="24"/>
                <w:lang w:bidi="he-IL"/>
              </w:rPr>
              <w:t>)</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47D9FEBA" w14:textId="77777777" w:rsidR="00052596" w:rsidRDefault="00000000">
            <w:pPr>
              <w:widowControl/>
              <w:jc w:val="center"/>
            </w:pPr>
            <w:r>
              <w:rPr>
                <w:rFonts w:eastAsia="標楷體"/>
                <w:kern w:val="0"/>
                <w:szCs w:val="24"/>
                <w:lang w:bidi="he-IL"/>
              </w:rPr>
              <w:t>1.46</w:t>
            </w:r>
            <w:r>
              <w:rPr>
                <w:rFonts w:ascii="標楷體" w:eastAsia="標楷體" w:hAnsi="標楷體"/>
                <w:kern w:val="0"/>
                <w:szCs w:val="24"/>
                <w:lang w:bidi="he-IL"/>
              </w:rPr>
              <w:t>(</w:t>
            </w:r>
            <w:r>
              <w:rPr>
                <w:rFonts w:eastAsia="標楷體"/>
                <w:kern w:val="0"/>
                <w:szCs w:val="24"/>
                <w:lang w:bidi="he-IL"/>
              </w:rPr>
              <w:t>1.08</w:t>
            </w:r>
            <w:r>
              <w:rPr>
                <w:rFonts w:ascii="標楷體" w:eastAsia="標楷體" w:hAnsi="標楷體"/>
                <w:kern w:val="0"/>
                <w:szCs w:val="24"/>
                <w:lang w:bidi="he-IL"/>
              </w:rPr>
              <w:t>)</w:t>
            </w:r>
          </w:p>
        </w:tc>
        <w:tc>
          <w:tcPr>
            <w:tcW w:w="1709" w:type="dxa"/>
            <w:tcBorders>
              <w:left w:val="single" w:sz="6" w:space="0" w:color="000000"/>
            </w:tcBorders>
            <w:shd w:val="clear" w:color="auto" w:fill="FFF0E1"/>
            <w:tcMar>
              <w:top w:w="0" w:type="dxa"/>
              <w:left w:w="108" w:type="dxa"/>
              <w:bottom w:w="0" w:type="dxa"/>
              <w:right w:w="108" w:type="dxa"/>
            </w:tcMar>
            <w:vAlign w:val="center"/>
          </w:tcPr>
          <w:p w14:paraId="110E0050" w14:textId="77777777" w:rsidR="00052596" w:rsidRDefault="00000000">
            <w:pPr>
              <w:widowControl/>
              <w:jc w:val="center"/>
            </w:pPr>
            <w:r>
              <w:rPr>
                <w:rFonts w:eastAsia="標楷體"/>
                <w:kern w:val="0"/>
                <w:szCs w:val="24"/>
                <w:lang w:bidi="he-IL"/>
              </w:rPr>
              <w:t>2.34</w:t>
            </w:r>
            <w:r>
              <w:rPr>
                <w:rFonts w:ascii="標楷體" w:eastAsia="標楷體" w:hAnsi="標楷體"/>
                <w:kern w:val="0"/>
                <w:szCs w:val="24"/>
                <w:lang w:bidi="he-IL"/>
              </w:rPr>
              <w:t>(</w:t>
            </w:r>
            <w:r>
              <w:rPr>
                <w:rFonts w:eastAsia="標楷體"/>
                <w:kern w:val="0"/>
                <w:szCs w:val="24"/>
                <w:lang w:bidi="he-IL"/>
              </w:rPr>
              <w:t>2.14</w:t>
            </w:r>
            <w:r>
              <w:rPr>
                <w:rFonts w:ascii="標楷體" w:eastAsia="標楷體" w:hAnsi="標楷體"/>
                <w:kern w:val="0"/>
                <w:szCs w:val="24"/>
                <w:lang w:bidi="he-IL"/>
              </w:rPr>
              <w:t>)</w:t>
            </w:r>
          </w:p>
        </w:tc>
      </w:tr>
      <w:tr w:rsidR="00052596" w14:paraId="583C4B80" w14:textId="77777777">
        <w:tblPrEx>
          <w:tblCellMar>
            <w:top w:w="0" w:type="dxa"/>
            <w:bottom w:w="0" w:type="dxa"/>
          </w:tblCellMar>
        </w:tblPrEx>
        <w:trPr>
          <w:trHeight w:val="369"/>
          <w:jc w:val="center"/>
        </w:trPr>
        <w:tc>
          <w:tcPr>
            <w:tcW w:w="1871" w:type="dxa"/>
            <w:tcBorders>
              <w:right w:val="single" w:sz="6" w:space="0" w:color="000000"/>
            </w:tcBorders>
            <w:shd w:val="clear" w:color="auto" w:fill="FFF0E1"/>
            <w:tcMar>
              <w:top w:w="0" w:type="dxa"/>
              <w:left w:w="28" w:type="dxa"/>
              <w:bottom w:w="0" w:type="dxa"/>
              <w:right w:w="28" w:type="dxa"/>
            </w:tcMar>
            <w:vAlign w:val="center"/>
          </w:tcPr>
          <w:p w14:paraId="57069201" w14:textId="77777777" w:rsidR="00052596" w:rsidRDefault="00000000">
            <w:pPr>
              <w:widowControl/>
              <w:ind w:left="240" w:right="240"/>
              <w:rPr>
                <w:rFonts w:eastAsia="標楷體"/>
                <w:spacing w:val="-20"/>
                <w:kern w:val="0"/>
                <w:szCs w:val="24"/>
                <w:lang w:bidi="he-IL"/>
              </w:rPr>
            </w:pPr>
            <w:r>
              <w:rPr>
                <w:rFonts w:eastAsia="標楷體"/>
                <w:spacing w:val="-20"/>
                <w:kern w:val="0"/>
                <w:szCs w:val="24"/>
                <w:lang w:bidi="he-IL"/>
              </w:rPr>
              <w:t>新加坡</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321C0316" w14:textId="77777777" w:rsidR="00052596" w:rsidRDefault="00000000">
            <w:pPr>
              <w:widowControl/>
              <w:jc w:val="center"/>
            </w:pPr>
            <w:r>
              <w:rPr>
                <w:rFonts w:eastAsia="標楷體"/>
                <w:kern w:val="0"/>
                <w:szCs w:val="24"/>
                <w:lang w:bidi="he-IL"/>
              </w:rPr>
              <w:t>3.28</w:t>
            </w:r>
            <w:r>
              <w:rPr>
                <w:rFonts w:ascii="標楷體" w:eastAsia="標楷體" w:hAnsi="標楷體"/>
                <w:kern w:val="0"/>
                <w:szCs w:val="24"/>
                <w:lang w:bidi="he-IL"/>
              </w:rPr>
              <w:t>(</w:t>
            </w:r>
            <w:r>
              <w:rPr>
                <w:rFonts w:eastAsia="標楷體"/>
                <w:kern w:val="0"/>
                <w:szCs w:val="24"/>
                <w:lang w:bidi="he-IL"/>
              </w:rPr>
              <w:t>2.59</w:t>
            </w:r>
            <w:r>
              <w:rPr>
                <w:rFonts w:ascii="標楷體" w:eastAsia="標楷體" w:hAnsi="標楷體"/>
                <w:kern w:val="0"/>
                <w:szCs w:val="24"/>
                <w:lang w:bidi="he-IL"/>
              </w:rPr>
              <w:t>)</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77AF2AD8" w14:textId="77777777" w:rsidR="00052596" w:rsidRDefault="00000000">
            <w:pPr>
              <w:widowControl/>
              <w:jc w:val="center"/>
            </w:pPr>
            <w:r>
              <w:rPr>
                <w:rFonts w:eastAsia="標楷體"/>
                <w:kern w:val="0"/>
                <w:szCs w:val="24"/>
                <w:lang w:bidi="he-IL"/>
              </w:rPr>
              <w:t>2.38</w:t>
            </w:r>
            <w:r>
              <w:rPr>
                <w:rFonts w:ascii="標楷體" w:eastAsia="標楷體" w:hAnsi="標楷體"/>
                <w:kern w:val="0"/>
                <w:szCs w:val="24"/>
                <w:lang w:bidi="he-IL"/>
              </w:rPr>
              <w:t>(</w:t>
            </w:r>
            <w:r>
              <w:rPr>
                <w:rFonts w:eastAsia="標楷體"/>
                <w:kern w:val="0"/>
                <w:szCs w:val="24"/>
                <w:lang w:bidi="he-IL"/>
              </w:rPr>
              <w:t>1.92</w:t>
            </w:r>
            <w:r>
              <w:rPr>
                <w:rFonts w:ascii="標楷體" w:eastAsia="標楷體" w:hAnsi="標楷體"/>
                <w:kern w:val="0"/>
                <w:szCs w:val="24"/>
                <w:lang w:bidi="he-IL"/>
              </w:rPr>
              <w:t>)</w:t>
            </w:r>
          </w:p>
        </w:tc>
        <w:tc>
          <w:tcPr>
            <w:tcW w:w="1709" w:type="dxa"/>
            <w:tcBorders>
              <w:left w:val="single" w:sz="6" w:space="0" w:color="000000"/>
            </w:tcBorders>
            <w:shd w:val="clear" w:color="auto" w:fill="FFF0E1"/>
            <w:tcMar>
              <w:top w:w="0" w:type="dxa"/>
              <w:left w:w="108" w:type="dxa"/>
              <w:bottom w:w="0" w:type="dxa"/>
              <w:right w:w="108" w:type="dxa"/>
            </w:tcMar>
            <w:vAlign w:val="center"/>
          </w:tcPr>
          <w:p w14:paraId="160BA818" w14:textId="77777777" w:rsidR="00052596" w:rsidRDefault="00000000">
            <w:pPr>
              <w:widowControl/>
              <w:jc w:val="center"/>
            </w:pPr>
            <w:r>
              <w:rPr>
                <w:rFonts w:eastAsia="標楷體"/>
                <w:kern w:val="0"/>
                <w:szCs w:val="24"/>
                <w:lang w:bidi="he-IL"/>
              </w:rPr>
              <w:t>1.55</w:t>
            </w:r>
            <w:r>
              <w:rPr>
                <w:rFonts w:ascii="標楷體" w:eastAsia="標楷體" w:hAnsi="標楷體"/>
                <w:kern w:val="0"/>
                <w:szCs w:val="24"/>
                <w:lang w:bidi="he-IL"/>
              </w:rPr>
              <w:t>(</w:t>
            </w:r>
            <w:r>
              <w:rPr>
                <w:rFonts w:eastAsia="標楷體"/>
                <w:kern w:val="0"/>
                <w:szCs w:val="24"/>
                <w:lang w:bidi="he-IL"/>
              </w:rPr>
              <w:t>1.17</w:t>
            </w:r>
            <w:r>
              <w:rPr>
                <w:rFonts w:ascii="標楷體" w:eastAsia="標楷體" w:hAnsi="標楷體"/>
                <w:kern w:val="0"/>
                <w:szCs w:val="24"/>
                <w:lang w:bidi="he-IL"/>
              </w:rPr>
              <w:t>)</w:t>
            </w:r>
          </w:p>
        </w:tc>
      </w:tr>
      <w:tr w:rsidR="00052596" w14:paraId="78B04E38" w14:textId="77777777">
        <w:tblPrEx>
          <w:tblCellMar>
            <w:top w:w="0" w:type="dxa"/>
            <w:bottom w:w="0" w:type="dxa"/>
          </w:tblCellMar>
        </w:tblPrEx>
        <w:trPr>
          <w:trHeight w:val="369"/>
          <w:jc w:val="center"/>
        </w:trPr>
        <w:tc>
          <w:tcPr>
            <w:tcW w:w="1871" w:type="dxa"/>
            <w:tcBorders>
              <w:right w:val="single" w:sz="6" w:space="0" w:color="000000"/>
            </w:tcBorders>
            <w:shd w:val="clear" w:color="auto" w:fill="FFF0E1"/>
            <w:tcMar>
              <w:top w:w="0" w:type="dxa"/>
              <w:left w:w="28" w:type="dxa"/>
              <w:bottom w:w="0" w:type="dxa"/>
              <w:right w:w="28" w:type="dxa"/>
            </w:tcMar>
            <w:vAlign w:val="center"/>
          </w:tcPr>
          <w:p w14:paraId="1C2962D7" w14:textId="77777777" w:rsidR="00052596" w:rsidRDefault="00000000">
            <w:pPr>
              <w:widowControl/>
              <w:ind w:left="240" w:right="240"/>
              <w:rPr>
                <w:rFonts w:eastAsia="標楷體"/>
                <w:spacing w:val="-20"/>
                <w:kern w:val="0"/>
                <w:szCs w:val="24"/>
                <w:lang w:bidi="he-IL"/>
              </w:rPr>
            </w:pPr>
            <w:r>
              <w:rPr>
                <w:rFonts w:eastAsia="標楷體"/>
                <w:spacing w:val="-20"/>
                <w:kern w:val="0"/>
                <w:szCs w:val="24"/>
                <w:lang w:bidi="he-IL"/>
              </w:rPr>
              <w:t>香</w:t>
            </w:r>
            <w:r>
              <w:rPr>
                <w:rFonts w:eastAsia="標楷體"/>
                <w:spacing w:val="-20"/>
                <w:kern w:val="0"/>
                <w:szCs w:val="24"/>
                <w:lang w:bidi="he-IL"/>
              </w:rPr>
              <w:t xml:space="preserve">  </w:t>
            </w:r>
            <w:r>
              <w:rPr>
                <w:rFonts w:eastAsia="標楷體"/>
                <w:spacing w:val="-20"/>
                <w:kern w:val="0"/>
                <w:szCs w:val="24"/>
                <w:lang w:bidi="he-IL"/>
              </w:rPr>
              <w:t>港</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7AC196D0" w14:textId="77777777" w:rsidR="00052596" w:rsidRDefault="00000000">
            <w:pPr>
              <w:widowControl/>
              <w:jc w:val="center"/>
            </w:pPr>
            <w:r>
              <w:rPr>
                <w:rFonts w:eastAsia="標楷體"/>
                <w:kern w:val="0"/>
                <w:szCs w:val="24"/>
                <w:lang w:bidi="he-IL"/>
              </w:rPr>
              <w:t>0.28</w:t>
            </w:r>
            <w:r>
              <w:rPr>
                <w:rFonts w:ascii="標楷體" w:eastAsia="標楷體" w:hAnsi="標楷體"/>
                <w:kern w:val="0"/>
                <w:szCs w:val="24"/>
                <w:lang w:bidi="he-IL"/>
              </w:rPr>
              <w:t>(</w:t>
            </w:r>
            <w:r>
              <w:rPr>
                <w:rFonts w:eastAsia="標楷體"/>
                <w:kern w:val="0"/>
                <w:szCs w:val="24"/>
                <w:lang w:bidi="he-IL"/>
              </w:rPr>
              <w:t>0.33</w:t>
            </w:r>
            <w:r>
              <w:rPr>
                <w:rFonts w:ascii="標楷體" w:eastAsia="標楷體" w:hAnsi="標楷體"/>
                <w:kern w:val="0"/>
                <w:szCs w:val="24"/>
                <w:lang w:bidi="he-IL"/>
              </w:rPr>
              <w:t>)</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6FC3990E" w14:textId="77777777" w:rsidR="00052596" w:rsidRDefault="00000000">
            <w:pPr>
              <w:widowControl/>
              <w:jc w:val="center"/>
            </w:pPr>
            <w:r>
              <w:rPr>
                <w:rFonts w:eastAsia="標楷體"/>
                <w:kern w:val="0"/>
                <w:szCs w:val="24"/>
                <w:lang w:bidi="he-IL"/>
              </w:rPr>
              <w:t>2.61</w:t>
            </w:r>
            <w:r>
              <w:rPr>
                <w:rFonts w:ascii="標楷體" w:eastAsia="標楷體" w:hAnsi="標楷體"/>
                <w:kern w:val="0"/>
                <w:szCs w:val="24"/>
                <w:lang w:bidi="he-IL"/>
              </w:rPr>
              <w:t>(</w:t>
            </w:r>
            <w:r>
              <w:rPr>
                <w:rFonts w:eastAsia="標楷體"/>
                <w:kern w:val="0"/>
                <w:szCs w:val="24"/>
                <w:lang w:bidi="he-IL"/>
              </w:rPr>
              <w:t>2.06</w:t>
            </w:r>
            <w:r>
              <w:rPr>
                <w:rFonts w:ascii="標楷體" w:eastAsia="標楷體" w:hAnsi="標楷體"/>
                <w:kern w:val="0"/>
                <w:szCs w:val="24"/>
                <w:lang w:bidi="he-IL"/>
              </w:rPr>
              <w:t>)</w:t>
            </w:r>
          </w:p>
        </w:tc>
        <w:tc>
          <w:tcPr>
            <w:tcW w:w="1709" w:type="dxa"/>
            <w:tcBorders>
              <w:left w:val="single" w:sz="6" w:space="0" w:color="000000"/>
            </w:tcBorders>
            <w:shd w:val="clear" w:color="auto" w:fill="FFF0E1"/>
            <w:tcMar>
              <w:top w:w="0" w:type="dxa"/>
              <w:left w:w="108" w:type="dxa"/>
              <w:bottom w:w="0" w:type="dxa"/>
              <w:right w:w="108" w:type="dxa"/>
            </w:tcMar>
            <w:vAlign w:val="center"/>
          </w:tcPr>
          <w:p w14:paraId="3DD392B7" w14:textId="77777777" w:rsidR="00052596" w:rsidRDefault="00000000">
            <w:pPr>
              <w:widowControl/>
              <w:jc w:val="center"/>
            </w:pPr>
            <w:r>
              <w:rPr>
                <w:rFonts w:eastAsia="標楷體"/>
                <w:kern w:val="0"/>
                <w:szCs w:val="24"/>
                <w:lang w:bidi="he-IL"/>
              </w:rPr>
              <w:t>1.63</w:t>
            </w:r>
            <w:r>
              <w:rPr>
                <w:rFonts w:ascii="標楷體" w:eastAsia="標楷體" w:hAnsi="標楷體"/>
                <w:kern w:val="0"/>
                <w:szCs w:val="24"/>
                <w:lang w:bidi="he-IL"/>
              </w:rPr>
              <w:t>(</w:t>
            </w:r>
            <w:r>
              <w:rPr>
                <w:rFonts w:eastAsia="標楷體"/>
                <w:kern w:val="0"/>
                <w:szCs w:val="24"/>
                <w:lang w:bidi="he-IL"/>
              </w:rPr>
              <w:t>1.20</w:t>
            </w:r>
            <w:r>
              <w:rPr>
                <w:rFonts w:ascii="標楷體" w:eastAsia="標楷體" w:hAnsi="標楷體"/>
                <w:kern w:val="0"/>
                <w:szCs w:val="24"/>
                <w:lang w:bidi="he-IL"/>
              </w:rPr>
              <w:t>)</w:t>
            </w:r>
          </w:p>
        </w:tc>
      </w:tr>
      <w:tr w:rsidR="00052596" w14:paraId="18B7D7F2" w14:textId="77777777">
        <w:tblPrEx>
          <w:tblCellMar>
            <w:top w:w="0" w:type="dxa"/>
            <w:bottom w:w="0" w:type="dxa"/>
          </w:tblCellMar>
        </w:tblPrEx>
        <w:trPr>
          <w:trHeight w:val="369"/>
          <w:jc w:val="center"/>
        </w:trPr>
        <w:tc>
          <w:tcPr>
            <w:tcW w:w="1871" w:type="dxa"/>
            <w:tcBorders>
              <w:right w:val="single" w:sz="6" w:space="0" w:color="000000"/>
            </w:tcBorders>
            <w:shd w:val="clear" w:color="auto" w:fill="FFF0E1"/>
            <w:tcMar>
              <w:top w:w="0" w:type="dxa"/>
              <w:left w:w="28" w:type="dxa"/>
              <w:bottom w:w="0" w:type="dxa"/>
              <w:right w:w="28" w:type="dxa"/>
            </w:tcMar>
            <w:vAlign w:val="center"/>
          </w:tcPr>
          <w:p w14:paraId="1EB5AF16" w14:textId="77777777" w:rsidR="00052596" w:rsidRDefault="00000000">
            <w:pPr>
              <w:widowControl/>
              <w:ind w:left="240" w:right="240"/>
              <w:rPr>
                <w:rFonts w:eastAsia="標楷體"/>
                <w:spacing w:val="-20"/>
                <w:kern w:val="0"/>
                <w:szCs w:val="24"/>
                <w:lang w:bidi="he-IL"/>
              </w:rPr>
            </w:pPr>
            <w:r>
              <w:rPr>
                <w:rFonts w:eastAsia="標楷體"/>
                <w:spacing w:val="-20"/>
                <w:kern w:val="0"/>
                <w:szCs w:val="24"/>
                <w:lang w:bidi="he-IL"/>
              </w:rPr>
              <w:t>印</w:t>
            </w:r>
            <w:r>
              <w:rPr>
                <w:rFonts w:eastAsia="標楷體"/>
                <w:spacing w:val="-20"/>
                <w:kern w:val="0"/>
                <w:szCs w:val="24"/>
                <w:lang w:bidi="he-IL"/>
              </w:rPr>
              <w:t xml:space="preserve">  </w:t>
            </w:r>
            <w:r>
              <w:rPr>
                <w:rFonts w:eastAsia="標楷體"/>
                <w:spacing w:val="-20"/>
                <w:kern w:val="0"/>
                <w:szCs w:val="24"/>
                <w:lang w:bidi="he-IL"/>
              </w:rPr>
              <w:t>尼</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3B0A9278" w14:textId="77777777" w:rsidR="00052596" w:rsidRDefault="00000000">
            <w:pPr>
              <w:widowControl/>
              <w:jc w:val="center"/>
            </w:pPr>
            <w:r>
              <w:rPr>
                <w:rFonts w:eastAsia="標楷體"/>
                <w:kern w:val="0"/>
                <w:szCs w:val="24"/>
                <w:lang w:bidi="he-IL"/>
              </w:rPr>
              <w:t>0.29</w:t>
            </w:r>
            <w:r>
              <w:rPr>
                <w:rFonts w:ascii="標楷體" w:eastAsia="標楷體" w:hAnsi="標楷體"/>
                <w:kern w:val="0"/>
                <w:szCs w:val="24"/>
                <w:lang w:bidi="he-IL"/>
              </w:rPr>
              <w:t>(</w:t>
            </w:r>
            <w:r>
              <w:rPr>
                <w:rFonts w:eastAsia="標楷體"/>
                <w:kern w:val="0"/>
                <w:szCs w:val="24"/>
                <w:lang w:bidi="he-IL"/>
              </w:rPr>
              <w:t>-0.19</w:t>
            </w:r>
            <w:r>
              <w:rPr>
                <w:rFonts w:ascii="標楷體" w:eastAsia="標楷體" w:hAnsi="標楷體"/>
                <w:kern w:val="0"/>
                <w:szCs w:val="24"/>
                <w:lang w:bidi="he-IL"/>
              </w:rPr>
              <w:t>)</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1FA1D745" w14:textId="77777777" w:rsidR="00052596" w:rsidRDefault="00000000">
            <w:pPr>
              <w:widowControl/>
              <w:jc w:val="center"/>
            </w:pPr>
            <w:r>
              <w:rPr>
                <w:rFonts w:eastAsia="標楷體"/>
                <w:kern w:val="0"/>
                <w:szCs w:val="24"/>
                <w:lang w:bidi="he-IL"/>
              </w:rPr>
              <w:t>2.59</w:t>
            </w:r>
            <w:r>
              <w:rPr>
                <w:rFonts w:ascii="標楷體" w:eastAsia="標楷體" w:hAnsi="標楷體"/>
                <w:kern w:val="0"/>
                <w:szCs w:val="24"/>
                <w:lang w:bidi="he-IL"/>
              </w:rPr>
              <w:t>(</w:t>
            </w:r>
            <w:r>
              <w:rPr>
                <w:rFonts w:eastAsia="標楷體"/>
                <w:kern w:val="0"/>
                <w:szCs w:val="24"/>
                <w:lang w:bidi="he-IL"/>
              </w:rPr>
              <w:t>2.12</w:t>
            </w:r>
            <w:r>
              <w:rPr>
                <w:rFonts w:ascii="標楷體" w:eastAsia="標楷體" w:hAnsi="標楷體"/>
                <w:kern w:val="0"/>
                <w:szCs w:val="24"/>
                <w:lang w:bidi="he-IL"/>
              </w:rPr>
              <w:t>)</w:t>
            </w:r>
          </w:p>
        </w:tc>
        <w:tc>
          <w:tcPr>
            <w:tcW w:w="1709" w:type="dxa"/>
            <w:tcBorders>
              <w:left w:val="single" w:sz="6" w:space="0" w:color="000000"/>
            </w:tcBorders>
            <w:shd w:val="clear" w:color="auto" w:fill="FFF0E1"/>
            <w:tcMar>
              <w:top w:w="0" w:type="dxa"/>
              <w:left w:w="108" w:type="dxa"/>
              <w:bottom w:w="0" w:type="dxa"/>
              <w:right w:w="108" w:type="dxa"/>
            </w:tcMar>
            <w:vAlign w:val="center"/>
          </w:tcPr>
          <w:p w14:paraId="1ECC2518" w14:textId="77777777" w:rsidR="00052596" w:rsidRDefault="00000000">
            <w:pPr>
              <w:widowControl/>
              <w:jc w:val="center"/>
            </w:pPr>
            <w:r>
              <w:rPr>
                <w:rFonts w:eastAsia="標楷體"/>
                <w:kern w:val="0"/>
                <w:szCs w:val="24"/>
                <w:lang w:bidi="he-IL"/>
              </w:rPr>
              <w:t>1.65</w:t>
            </w:r>
            <w:r>
              <w:rPr>
                <w:rFonts w:ascii="標楷體" w:eastAsia="標楷體" w:hAnsi="標楷體"/>
                <w:kern w:val="0"/>
                <w:szCs w:val="24"/>
                <w:lang w:bidi="he-IL"/>
              </w:rPr>
              <w:t>(</w:t>
            </w:r>
            <w:r>
              <w:rPr>
                <w:rFonts w:eastAsia="標楷體"/>
                <w:kern w:val="0"/>
                <w:szCs w:val="24"/>
                <w:lang w:bidi="he-IL"/>
              </w:rPr>
              <w:t>1.37</w:t>
            </w:r>
            <w:r>
              <w:rPr>
                <w:rFonts w:ascii="標楷體" w:eastAsia="標楷體" w:hAnsi="標楷體"/>
                <w:kern w:val="0"/>
                <w:szCs w:val="24"/>
                <w:lang w:bidi="he-IL"/>
              </w:rPr>
              <w:t>)</w:t>
            </w:r>
          </w:p>
        </w:tc>
      </w:tr>
      <w:tr w:rsidR="00052596" w14:paraId="6EFE21E4" w14:textId="77777777">
        <w:tblPrEx>
          <w:tblCellMar>
            <w:top w:w="0" w:type="dxa"/>
            <w:bottom w:w="0" w:type="dxa"/>
          </w:tblCellMar>
        </w:tblPrEx>
        <w:trPr>
          <w:trHeight w:val="369"/>
          <w:jc w:val="center"/>
        </w:trPr>
        <w:tc>
          <w:tcPr>
            <w:tcW w:w="1871" w:type="dxa"/>
            <w:tcBorders>
              <w:right w:val="single" w:sz="6" w:space="0" w:color="000000"/>
            </w:tcBorders>
            <w:shd w:val="clear" w:color="auto" w:fill="FFF0E1"/>
            <w:tcMar>
              <w:top w:w="0" w:type="dxa"/>
              <w:left w:w="28" w:type="dxa"/>
              <w:bottom w:w="0" w:type="dxa"/>
              <w:right w:w="28" w:type="dxa"/>
            </w:tcMar>
            <w:vAlign w:val="center"/>
          </w:tcPr>
          <w:p w14:paraId="5FE42AAA" w14:textId="77777777" w:rsidR="00052596" w:rsidRDefault="00000000">
            <w:pPr>
              <w:widowControl/>
              <w:ind w:left="240" w:right="240"/>
              <w:rPr>
                <w:rFonts w:eastAsia="標楷體"/>
                <w:spacing w:val="-20"/>
                <w:kern w:val="0"/>
                <w:szCs w:val="24"/>
                <w:lang w:bidi="he-IL"/>
              </w:rPr>
            </w:pPr>
            <w:r>
              <w:rPr>
                <w:rFonts w:eastAsia="標楷體"/>
                <w:spacing w:val="-20"/>
                <w:kern w:val="0"/>
                <w:szCs w:val="24"/>
                <w:lang w:bidi="he-IL"/>
              </w:rPr>
              <w:t>馬來西亞</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4F45AE19" w14:textId="77777777" w:rsidR="00052596" w:rsidRDefault="00000000">
            <w:pPr>
              <w:widowControl/>
              <w:jc w:val="center"/>
            </w:pPr>
            <w:r>
              <w:rPr>
                <w:rFonts w:eastAsia="標楷體"/>
                <w:kern w:val="0"/>
                <w:szCs w:val="24"/>
                <w:lang w:bidi="he-IL"/>
              </w:rPr>
              <w:t>1.79</w:t>
            </w:r>
            <w:r>
              <w:rPr>
                <w:rFonts w:ascii="標楷體" w:eastAsia="標楷體" w:hAnsi="標楷體"/>
                <w:kern w:val="0"/>
                <w:szCs w:val="24"/>
                <w:lang w:bidi="he-IL"/>
              </w:rPr>
              <w:t>(</w:t>
            </w:r>
            <w:r>
              <w:rPr>
                <w:rFonts w:eastAsia="標楷體"/>
                <w:kern w:val="0"/>
                <w:szCs w:val="24"/>
                <w:lang w:bidi="he-IL"/>
              </w:rPr>
              <w:t>0.96</w:t>
            </w:r>
            <w:r>
              <w:rPr>
                <w:rFonts w:ascii="標楷體" w:eastAsia="標楷體" w:hAnsi="標楷體"/>
                <w:kern w:val="0"/>
                <w:szCs w:val="24"/>
                <w:lang w:bidi="he-IL"/>
              </w:rPr>
              <w:t>)</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3F34D5F7" w14:textId="77777777" w:rsidR="00052596" w:rsidRDefault="00000000">
            <w:pPr>
              <w:widowControl/>
              <w:jc w:val="center"/>
            </w:pPr>
            <w:r>
              <w:rPr>
                <w:rFonts w:eastAsia="標楷體"/>
                <w:kern w:val="0"/>
                <w:szCs w:val="24"/>
                <w:lang w:bidi="he-IL"/>
              </w:rPr>
              <w:t>2.32</w:t>
            </w:r>
            <w:r>
              <w:rPr>
                <w:rFonts w:ascii="標楷體" w:eastAsia="標楷體" w:hAnsi="標楷體"/>
                <w:kern w:val="0"/>
                <w:szCs w:val="24"/>
                <w:lang w:bidi="he-IL"/>
              </w:rPr>
              <w:t>(</w:t>
            </w:r>
            <w:r>
              <w:rPr>
                <w:rFonts w:eastAsia="標楷體"/>
                <w:kern w:val="0"/>
                <w:szCs w:val="24"/>
                <w:lang w:bidi="he-IL"/>
              </w:rPr>
              <w:t>1.76</w:t>
            </w:r>
            <w:r>
              <w:rPr>
                <w:rFonts w:ascii="標楷體" w:eastAsia="標楷體" w:hAnsi="標楷體"/>
                <w:kern w:val="0"/>
                <w:szCs w:val="24"/>
                <w:lang w:bidi="he-IL"/>
              </w:rPr>
              <w:t>)</w:t>
            </w:r>
          </w:p>
        </w:tc>
        <w:tc>
          <w:tcPr>
            <w:tcW w:w="1709" w:type="dxa"/>
            <w:tcBorders>
              <w:left w:val="single" w:sz="6" w:space="0" w:color="000000"/>
            </w:tcBorders>
            <w:shd w:val="clear" w:color="auto" w:fill="FFF0E1"/>
            <w:tcMar>
              <w:top w:w="0" w:type="dxa"/>
              <w:left w:w="108" w:type="dxa"/>
              <w:bottom w:w="0" w:type="dxa"/>
              <w:right w:w="108" w:type="dxa"/>
            </w:tcMar>
            <w:vAlign w:val="center"/>
          </w:tcPr>
          <w:p w14:paraId="6901393F" w14:textId="77777777" w:rsidR="00052596" w:rsidRDefault="00000000">
            <w:pPr>
              <w:widowControl/>
              <w:jc w:val="center"/>
            </w:pPr>
            <w:r>
              <w:rPr>
                <w:rFonts w:eastAsia="標楷體"/>
                <w:kern w:val="0"/>
                <w:szCs w:val="24"/>
                <w:lang w:bidi="he-IL"/>
              </w:rPr>
              <w:t>1.98</w:t>
            </w:r>
            <w:r>
              <w:rPr>
                <w:rFonts w:ascii="標楷體" w:eastAsia="標楷體" w:hAnsi="標楷體"/>
                <w:kern w:val="0"/>
                <w:szCs w:val="24"/>
                <w:lang w:bidi="he-IL"/>
              </w:rPr>
              <w:t>(</w:t>
            </w:r>
            <w:r>
              <w:rPr>
                <w:rFonts w:eastAsia="標楷體"/>
                <w:kern w:val="0"/>
                <w:szCs w:val="24"/>
                <w:lang w:bidi="he-IL"/>
              </w:rPr>
              <w:t>1.67</w:t>
            </w:r>
            <w:r>
              <w:rPr>
                <w:rFonts w:ascii="標楷體" w:eastAsia="標楷體" w:hAnsi="標楷體"/>
                <w:kern w:val="0"/>
                <w:szCs w:val="24"/>
                <w:lang w:bidi="he-IL"/>
              </w:rPr>
              <w:t>)</w:t>
            </w:r>
          </w:p>
        </w:tc>
      </w:tr>
      <w:tr w:rsidR="00052596" w14:paraId="2D7A19F2" w14:textId="77777777">
        <w:tblPrEx>
          <w:tblCellMar>
            <w:top w:w="0" w:type="dxa"/>
            <w:bottom w:w="0" w:type="dxa"/>
          </w:tblCellMar>
        </w:tblPrEx>
        <w:trPr>
          <w:trHeight w:val="369"/>
          <w:jc w:val="center"/>
        </w:trPr>
        <w:tc>
          <w:tcPr>
            <w:tcW w:w="1871" w:type="dxa"/>
            <w:tcBorders>
              <w:right w:val="single" w:sz="6" w:space="0" w:color="000000"/>
            </w:tcBorders>
            <w:shd w:val="clear" w:color="auto" w:fill="FFF0E1"/>
            <w:tcMar>
              <w:top w:w="0" w:type="dxa"/>
              <w:left w:w="28" w:type="dxa"/>
              <w:bottom w:w="0" w:type="dxa"/>
              <w:right w:w="28" w:type="dxa"/>
            </w:tcMar>
            <w:vAlign w:val="center"/>
          </w:tcPr>
          <w:p w14:paraId="26671945" w14:textId="77777777" w:rsidR="00052596" w:rsidRDefault="00000000">
            <w:pPr>
              <w:widowControl/>
              <w:ind w:left="240" w:right="240"/>
              <w:rPr>
                <w:rFonts w:eastAsia="標楷體"/>
                <w:spacing w:val="-20"/>
                <w:kern w:val="0"/>
                <w:szCs w:val="24"/>
                <w:lang w:bidi="he-IL"/>
              </w:rPr>
            </w:pPr>
            <w:r>
              <w:rPr>
                <w:rFonts w:eastAsia="標楷體"/>
                <w:spacing w:val="-20"/>
                <w:kern w:val="0"/>
                <w:szCs w:val="24"/>
                <w:lang w:bidi="he-IL"/>
              </w:rPr>
              <w:t>菲律賓</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5C414634" w14:textId="77777777" w:rsidR="00052596" w:rsidRDefault="00000000">
            <w:pPr>
              <w:widowControl/>
              <w:jc w:val="center"/>
            </w:pPr>
            <w:r>
              <w:rPr>
                <w:rFonts w:eastAsia="標楷體"/>
                <w:kern w:val="0"/>
                <w:szCs w:val="24"/>
                <w:lang w:bidi="he-IL"/>
              </w:rPr>
              <w:t>0.82</w:t>
            </w:r>
            <w:r>
              <w:rPr>
                <w:rFonts w:ascii="標楷體" w:eastAsia="標楷體" w:hAnsi="標楷體"/>
                <w:kern w:val="0"/>
                <w:szCs w:val="24"/>
                <w:lang w:bidi="he-IL"/>
              </w:rPr>
              <w:t>(</w:t>
            </w:r>
            <w:r>
              <w:rPr>
                <w:rFonts w:eastAsia="標楷體"/>
                <w:kern w:val="0"/>
                <w:szCs w:val="24"/>
                <w:lang w:bidi="he-IL"/>
              </w:rPr>
              <w:t>0.42</w:t>
            </w:r>
            <w:r>
              <w:rPr>
                <w:rFonts w:ascii="標楷體" w:eastAsia="標楷體" w:hAnsi="標楷體"/>
                <w:kern w:val="0"/>
                <w:szCs w:val="24"/>
                <w:lang w:bidi="he-IL"/>
              </w:rPr>
              <w:t>)</w:t>
            </w:r>
          </w:p>
        </w:tc>
        <w:tc>
          <w:tcPr>
            <w:tcW w:w="170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4F2F266F" w14:textId="77777777" w:rsidR="00052596" w:rsidRDefault="00000000">
            <w:pPr>
              <w:widowControl/>
              <w:jc w:val="center"/>
            </w:pPr>
            <w:r>
              <w:rPr>
                <w:rFonts w:eastAsia="標楷體"/>
                <w:kern w:val="0"/>
                <w:szCs w:val="24"/>
                <w:lang w:bidi="he-IL"/>
              </w:rPr>
              <w:t>2.50</w:t>
            </w:r>
            <w:r>
              <w:rPr>
                <w:rFonts w:ascii="標楷體" w:eastAsia="標楷體" w:hAnsi="標楷體"/>
                <w:kern w:val="0"/>
                <w:szCs w:val="24"/>
                <w:lang w:bidi="he-IL"/>
              </w:rPr>
              <w:t>(</w:t>
            </w:r>
            <w:r>
              <w:rPr>
                <w:rFonts w:eastAsia="標楷體"/>
                <w:kern w:val="0"/>
                <w:szCs w:val="24"/>
                <w:lang w:bidi="he-IL"/>
              </w:rPr>
              <w:t>2.18</w:t>
            </w:r>
            <w:r>
              <w:rPr>
                <w:rFonts w:ascii="標楷體" w:eastAsia="標楷體" w:hAnsi="標楷體"/>
                <w:kern w:val="0"/>
                <w:szCs w:val="24"/>
                <w:lang w:bidi="he-IL"/>
              </w:rPr>
              <w:t>)</w:t>
            </w:r>
          </w:p>
        </w:tc>
        <w:tc>
          <w:tcPr>
            <w:tcW w:w="1709" w:type="dxa"/>
            <w:tcBorders>
              <w:left w:val="single" w:sz="6" w:space="0" w:color="000000"/>
            </w:tcBorders>
            <w:shd w:val="clear" w:color="auto" w:fill="FFF0E1"/>
            <w:tcMar>
              <w:top w:w="0" w:type="dxa"/>
              <w:left w:w="108" w:type="dxa"/>
              <w:bottom w:w="0" w:type="dxa"/>
              <w:right w:w="108" w:type="dxa"/>
            </w:tcMar>
            <w:vAlign w:val="center"/>
          </w:tcPr>
          <w:p w14:paraId="5EE25F97" w14:textId="77777777" w:rsidR="00052596" w:rsidRDefault="00000000">
            <w:pPr>
              <w:widowControl/>
              <w:jc w:val="center"/>
            </w:pPr>
            <w:r>
              <w:rPr>
                <w:rFonts w:eastAsia="標楷體"/>
                <w:kern w:val="0"/>
                <w:szCs w:val="24"/>
                <w:lang w:bidi="he-IL"/>
              </w:rPr>
              <w:t>2.44</w:t>
            </w:r>
            <w:r>
              <w:rPr>
                <w:rFonts w:ascii="標楷體" w:eastAsia="標楷體" w:hAnsi="標楷體"/>
                <w:kern w:val="0"/>
                <w:szCs w:val="24"/>
                <w:lang w:bidi="he-IL"/>
              </w:rPr>
              <w:t>(</w:t>
            </w:r>
            <w:r>
              <w:rPr>
                <w:rFonts w:eastAsia="標楷體"/>
                <w:kern w:val="0"/>
                <w:szCs w:val="24"/>
                <w:lang w:bidi="he-IL"/>
              </w:rPr>
              <w:t>2.21</w:t>
            </w:r>
            <w:r>
              <w:rPr>
                <w:rFonts w:ascii="標楷體" w:eastAsia="標楷體" w:hAnsi="標楷體"/>
                <w:kern w:val="0"/>
                <w:szCs w:val="24"/>
                <w:lang w:bidi="he-IL"/>
              </w:rPr>
              <w:t>)</w:t>
            </w:r>
          </w:p>
        </w:tc>
      </w:tr>
      <w:tr w:rsidR="00052596" w14:paraId="4D2F1285" w14:textId="77777777">
        <w:tblPrEx>
          <w:tblCellMar>
            <w:top w:w="0" w:type="dxa"/>
            <w:bottom w:w="0" w:type="dxa"/>
          </w:tblCellMar>
        </w:tblPrEx>
        <w:trPr>
          <w:trHeight w:val="369"/>
          <w:jc w:val="center"/>
        </w:trPr>
        <w:tc>
          <w:tcPr>
            <w:tcW w:w="1871" w:type="dxa"/>
            <w:tcBorders>
              <w:bottom w:val="single" w:sz="6" w:space="0" w:color="000000"/>
              <w:right w:val="single" w:sz="6" w:space="0" w:color="000000"/>
            </w:tcBorders>
            <w:shd w:val="clear" w:color="auto" w:fill="FFF0E1"/>
            <w:tcMar>
              <w:top w:w="0" w:type="dxa"/>
              <w:left w:w="28" w:type="dxa"/>
              <w:bottom w:w="0" w:type="dxa"/>
              <w:right w:w="28" w:type="dxa"/>
            </w:tcMar>
            <w:vAlign w:val="center"/>
          </w:tcPr>
          <w:p w14:paraId="40421695" w14:textId="77777777" w:rsidR="00052596" w:rsidRDefault="00000000">
            <w:pPr>
              <w:widowControl/>
              <w:ind w:left="240" w:right="240"/>
              <w:rPr>
                <w:rFonts w:eastAsia="標楷體"/>
                <w:spacing w:val="-20"/>
                <w:kern w:val="0"/>
                <w:szCs w:val="24"/>
                <w:lang w:bidi="he-IL"/>
              </w:rPr>
            </w:pPr>
            <w:r>
              <w:rPr>
                <w:rFonts w:eastAsia="標楷體"/>
                <w:spacing w:val="-20"/>
                <w:kern w:val="0"/>
                <w:szCs w:val="24"/>
                <w:lang w:bidi="he-IL"/>
              </w:rPr>
              <w:t>泰　國</w:t>
            </w:r>
          </w:p>
        </w:tc>
        <w:tc>
          <w:tcPr>
            <w:tcW w:w="1708" w:type="dxa"/>
            <w:tcBorders>
              <w:left w:val="single" w:sz="6" w:space="0" w:color="000000"/>
              <w:bottom w:val="single" w:sz="6" w:space="0" w:color="000000"/>
              <w:right w:val="single" w:sz="6" w:space="0" w:color="000000"/>
            </w:tcBorders>
            <w:shd w:val="clear" w:color="auto" w:fill="FFF0E1"/>
            <w:tcMar>
              <w:top w:w="0" w:type="dxa"/>
              <w:left w:w="28" w:type="dxa"/>
              <w:bottom w:w="0" w:type="dxa"/>
              <w:right w:w="28" w:type="dxa"/>
            </w:tcMar>
            <w:vAlign w:val="center"/>
          </w:tcPr>
          <w:p w14:paraId="42691869" w14:textId="77777777" w:rsidR="00052596" w:rsidRDefault="00000000">
            <w:pPr>
              <w:widowControl/>
              <w:jc w:val="center"/>
            </w:pPr>
            <w:r>
              <w:rPr>
                <w:rFonts w:eastAsia="標楷體"/>
                <w:kern w:val="0"/>
                <w:szCs w:val="24"/>
                <w:lang w:bidi="he-IL"/>
              </w:rPr>
              <w:t>0.48</w:t>
            </w:r>
            <w:r>
              <w:rPr>
                <w:rFonts w:ascii="標楷體" w:eastAsia="標楷體" w:hAnsi="標楷體"/>
                <w:kern w:val="0"/>
                <w:szCs w:val="24"/>
                <w:lang w:bidi="he-IL"/>
              </w:rPr>
              <w:t>(</w:t>
            </w:r>
            <w:r>
              <w:rPr>
                <w:rFonts w:eastAsia="標楷體"/>
                <w:kern w:val="0"/>
                <w:szCs w:val="24"/>
                <w:lang w:bidi="he-IL"/>
              </w:rPr>
              <w:t>0.06</w:t>
            </w:r>
            <w:r>
              <w:rPr>
                <w:rFonts w:ascii="標楷體" w:eastAsia="標楷體" w:hAnsi="標楷體"/>
                <w:kern w:val="0"/>
                <w:szCs w:val="24"/>
                <w:lang w:bidi="he-IL"/>
              </w:rPr>
              <w:t>)</w:t>
            </w:r>
          </w:p>
        </w:tc>
        <w:tc>
          <w:tcPr>
            <w:tcW w:w="1708" w:type="dxa"/>
            <w:tcBorders>
              <w:left w:val="single" w:sz="6" w:space="0" w:color="000000"/>
              <w:bottom w:val="single" w:sz="6" w:space="0" w:color="000000"/>
              <w:right w:val="single" w:sz="6" w:space="0" w:color="000000"/>
            </w:tcBorders>
            <w:shd w:val="clear" w:color="auto" w:fill="FFF0E1"/>
            <w:tcMar>
              <w:top w:w="0" w:type="dxa"/>
              <w:left w:w="28" w:type="dxa"/>
              <w:bottom w:w="0" w:type="dxa"/>
              <w:right w:w="28" w:type="dxa"/>
            </w:tcMar>
            <w:vAlign w:val="center"/>
          </w:tcPr>
          <w:p w14:paraId="54DA5C85" w14:textId="77777777" w:rsidR="00052596" w:rsidRDefault="00000000">
            <w:pPr>
              <w:widowControl/>
              <w:jc w:val="center"/>
            </w:pPr>
            <w:r>
              <w:rPr>
                <w:rFonts w:eastAsia="標楷體"/>
                <w:kern w:val="0"/>
                <w:szCs w:val="24"/>
                <w:lang w:bidi="he-IL"/>
              </w:rPr>
              <w:t>3.03</w:t>
            </w:r>
            <w:r>
              <w:rPr>
                <w:rFonts w:ascii="標楷體" w:eastAsia="標楷體" w:hAnsi="標楷體"/>
                <w:kern w:val="0"/>
                <w:szCs w:val="24"/>
                <w:lang w:bidi="he-IL"/>
              </w:rPr>
              <w:t>(</w:t>
            </w:r>
            <w:r>
              <w:rPr>
                <w:rFonts w:eastAsia="標楷體"/>
                <w:kern w:val="0"/>
                <w:szCs w:val="24"/>
                <w:lang w:bidi="he-IL"/>
              </w:rPr>
              <w:t>2.48</w:t>
            </w:r>
            <w:r>
              <w:rPr>
                <w:rFonts w:ascii="標楷體" w:eastAsia="標楷體" w:hAnsi="標楷體"/>
                <w:kern w:val="0"/>
                <w:szCs w:val="24"/>
                <w:lang w:bidi="he-IL"/>
              </w:rPr>
              <w:t>)</w:t>
            </w:r>
          </w:p>
        </w:tc>
        <w:tc>
          <w:tcPr>
            <w:tcW w:w="1709" w:type="dxa"/>
            <w:tcBorders>
              <w:left w:val="single" w:sz="6" w:space="0" w:color="000000"/>
              <w:bottom w:val="single" w:sz="6" w:space="0" w:color="000000"/>
            </w:tcBorders>
            <w:shd w:val="clear" w:color="auto" w:fill="FFF0E1"/>
            <w:tcMar>
              <w:top w:w="0" w:type="dxa"/>
              <w:left w:w="108" w:type="dxa"/>
              <w:bottom w:w="0" w:type="dxa"/>
              <w:right w:w="108" w:type="dxa"/>
            </w:tcMar>
            <w:vAlign w:val="center"/>
          </w:tcPr>
          <w:p w14:paraId="581C3521" w14:textId="77777777" w:rsidR="00052596" w:rsidRDefault="00000000">
            <w:pPr>
              <w:widowControl/>
              <w:jc w:val="center"/>
            </w:pPr>
            <w:r>
              <w:rPr>
                <w:rFonts w:eastAsia="標楷體"/>
                <w:kern w:val="0"/>
                <w:szCs w:val="24"/>
                <w:lang w:bidi="he-IL"/>
              </w:rPr>
              <w:t>2.20</w:t>
            </w:r>
            <w:r>
              <w:rPr>
                <w:rFonts w:ascii="標楷體" w:eastAsia="標楷體" w:hAnsi="標楷體"/>
                <w:kern w:val="0"/>
                <w:szCs w:val="24"/>
                <w:lang w:bidi="he-IL"/>
              </w:rPr>
              <w:t>(</w:t>
            </w:r>
            <w:r>
              <w:rPr>
                <w:rFonts w:eastAsia="標楷體"/>
                <w:kern w:val="0"/>
                <w:szCs w:val="24"/>
                <w:lang w:bidi="he-IL"/>
              </w:rPr>
              <w:t>1.74</w:t>
            </w:r>
            <w:r>
              <w:rPr>
                <w:rFonts w:ascii="標楷體" w:eastAsia="標楷體" w:hAnsi="標楷體"/>
                <w:kern w:val="0"/>
                <w:szCs w:val="24"/>
                <w:lang w:bidi="he-IL"/>
              </w:rPr>
              <w:t>)</w:t>
            </w:r>
          </w:p>
        </w:tc>
      </w:tr>
    </w:tbl>
    <w:p w14:paraId="21E668DC" w14:textId="77777777" w:rsidR="00052596" w:rsidRDefault="00000000">
      <w:pPr>
        <w:overflowPunct w:val="0"/>
        <w:autoSpaceDE w:val="0"/>
        <w:spacing w:line="240" w:lineRule="exact"/>
        <w:ind w:left="1795" w:right="708" w:hanging="475"/>
        <w:jc w:val="both"/>
        <w:textAlignment w:val="center"/>
      </w:pPr>
      <w:r>
        <w:rPr>
          <w:rFonts w:eastAsia="標楷體"/>
          <w:spacing w:val="-2"/>
          <w:kern w:val="0"/>
          <w:sz w:val="22"/>
          <w:szCs w:val="22"/>
          <w:lang w:bidi="hi-IN"/>
        </w:rPr>
        <w:t>註：括弧內數字係直接援引作者對總要素生產力的估計數</w:t>
      </w:r>
      <w:r>
        <w:rPr>
          <w:rFonts w:ascii="標楷體" w:eastAsia="標楷體" w:hAnsi="標楷體"/>
          <w:spacing w:val="-2"/>
          <w:kern w:val="0"/>
          <w:sz w:val="22"/>
          <w:szCs w:val="22"/>
          <w:lang w:bidi="hi-IN"/>
        </w:rPr>
        <w:t>(指扣</w:t>
      </w:r>
      <w:r>
        <w:rPr>
          <w:rFonts w:eastAsia="標楷體"/>
          <w:spacing w:val="-2"/>
          <w:kern w:val="0"/>
          <w:sz w:val="22"/>
          <w:szCs w:val="22"/>
          <w:lang w:bidi="hi-IN"/>
        </w:rPr>
        <w:t>除勞動數量、勞動品質及資本增加以外其他因素對經濟成長的貢獻</w:t>
      </w:r>
      <w:r>
        <w:rPr>
          <w:rFonts w:ascii="標楷體" w:eastAsia="標楷體" w:hAnsi="標楷體"/>
          <w:spacing w:val="-2"/>
          <w:kern w:val="0"/>
          <w:sz w:val="22"/>
          <w:szCs w:val="22"/>
          <w:lang w:bidi="hi-IN"/>
        </w:rPr>
        <w:t>)</w:t>
      </w:r>
      <w:r>
        <w:rPr>
          <w:rFonts w:eastAsia="標楷體"/>
          <w:spacing w:val="-2"/>
          <w:kern w:val="0"/>
          <w:sz w:val="22"/>
          <w:szCs w:val="22"/>
          <w:lang w:bidi="hi-IN"/>
        </w:rPr>
        <w:t>；表內數字係依傳統總要素生產力定義</w:t>
      </w:r>
      <w:r>
        <w:rPr>
          <w:rFonts w:ascii="標楷體" w:eastAsia="標楷體" w:hAnsi="標楷體"/>
          <w:spacing w:val="-2"/>
          <w:kern w:val="0"/>
          <w:sz w:val="22"/>
          <w:szCs w:val="22"/>
          <w:lang w:bidi="hi-IN"/>
        </w:rPr>
        <w:t>(</w:t>
      </w:r>
      <w:r>
        <w:rPr>
          <w:rFonts w:eastAsia="標楷體"/>
          <w:spacing w:val="-2"/>
          <w:kern w:val="0"/>
          <w:sz w:val="22"/>
          <w:szCs w:val="22"/>
          <w:lang w:bidi="hi-IN"/>
        </w:rPr>
        <w:t>將勞動品質</w:t>
      </w:r>
      <w:r>
        <w:rPr>
          <w:rFonts w:ascii="標楷體" w:eastAsia="標楷體" w:hAnsi="標楷體"/>
          <w:spacing w:val="-2"/>
          <w:kern w:val="0"/>
          <w:sz w:val="22"/>
          <w:szCs w:val="22"/>
          <w:lang w:bidi="hi-IN"/>
        </w:rPr>
        <w:t>對經濟成長的貢獻體現在總要素生產力之中)</w:t>
      </w:r>
      <w:r>
        <w:rPr>
          <w:rFonts w:eastAsia="標楷體"/>
          <w:spacing w:val="-2"/>
          <w:kern w:val="0"/>
          <w:sz w:val="22"/>
          <w:szCs w:val="22"/>
          <w:lang w:bidi="hi-IN"/>
        </w:rPr>
        <w:t>的計算結果。</w:t>
      </w:r>
    </w:p>
    <w:p w14:paraId="1F519305" w14:textId="77777777" w:rsidR="00052596" w:rsidRDefault="00000000">
      <w:pPr>
        <w:tabs>
          <w:tab w:val="left" w:pos="7797"/>
        </w:tabs>
        <w:overflowPunct w:val="0"/>
        <w:autoSpaceDE w:val="0"/>
        <w:spacing w:after="240" w:line="240" w:lineRule="exact"/>
        <w:ind w:left="1810" w:right="708" w:hanging="1102"/>
        <w:jc w:val="both"/>
        <w:textAlignment w:val="center"/>
      </w:pPr>
      <w:r>
        <w:rPr>
          <w:rFonts w:eastAsia="標楷體"/>
          <w:spacing w:val="-2"/>
          <w:kern w:val="0"/>
          <w:sz w:val="22"/>
          <w:szCs w:val="22"/>
          <w:lang w:bidi="hi-IN"/>
        </w:rPr>
        <w:t>資料來源：</w:t>
      </w:r>
      <w:r>
        <w:rPr>
          <w:rFonts w:eastAsia="標楷體"/>
          <w:spacing w:val="-8"/>
          <w:kern w:val="0"/>
          <w:sz w:val="22"/>
          <w:szCs w:val="22"/>
          <w:lang w:bidi="hi-IN"/>
        </w:rPr>
        <w:t>Jong-Wha Lee and Kiseok Hong (2012),“Economic Growth</w:t>
      </w:r>
      <w:r>
        <w:rPr>
          <w:rFonts w:eastAsia="標楷體"/>
          <w:spacing w:val="-2"/>
          <w:kern w:val="0"/>
          <w:sz w:val="22"/>
          <w:szCs w:val="22"/>
          <w:lang w:bidi="hi-IN"/>
        </w:rPr>
        <w:t xml:space="preserve"> in Asia: Determinants and Prospects,” </w:t>
      </w:r>
      <w:r>
        <w:rPr>
          <w:rFonts w:eastAsia="標楷體"/>
          <w:i/>
          <w:spacing w:val="-2"/>
          <w:kern w:val="0"/>
          <w:sz w:val="22"/>
          <w:szCs w:val="22"/>
          <w:lang w:bidi="hi-IN"/>
        </w:rPr>
        <w:t>Japan and the World Economy</w:t>
      </w:r>
      <w:r>
        <w:rPr>
          <w:rFonts w:eastAsia="標楷體"/>
          <w:spacing w:val="-2"/>
          <w:kern w:val="0"/>
          <w:sz w:val="22"/>
          <w:szCs w:val="22"/>
          <w:lang w:bidi="hi-IN"/>
        </w:rPr>
        <w:t>, Vol. 24, Issue 2, pp.101-113.</w:t>
      </w:r>
    </w:p>
    <w:p w14:paraId="1781EB2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二、開放</w:t>
      </w:r>
    </w:p>
    <w:p w14:paraId="6E2703D1" w14:textId="77777777" w:rsidR="00052596" w:rsidRDefault="00000000">
      <w:pPr>
        <w:overflowPunct w:val="0"/>
        <w:autoSpaceDE w:val="0"/>
        <w:spacing w:line="420" w:lineRule="exact"/>
        <w:ind w:left="240" w:firstLine="576"/>
        <w:jc w:val="both"/>
        <w:textAlignment w:val="center"/>
      </w:pPr>
      <w:r>
        <w:rPr>
          <w:rFonts w:eastAsia="標楷體"/>
          <w:color w:val="000000"/>
          <w:spacing w:val="4"/>
          <w:kern w:val="0"/>
          <w:sz w:val="28"/>
          <w:szCs w:val="26"/>
        </w:rPr>
        <w:t>臺灣為小型開放經濟體，如何有效運用全球市場與資源，推動經濟成長，至關重要。近年政府積極應對國際挑戰，建構</w:t>
      </w:r>
      <w:r>
        <w:rPr>
          <w:rFonts w:ascii="標楷體" w:eastAsia="標楷體" w:hAnsi="標楷體"/>
          <w:color w:val="000000"/>
          <w:spacing w:val="4"/>
          <w:kern w:val="0"/>
          <w:sz w:val="28"/>
          <w:szCs w:val="26"/>
        </w:rPr>
        <w:t>在國際上具有能見度(</w:t>
      </w:r>
      <w:r>
        <w:rPr>
          <w:rFonts w:eastAsia="標楷體"/>
          <w:color w:val="000000"/>
          <w:spacing w:val="4"/>
          <w:kern w:val="0"/>
          <w:sz w:val="28"/>
          <w:szCs w:val="26"/>
        </w:rPr>
        <w:t>visible</w:t>
      </w:r>
      <w:r>
        <w:rPr>
          <w:rFonts w:ascii="標楷體" w:eastAsia="標楷體" w:hAnsi="標楷體"/>
          <w:color w:val="000000"/>
          <w:spacing w:val="4"/>
          <w:kern w:val="0"/>
          <w:sz w:val="28"/>
          <w:szCs w:val="26"/>
        </w:rPr>
        <w:t>)及可辨識度(</w:t>
      </w:r>
      <w:r>
        <w:rPr>
          <w:rFonts w:eastAsia="標楷體"/>
          <w:color w:val="000000"/>
          <w:spacing w:val="4"/>
          <w:kern w:val="0"/>
          <w:sz w:val="28"/>
          <w:szCs w:val="26"/>
        </w:rPr>
        <w:t>recognizable</w:t>
      </w:r>
      <w:r>
        <w:rPr>
          <w:rFonts w:ascii="標楷體" w:eastAsia="標楷體" w:hAnsi="標楷體"/>
          <w:color w:val="000000"/>
          <w:spacing w:val="4"/>
          <w:kern w:val="0"/>
          <w:sz w:val="28"/>
          <w:szCs w:val="26"/>
        </w:rPr>
        <w:t>)的臺灣特色經濟。我國在</w:t>
      </w:r>
      <w:r>
        <w:rPr>
          <w:rFonts w:eastAsia="標楷體"/>
          <w:color w:val="000000"/>
          <w:spacing w:val="4"/>
          <w:kern w:val="0"/>
          <w:sz w:val="28"/>
          <w:szCs w:val="26"/>
        </w:rPr>
        <w:t>全球知識流動與生產已扮演重要角色，另投資與貿易開放程度亦不斷提升。依</w:t>
      </w:r>
      <w:r>
        <w:rPr>
          <w:rFonts w:eastAsia="標楷體"/>
          <w:color w:val="000000"/>
          <w:spacing w:val="4"/>
          <w:kern w:val="0"/>
          <w:sz w:val="28"/>
          <w:szCs w:val="26"/>
        </w:rPr>
        <w:t>IMD</w:t>
      </w:r>
      <w:r>
        <w:rPr>
          <w:rFonts w:ascii="新細明體" w:hAnsi="新細明體"/>
          <w:color w:val="000000"/>
          <w:spacing w:val="4"/>
          <w:kern w:val="0"/>
          <w:sz w:val="28"/>
          <w:szCs w:val="26"/>
        </w:rPr>
        <w:t>「</w:t>
      </w:r>
      <w:r>
        <w:rPr>
          <w:rFonts w:eastAsia="標楷體"/>
          <w:color w:val="000000"/>
          <w:spacing w:val="4"/>
          <w:kern w:val="0"/>
          <w:sz w:val="28"/>
          <w:szCs w:val="26"/>
        </w:rPr>
        <w:t>2012</w:t>
      </w:r>
      <w:r>
        <w:rPr>
          <w:rFonts w:eastAsia="標楷體"/>
          <w:color w:val="000000"/>
          <w:spacing w:val="4"/>
          <w:kern w:val="0"/>
          <w:sz w:val="28"/>
          <w:szCs w:val="26"/>
        </w:rPr>
        <w:t>年世界競爭力年報</w:t>
      </w:r>
      <w:r>
        <w:rPr>
          <w:rFonts w:ascii="標楷體" w:eastAsia="標楷體" w:hAnsi="標楷體"/>
          <w:color w:val="000000"/>
          <w:spacing w:val="4"/>
          <w:kern w:val="0"/>
          <w:sz w:val="28"/>
          <w:szCs w:val="26"/>
        </w:rPr>
        <w:t>」首度進行之</w:t>
      </w:r>
      <w:r>
        <w:rPr>
          <w:rFonts w:eastAsia="標楷體"/>
          <w:color w:val="000000"/>
          <w:spacing w:val="4"/>
          <w:kern w:val="0"/>
          <w:sz w:val="28"/>
          <w:szCs w:val="26"/>
        </w:rPr>
        <w:t>「國民對全球化潮流的態度」指標評比，臺灣在全球排名第</w:t>
      </w:r>
      <w:r>
        <w:rPr>
          <w:rFonts w:eastAsia="標楷體"/>
          <w:color w:val="000000"/>
          <w:spacing w:val="4"/>
          <w:kern w:val="0"/>
          <w:sz w:val="28"/>
          <w:szCs w:val="26"/>
        </w:rPr>
        <w:t>6</w:t>
      </w:r>
      <w:r>
        <w:rPr>
          <w:rFonts w:eastAsia="標楷體"/>
          <w:color w:val="000000"/>
          <w:spacing w:val="4"/>
          <w:kern w:val="0"/>
          <w:sz w:val="28"/>
          <w:szCs w:val="26"/>
        </w:rPr>
        <w:t>位，顯示國</w:t>
      </w:r>
      <w:r>
        <w:rPr>
          <w:rFonts w:eastAsia="標楷體"/>
          <w:color w:val="000000"/>
          <w:spacing w:val="4"/>
          <w:kern w:val="0"/>
          <w:sz w:val="28"/>
          <w:szCs w:val="26"/>
        </w:rPr>
        <w:lastRenderedPageBreak/>
        <w:t>人對臺灣迎向全球化的趨勢持正向且支持的開放態度。另美國傳統基金會</w:t>
      </w:r>
      <w:r>
        <w:rPr>
          <w:rFonts w:ascii="標楷體" w:eastAsia="標楷體" w:hAnsi="標楷體"/>
          <w:color w:val="000000"/>
          <w:spacing w:val="4"/>
          <w:kern w:val="0"/>
          <w:sz w:val="28"/>
          <w:szCs w:val="26"/>
        </w:rPr>
        <w:t>(</w:t>
      </w:r>
      <w:r>
        <w:rPr>
          <w:rFonts w:eastAsia="標楷體"/>
          <w:color w:val="000000"/>
          <w:spacing w:val="4"/>
          <w:kern w:val="0"/>
          <w:sz w:val="28"/>
          <w:szCs w:val="26"/>
        </w:rPr>
        <w:t>Heritage Foundation</w:t>
      </w:r>
      <w:r>
        <w:rPr>
          <w:rFonts w:ascii="標楷體" w:eastAsia="標楷體" w:hAnsi="標楷體"/>
          <w:color w:val="000000"/>
          <w:spacing w:val="4"/>
          <w:kern w:val="0"/>
          <w:sz w:val="28"/>
          <w:szCs w:val="26"/>
        </w:rPr>
        <w:t>)發布的</w:t>
      </w:r>
      <w:r>
        <w:rPr>
          <w:rFonts w:ascii="新細明體" w:hAnsi="新細明體"/>
          <w:color w:val="000000"/>
          <w:spacing w:val="4"/>
          <w:kern w:val="0"/>
          <w:sz w:val="28"/>
          <w:szCs w:val="26"/>
        </w:rPr>
        <w:t>「</w:t>
      </w:r>
      <w:r>
        <w:rPr>
          <w:rFonts w:eastAsia="標楷體"/>
          <w:color w:val="000000"/>
          <w:spacing w:val="4"/>
          <w:kern w:val="0"/>
          <w:sz w:val="28"/>
          <w:szCs w:val="26"/>
        </w:rPr>
        <w:t>2012</w:t>
      </w:r>
      <w:r>
        <w:rPr>
          <w:rFonts w:eastAsia="標楷體"/>
          <w:color w:val="000000"/>
          <w:spacing w:val="4"/>
          <w:kern w:val="0"/>
          <w:sz w:val="28"/>
          <w:szCs w:val="26"/>
        </w:rPr>
        <w:t>年經濟自由度指數</w:t>
      </w:r>
      <w:r>
        <w:rPr>
          <w:rFonts w:ascii="標楷體" w:eastAsia="標楷體" w:hAnsi="標楷體"/>
          <w:color w:val="000000"/>
          <w:spacing w:val="4"/>
          <w:kern w:val="0"/>
          <w:sz w:val="28"/>
          <w:szCs w:val="26"/>
        </w:rPr>
        <w:t>」</w:t>
      </w:r>
      <w:r>
        <w:rPr>
          <w:rFonts w:eastAsia="標楷體"/>
          <w:color w:val="000000"/>
          <w:spacing w:val="4"/>
          <w:kern w:val="0"/>
          <w:sz w:val="28"/>
          <w:szCs w:val="26"/>
        </w:rPr>
        <w:t>，在接受評比的</w:t>
      </w:r>
      <w:r>
        <w:rPr>
          <w:rFonts w:eastAsia="標楷體"/>
          <w:color w:val="000000"/>
          <w:spacing w:val="4"/>
          <w:kern w:val="0"/>
          <w:sz w:val="28"/>
          <w:szCs w:val="26"/>
        </w:rPr>
        <w:t>179</w:t>
      </w:r>
      <w:r>
        <w:rPr>
          <w:rFonts w:eastAsia="標楷體"/>
          <w:color w:val="000000"/>
          <w:spacing w:val="4"/>
          <w:kern w:val="0"/>
          <w:sz w:val="28"/>
          <w:szCs w:val="26"/>
        </w:rPr>
        <w:t>個經濟體中，我國排名第</w:t>
      </w:r>
      <w:r>
        <w:rPr>
          <w:rFonts w:eastAsia="標楷體"/>
          <w:color w:val="000000"/>
          <w:spacing w:val="4"/>
          <w:kern w:val="0"/>
          <w:sz w:val="28"/>
          <w:szCs w:val="26"/>
        </w:rPr>
        <w:t>18</w:t>
      </w:r>
      <w:r>
        <w:rPr>
          <w:rFonts w:eastAsia="標楷體"/>
          <w:color w:val="000000"/>
          <w:spacing w:val="4"/>
          <w:kern w:val="0"/>
          <w:sz w:val="28"/>
          <w:szCs w:val="26"/>
        </w:rPr>
        <w:t>位，為歷年最佳表現。此均顯示我國對於經貿體制與國際接軌的努力與決心。</w:t>
      </w:r>
    </w:p>
    <w:p w14:paraId="69CA6228" w14:textId="77777777" w:rsidR="00052596" w:rsidRDefault="00000000">
      <w:pPr>
        <w:overflowPunct w:val="0"/>
        <w:autoSpaceDE w:val="0"/>
        <w:spacing w:line="420" w:lineRule="exact"/>
        <w:ind w:left="240" w:firstLine="576"/>
        <w:jc w:val="both"/>
        <w:textAlignment w:val="center"/>
      </w:pPr>
      <w:r>
        <w:rPr>
          <w:rFonts w:eastAsia="標楷體"/>
          <w:color w:val="000000"/>
          <w:spacing w:val="4"/>
          <w:kern w:val="0"/>
          <w:sz w:val="28"/>
          <w:szCs w:val="26"/>
        </w:rPr>
        <w:t>值得重視的是，隨著全球化程度愈高，及全球價值鏈愈趨緊密，我國受全球經濟波動影響的風險也就相對提高。例如：</w:t>
      </w:r>
      <w:r>
        <w:rPr>
          <w:rFonts w:eastAsia="標楷體"/>
          <w:spacing w:val="4"/>
          <w:kern w:val="0"/>
          <w:sz w:val="28"/>
          <w:szCs w:val="26"/>
        </w:rPr>
        <w:t>90</w:t>
      </w:r>
      <w:r>
        <w:rPr>
          <w:rFonts w:eastAsia="標楷體"/>
          <w:spacing w:val="4"/>
          <w:kern w:val="0"/>
          <w:sz w:val="28"/>
          <w:szCs w:val="26"/>
        </w:rPr>
        <w:t>年及</w:t>
      </w:r>
      <w:r>
        <w:rPr>
          <w:rFonts w:eastAsia="標楷體"/>
          <w:spacing w:val="4"/>
          <w:kern w:val="0"/>
          <w:sz w:val="28"/>
          <w:szCs w:val="26"/>
        </w:rPr>
        <w:t>98</w:t>
      </w:r>
      <w:r>
        <w:rPr>
          <w:rFonts w:eastAsia="標楷體"/>
          <w:spacing w:val="4"/>
          <w:kern w:val="0"/>
          <w:sz w:val="28"/>
          <w:szCs w:val="26"/>
        </w:rPr>
        <w:t>年受網路泡沫及金融海嘯等外部衝擊，我國經濟兩度呈現負成長。</w:t>
      </w:r>
      <w:r>
        <w:rPr>
          <w:rFonts w:eastAsia="標楷體"/>
          <w:color w:val="000000"/>
          <w:spacing w:val="4"/>
          <w:kern w:val="0"/>
          <w:sz w:val="28"/>
          <w:szCs w:val="26"/>
        </w:rPr>
        <w:t>另</w:t>
      </w:r>
      <w:r>
        <w:rPr>
          <w:rFonts w:eastAsia="標楷體"/>
          <w:color w:val="000000"/>
          <w:spacing w:val="4"/>
          <w:kern w:val="0"/>
          <w:sz w:val="28"/>
          <w:szCs w:val="26"/>
        </w:rPr>
        <w:t>100</w:t>
      </w:r>
      <w:r>
        <w:rPr>
          <w:rFonts w:eastAsia="標楷體"/>
          <w:color w:val="000000"/>
          <w:spacing w:val="4"/>
          <w:kern w:val="0"/>
          <w:sz w:val="28"/>
          <w:szCs w:val="26"/>
        </w:rPr>
        <w:t>年國內貿易條件</w:t>
      </w:r>
      <w:r>
        <w:rPr>
          <w:rFonts w:ascii="標楷體" w:eastAsia="標楷體" w:hAnsi="標楷體"/>
          <w:color w:val="000000"/>
          <w:spacing w:val="4"/>
          <w:kern w:val="0"/>
          <w:sz w:val="28"/>
          <w:szCs w:val="26"/>
        </w:rPr>
        <w:t>(</w:t>
      </w:r>
      <w:r>
        <w:rPr>
          <w:rFonts w:eastAsia="標楷體"/>
          <w:color w:val="000000"/>
          <w:spacing w:val="4"/>
          <w:kern w:val="0"/>
          <w:sz w:val="28"/>
          <w:szCs w:val="26"/>
        </w:rPr>
        <w:t>出口物價指數</w:t>
      </w:r>
      <w:r>
        <w:rPr>
          <w:rFonts w:eastAsia="標楷體"/>
          <w:color w:val="000000"/>
          <w:spacing w:val="4"/>
          <w:kern w:val="0"/>
          <w:sz w:val="28"/>
          <w:szCs w:val="26"/>
        </w:rPr>
        <w:t>/</w:t>
      </w:r>
      <w:r>
        <w:rPr>
          <w:rFonts w:eastAsia="標楷體"/>
          <w:color w:val="000000"/>
          <w:spacing w:val="4"/>
          <w:kern w:val="0"/>
          <w:sz w:val="28"/>
          <w:szCs w:val="26"/>
        </w:rPr>
        <w:t>進口物價指數</w:t>
      </w:r>
      <w:r>
        <w:rPr>
          <w:rFonts w:ascii="標楷體" w:eastAsia="標楷體" w:hAnsi="標楷體"/>
          <w:color w:val="000000"/>
          <w:spacing w:val="4"/>
          <w:kern w:val="0"/>
          <w:sz w:val="28"/>
          <w:szCs w:val="26"/>
        </w:rPr>
        <w:t>)</w:t>
      </w:r>
      <w:r>
        <w:rPr>
          <w:rFonts w:eastAsia="標楷體"/>
          <w:color w:val="000000"/>
          <w:spacing w:val="4"/>
          <w:kern w:val="0"/>
          <w:sz w:val="28"/>
          <w:szCs w:val="26"/>
        </w:rPr>
        <w:t>78.3</w:t>
      </w:r>
      <w:r>
        <w:rPr>
          <w:rFonts w:eastAsia="標楷體"/>
          <w:color w:val="000000"/>
          <w:spacing w:val="4"/>
          <w:kern w:val="0"/>
          <w:sz w:val="28"/>
          <w:szCs w:val="26"/>
        </w:rPr>
        <w:t>，較</w:t>
      </w:r>
      <w:r>
        <w:rPr>
          <w:rFonts w:eastAsia="標楷體"/>
          <w:color w:val="000000"/>
          <w:spacing w:val="4"/>
          <w:kern w:val="0"/>
          <w:sz w:val="28"/>
          <w:szCs w:val="26"/>
        </w:rPr>
        <w:t>90</w:t>
      </w:r>
      <w:r>
        <w:rPr>
          <w:rFonts w:eastAsia="標楷體"/>
          <w:color w:val="000000"/>
          <w:spacing w:val="4"/>
          <w:kern w:val="0"/>
          <w:sz w:val="28"/>
          <w:szCs w:val="26"/>
        </w:rPr>
        <w:t>年</w:t>
      </w:r>
      <w:r>
        <w:rPr>
          <w:rFonts w:eastAsia="標楷體"/>
          <w:color w:val="000000"/>
          <w:spacing w:val="4"/>
          <w:kern w:val="0"/>
          <w:sz w:val="28"/>
          <w:szCs w:val="26"/>
        </w:rPr>
        <w:t>129.6</w:t>
      </w:r>
      <w:r>
        <w:rPr>
          <w:rFonts w:eastAsia="標楷體"/>
          <w:color w:val="000000"/>
          <w:spacing w:val="4"/>
          <w:kern w:val="0"/>
          <w:sz w:val="28"/>
          <w:szCs w:val="26"/>
        </w:rPr>
        <w:t>下降近</w:t>
      </w:r>
      <w:r>
        <w:rPr>
          <w:rFonts w:eastAsia="標楷體"/>
          <w:color w:val="000000"/>
          <w:spacing w:val="4"/>
          <w:kern w:val="0"/>
          <w:sz w:val="28"/>
          <w:szCs w:val="26"/>
        </w:rPr>
        <w:t>40%</w:t>
      </w:r>
      <w:r>
        <w:rPr>
          <w:rFonts w:eastAsia="標楷體"/>
          <w:color w:val="000000"/>
          <w:spacing w:val="4"/>
          <w:kern w:val="0"/>
          <w:sz w:val="28"/>
          <w:szCs w:val="26"/>
        </w:rPr>
        <w:t>，導致貿易條件變動損失金額達</w:t>
      </w:r>
      <w:r>
        <w:rPr>
          <w:rFonts w:eastAsia="標楷體"/>
          <w:color w:val="000000"/>
          <w:spacing w:val="4"/>
          <w:kern w:val="0"/>
          <w:sz w:val="28"/>
          <w:szCs w:val="26"/>
        </w:rPr>
        <w:t>1</w:t>
      </w:r>
      <w:r>
        <w:rPr>
          <w:rFonts w:eastAsia="標楷體"/>
          <w:color w:val="000000"/>
          <w:spacing w:val="4"/>
          <w:kern w:val="0"/>
          <w:sz w:val="28"/>
          <w:szCs w:val="26"/>
        </w:rPr>
        <w:t>兆</w:t>
      </w:r>
      <w:r>
        <w:rPr>
          <w:rFonts w:eastAsia="標楷體"/>
          <w:color w:val="000000"/>
          <w:spacing w:val="4"/>
          <w:kern w:val="0"/>
          <w:sz w:val="28"/>
          <w:szCs w:val="26"/>
        </w:rPr>
        <w:t>4,818</w:t>
      </w:r>
      <w:r>
        <w:rPr>
          <w:rFonts w:eastAsia="標楷體"/>
          <w:color w:val="000000"/>
          <w:spacing w:val="4"/>
          <w:kern w:val="0"/>
          <w:sz w:val="28"/>
          <w:szCs w:val="26"/>
        </w:rPr>
        <w:t>億元</w:t>
      </w:r>
      <w:r>
        <w:rPr>
          <w:rFonts w:ascii="標楷體" w:eastAsia="標楷體" w:hAnsi="標楷體"/>
          <w:color w:val="000000"/>
          <w:spacing w:val="4"/>
          <w:kern w:val="0"/>
          <w:sz w:val="28"/>
          <w:szCs w:val="26"/>
        </w:rPr>
        <w:t>(</w:t>
      </w:r>
      <w:r>
        <w:rPr>
          <w:rFonts w:eastAsia="標楷體"/>
          <w:color w:val="000000"/>
          <w:spacing w:val="4"/>
          <w:kern w:val="0"/>
          <w:sz w:val="28"/>
          <w:szCs w:val="26"/>
        </w:rPr>
        <w:t>占實質</w:t>
      </w:r>
      <w:r>
        <w:rPr>
          <w:rFonts w:eastAsia="標楷體"/>
          <w:color w:val="000000"/>
          <w:spacing w:val="4"/>
          <w:kern w:val="0"/>
          <w:sz w:val="28"/>
          <w:szCs w:val="26"/>
        </w:rPr>
        <w:t>GDP</w:t>
      </w:r>
      <w:r>
        <w:rPr>
          <w:rFonts w:eastAsia="標楷體"/>
          <w:color w:val="000000"/>
          <w:spacing w:val="4"/>
          <w:kern w:val="0"/>
          <w:sz w:val="28"/>
          <w:szCs w:val="26"/>
        </w:rPr>
        <w:t>比率</w:t>
      </w:r>
      <w:r>
        <w:rPr>
          <w:rFonts w:eastAsia="標楷體"/>
          <w:color w:val="000000"/>
          <w:spacing w:val="4"/>
          <w:kern w:val="0"/>
          <w:sz w:val="28"/>
          <w:szCs w:val="26"/>
        </w:rPr>
        <w:t>10.02%</w:t>
      </w:r>
      <w:r>
        <w:rPr>
          <w:rFonts w:ascii="標楷體" w:eastAsia="標楷體" w:hAnsi="標楷體"/>
          <w:color w:val="000000"/>
          <w:spacing w:val="4"/>
          <w:kern w:val="0"/>
          <w:sz w:val="28"/>
          <w:szCs w:val="26"/>
        </w:rPr>
        <w:t>)，亦壓縮國內薪資成長空間。</w:t>
      </w:r>
      <w:r>
        <w:rPr>
          <w:rFonts w:eastAsia="標楷體"/>
          <w:color w:val="000000"/>
          <w:spacing w:val="4"/>
          <w:kern w:val="0"/>
          <w:sz w:val="28"/>
          <w:szCs w:val="26"/>
        </w:rPr>
        <w:t>根據亞洲生產力組織</w:t>
      </w:r>
      <w:r>
        <w:rPr>
          <w:rFonts w:ascii="標楷體" w:eastAsia="標楷體" w:hAnsi="標楷體"/>
          <w:color w:val="000000"/>
          <w:spacing w:val="4"/>
          <w:kern w:val="0"/>
          <w:sz w:val="28"/>
          <w:szCs w:val="26"/>
        </w:rPr>
        <w:t>(</w:t>
      </w:r>
      <w:r>
        <w:rPr>
          <w:rFonts w:eastAsia="標楷體"/>
          <w:color w:val="000000"/>
          <w:spacing w:val="4"/>
          <w:kern w:val="0"/>
          <w:sz w:val="28"/>
          <w:szCs w:val="26"/>
        </w:rPr>
        <w:t>APO</w:t>
      </w:r>
      <w:r>
        <w:rPr>
          <w:rFonts w:ascii="標楷體" w:eastAsia="標楷體" w:hAnsi="標楷體"/>
          <w:color w:val="000000"/>
          <w:spacing w:val="4"/>
          <w:kern w:val="0"/>
          <w:sz w:val="28"/>
          <w:szCs w:val="26"/>
        </w:rPr>
        <w:t>)</w:t>
      </w:r>
      <w:r>
        <w:rPr>
          <w:rFonts w:eastAsia="標楷體"/>
          <w:color w:val="000000"/>
          <w:spacing w:val="4"/>
          <w:kern w:val="0"/>
          <w:sz w:val="28"/>
          <w:szCs w:val="26"/>
        </w:rPr>
        <w:t>估算，</w:t>
      </w:r>
      <w:r>
        <w:rPr>
          <w:rFonts w:eastAsia="標楷體"/>
          <w:color w:val="000000"/>
          <w:spacing w:val="4"/>
          <w:kern w:val="0"/>
          <w:sz w:val="28"/>
          <w:szCs w:val="26"/>
        </w:rPr>
        <w:t>2005</w:t>
      </w:r>
      <w:r>
        <w:rPr>
          <w:rFonts w:eastAsia="標楷體"/>
          <w:color w:val="000000"/>
          <w:spacing w:val="4"/>
          <w:kern w:val="0"/>
          <w:sz w:val="28"/>
          <w:szCs w:val="26"/>
        </w:rPr>
        <w:t>至</w:t>
      </w:r>
      <w:r>
        <w:rPr>
          <w:rFonts w:eastAsia="標楷體"/>
          <w:color w:val="000000"/>
          <w:spacing w:val="4"/>
          <w:kern w:val="0"/>
          <w:sz w:val="28"/>
          <w:szCs w:val="26"/>
        </w:rPr>
        <w:t>2010</w:t>
      </w:r>
      <w:r>
        <w:rPr>
          <w:rFonts w:eastAsia="標楷體"/>
          <w:color w:val="000000"/>
          <w:spacing w:val="4"/>
          <w:kern w:val="0"/>
          <w:sz w:val="28"/>
          <w:szCs w:val="26"/>
        </w:rPr>
        <w:t>年間亞洲四小龍受出口產品競爭激烈及進口原物料價格上漲的影響，均呈現貿易條件惡化，導致實質國民所得</w:t>
      </w:r>
      <w:r>
        <w:rPr>
          <w:rFonts w:ascii="標楷體" w:eastAsia="標楷體" w:hAnsi="標楷體"/>
          <w:color w:val="000000"/>
          <w:spacing w:val="4"/>
          <w:kern w:val="0"/>
          <w:sz w:val="28"/>
          <w:szCs w:val="26"/>
        </w:rPr>
        <w:t>(</w:t>
      </w:r>
      <w:r>
        <w:rPr>
          <w:rFonts w:eastAsia="標楷體"/>
          <w:color w:val="000000"/>
          <w:spacing w:val="4"/>
          <w:kern w:val="0"/>
          <w:sz w:val="28"/>
          <w:szCs w:val="26"/>
        </w:rPr>
        <w:t>NI</w:t>
      </w:r>
      <w:r>
        <w:rPr>
          <w:rFonts w:ascii="標楷體" w:eastAsia="標楷體" w:hAnsi="標楷體"/>
          <w:color w:val="000000"/>
          <w:spacing w:val="4"/>
          <w:kern w:val="0"/>
          <w:sz w:val="28"/>
          <w:szCs w:val="26"/>
        </w:rPr>
        <w:t>)</w:t>
      </w:r>
      <w:r>
        <w:rPr>
          <w:rFonts w:eastAsia="標楷體"/>
          <w:color w:val="000000"/>
          <w:spacing w:val="4"/>
          <w:kern w:val="0"/>
          <w:sz w:val="28"/>
          <w:szCs w:val="26"/>
        </w:rPr>
        <w:t>成長率低於實質</w:t>
      </w:r>
      <w:r>
        <w:rPr>
          <w:rFonts w:eastAsia="標楷體"/>
          <w:color w:val="000000"/>
          <w:spacing w:val="4"/>
          <w:kern w:val="0"/>
          <w:sz w:val="28"/>
          <w:szCs w:val="26"/>
        </w:rPr>
        <w:t>GDP</w:t>
      </w:r>
      <w:r>
        <w:rPr>
          <w:rFonts w:eastAsia="標楷體"/>
          <w:color w:val="000000"/>
          <w:spacing w:val="4"/>
          <w:kern w:val="0"/>
          <w:sz w:val="28"/>
          <w:szCs w:val="26"/>
        </w:rPr>
        <w:t>成長率的現象，惟我國所受負面衝擊明顯高於其他亞洲三小龍，亟需改善。</w:t>
      </w:r>
    </w:p>
    <w:p w14:paraId="142494D7" w14:textId="77777777" w:rsidR="00052596" w:rsidRDefault="00000000">
      <w:pPr>
        <w:overflowPunct w:val="0"/>
        <w:autoSpaceDE w:val="0"/>
        <w:snapToGrid w:val="0"/>
        <w:spacing w:before="240" w:after="120" w:line="280" w:lineRule="exact"/>
        <w:jc w:val="center"/>
        <w:textAlignment w:val="center"/>
        <w:rPr>
          <w:rFonts w:eastAsia="標楷體"/>
          <w:b/>
          <w:color w:val="0000FF"/>
          <w:kern w:val="0"/>
          <w:sz w:val="25"/>
          <w:szCs w:val="22"/>
        </w:rPr>
      </w:pPr>
      <w:r>
        <w:rPr>
          <w:rFonts w:eastAsia="標楷體"/>
          <w:b/>
          <w:color w:val="0000FF"/>
          <w:kern w:val="0"/>
          <w:sz w:val="25"/>
          <w:szCs w:val="22"/>
        </w:rPr>
        <w:t>表</w:t>
      </w:r>
      <w:r>
        <w:rPr>
          <w:rFonts w:eastAsia="標楷體"/>
          <w:b/>
          <w:color w:val="0000FF"/>
          <w:kern w:val="0"/>
          <w:sz w:val="25"/>
          <w:szCs w:val="22"/>
        </w:rPr>
        <w:t>1.2.4</w:t>
      </w:r>
      <w:r>
        <w:rPr>
          <w:rFonts w:eastAsia="標楷體"/>
          <w:b/>
          <w:color w:val="0000FF"/>
          <w:kern w:val="0"/>
          <w:sz w:val="25"/>
          <w:szCs w:val="22"/>
        </w:rPr>
        <w:t xml:space="preserve">　亞洲四小龍實質所得成長來源比較</w:t>
      </w:r>
    </w:p>
    <w:p w14:paraId="5A6EBCB1" w14:textId="77777777" w:rsidR="00052596" w:rsidRDefault="00000000">
      <w:pPr>
        <w:overflowPunct w:val="0"/>
        <w:autoSpaceDE w:val="0"/>
        <w:spacing w:before="60" w:after="24" w:line="220" w:lineRule="exact"/>
        <w:ind w:right="708"/>
        <w:jc w:val="right"/>
        <w:textAlignment w:val="center"/>
        <w:rPr>
          <w:rFonts w:eastAsia="標楷體"/>
          <w:bCs/>
          <w:spacing w:val="8"/>
          <w:kern w:val="0"/>
          <w:sz w:val="22"/>
          <w:szCs w:val="22"/>
        </w:rPr>
      </w:pPr>
      <w:r>
        <w:rPr>
          <w:rFonts w:eastAsia="標楷體"/>
          <w:bCs/>
          <w:spacing w:val="8"/>
          <w:kern w:val="0"/>
          <w:sz w:val="22"/>
          <w:szCs w:val="22"/>
        </w:rPr>
        <w:t>單位：</w:t>
      </w:r>
      <w:r>
        <w:rPr>
          <w:rFonts w:eastAsia="標楷體"/>
          <w:bCs/>
          <w:spacing w:val="8"/>
          <w:kern w:val="0"/>
          <w:sz w:val="22"/>
          <w:szCs w:val="22"/>
        </w:rPr>
        <w:t>%</w:t>
      </w:r>
    </w:p>
    <w:tbl>
      <w:tblPr>
        <w:tblW w:w="7306" w:type="dxa"/>
        <w:jc w:val="center"/>
        <w:tblCellMar>
          <w:left w:w="10" w:type="dxa"/>
          <w:right w:w="10" w:type="dxa"/>
        </w:tblCellMar>
        <w:tblLook w:val="04A0" w:firstRow="1" w:lastRow="0" w:firstColumn="1" w:lastColumn="0" w:noHBand="0" w:noVBand="1"/>
      </w:tblPr>
      <w:tblGrid>
        <w:gridCol w:w="3311"/>
        <w:gridCol w:w="884"/>
        <w:gridCol w:w="1037"/>
        <w:gridCol w:w="1037"/>
        <w:gridCol w:w="1037"/>
      </w:tblGrid>
      <w:tr w:rsidR="00052596" w14:paraId="06E398D5" w14:textId="77777777">
        <w:tblPrEx>
          <w:tblCellMar>
            <w:top w:w="0" w:type="dxa"/>
            <w:bottom w:w="0" w:type="dxa"/>
          </w:tblCellMar>
        </w:tblPrEx>
        <w:trPr>
          <w:trHeight w:val="489"/>
          <w:jc w:val="center"/>
        </w:trPr>
        <w:tc>
          <w:tcPr>
            <w:tcW w:w="33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49C22B" w14:textId="77777777" w:rsidR="00052596" w:rsidRDefault="00052596">
            <w:pPr>
              <w:overflowPunct w:val="0"/>
              <w:autoSpaceDE w:val="0"/>
              <w:jc w:val="center"/>
              <w:textAlignment w:val="center"/>
              <w:rPr>
                <w:rFonts w:eastAsia="標楷體"/>
                <w:bCs/>
                <w:kern w:val="0"/>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7" w:type="dxa"/>
              <w:bottom w:w="0" w:type="dxa"/>
              <w:right w:w="17" w:type="dxa"/>
            </w:tcMar>
            <w:vAlign w:val="center"/>
          </w:tcPr>
          <w:p w14:paraId="59AACCBA" w14:textId="77777777" w:rsidR="00052596" w:rsidRDefault="00000000">
            <w:pPr>
              <w:overflowPunct w:val="0"/>
              <w:autoSpaceDE w:val="0"/>
              <w:jc w:val="center"/>
              <w:textAlignment w:val="center"/>
              <w:rPr>
                <w:rFonts w:eastAsia="標楷體"/>
                <w:bCs/>
                <w:kern w:val="0"/>
              </w:rPr>
            </w:pPr>
            <w:r>
              <w:rPr>
                <w:rFonts w:eastAsia="標楷體"/>
                <w:bCs/>
                <w:kern w:val="0"/>
              </w:rPr>
              <w:t>臺</w:t>
            </w:r>
            <w:r>
              <w:rPr>
                <w:rFonts w:eastAsia="標楷體"/>
                <w:bCs/>
                <w:kern w:val="0"/>
              </w:rPr>
              <w:t xml:space="preserve">  </w:t>
            </w:r>
            <w:r>
              <w:rPr>
                <w:rFonts w:eastAsia="標楷體"/>
                <w:bCs/>
                <w:kern w:val="0"/>
              </w:rPr>
              <w:t>灣</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7CE500" w14:textId="77777777" w:rsidR="00052596" w:rsidRDefault="00000000">
            <w:pPr>
              <w:overflowPunct w:val="0"/>
              <w:autoSpaceDE w:val="0"/>
              <w:jc w:val="center"/>
              <w:textAlignment w:val="center"/>
              <w:rPr>
                <w:rFonts w:eastAsia="標楷體"/>
                <w:bCs/>
                <w:kern w:val="0"/>
              </w:rPr>
            </w:pPr>
            <w:r>
              <w:rPr>
                <w:rFonts w:eastAsia="標楷體"/>
                <w:bCs/>
                <w:kern w:val="0"/>
              </w:rPr>
              <w:t>南</w:t>
            </w:r>
            <w:r>
              <w:rPr>
                <w:rFonts w:eastAsia="標楷體"/>
                <w:bCs/>
                <w:kern w:val="0"/>
              </w:rPr>
              <w:t xml:space="preserve">  </w:t>
            </w:r>
            <w:r>
              <w:rPr>
                <w:rFonts w:eastAsia="標楷體"/>
                <w:bCs/>
                <w:kern w:val="0"/>
              </w:rPr>
              <w:t>韓</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69D3EB" w14:textId="77777777" w:rsidR="00052596" w:rsidRDefault="00000000">
            <w:pPr>
              <w:overflowPunct w:val="0"/>
              <w:autoSpaceDE w:val="0"/>
              <w:jc w:val="center"/>
              <w:textAlignment w:val="center"/>
              <w:rPr>
                <w:rFonts w:eastAsia="標楷體"/>
                <w:bCs/>
                <w:kern w:val="0"/>
              </w:rPr>
            </w:pPr>
            <w:r>
              <w:rPr>
                <w:rFonts w:eastAsia="標楷體"/>
                <w:bCs/>
                <w:kern w:val="0"/>
              </w:rPr>
              <w:t>新加坡</w:t>
            </w:r>
          </w:p>
        </w:tc>
        <w:tc>
          <w:tcPr>
            <w:tcW w:w="1037"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8F3AA94" w14:textId="77777777" w:rsidR="00052596" w:rsidRDefault="00000000">
            <w:pPr>
              <w:overflowPunct w:val="0"/>
              <w:autoSpaceDE w:val="0"/>
              <w:jc w:val="center"/>
              <w:textAlignment w:val="center"/>
              <w:rPr>
                <w:rFonts w:eastAsia="標楷體"/>
                <w:bCs/>
                <w:kern w:val="0"/>
              </w:rPr>
            </w:pPr>
            <w:r>
              <w:rPr>
                <w:rFonts w:eastAsia="標楷體"/>
                <w:bCs/>
                <w:kern w:val="0"/>
              </w:rPr>
              <w:t>香</w:t>
            </w:r>
            <w:r>
              <w:rPr>
                <w:rFonts w:eastAsia="標楷體"/>
                <w:bCs/>
                <w:kern w:val="0"/>
              </w:rPr>
              <w:t xml:space="preserve">  </w:t>
            </w:r>
            <w:r>
              <w:rPr>
                <w:rFonts w:eastAsia="標楷體"/>
                <w:bCs/>
                <w:kern w:val="0"/>
              </w:rPr>
              <w:t>港</w:t>
            </w:r>
          </w:p>
        </w:tc>
      </w:tr>
      <w:tr w:rsidR="00052596" w14:paraId="1DEB4D98" w14:textId="77777777">
        <w:tblPrEx>
          <w:tblCellMar>
            <w:top w:w="0" w:type="dxa"/>
            <w:bottom w:w="0" w:type="dxa"/>
          </w:tblCellMar>
        </w:tblPrEx>
        <w:trPr>
          <w:trHeight w:val="427"/>
          <w:jc w:val="center"/>
        </w:trPr>
        <w:tc>
          <w:tcPr>
            <w:tcW w:w="3311" w:type="dxa"/>
            <w:tcBorders>
              <w:top w:val="single"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646AC52B" w14:textId="77777777" w:rsidR="00052596" w:rsidRDefault="00000000">
            <w:pPr>
              <w:overflowPunct w:val="0"/>
              <w:autoSpaceDE w:val="0"/>
              <w:textAlignment w:val="center"/>
              <w:rPr>
                <w:rFonts w:eastAsia="標楷體"/>
                <w:bCs/>
                <w:kern w:val="0"/>
              </w:rPr>
            </w:pPr>
            <w:r>
              <w:rPr>
                <w:rFonts w:eastAsia="標楷體"/>
                <w:bCs/>
                <w:kern w:val="0"/>
              </w:rPr>
              <w:t>2000</w:t>
            </w:r>
            <w:r>
              <w:rPr>
                <w:rFonts w:eastAsia="標楷體"/>
                <w:bCs/>
                <w:kern w:val="0"/>
              </w:rPr>
              <w:t>至</w:t>
            </w:r>
            <w:r>
              <w:rPr>
                <w:rFonts w:eastAsia="標楷體"/>
                <w:bCs/>
                <w:kern w:val="0"/>
              </w:rPr>
              <w:t>2005</w:t>
            </w:r>
            <w:r>
              <w:rPr>
                <w:rFonts w:eastAsia="標楷體"/>
                <w:bCs/>
                <w:kern w:val="0"/>
              </w:rPr>
              <w:t>年實質所得成長率</w:t>
            </w:r>
          </w:p>
        </w:tc>
        <w:tc>
          <w:tcPr>
            <w:tcW w:w="88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F1AFFC0" w14:textId="77777777" w:rsidR="00052596" w:rsidRDefault="00000000">
            <w:pPr>
              <w:overflowPunct w:val="0"/>
              <w:autoSpaceDE w:val="0"/>
              <w:ind w:right="120"/>
              <w:jc w:val="right"/>
              <w:textAlignment w:val="center"/>
              <w:rPr>
                <w:rFonts w:eastAsia="標楷體"/>
                <w:bCs/>
                <w:kern w:val="0"/>
              </w:rPr>
            </w:pPr>
            <w:r>
              <w:rPr>
                <w:rFonts w:eastAsia="標楷體"/>
                <w:bCs/>
                <w:kern w:val="0"/>
              </w:rPr>
              <w:t>2.36</w:t>
            </w:r>
          </w:p>
        </w:tc>
        <w:tc>
          <w:tcPr>
            <w:tcW w:w="1037"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9D24FA0" w14:textId="77777777" w:rsidR="00052596" w:rsidRDefault="00000000">
            <w:pPr>
              <w:overflowPunct w:val="0"/>
              <w:autoSpaceDE w:val="0"/>
              <w:ind w:right="180"/>
              <w:jc w:val="right"/>
              <w:textAlignment w:val="center"/>
              <w:rPr>
                <w:rFonts w:eastAsia="標楷體"/>
                <w:bCs/>
                <w:kern w:val="0"/>
              </w:rPr>
            </w:pPr>
            <w:r>
              <w:rPr>
                <w:rFonts w:eastAsia="標楷體"/>
                <w:bCs/>
                <w:kern w:val="0"/>
              </w:rPr>
              <w:t>3.71</w:t>
            </w:r>
          </w:p>
        </w:tc>
        <w:tc>
          <w:tcPr>
            <w:tcW w:w="1037"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445961A" w14:textId="77777777" w:rsidR="00052596" w:rsidRDefault="00000000">
            <w:pPr>
              <w:overflowPunct w:val="0"/>
              <w:autoSpaceDE w:val="0"/>
              <w:ind w:right="180"/>
              <w:jc w:val="right"/>
              <w:textAlignment w:val="center"/>
              <w:rPr>
                <w:rFonts w:eastAsia="標楷體"/>
                <w:bCs/>
                <w:kern w:val="0"/>
              </w:rPr>
            </w:pPr>
            <w:r>
              <w:rPr>
                <w:rFonts w:eastAsia="標楷體"/>
                <w:bCs/>
                <w:kern w:val="0"/>
              </w:rPr>
              <w:t>3.55</w:t>
            </w:r>
          </w:p>
        </w:tc>
        <w:tc>
          <w:tcPr>
            <w:tcW w:w="1037" w:type="dxa"/>
            <w:tcBorders>
              <w:top w:val="single" w:sz="4" w:space="0" w:color="000000"/>
              <w:left w:val="single" w:sz="4" w:space="0" w:color="000000"/>
              <w:bottom w:val="dashed" w:sz="4" w:space="0" w:color="000000"/>
            </w:tcBorders>
            <w:shd w:val="clear" w:color="auto" w:fill="auto"/>
            <w:tcMar>
              <w:top w:w="0" w:type="dxa"/>
              <w:left w:w="108" w:type="dxa"/>
              <w:bottom w:w="0" w:type="dxa"/>
              <w:right w:w="108" w:type="dxa"/>
            </w:tcMar>
            <w:vAlign w:val="center"/>
          </w:tcPr>
          <w:p w14:paraId="4C9C295A" w14:textId="77777777" w:rsidR="00052596" w:rsidRDefault="00000000">
            <w:pPr>
              <w:overflowPunct w:val="0"/>
              <w:autoSpaceDE w:val="0"/>
              <w:ind w:right="180"/>
              <w:jc w:val="right"/>
              <w:textAlignment w:val="center"/>
              <w:rPr>
                <w:rFonts w:eastAsia="標楷體"/>
                <w:bCs/>
                <w:kern w:val="0"/>
              </w:rPr>
            </w:pPr>
            <w:r>
              <w:rPr>
                <w:rFonts w:eastAsia="標楷體"/>
                <w:bCs/>
                <w:kern w:val="0"/>
              </w:rPr>
              <w:t>2.89</w:t>
            </w:r>
          </w:p>
        </w:tc>
      </w:tr>
      <w:tr w:rsidR="00052596" w14:paraId="30E10DED" w14:textId="77777777">
        <w:tblPrEx>
          <w:tblCellMar>
            <w:top w:w="0" w:type="dxa"/>
            <w:bottom w:w="0" w:type="dxa"/>
          </w:tblCellMar>
        </w:tblPrEx>
        <w:trPr>
          <w:trHeight w:val="427"/>
          <w:jc w:val="center"/>
        </w:trPr>
        <w:tc>
          <w:tcPr>
            <w:tcW w:w="3311" w:type="dxa"/>
            <w:tcBorders>
              <w:top w:val="dashed" w:sz="4" w:space="0" w:color="000000"/>
              <w:right w:val="single" w:sz="4" w:space="0" w:color="000000"/>
            </w:tcBorders>
            <w:shd w:val="clear" w:color="auto" w:fill="auto"/>
            <w:tcMar>
              <w:top w:w="0" w:type="dxa"/>
              <w:left w:w="28" w:type="dxa"/>
              <w:bottom w:w="0" w:type="dxa"/>
              <w:right w:w="28" w:type="dxa"/>
            </w:tcMar>
            <w:vAlign w:val="center"/>
          </w:tcPr>
          <w:p w14:paraId="670C8946" w14:textId="77777777" w:rsidR="00052596" w:rsidRDefault="00000000">
            <w:pPr>
              <w:overflowPunct w:val="0"/>
              <w:autoSpaceDE w:val="0"/>
              <w:textAlignment w:val="center"/>
              <w:rPr>
                <w:rFonts w:eastAsia="標楷體"/>
                <w:bCs/>
                <w:kern w:val="0"/>
              </w:rPr>
            </w:pPr>
            <w:r>
              <w:rPr>
                <w:rFonts w:eastAsia="標楷體"/>
                <w:bCs/>
                <w:kern w:val="0"/>
              </w:rPr>
              <w:t>來自：實質</w:t>
            </w:r>
            <w:r>
              <w:rPr>
                <w:rFonts w:eastAsia="標楷體"/>
                <w:bCs/>
                <w:kern w:val="0"/>
              </w:rPr>
              <w:t>GDP</w:t>
            </w:r>
            <w:r>
              <w:rPr>
                <w:rFonts w:eastAsia="標楷體"/>
                <w:bCs/>
                <w:kern w:val="0"/>
              </w:rPr>
              <w:t>成長效果</w:t>
            </w:r>
          </w:p>
        </w:tc>
        <w:tc>
          <w:tcPr>
            <w:tcW w:w="884" w:type="dxa"/>
            <w:tcBorders>
              <w:top w:val="dashed"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6FB2017" w14:textId="77777777" w:rsidR="00052596" w:rsidRDefault="00000000">
            <w:pPr>
              <w:overflowPunct w:val="0"/>
              <w:autoSpaceDE w:val="0"/>
              <w:ind w:right="120"/>
              <w:jc w:val="right"/>
              <w:textAlignment w:val="center"/>
              <w:rPr>
                <w:rFonts w:eastAsia="標楷體"/>
                <w:bCs/>
                <w:kern w:val="0"/>
              </w:rPr>
            </w:pPr>
            <w:r>
              <w:rPr>
                <w:rFonts w:eastAsia="標楷體"/>
                <w:bCs/>
                <w:kern w:val="0"/>
              </w:rPr>
              <w:t>3.60</w:t>
            </w:r>
          </w:p>
        </w:tc>
        <w:tc>
          <w:tcPr>
            <w:tcW w:w="1037" w:type="dxa"/>
            <w:tcBorders>
              <w:top w:val="dashed"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B0AEE24" w14:textId="77777777" w:rsidR="00052596" w:rsidRDefault="00000000">
            <w:pPr>
              <w:overflowPunct w:val="0"/>
              <w:autoSpaceDE w:val="0"/>
              <w:ind w:right="180"/>
              <w:jc w:val="right"/>
              <w:textAlignment w:val="center"/>
              <w:rPr>
                <w:rFonts w:eastAsia="標楷體"/>
                <w:bCs/>
                <w:kern w:val="0"/>
              </w:rPr>
            </w:pPr>
            <w:r>
              <w:rPr>
                <w:rFonts w:eastAsia="標楷體"/>
                <w:bCs/>
                <w:kern w:val="0"/>
              </w:rPr>
              <w:t>4.47</w:t>
            </w:r>
          </w:p>
        </w:tc>
        <w:tc>
          <w:tcPr>
            <w:tcW w:w="1037" w:type="dxa"/>
            <w:tcBorders>
              <w:top w:val="dashed"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D5EC878" w14:textId="77777777" w:rsidR="00052596" w:rsidRDefault="00000000">
            <w:pPr>
              <w:overflowPunct w:val="0"/>
              <w:autoSpaceDE w:val="0"/>
              <w:ind w:right="180"/>
              <w:jc w:val="right"/>
              <w:textAlignment w:val="center"/>
              <w:rPr>
                <w:rFonts w:eastAsia="標楷體"/>
                <w:bCs/>
                <w:kern w:val="0"/>
              </w:rPr>
            </w:pPr>
            <w:r>
              <w:rPr>
                <w:rFonts w:eastAsia="標楷體"/>
                <w:bCs/>
                <w:kern w:val="0"/>
              </w:rPr>
              <w:t>4.69</w:t>
            </w:r>
          </w:p>
        </w:tc>
        <w:tc>
          <w:tcPr>
            <w:tcW w:w="1037" w:type="dxa"/>
            <w:tcBorders>
              <w:top w:val="dashed" w:sz="4" w:space="0" w:color="000000"/>
              <w:left w:val="single" w:sz="4" w:space="0" w:color="000000"/>
            </w:tcBorders>
            <w:shd w:val="clear" w:color="auto" w:fill="auto"/>
            <w:tcMar>
              <w:top w:w="0" w:type="dxa"/>
              <w:left w:w="108" w:type="dxa"/>
              <w:bottom w:w="0" w:type="dxa"/>
              <w:right w:w="108" w:type="dxa"/>
            </w:tcMar>
            <w:vAlign w:val="center"/>
          </w:tcPr>
          <w:p w14:paraId="383DAB4A" w14:textId="77777777" w:rsidR="00052596" w:rsidRDefault="00000000">
            <w:pPr>
              <w:overflowPunct w:val="0"/>
              <w:autoSpaceDE w:val="0"/>
              <w:ind w:right="180"/>
              <w:jc w:val="right"/>
              <w:textAlignment w:val="center"/>
              <w:rPr>
                <w:rFonts w:eastAsia="標楷體"/>
                <w:bCs/>
                <w:kern w:val="0"/>
              </w:rPr>
            </w:pPr>
            <w:r>
              <w:rPr>
                <w:rFonts w:eastAsia="標楷體"/>
                <w:bCs/>
                <w:kern w:val="0"/>
              </w:rPr>
              <w:t>4.01</w:t>
            </w:r>
          </w:p>
        </w:tc>
      </w:tr>
      <w:tr w:rsidR="00052596" w14:paraId="5BC1BD79" w14:textId="77777777">
        <w:tblPrEx>
          <w:tblCellMar>
            <w:top w:w="0" w:type="dxa"/>
            <w:bottom w:w="0" w:type="dxa"/>
          </w:tblCellMar>
        </w:tblPrEx>
        <w:trPr>
          <w:trHeight w:val="427"/>
          <w:jc w:val="center"/>
        </w:trPr>
        <w:tc>
          <w:tcPr>
            <w:tcW w:w="3311" w:type="dxa"/>
            <w:tcBorders>
              <w:right w:val="single" w:sz="4" w:space="0" w:color="000000"/>
            </w:tcBorders>
            <w:shd w:val="clear" w:color="auto" w:fill="auto"/>
            <w:tcMar>
              <w:top w:w="0" w:type="dxa"/>
              <w:left w:w="28" w:type="dxa"/>
              <w:bottom w:w="0" w:type="dxa"/>
              <w:right w:w="28" w:type="dxa"/>
            </w:tcMar>
            <w:vAlign w:val="center"/>
          </w:tcPr>
          <w:p w14:paraId="44E000FC" w14:textId="77777777" w:rsidR="00052596" w:rsidRDefault="00000000">
            <w:pPr>
              <w:overflowPunct w:val="0"/>
              <w:autoSpaceDE w:val="0"/>
              <w:ind w:firstLine="720"/>
              <w:textAlignment w:val="center"/>
              <w:rPr>
                <w:rFonts w:eastAsia="標楷體"/>
                <w:bCs/>
                <w:kern w:val="0"/>
              </w:rPr>
            </w:pPr>
            <w:r>
              <w:rPr>
                <w:rFonts w:eastAsia="標楷體"/>
                <w:bCs/>
                <w:kern w:val="0"/>
              </w:rPr>
              <w:t>貿易條件變動效果</w:t>
            </w:r>
          </w:p>
        </w:tc>
        <w:tc>
          <w:tcPr>
            <w:tcW w:w="884"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928CC0" w14:textId="77777777" w:rsidR="00052596" w:rsidRDefault="00000000">
            <w:pPr>
              <w:overflowPunct w:val="0"/>
              <w:autoSpaceDE w:val="0"/>
              <w:ind w:right="120"/>
              <w:jc w:val="right"/>
              <w:textAlignment w:val="center"/>
              <w:rPr>
                <w:rFonts w:eastAsia="標楷體"/>
                <w:bCs/>
                <w:kern w:val="0"/>
              </w:rPr>
            </w:pPr>
            <w:r>
              <w:rPr>
                <w:rFonts w:eastAsia="標楷體"/>
                <w:bCs/>
                <w:kern w:val="0"/>
              </w:rPr>
              <w:t>-1.47</w:t>
            </w:r>
          </w:p>
        </w:tc>
        <w:tc>
          <w:tcPr>
            <w:tcW w:w="103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2E8D58" w14:textId="77777777" w:rsidR="00052596" w:rsidRDefault="00000000">
            <w:pPr>
              <w:overflowPunct w:val="0"/>
              <w:autoSpaceDE w:val="0"/>
              <w:ind w:right="180"/>
              <w:jc w:val="right"/>
              <w:textAlignment w:val="center"/>
              <w:rPr>
                <w:rFonts w:eastAsia="標楷體"/>
                <w:bCs/>
                <w:kern w:val="0"/>
              </w:rPr>
            </w:pPr>
            <w:r>
              <w:rPr>
                <w:rFonts w:eastAsia="標楷體"/>
                <w:bCs/>
                <w:kern w:val="0"/>
              </w:rPr>
              <w:t>-0.84</w:t>
            </w:r>
          </w:p>
        </w:tc>
        <w:tc>
          <w:tcPr>
            <w:tcW w:w="103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F162E1" w14:textId="77777777" w:rsidR="00052596" w:rsidRDefault="00000000">
            <w:pPr>
              <w:overflowPunct w:val="0"/>
              <w:autoSpaceDE w:val="0"/>
              <w:ind w:right="180"/>
              <w:jc w:val="right"/>
              <w:textAlignment w:val="center"/>
              <w:rPr>
                <w:rFonts w:eastAsia="標楷體"/>
                <w:bCs/>
                <w:kern w:val="0"/>
              </w:rPr>
            </w:pPr>
            <w:r>
              <w:rPr>
                <w:rFonts w:eastAsia="標楷體"/>
                <w:bCs/>
                <w:kern w:val="0"/>
              </w:rPr>
              <w:t>0.12</w:t>
            </w:r>
          </w:p>
        </w:tc>
        <w:tc>
          <w:tcPr>
            <w:tcW w:w="1037" w:type="dxa"/>
            <w:tcBorders>
              <w:left w:val="single" w:sz="4" w:space="0" w:color="000000"/>
            </w:tcBorders>
            <w:shd w:val="clear" w:color="auto" w:fill="auto"/>
            <w:tcMar>
              <w:top w:w="0" w:type="dxa"/>
              <w:left w:w="108" w:type="dxa"/>
              <w:bottom w:w="0" w:type="dxa"/>
              <w:right w:w="108" w:type="dxa"/>
            </w:tcMar>
            <w:vAlign w:val="center"/>
          </w:tcPr>
          <w:p w14:paraId="446B1998" w14:textId="77777777" w:rsidR="00052596" w:rsidRDefault="00000000">
            <w:pPr>
              <w:overflowPunct w:val="0"/>
              <w:autoSpaceDE w:val="0"/>
              <w:ind w:right="180"/>
              <w:jc w:val="right"/>
              <w:textAlignment w:val="center"/>
              <w:rPr>
                <w:rFonts w:eastAsia="標楷體"/>
                <w:bCs/>
                <w:kern w:val="0"/>
              </w:rPr>
            </w:pPr>
            <w:r>
              <w:rPr>
                <w:rFonts w:eastAsia="標楷體"/>
                <w:bCs/>
                <w:kern w:val="0"/>
              </w:rPr>
              <w:t>-1.01</w:t>
            </w:r>
          </w:p>
        </w:tc>
      </w:tr>
      <w:tr w:rsidR="00052596" w14:paraId="287B5CA4" w14:textId="77777777">
        <w:tblPrEx>
          <w:tblCellMar>
            <w:top w:w="0" w:type="dxa"/>
            <w:bottom w:w="0" w:type="dxa"/>
          </w:tblCellMar>
        </w:tblPrEx>
        <w:trPr>
          <w:trHeight w:val="427"/>
          <w:jc w:val="center"/>
        </w:trPr>
        <w:tc>
          <w:tcPr>
            <w:tcW w:w="33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28EC252" w14:textId="77777777" w:rsidR="00052596" w:rsidRDefault="00000000">
            <w:pPr>
              <w:overflowPunct w:val="0"/>
              <w:autoSpaceDE w:val="0"/>
              <w:ind w:firstLine="720"/>
              <w:textAlignment w:val="center"/>
              <w:rPr>
                <w:rFonts w:eastAsia="標楷體"/>
                <w:bCs/>
                <w:kern w:val="0"/>
              </w:rPr>
            </w:pPr>
            <w:r>
              <w:rPr>
                <w:rFonts w:eastAsia="標楷體"/>
                <w:bCs/>
                <w:kern w:val="0"/>
              </w:rPr>
              <w:t>淨所得移轉效果</w:t>
            </w:r>
          </w:p>
        </w:tc>
        <w:tc>
          <w:tcPr>
            <w:tcW w:w="88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184D4" w14:textId="77777777" w:rsidR="00052596" w:rsidRDefault="00000000">
            <w:pPr>
              <w:overflowPunct w:val="0"/>
              <w:autoSpaceDE w:val="0"/>
              <w:ind w:right="120"/>
              <w:jc w:val="right"/>
              <w:textAlignment w:val="center"/>
              <w:rPr>
                <w:rFonts w:eastAsia="標楷體"/>
                <w:bCs/>
                <w:kern w:val="0"/>
              </w:rPr>
            </w:pPr>
            <w:r>
              <w:rPr>
                <w:rFonts w:eastAsia="標楷體"/>
                <w:bCs/>
                <w:kern w:val="0"/>
              </w:rPr>
              <w:t>0.22</w:t>
            </w:r>
          </w:p>
        </w:tc>
        <w:tc>
          <w:tcPr>
            <w:tcW w:w="10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185F9" w14:textId="77777777" w:rsidR="00052596" w:rsidRDefault="00000000">
            <w:pPr>
              <w:overflowPunct w:val="0"/>
              <w:autoSpaceDE w:val="0"/>
              <w:ind w:right="180"/>
              <w:jc w:val="right"/>
              <w:textAlignment w:val="center"/>
              <w:rPr>
                <w:rFonts w:eastAsia="標楷體"/>
                <w:bCs/>
                <w:kern w:val="0"/>
              </w:rPr>
            </w:pPr>
            <w:r>
              <w:rPr>
                <w:rFonts w:eastAsia="標楷體"/>
                <w:bCs/>
                <w:kern w:val="0"/>
              </w:rPr>
              <w:t>0.08</w:t>
            </w:r>
          </w:p>
        </w:tc>
        <w:tc>
          <w:tcPr>
            <w:tcW w:w="10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D437A" w14:textId="77777777" w:rsidR="00052596" w:rsidRDefault="00000000">
            <w:pPr>
              <w:overflowPunct w:val="0"/>
              <w:autoSpaceDE w:val="0"/>
              <w:ind w:right="180"/>
              <w:jc w:val="right"/>
              <w:textAlignment w:val="center"/>
              <w:rPr>
                <w:rFonts w:eastAsia="標楷體"/>
                <w:bCs/>
                <w:kern w:val="0"/>
              </w:rPr>
            </w:pPr>
            <w:r>
              <w:rPr>
                <w:rFonts w:eastAsia="標楷體"/>
                <w:bCs/>
                <w:kern w:val="0"/>
              </w:rPr>
              <w:t>-1.25</w:t>
            </w:r>
          </w:p>
        </w:tc>
        <w:tc>
          <w:tcPr>
            <w:tcW w:w="103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E2264A2" w14:textId="77777777" w:rsidR="00052596" w:rsidRDefault="00000000">
            <w:pPr>
              <w:overflowPunct w:val="0"/>
              <w:autoSpaceDE w:val="0"/>
              <w:ind w:right="180"/>
              <w:jc w:val="right"/>
              <w:textAlignment w:val="center"/>
              <w:rPr>
                <w:rFonts w:eastAsia="標楷體"/>
                <w:bCs/>
                <w:kern w:val="0"/>
              </w:rPr>
            </w:pPr>
            <w:r>
              <w:rPr>
                <w:rFonts w:eastAsia="標楷體"/>
                <w:bCs/>
                <w:kern w:val="0"/>
              </w:rPr>
              <w:t>-0.11</w:t>
            </w:r>
          </w:p>
        </w:tc>
      </w:tr>
      <w:tr w:rsidR="00052596" w14:paraId="4916A41E" w14:textId="77777777">
        <w:tblPrEx>
          <w:tblCellMar>
            <w:top w:w="0" w:type="dxa"/>
            <w:bottom w:w="0" w:type="dxa"/>
          </w:tblCellMar>
        </w:tblPrEx>
        <w:trPr>
          <w:trHeight w:val="427"/>
          <w:jc w:val="center"/>
        </w:trPr>
        <w:tc>
          <w:tcPr>
            <w:tcW w:w="3311" w:type="dxa"/>
            <w:tcBorders>
              <w:top w:val="single"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1F9DC57D" w14:textId="77777777" w:rsidR="00052596" w:rsidRDefault="00000000">
            <w:pPr>
              <w:overflowPunct w:val="0"/>
              <w:autoSpaceDE w:val="0"/>
              <w:textAlignment w:val="center"/>
              <w:rPr>
                <w:rFonts w:eastAsia="標楷體"/>
                <w:bCs/>
                <w:kern w:val="0"/>
              </w:rPr>
            </w:pPr>
            <w:r>
              <w:rPr>
                <w:rFonts w:eastAsia="標楷體"/>
                <w:bCs/>
                <w:kern w:val="0"/>
              </w:rPr>
              <w:t>2005</w:t>
            </w:r>
            <w:r>
              <w:rPr>
                <w:rFonts w:eastAsia="標楷體"/>
                <w:bCs/>
                <w:kern w:val="0"/>
              </w:rPr>
              <w:t>至</w:t>
            </w:r>
            <w:r>
              <w:rPr>
                <w:rFonts w:eastAsia="標楷體"/>
                <w:bCs/>
                <w:kern w:val="0"/>
              </w:rPr>
              <w:t>2010</w:t>
            </w:r>
            <w:r>
              <w:rPr>
                <w:rFonts w:eastAsia="標楷體"/>
                <w:bCs/>
                <w:kern w:val="0"/>
              </w:rPr>
              <w:t>年實質所得成長率</w:t>
            </w:r>
          </w:p>
        </w:tc>
        <w:tc>
          <w:tcPr>
            <w:tcW w:w="88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2AE11F3" w14:textId="77777777" w:rsidR="00052596" w:rsidRDefault="00000000">
            <w:pPr>
              <w:overflowPunct w:val="0"/>
              <w:autoSpaceDE w:val="0"/>
              <w:ind w:right="120"/>
              <w:jc w:val="right"/>
              <w:textAlignment w:val="center"/>
              <w:rPr>
                <w:rFonts w:eastAsia="標楷體"/>
                <w:bCs/>
                <w:kern w:val="0"/>
              </w:rPr>
            </w:pPr>
            <w:r>
              <w:rPr>
                <w:rFonts w:eastAsia="標楷體"/>
                <w:bCs/>
                <w:kern w:val="0"/>
              </w:rPr>
              <w:t>1.81</w:t>
            </w:r>
          </w:p>
        </w:tc>
        <w:tc>
          <w:tcPr>
            <w:tcW w:w="1037"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AF339F8" w14:textId="77777777" w:rsidR="00052596" w:rsidRDefault="00000000">
            <w:pPr>
              <w:overflowPunct w:val="0"/>
              <w:autoSpaceDE w:val="0"/>
              <w:ind w:right="180"/>
              <w:jc w:val="right"/>
              <w:textAlignment w:val="center"/>
              <w:rPr>
                <w:rFonts w:eastAsia="標楷體"/>
                <w:bCs/>
                <w:kern w:val="0"/>
              </w:rPr>
            </w:pPr>
            <w:r>
              <w:rPr>
                <w:rFonts w:eastAsia="標楷體"/>
                <w:bCs/>
                <w:kern w:val="0"/>
              </w:rPr>
              <w:t>3.12</w:t>
            </w:r>
          </w:p>
        </w:tc>
        <w:tc>
          <w:tcPr>
            <w:tcW w:w="1037"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003BCC2" w14:textId="77777777" w:rsidR="00052596" w:rsidRDefault="00000000">
            <w:pPr>
              <w:overflowPunct w:val="0"/>
              <w:autoSpaceDE w:val="0"/>
              <w:ind w:right="180"/>
              <w:jc w:val="right"/>
              <w:textAlignment w:val="center"/>
              <w:rPr>
                <w:rFonts w:eastAsia="標楷體"/>
                <w:bCs/>
                <w:kern w:val="0"/>
              </w:rPr>
            </w:pPr>
            <w:r>
              <w:rPr>
                <w:rFonts w:eastAsia="標楷體"/>
                <w:bCs/>
                <w:kern w:val="0"/>
              </w:rPr>
              <w:t>6.18</w:t>
            </w:r>
          </w:p>
        </w:tc>
        <w:tc>
          <w:tcPr>
            <w:tcW w:w="1037" w:type="dxa"/>
            <w:tcBorders>
              <w:top w:val="single" w:sz="4" w:space="0" w:color="000000"/>
              <w:left w:val="single" w:sz="4" w:space="0" w:color="000000"/>
              <w:bottom w:val="dashed" w:sz="4" w:space="0" w:color="000000"/>
            </w:tcBorders>
            <w:shd w:val="clear" w:color="auto" w:fill="auto"/>
            <w:tcMar>
              <w:top w:w="0" w:type="dxa"/>
              <w:left w:w="108" w:type="dxa"/>
              <w:bottom w:w="0" w:type="dxa"/>
              <w:right w:w="108" w:type="dxa"/>
            </w:tcMar>
            <w:vAlign w:val="center"/>
          </w:tcPr>
          <w:p w14:paraId="7A6D2AFA" w14:textId="77777777" w:rsidR="00052596" w:rsidRDefault="00000000">
            <w:pPr>
              <w:overflowPunct w:val="0"/>
              <w:autoSpaceDE w:val="0"/>
              <w:ind w:right="180"/>
              <w:jc w:val="right"/>
              <w:textAlignment w:val="center"/>
              <w:rPr>
                <w:rFonts w:eastAsia="標楷體"/>
                <w:bCs/>
                <w:kern w:val="0"/>
              </w:rPr>
            </w:pPr>
            <w:r>
              <w:rPr>
                <w:rFonts w:eastAsia="標楷體"/>
                <w:bCs/>
                <w:kern w:val="0"/>
              </w:rPr>
              <w:t>3.34</w:t>
            </w:r>
          </w:p>
        </w:tc>
      </w:tr>
      <w:tr w:rsidR="00052596" w14:paraId="7826F8A0" w14:textId="77777777">
        <w:tblPrEx>
          <w:tblCellMar>
            <w:top w:w="0" w:type="dxa"/>
            <w:bottom w:w="0" w:type="dxa"/>
          </w:tblCellMar>
        </w:tblPrEx>
        <w:trPr>
          <w:trHeight w:val="427"/>
          <w:jc w:val="center"/>
        </w:trPr>
        <w:tc>
          <w:tcPr>
            <w:tcW w:w="3311" w:type="dxa"/>
            <w:tcBorders>
              <w:right w:val="single" w:sz="4" w:space="0" w:color="000000"/>
            </w:tcBorders>
            <w:shd w:val="clear" w:color="auto" w:fill="auto"/>
            <w:tcMar>
              <w:top w:w="0" w:type="dxa"/>
              <w:left w:w="28" w:type="dxa"/>
              <w:bottom w:w="0" w:type="dxa"/>
              <w:right w:w="28" w:type="dxa"/>
            </w:tcMar>
            <w:vAlign w:val="center"/>
          </w:tcPr>
          <w:p w14:paraId="04A2F0F0" w14:textId="77777777" w:rsidR="00052596" w:rsidRDefault="00000000">
            <w:pPr>
              <w:overflowPunct w:val="0"/>
              <w:autoSpaceDE w:val="0"/>
              <w:textAlignment w:val="center"/>
              <w:rPr>
                <w:rFonts w:eastAsia="標楷體"/>
                <w:bCs/>
                <w:kern w:val="0"/>
              </w:rPr>
            </w:pPr>
            <w:r>
              <w:rPr>
                <w:rFonts w:eastAsia="標楷體"/>
                <w:bCs/>
                <w:kern w:val="0"/>
              </w:rPr>
              <w:t>來自：實質</w:t>
            </w:r>
            <w:r>
              <w:rPr>
                <w:rFonts w:eastAsia="標楷體"/>
                <w:bCs/>
                <w:kern w:val="0"/>
              </w:rPr>
              <w:t>GDP</w:t>
            </w:r>
            <w:r>
              <w:rPr>
                <w:rFonts w:eastAsia="標楷體"/>
                <w:bCs/>
                <w:kern w:val="0"/>
              </w:rPr>
              <w:t>成長效果</w:t>
            </w:r>
          </w:p>
        </w:tc>
        <w:tc>
          <w:tcPr>
            <w:tcW w:w="884"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01D916" w14:textId="77777777" w:rsidR="00052596" w:rsidRDefault="00000000">
            <w:pPr>
              <w:overflowPunct w:val="0"/>
              <w:autoSpaceDE w:val="0"/>
              <w:ind w:right="120"/>
              <w:jc w:val="right"/>
              <w:textAlignment w:val="center"/>
              <w:rPr>
                <w:rFonts w:eastAsia="標楷體"/>
                <w:bCs/>
                <w:kern w:val="0"/>
              </w:rPr>
            </w:pPr>
            <w:r>
              <w:rPr>
                <w:rFonts w:eastAsia="標楷體"/>
                <w:bCs/>
                <w:kern w:val="0"/>
              </w:rPr>
              <w:t>4.01</w:t>
            </w:r>
          </w:p>
        </w:tc>
        <w:tc>
          <w:tcPr>
            <w:tcW w:w="103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F22026" w14:textId="77777777" w:rsidR="00052596" w:rsidRDefault="00000000">
            <w:pPr>
              <w:overflowPunct w:val="0"/>
              <w:autoSpaceDE w:val="0"/>
              <w:ind w:right="180"/>
              <w:jc w:val="right"/>
              <w:textAlignment w:val="center"/>
              <w:rPr>
                <w:rFonts w:eastAsia="標楷體"/>
                <w:bCs/>
                <w:kern w:val="0"/>
              </w:rPr>
            </w:pPr>
            <w:r>
              <w:rPr>
                <w:rFonts w:eastAsia="標楷體"/>
                <w:bCs/>
                <w:kern w:val="0"/>
              </w:rPr>
              <w:t>3.97</w:t>
            </w:r>
          </w:p>
        </w:tc>
        <w:tc>
          <w:tcPr>
            <w:tcW w:w="103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C80EB8" w14:textId="77777777" w:rsidR="00052596" w:rsidRDefault="00000000">
            <w:pPr>
              <w:overflowPunct w:val="0"/>
              <w:autoSpaceDE w:val="0"/>
              <w:ind w:right="180"/>
              <w:jc w:val="right"/>
              <w:textAlignment w:val="center"/>
              <w:rPr>
                <w:rFonts w:eastAsia="標楷體"/>
                <w:bCs/>
                <w:kern w:val="0"/>
              </w:rPr>
            </w:pPr>
            <w:r>
              <w:rPr>
                <w:rFonts w:eastAsia="標楷體"/>
                <w:bCs/>
                <w:kern w:val="0"/>
              </w:rPr>
              <w:t>6.41</w:t>
            </w:r>
          </w:p>
        </w:tc>
        <w:tc>
          <w:tcPr>
            <w:tcW w:w="1037" w:type="dxa"/>
            <w:tcBorders>
              <w:left w:val="single" w:sz="4" w:space="0" w:color="000000"/>
            </w:tcBorders>
            <w:shd w:val="clear" w:color="auto" w:fill="auto"/>
            <w:tcMar>
              <w:top w:w="0" w:type="dxa"/>
              <w:left w:w="108" w:type="dxa"/>
              <w:bottom w:w="0" w:type="dxa"/>
              <w:right w:w="108" w:type="dxa"/>
            </w:tcMar>
            <w:vAlign w:val="center"/>
          </w:tcPr>
          <w:p w14:paraId="17E99C89" w14:textId="77777777" w:rsidR="00052596" w:rsidRDefault="00000000">
            <w:pPr>
              <w:overflowPunct w:val="0"/>
              <w:autoSpaceDE w:val="0"/>
              <w:ind w:right="180"/>
              <w:jc w:val="right"/>
              <w:textAlignment w:val="center"/>
              <w:rPr>
                <w:rFonts w:eastAsia="標楷體"/>
                <w:bCs/>
                <w:kern w:val="0"/>
              </w:rPr>
            </w:pPr>
            <w:r>
              <w:rPr>
                <w:rFonts w:eastAsia="標楷體"/>
                <w:bCs/>
                <w:kern w:val="0"/>
              </w:rPr>
              <w:t>3.86</w:t>
            </w:r>
          </w:p>
        </w:tc>
      </w:tr>
      <w:tr w:rsidR="00052596" w14:paraId="734D9FF8" w14:textId="77777777">
        <w:tblPrEx>
          <w:tblCellMar>
            <w:top w:w="0" w:type="dxa"/>
            <w:bottom w:w="0" w:type="dxa"/>
          </w:tblCellMar>
        </w:tblPrEx>
        <w:trPr>
          <w:trHeight w:val="427"/>
          <w:jc w:val="center"/>
        </w:trPr>
        <w:tc>
          <w:tcPr>
            <w:tcW w:w="3311" w:type="dxa"/>
            <w:tcBorders>
              <w:right w:val="single" w:sz="4" w:space="0" w:color="000000"/>
            </w:tcBorders>
            <w:shd w:val="clear" w:color="auto" w:fill="auto"/>
            <w:tcMar>
              <w:top w:w="0" w:type="dxa"/>
              <w:left w:w="28" w:type="dxa"/>
              <w:bottom w:w="0" w:type="dxa"/>
              <w:right w:w="28" w:type="dxa"/>
            </w:tcMar>
            <w:vAlign w:val="center"/>
          </w:tcPr>
          <w:p w14:paraId="0A1D0F8F" w14:textId="77777777" w:rsidR="00052596" w:rsidRDefault="00000000">
            <w:pPr>
              <w:overflowPunct w:val="0"/>
              <w:autoSpaceDE w:val="0"/>
              <w:ind w:firstLine="720"/>
              <w:textAlignment w:val="center"/>
              <w:rPr>
                <w:rFonts w:eastAsia="標楷體"/>
                <w:bCs/>
                <w:kern w:val="0"/>
              </w:rPr>
            </w:pPr>
            <w:r>
              <w:rPr>
                <w:rFonts w:eastAsia="標楷體"/>
                <w:bCs/>
                <w:kern w:val="0"/>
              </w:rPr>
              <w:t>貿易條件變動效果</w:t>
            </w:r>
          </w:p>
        </w:tc>
        <w:tc>
          <w:tcPr>
            <w:tcW w:w="884"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EA9720" w14:textId="77777777" w:rsidR="00052596" w:rsidRDefault="00000000">
            <w:pPr>
              <w:overflowPunct w:val="0"/>
              <w:autoSpaceDE w:val="0"/>
              <w:ind w:right="120"/>
              <w:jc w:val="right"/>
              <w:textAlignment w:val="center"/>
              <w:rPr>
                <w:rFonts w:eastAsia="標楷體"/>
                <w:bCs/>
                <w:kern w:val="0"/>
              </w:rPr>
            </w:pPr>
            <w:r>
              <w:rPr>
                <w:rFonts w:eastAsia="標楷體"/>
                <w:bCs/>
                <w:kern w:val="0"/>
              </w:rPr>
              <w:t>-2.33</w:t>
            </w:r>
          </w:p>
        </w:tc>
        <w:tc>
          <w:tcPr>
            <w:tcW w:w="103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B4669E" w14:textId="77777777" w:rsidR="00052596" w:rsidRDefault="00000000">
            <w:pPr>
              <w:overflowPunct w:val="0"/>
              <w:autoSpaceDE w:val="0"/>
              <w:ind w:right="180"/>
              <w:jc w:val="right"/>
              <w:textAlignment w:val="center"/>
              <w:rPr>
                <w:rFonts w:eastAsia="標楷體"/>
                <w:bCs/>
                <w:kern w:val="0"/>
              </w:rPr>
            </w:pPr>
            <w:r>
              <w:rPr>
                <w:rFonts w:eastAsia="標楷體"/>
                <w:bCs/>
                <w:kern w:val="0"/>
              </w:rPr>
              <w:t>-0.89</w:t>
            </w:r>
          </w:p>
        </w:tc>
        <w:tc>
          <w:tcPr>
            <w:tcW w:w="103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D17385" w14:textId="77777777" w:rsidR="00052596" w:rsidRDefault="00000000">
            <w:pPr>
              <w:overflowPunct w:val="0"/>
              <w:autoSpaceDE w:val="0"/>
              <w:ind w:right="180"/>
              <w:jc w:val="right"/>
              <w:textAlignment w:val="center"/>
              <w:rPr>
                <w:rFonts w:eastAsia="標楷體"/>
                <w:bCs/>
                <w:kern w:val="0"/>
              </w:rPr>
            </w:pPr>
            <w:r>
              <w:rPr>
                <w:rFonts w:eastAsia="標楷體"/>
                <w:bCs/>
                <w:kern w:val="0"/>
              </w:rPr>
              <w:t>-1.27</w:t>
            </w:r>
          </w:p>
        </w:tc>
        <w:tc>
          <w:tcPr>
            <w:tcW w:w="1037" w:type="dxa"/>
            <w:tcBorders>
              <w:left w:val="single" w:sz="4" w:space="0" w:color="000000"/>
            </w:tcBorders>
            <w:shd w:val="clear" w:color="auto" w:fill="auto"/>
            <w:tcMar>
              <w:top w:w="0" w:type="dxa"/>
              <w:left w:w="108" w:type="dxa"/>
              <w:bottom w:w="0" w:type="dxa"/>
              <w:right w:w="108" w:type="dxa"/>
            </w:tcMar>
            <w:vAlign w:val="center"/>
          </w:tcPr>
          <w:p w14:paraId="7A499107" w14:textId="77777777" w:rsidR="00052596" w:rsidRDefault="00000000">
            <w:pPr>
              <w:overflowPunct w:val="0"/>
              <w:autoSpaceDE w:val="0"/>
              <w:ind w:right="180"/>
              <w:jc w:val="right"/>
              <w:textAlignment w:val="center"/>
              <w:rPr>
                <w:rFonts w:eastAsia="標楷體"/>
                <w:bCs/>
                <w:kern w:val="0"/>
              </w:rPr>
            </w:pPr>
            <w:r>
              <w:rPr>
                <w:rFonts w:eastAsia="標楷體"/>
                <w:bCs/>
                <w:kern w:val="0"/>
              </w:rPr>
              <w:t>-0.82</w:t>
            </w:r>
          </w:p>
        </w:tc>
      </w:tr>
      <w:tr w:rsidR="00052596" w14:paraId="34B5410B" w14:textId="77777777">
        <w:tblPrEx>
          <w:tblCellMar>
            <w:top w:w="0" w:type="dxa"/>
            <w:bottom w:w="0" w:type="dxa"/>
          </w:tblCellMar>
        </w:tblPrEx>
        <w:trPr>
          <w:trHeight w:val="427"/>
          <w:jc w:val="center"/>
        </w:trPr>
        <w:tc>
          <w:tcPr>
            <w:tcW w:w="33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3FED2A0" w14:textId="77777777" w:rsidR="00052596" w:rsidRDefault="00000000">
            <w:pPr>
              <w:overflowPunct w:val="0"/>
              <w:autoSpaceDE w:val="0"/>
              <w:ind w:firstLine="720"/>
              <w:textAlignment w:val="center"/>
              <w:rPr>
                <w:rFonts w:eastAsia="標楷體"/>
                <w:bCs/>
                <w:kern w:val="0"/>
              </w:rPr>
            </w:pPr>
            <w:r>
              <w:rPr>
                <w:rFonts w:eastAsia="標楷體"/>
                <w:bCs/>
                <w:kern w:val="0"/>
              </w:rPr>
              <w:t>淨所得移轉效果</w:t>
            </w:r>
          </w:p>
        </w:tc>
        <w:tc>
          <w:tcPr>
            <w:tcW w:w="88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2FC65" w14:textId="77777777" w:rsidR="00052596" w:rsidRDefault="00000000">
            <w:pPr>
              <w:overflowPunct w:val="0"/>
              <w:autoSpaceDE w:val="0"/>
              <w:ind w:right="120"/>
              <w:jc w:val="right"/>
              <w:textAlignment w:val="center"/>
              <w:rPr>
                <w:rFonts w:eastAsia="標楷體"/>
                <w:bCs/>
                <w:kern w:val="0"/>
              </w:rPr>
            </w:pPr>
            <w:r>
              <w:rPr>
                <w:rFonts w:eastAsia="標楷體"/>
                <w:bCs/>
                <w:kern w:val="0"/>
              </w:rPr>
              <w:t>0.13</w:t>
            </w:r>
          </w:p>
        </w:tc>
        <w:tc>
          <w:tcPr>
            <w:tcW w:w="10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99857" w14:textId="77777777" w:rsidR="00052596" w:rsidRDefault="00000000">
            <w:pPr>
              <w:overflowPunct w:val="0"/>
              <w:autoSpaceDE w:val="0"/>
              <w:ind w:right="180"/>
              <w:jc w:val="right"/>
              <w:textAlignment w:val="center"/>
              <w:rPr>
                <w:rFonts w:eastAsia="標楷體"/>
                <w:bCs/>
                <w:kern w:val="0"/>
              </w:rPr>
            </w:pPr>
            <w:r>
              <w:rPr>
                <w:rFonts w:eastAsia="標楷體"/>
                <w:bCs/>
                <w:kern w:val="0"/>
              </w:rPr>
              <w:t>0.04</w:t>
            </w:r>
          </w:p>
        </w:tc>
        <w:tc>
          <w:tcPr>
            <w:tcW w:w="10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61FCB" w14:textId="77777777" w:rsidR="00052596" w:rsidRDefault="00000000">
            <w:pPr>
              <w:overflowPunct w:val="0"/>
              <w:autoSpaceDE w:val="0"/>
              <w:ind w:right="180"/>
              <w:jc w:val="right"/>
              <w:textAlignment w:val="center"/>
              <w:rPr>
                <w:rFonts w:eastAsia="標楷體"/>
                <w:bCs/>
                <w:kern w:val="0"/>
              </w:rPr>
            </w:pPr>
            <w:r>
              <w:rPr>
                <w:rFonts w:eastAsia="標楷體"/>
                <w:bCs/>
                <w:kern w:val="0"/>
              </w:rPr>
              <w:t>1.04</w:t>
            </w:r>
          </w:p>
        </w:tc>
        <w:tc>
          <w:tcPr>
            <w:tcW w:w="103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00E6E96" w14:textId="77777777" w:rsidR="00052596" w:rsidRDefault="00000000">
            <w:pPr>
              <w:overflowPunct w:val="0"/>
              <w:autoSpaceDE w:val="0"/>
              <w:ind w:right="180"/>
              <w:jc w:val="right"/>
              <w:textAlignment w:val="center"/>
              <w:rPr>
                <w:rFonts w:eastAsia="標楷體"/>
                <w:bCs/>
                <w:kern w:val="0"/>
              </w:rPr>
            </w:pPr>
            <w:r>
              <w:rPr>
                <w:rFonts w:eastAsia="標楷體"/>
                <w:bCs/>
                <w:kern w:val="0"/>
              </w:rPr>
              <w:t>0.30</w:t>
            </w:r>
          </w:p>
        </w:tc>
      </w:tr>
    </w:tbl>
    <w:p w14:paraId="288D0097" w14:textId="77777777" w:rsidR="00052596" w:rsidRDefault="00000000">
      <w:pPr>
        <w:overflowPunct w:val="0"/>
        <w:autoSpaceDE w:val="0"/>
        <w:spacing w:before="48" w:after="240" w:line="240" w:lineRule="exact"/>
        <w:ind w:left="1864" w:right="708" w:hanging="1298"/>
        <w:jc w:val="both"/>
        <w:textAlignment w:val="center"/>
      </w:pPr>
      <w:r>
        <w:rPr>
          <w:rFonts w:eastAsia="標楷體"/>
          <w:bCs/>
          <w:spacing w:val="8"/>
          <w:kern w:val="0"/>
          <w:sz w:val="22"/>
          <w:szCs w:val="22"/>
        </w:rPr>
        <w:t>資料來源：</w:t>
      </w:r>
      <w:r>
        <w:rPr>
          <w:rFonts w:eastAsia="標楷體"/>
          <w:bCs/>
          <w:kern w:val="0"/>
          <w:sz w:val="22"/>
          <w:szCs w:val="22"/>
        </w:rPr>
        <w:t>APO</w:t>
      </w:r>
      <w:r>
        <w:rPr>
          <w:rFonts w:ascii="標楷體" w:eastAsia="標楷體" w:hAnsi="標楷體"/>
          <w:bCs/>
          <w:kern w:val="0"/>
          <w:sz w:val="22"/>
          <w:szCs w:val="22"/>
        </w:rPr>
        <w:t>(</w:t>
      </w:r>
      <w:r>
        <w:rPr>
          <w:rFonts w:eastAsia="標楷體"/>
          <w:bCs/>
          <w:kern w:val="0"/>
          <w:sz w:val="22"/>
          <w:szCs w:val="22"/>
        </w:rPr>
        <w:t>2012</w:t>
      </w:r>
      <w:r>
        <w:rPr>
          <w:rFonts w:ascii="標楷體" w:eastAsia="標楷體" w:hAnsi="標楷體"/>
          <w:bCs/>
          <w:kern w:val="0"/>
          <w:sz w:val="22"/>
          <w:szCs w:val="22"/>
        </w:rPr>
        <w:t>)</w:t>
      </w:r>
      <w:r>
        <w:rPr>
          <w:rFonts w:eastAsia="標楷體"/>
          <w:bCs/>
          <w:kern w:val="0"/>
          <w:sz w:val="22"/>
          <w:szCs w:val="22"/>
        </w:rPr>
        <w:t>,</w:t>
      </w:r>
      <w:r>
        <w:rPr>
          <w:rFonts w:eastAsia="標楷體"/>
          <w:bCs/>
          <w:i/>
          <w:kern w:val="0"/>
          <w:sz w:val="22"/>
          <w:szCs w:val="22"/>
        </w:rPr>
        <w:t xml:space="preserve"> APO Productivity Databook 2012,</w:t>
      </w:r>
      <w:r>
        <w:rPr>
          <w:rFonts w:eastAsia="標楷體"/>
          <w:bCs/>
          <w:kern w:val="0"/>
          <w:sz w:val="22"/>
          <w:szCs w:val="22"/>
        </w:rPr>
        <w:t xml:space="preserve"> Tokyo: Asian Productivity Organization, July.</w:t>
      </w:r>
    </w:p>
    <w:p w14:paraId="445C602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)臺灣經濟全球化</w:t>
      </w:r>
    </w:p>
    <w:p w14:paraId="26E23E1E" w14:textId="77777777" w:rsidR="00052596" w:rsidRDefault="00000000">
      <w:pPr>
        <w:overflowPunct w:val="0"/>
        <w:autoSpaceDE w:val="0"/>
        <w:spacing w:line="420" w:lineRule="exact"/>
        <w:ind w:left="792" w:firstLine="605"/>
        <w:jc w:val="both"/>
        <w:textAlignment w:val="center"/>
      </w:pPr>
      <w:r>
        <w:rPr>
          <w:rFonts w:eastAsia="標楷體"/>
          <w:spacing w:val="4"/>
          <w:kern w:val="0"/>
          <w:sz w:val="28"/>
          <w:szCs w:val="26"/>
        </w:rPr>
        <w:t>根據經濟部</w:t>
      </w:r>
      <w:r>
        <w:rPr>
          <w:rFonts w:ascii="新細明體" w:hAnsi="新細明體"/>
          <w:color w:val="000000"/>
          <w:spacing w:val="4"/>
          <w:kern w:val="0"/>
          <w:sz w:val="28"/>
          <w:szCs w:val="26"/>
        </w:rPr>
        <w:t>「</w:t>
      </w:r>
      <w:r>
        <w:rPr>
          <w:rFonts w:eastAsia="標楷體"/>
          <w:color w:val="000000"/>
          <w:spacing w:val="4"/>
          <w:kern w:val="0"/>
          <w:sz w:val="28"/>
          <w:szCs w:val="26"/>
        </w:rPr>
        <w:t>2020</w:t>
      </w:r>
      <w:r>
        <w:rPr>
          <w:rFonts w:eastAsia="標楷體"/>
          <w:color w:val="000000"/>
          <w:spacing w:val="4"/>
          <w:kern w:val="0"/>
          <w:sz w:val="28"/>
          <w:szCs w:val="26"/>
        </w:rPr>
        <w:t>臺灣產業新願景</w:t>
      </w:r>
      <w:r>
        <w:rPr>
          <w:rFonts w:ascii="標楷體" w:eastAsia="標楷體" w:hAnsi="標楷體"/>
          <w:color w:val="000000"/>
          <w:spacing w:val="4"/>
          <w:kern w:val="0"/>
          <w:sz w:val="28"/>
          <w:szCs w:val="26"/>
        </w:rPr>
        <w:t>」建構的</w:t>
      </w:r>
      <w:r>
        <w:rPr>
          <w:rFonts w:eastAsia="標楷體"/>
          <w:color w:val="000000"/>
          <w:spacing w:val="4"/>
          <w:kern w:val="0"/>
          <w:sz w:val="28"/>
          <w:szCs w:val="26"/>
        </w:rPr>
        <w:t>「全球資源整合者」評估指標系統</w:t>
      </w:r>
      <w:r>
        <w:rPr>
          <w:rFonts w:ascii="標楷體" w:eastAsia="標楷體" w:hAnsi="標楷體"/>
          <w:spacing w:val="4"/>
          <w:kern w:val="0"/>
          <w:sz w:val="28"/>
          <w:szCs w:val="26"/>
        </w:rPr>
        <w:t>，</w:t>
      </w:r>
      <w:r>
        <w:rPr>
          <w:rFonts w:eastAsia="標楷體"/>
          <w:spacing w:val="4"/>
          <w:kern w:val="0"/>
          <w:sz w:val="28"/>
          <w:szCs w:val="26"/>
        </w:rPr>
        <w:t>2011</w:t>
      </w:r>
      <w:r>
        <w:rPr>
          <w:rFonts w:eastAsia="標楷體"/>
          <w:spacing w:val="4"/>
          <w:kern w:val="0"/>
          <w:sz w:val="28"/>
          <w:szCs w:val="26"/>
        </w:rPr>
        <w:t>年臺灣在</w:t>
      </w:r>
      <w:r>
        <w:rPr>
          <w:rFonts w:eastAsia="標楷體"/>
          <w:spacing w:val="4"/>
          <w:kern w:val="0"/>
          <w:sz w:val="28"/>
          <w:szCs w:val="26"/>
        </w:rPr>
        <w:t>59</w:t>
      </w:r>
      <w:r>
        <w:rPr>
          <w:rFonts w:eastAsia="標楷體"/>
          <w:spacing w:val="4"/>
          <w:kern w:val="0"/>
          <w:sz w:val="28"/>
          <w:szCs w:val="26"/>
        </w:rPr>
        <w:t>個評比國家中居第</w:t>
      </w:r>
      <w:r>
        <w:rPr>
          <w:rFonts w:eastAsia="標楷體"/>
          <w:spacing w:val="4"/>
          <w:kern w:val="0"/>
          <w:sz w:val="28"/>
          <w:szCs w:val="26"/>
        </w:rPr>
        <w:t>18</w:t>
      </w:r>
      <w:r>
        <w:rPr>
          <w:rFonts w:eastAsia="標楷體"/>
          <w:spacing w:val="4"/>
          <w:kern w:val="0"/>
          <w:sz w:val="28"/>
          <w:szCs w:val="26"/>
        </w:rPr>
        <w:lastRenderedPageBreak/>
        <w:t>位，優於</w:t>
      </w:r>
      <w:r>
        <w:rPr>
          <w:rFonts w:eastAsia="標楷體"/>
          <w:spacing w:val="4"/>
          <w:kern w:val="0"/>
          <w:sz w:val="28"/>
          <w:szCs w:val="26"/>
        </w:rPr>
        <w:t>2007</w:t>
      </w:r>
      <w:r>
        <w:rPr>
          <w:rFonts w:eastAsia="標楷體"/>
          <w:spacing w:val="4"/>
          <w:kern w:val="0"/>
          <w:sz w:val="28"/>
          <w:szCs w:val="26"/>
        </w:rPr>
        <w:t>年的第</w:t>
      </w:r>
      <w:r>
        <w:rPr>
          <w:rFonts w:eastAsia="標楷體"/>
          <w:spacing w:val="4"/>
          <w:kern w:val="0"/>
          <w:sz w:val="28"/>
          <w:szCs w:val="26"/>
        </w:rPr>
        <w:t>21</w:t>
      </w:r>
      <w:r>
        <w:rPr>
          <w:rFonts w:eastAsia="標楷體"/>
          <w:spacing w:val="4"/>
          <w:kern w:val="0"/>
          <w:sz w:val="28"/>
          <w:szCs w:val="26"/>
        </w:rPr>
        <w:t>位及</w:t>
      </w:r>
      <w:r>
        <w:rPr>
          <w:rFonts w:eastAsia="標楷體"/>
          <w:spacing w:val="4"/>
          <w:kern w:val="0"/>
          <w:sz w:val="28"/>
          <w:szCs w:val="26"/>
        </w:rPr>
        <w:t>2009</w:t>
      </w:r>
      <w:r>
        <w:rPr>
          <w:rFonts w:eastAsia="標楷體"/>
          <w:spacing w:val="4"/>
          <w:kern w:val="0"/>
          <w:sz w:val="28"/>
          <w:szCs w:val="26"/>
        </w:rPr>
        <w:t>年的第</w:t>
      </w:r>
      <w:r>
        <w:rPr>
          <w:rFonts w:eastAsia="標楷體"/>
          <w:spacing w:val="4"/>
          <w:kern w:val="0"/>
          <w:sz w:val="28"/>
          <w:szCs w:val="26"/>
        </w:rPr>
        <w:t>20</w:t>
      </w:r>
      <w:r>
        <w:rPr>
          <w:rFonts w:eastAsia="標楷體"/>
          <w:spacing w:val="4"/>
          <w:kern w:val="0"/>
          <w:sz w:val="28"/>
          <w:szCs w:val="26"/>
        </w:rPr>
        <w:t>位，顯示國內產業全球布局呈現穩步提升態勢。近十年來，我國在知識流動與生產，以及投資與貿易開放的發展表現如次</w:t>
      </w:r>
      <w:r>
        <w:rPr>
          <w:rFonts w:ascii="新細明體" w:hAnsi="新細明體"/>
          <w:spacing w:val="4"/>
          <w:kern w:val="0"/>
          <w:sz w:val="28"/>
          <w:szCs w:val="26"/>
        </w:rPr>
        <w:t>：</w:t>
      </w:r>
    </w:p>
    <w:p w14:paraId="5075DF5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知識流動方面</w:t>
      </w:r>
    </w:p>
    <w:p w14:paraId="5505C94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344" w:hanging="288"/>
        <w:jc w:val="both"/>
        <w:textAlignment w:val="center"/>
      </w:pPr>
      <w:r>
        <w:rPr>
          <w:rFonts w:eastAsia="標楷體"/>
          <w:spacing w:val="4"/>
          <w:kern w:val="0"/>
          <w:sz w:val="28"/>
          <w:szCs w:val="22"/>
        </w:rPr>
        <w:t>－根據</w:t>
      </w:r>
      <w:r>
        <w:rPr>
          <w:rFonts w:eastAsia="標楷體"/>
          <w:spacing w:val="4"/>
          <w:kern w:val="0"/>
          <w:sz w:val="28"/>
          <w:szCs w:val="22"/>
        </w:rPr>
        <w:t>OECD</w:t>
      </w:r>
      <w:r>
        <w:rPr>
          <w:rFonts w:eastAsia="標楷體"/>
          <w:spacing w:val="4"/>
          <w:kern w:val="0"/>
          <w:sz w:val="28"/>
          <w:szCs w:val="22"/>
        </w:rPr>
        <w:t>專利資料庫，</w:t>
      </w:r>
      <w:r>
        <w:rPr>
          <w:rFonts w:eastAsia="標楷體"/>
          <w:spacing w:val="4"/>
          <w:kern w:val="0"/>
          <w:sz w:val="28"/>
          <w:szCs w:val="22"/>
        </w:rPr>
        <w:t>2009</w:t>
      </w:r>
      <w:r>
        <w:rPr>
          <w:rFonts w:eastAsia="標楷體"/>
          <w:spacing w:val="4"/>
          <w:kern w:val="0"/>
          <w:sz w:val="28"/>
          <w:szCs w:val="22"/>
        </w:rPr>
        <w:t>年臺灣跨國專利</w:t>
      </w:r>
      <w:r>
        <w:rPr>
          <w:rFonts w:eastAsia="標楷體"/>
          <w:color w:val="000000"/>
          <w:spacing w:val="4"/>
          <w:kern w:val="0"/>
          <w:sz w:val="28"/>
          <w:szCs w:val="22"/>
        </w:rPr>
        <w:t>發明占我國專利合作條約</w:t>
      </w:r>
      <w:r>
        <w:rPr>
          <w:rFonts w:ascii="標楷體" w:eastAsia="標楷體" w:hAnsi="標楷體"/>
          <w:color w:val="000000"/>
          <w:spacing w:val="4"/>
          <w:kern w:val="0"/>
          <w:sz w:val="28"/>
          <w:szCs w:val="22"/>
        </w:rPr>
        <w:t>(</w:t>
      </w:r>
      <w:r>
        <w:rPr>
          <w:rFonts w:eastAsia="標楷體"/>
          <w:color w:val="000000"/>
          <w:spacing w:val="4"/>
          <w:kern w:val="0"/>
          <w:sz w:val="28"/>
          <w:szCs w:val="22"/>
        </w:rPr>
        <w:t>PCT</w:t>
      </w:r>
      <w:r>
        <w:rPr>
          <w:rFonts w:ascii="標楷體" w:eastAsia="標楷體" w:hAnsi="標楷體"/>
          <w:color w:val="000000"/>
          <w:spacing w:val="4"/>
          <w:kern w:val="0"/>
          <w:sz w:val="28"/>
          <w:szCs w:val="22"/>
        </w:rPr>
        <w:t>)專利</w:t>
      </w:r>
      <w:r>
        <w:rPr>
          <w:rFonts w:eastAsia="標楷體"/>
          <w:color w:val="000000"/>
          <w:spacing w:val="4"/>
          <w:kern w:val="0"/>
          <w:sz w:val="28"/>
          <w:szCs w:val="22"/>
        </w:rPr>
        <w:t>申請數比率</w:t>
      </w:r>
      <w:r>
        <w:rPr>
          <w:rFonts w:eastAsia="標楷體"/>
          <w:color w:val="000000"/>
          <w:spacing w:val="4"/>
          <w:kern w:val="0"/>
          <w:sz w:val="28"/>
          <w:szCs w:val="22"/>
        </w:rPr>
        <w:t>44.6%</w:t>
      </w:r>
      <w:r>
        <w:rPr>
          <w:rFonts w:eastAsia="標楷體"/>
          <w:color w:val="000000"/>
          <w:spacing w:val="4"/>
          <w:kern w:val="0"/>
          <w:sz w:val="28"/>
          <w:szCs w:val="22"/>
        </w:rPr>
        <w:t>，遠高於瑞士</w:t>
      </w:r>
      <w:r>
        <w:rPr>
          <w:rFonts w:ascii="標楷體" w:eastAsia="標楷體" w:hAnsi="標楷體"/>
          <w:color w:val="000000"/>
          <w:spacing w:val="4"/>
          <w:kern w:val="0"/>
          <w:sz w:val="28"/>
          <w:szCs w:val="22"/>
        </w:rPr>
        <w:t>(</w:t>
      </w:r>
      <w:r>
        <w:rPr>
          <w:rFonts w:eastAsia="標楷體"/>
          <w:color w:val="000000"/>
          <w:spacing w:val="4"/>
          <w:kern w:val="0"/>
          <w:sz w:val="28"/>
          <w:szCs w:val="22"/>
        </w:rPr>
        <w:t>41.0%</w:t>
      </w:r>
      <w:r>
        <w:rPr>
          <w:rFonts w:ascii="標楷體" w:eastAsia="標楷體" w:hAnsi="標楷體"/>
          <w:color w:val="000000"/>
          <w:spacing w:val="4"/>
          <w:kern w:val="0"/>
          <w:sz w:val="28"/>
          <w:szCs w:val="22"/>
        </w:rPr>
        <w:t>)、新加坡(</w:t>
      </w:r>
      <w:r>
        <w:rPr>
          <w:rFonts w:eastAsia="標楷體"/>
          <w:color w:val="000000"/>
          <w:spacing w:val="4"/>
          <w:kern w:val="0"/>
          <w:sz w:val="28"/>
          <w:szCs w:val="22"/>
        </w:rPr>
        <w:t>30.9%</w:t>
      </w:r>
      <w:r>
        <w:rPr>
          <w:rFonts w:ascii="標楷體" w:eastAsia="標楷體" w:hAnsi="標楷體"/>
          <w:color w:val="000000"/>
          <w:spacing w:val="4"/>
          <w:kern w:val="0"/>
          <w:sz w:val="28"/>
          <w:szCs w:val="22"/>
        </w:rPr>
        <w:t>)及南韓(</w:t>
      </w:r>
      <w:r>
        <w:rPr>
          <w:rFonts w:eastAsia="標楷體"/>
          <w:color w:val="000000"/>
          <w:spacing w:val="4"/>
          <w:kern w:val="0"/>
          <w:sz w:val="28"/>
          <w:szCs w:val="22"/>
        </w:rPr>
        <w:t>3.4%</w:t>
      </w:r>
      <w:r>
        <w:rPr>
          <w:rFonts w:ascii="標楷體" w:eastAsia="標楷體" w:hAnsi="標楷體"/>
          <w:color w:val="000000"/>
          <w:spacing w:val="4"/>
          <w:kern w:val="0"/>
          <w:sz w:val="28"/>
          <w:szCs w:val="22"/>
        </w:rPr>
        <w:t>)，反映</w:t>
      </w:r>
      <w:r>
        <w:rPr>
          <w:rFonts w:ascii="標楷體" w:eastAsia="標楷體" w:hAnsi="標楷體"/>
          <w:spacing w:val="4"/>
          <w:kern w:val="0"/>
          <w:sz w:val="28"/>
          <w:szCs w:val="22"/>
        </w:rPr>
        <w:t>臺灣創新活動蓬勃活絡，且與全球合作專利研發</w:t>
      </w:r>
      <w:r>
        <w:rPr>
          <w:rFonts w:eastAsia="標楷體"/>
          <w:bCs/>
          <w:color w:val="000000"/>
          <w:spacing w:val="4"/>
          <w:kern w:val="0"/>
          <w:sz w:val="28"/>
          <w:szCs w:val="28"/>
        </w:rPr>
        <w:t>程度甚高</w:t>
      </w:r>
      <w:r>
        <w:rPr>
          <w:rFonts w:ascii="標楷體" w:eastAsia="標楷體" w:hAnsi="標楷體"/>
          <w:spacing w:val="4"/>
          <w:kern w:val="0"/>
          <w:sz w:val="28"/>
          <w:szCs w:val="22"/>
        </w:rPr>
        <w:t>。</w:t>
      </w:r>
    </w:p>
    <w:p w14:paraId="5A08476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344" w:hanging="288"/>
        <w:jc w:val="both"/>
        <w:textAlignment w:val="center"/>
      </w:pPr>
      <w:r>
        <w:rPr>
          <w:rFonts w:eastAsia="標楷體"/>
          <w:spacing w:val="4"/>
          <w:kern w:val="0"/>
          <w:sz w:val="28"/>
          <w:szCs w:val="22"/>
        </w:rPr>
        <w:t>－知識經濟時代，網際網路的連結與使用</w:t>
      </w:r>
      <w:r>
        <w:rPr>
          <w:rFonts w:eastAsia="標楷體"/>
          <w:color w:val="000000"/>
          <w:spacing w:val="4"/>
          <w:kern w:val="0"/>
          <w:sz w:val="28"/>
          <w:szCs w:val="22"/>
        </w:rPr>
        <w:t>不僅加速知識流動，且為推動經濟成長的重要動力。麥肯</w:t>
      </w:r>
      <w:r>
        <w:rPr>
          <w:rFonts w:eastAsia="標楷體"/>
          <w:spacing w:val="4"/>
          <w:kern w:val="0"/>
          <w:sz w:val="28"/>
          <w:szCs w:val="22"/>
        </w:rPr>
        <w:t>錫公司</w:t>
      </w:r>
      <w:r>
        <w:rPr>
          <w:rFonts w:ascii="標楷體" w:eastAsia="標楷體" w:hAnsi="標楷體"/>
          <w:spacing w:val="4"/>
          <w:kern w:val="0"/>
          <w:sz w:val="28"/>
          <w:szCs w:val="22"/>
        </w:rPr>
        <w:t>(</w:t>
      </w:r>
      <w:r>
        <w:rPr>
          <w:rFonts w:eastAsia="標楷體"/>
          <w:spacing w:val="4"/>
          <w:kern w:val="0"/>
          <w:sz w:val="28"/>
          <w:szCs w:val="22"/>
        </w:rPr>
        <w:t>2012</w:t>
      </w:r>
      <w:r>
        <w:rPr>
          <w:rFonts w:ascii="標楷體" w:eastAsia="標楷體" w:hAnsi="標楷體"/>
          <w:spacing w:val="4"/>
          <w:kern w:val="0"/>
          <w:sz w:val="28"/>
          <w:szCs w:val="22"/>
        </w:rPr>
        <w:t>)</w:t>
      </w:r>
      <w:r>
        <w:rPr>
          <w:rFonts w:eastAsia="標楷體"/>
          <w:spacing w:val="4"/>
          <w:kern w:val="0"/>
          <w:sz w:val="28"/>
          <w:szCs w:val="22"/>
        </w:rPr>
        <w:t>研究指出，我國與</w:t>
      </w:r>
      <w:r>
        <w:rPr>
          <w:rFonts w:ascii="標楷體" w:eastAsia="標楷體" w:hAnsi="標楷體"/>
          <w:spacing w:val="4"/>
          <w:kern w:val="0"/>
          <w:sz w:val="28"/>
          <w:szCs w:val="22"/>
        </w:rPr>
        <w:t>網際網路相關財貨的貿易(</w:t>
      </w:r>
      <w:r>
        <w:rPr>
          <w:rFonts w:eastAsia="標楷體"/>
          <w:spacing w:val="4"/>
          <w:kern w:val="0"/>
          <w:sz w:val="28"/>
          <w:szCs w:val="22"/>
        </w:rPr>
        <w:t>Trade in Internet-related goods</w:t>
      </w:r>
      <w:r>
        <w:rPr>
          <w:rFonts w:ascii="標楷體" w:eastAsia="標楷體" w:hAnsi="標楷體"/>
          <w:spacing w:val="4"/>
          <w:kern w:val="0"/>
          <w:sz w:val="28"/>
          <w:szCs w:val="22"/>
        </w:rPr>
        <w:t>)</w:t>
      </w:r>
      <w:r>
        <w:rPr>
          <w:rFonts w:eastAsia="標楷體"/>
          <w:spacing w:val="4"/>
          <w:kern w:val="0"/>
          <w:sz w:val="28"/>
          <w:szCs w:val="22"/>
        </w:rPr>
        <w:t>發展快速，網路經濟占</w:t>
      </w:r>
      <w:r>
        <w:rPr>
          <w:rFonts w:eastAsia="標楷體"/>
          <w:spacing w:val="4"/>
          <w:kern w:val="0"/>
          <w:sz w:val="28"/>
          <w:szCs w:val="22"/>
        </w:rPr>
        <w:t>GDP</w:t>
      </w:r>
      <w:r>
        <w:rPr>
          <w:rFonts w:eastAsia="標楷體"/>
          <w:spacing w:val="4"/>
          <w:kern w:val="0"/>
          <w:sz w:val="28"/>
          <w:szCs w:val="22"/>
        </w:rPr>
        <w:t>比率由</w:t>
      </w:r>
      <w:r>
        <w:rPr>
          <w:rFonts w:eastAsia="標楷體"/>
          <w:spacing w:val="4"/>
          <w:kern w:val="0"/>
          <w:sz w:val="28"/>
          <w:szCs w:val="22"/>
        </w:rPr>
        <w:t>2005</w:t>
      </w:r>
      <w:r>
        <w:rPr>
          <w:rFonts w:eastAsia="標楷體"/>
          <w:spacing w:val="4"/>
          <w:kern w:val="0"/>
          <w:sz w:val="28"/>
          <w:szCs w:val="22"/>
        </w:rPr>
        <w:t>年的</w:t>
      </w:r>
      <w:r>
        <w:rPr>
          <w:rFonts w:eastAsia="標楷體"/>
          <w:spacing w:val="4"/>
          <w:kern w:val="0"/>
          <w:sz w:val="28"/>
          <w:szCs w:val="22"/>
        </w:rPr>
        <w:t>4.09%</w:t>
      </w:r>
      <w:r>
        <w:rPr>
          <w:rFonts w:eastAsia="標楷體"/>
          <w:spacing w:val="4"/>
          <w:kern w:val="0"/>
          <w:sz w:val="28"/>
          <w:szCs w:val="22"/>
        </w:rPr>
        <w:t>增至</w:t>
      </w:r>
      <w:r>
        <w:rPr>
          <w:rFonts w:eastAsia="標楷體"/>
          <w:spacing w:val="4"/>
          <w:kern w:val="0"/>
          <w:sz w:val="28"/>
          <w:szCs w:val="22"/>
        </w:rPr>
        <w:t>2010</w:t>
      </w:r>
      <w:r>
        <w:rPr>
          <w:rFonts w:eastAsia="標楷體"/>
          <w:spacing w:val="4"/>
          <w:kern w:val="0"/>
          <w:sz w:val="28"/>
          <w:szCs w:val="22"/>
        </w:rPr>
        <w:t>年的</w:t>
      </w:r>
      <w:r>
        <w:rPr>
          <w:rFonts w:eastAsia="標楷體"/>
          <w:spacing w:val="4"/>
          <w:kern w:val="0"/>
          <w:sz w:val="28"/>
          <w:szCs w:val="22"/>
        </w:rPr>
        <w:t>5.4%</w:t>
      </w:r>
      <w:r>
        <w:rPr>
          <w:rFonts w:eastAsia="標楷體"/>
          <w:spacing w:val="4"/>
          <w:kern w:val="0"/>
          <w:sz w:val="28"/>
          <w:szCs w:val="22"/>
        </w:rPr>
        <w:t>，高於先進國家的平均水準</w:t>
      </w:r>
      <w:r>
        <w:rPr>
          <w:rFonts w:eastAsia="標楷體"/>
          <w:spacing w:val="4"/>
          <w:kern w:val="0"/>
          <w:sz w:val="28"/>
          <w:szCs w:val="22"/>
        </w:rPr>
        <w:t>3.4%</w:t>
      </w:r>
      <w:r>
        <w:rPr>
          <w:rFonts w:ascii="標楷體" w:eastAsia="標楷體" w:hAnsi="標楷體"/>
          <w:spacing w:val="4"/>
          <w:kern w:val="0"/>
          <w:sz w:val="28"/>
          <w:szCs w:val="22"/>
        </w:rPr>
        <w:t>(</w:t>
      </w:r>
      <w:r>
        <w:rPr>
          <w:rFonts w:eastAsia="標楷體"/>
          <w:spacing w:val="4"/>
          <w:kern w:val="0"/>
          <w:sz w:val="28"/>
          <w:szCs w:val="22"/>
        </w:rPr>
        <w:t>2009</w:t>
      </w:r>
      <w:r>
        <w:rPr>
          <w:rFonts w:eastAsia="標楷體"/>
          <w:spacing w:val="4"/>
          <w:kern w:val="0"/>
          <w:sz w:val="28"/>
          <w:szCs w:val="22"/>
        </w:rPr>
        <w:t>年</w:t>
      </w:r>
      <w:r>
        <w:rPr>
          <w:rFonts w:ascii="標楷體" w:eastAsia="標楷體" w:hAnsi="標楷體"/>
          <w:spacing w:val="4"/>
          <w:kern w:val="0"/>
          <w:sz w:val="28"/>
          <w:szCs w:val="22"/>
        </w:rPr>
        <w:t>)。</w:t>
      </w:r>
    </w:p>
    <w:p w14:paraId="0AA7BEE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color w:val="000000"/>
          <w:spacing w:val="4"/>
          <w:kern w:val="0"/>
          <w:sz w:val="28"/>
          <w:szCs w:val="26"/>
        </w:rPr>
        <w:t>在全球生產的角色</w:t>
      </w:r>
    </w:p>
    <w:p w14:paraId="6053ECF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344" w:hanging="288"/>
        <w:jc w:val="both"/>
        <w:textAlignment w:val="center"/>
      </w:pPr>
      <w:r>
        <w:rPr>
          <w:rFonts w:eastAsia="標楷體"/>
          <w:spacing w:val="4"/>
          <w:kern w:val="0"/>
          <w:sz w:val="28"/>
          <w:szCs w:val="22"/>
        </w:rPr>
        <w:t>－根據</w:t>
      </w:r>
      <w:r>
        <w:rPr>
          <w:rFonts w:eastAsia="標楷體"/>
          <w:spacing w:val="4"/>
          <w:kern w:val="0"/>
          <w:sz w:val="28"/>
          <w:szCs w:val="22"/>
        </w:rPr>
        <w:t>IMD</w:t>
      </w:r>
      <w:r>
        <w:rPr>
          <w:rFonts w:eastAsia="標楷體"/>
          <w:color w:val="000000"/>
          <w:spacing w:val="4"/>
          <w:kern w:val="0"/>
          <w:sz w:val="28"/>
          <w:szCs w:val="22"/>
        </w:rPr>
        <w:t>「</w:t>
      </w:r>
      <w:r>
        <w:rPr>
          <w:rFonts w:eastAsia="標楷體"/>
          <w:color w:val="000000"/>
          <w:spacing w:val="4"/>
          <w:kern w:val="0"/>
          <w:sz w:val="28"/>
          <w:szCs w:val="22"/>
        </w:rPr>
        <w:t>2012</w:t>
      </w:r>
      <w:r>
        <w:rPr>
          <w:rFonts w:eastAsia="標楷體"/>
          <w:color w:val="000000"/>
          <w:spacing w:val="4"/>
          <w:kern w:val="0"/>
          <w:sz w:val="28"/>
          <w:szCs w:val="22"/>
        </w:rPr>
        <w:t>年世界競爭力年報」，</w:t>
      </w:r>
      <w:r>
        <w:rPr>
          <w:rFonts w:eastAsia="標楷體"/>
          <w:color w:val="000000"/>
          <w:spacing w:val="4"/>
          <w:kern w:val="0"/>
          <w:sz w:val="28"/>
          <w:szCs w:val="22"/>
        </w:rPr>
        <w:t>2011</w:t>
      </w:r>
      <w:r>
        <w:rPr>
          <w:rFonts w:eastAsia="標楷體"/>
          <w:color w:val="000000"/>
          <w:spacing w:val="4"/>
          <w:kern w:val="0"/>
          <w:sz w:val="28"/>
          <w:szCs w:val="22"/>
        </w:rPr>
        <w:t>年臺灣</w:t>
      </w:r>
      <w:r>
        <w:rPr>
          <w:rFonts w:eastAsia="標楷體"/>
          <w:color w:val="000000"/>
          <w:spacing w:val="4"/>
          <w:kern w:val="0"/>
          <w:sz w:val="28"/>
          <w:szCs w:val="22"/>
        </w:rPr>
        <w:t>GDP</w:t>
      </w:r>
      <w:r>
        <w:rPr>
          <w:rFonts w:eastAsia="標楷體"/>
          <w:color w:val="000000"/>
          <w:spacing w:val="4"/>
          <w:kern w:val="0"/>
          <w:sz w:val="28"/>
          <w:szCs w:val="22"/>
        </w:rPr>
        <w:t>占全球</w:t>
      </w:r>
      <w:r>
        <w:rPr>
          <w:rFonts w:eastAsia="標楷體"/>
          <w:color w:val="000000"/>
          <w:spacing w:val="4"/>
          <w:kern w:val="0"/>
          <w:sz w:val="28"/>
          <w:szCs w:val="22"/>
        </w:rPr>
        <w:t>GDP</w:t>
      </w:r>
      <w:r>
        <w:rPr>
          <w:rFonts w:eastAsia="標楷體"/>
          <w:color w:val="000000"/>
          <w:spacing w:val="4"/>
          <w:kern w:val="0"/>
          <w:sz w:val="28"/>
          <w:szCs w:val="22"/>
        </w:rPr>
        <w:t>比率</w:t>
      </w:r>
      <w:r>
        <w:rPr>
          <w:rFonts w:eastAsia="標楷體"/>
          <w:color w:val="000000"/>
          <w:spacing w:val="4"/>
          <w:kern w:val="0"/>
          <w:sz w:val="28"/>
          <w:szCs w:val="22"/>
        </w:rPr>
        <w:t>0.67%</w:t>
      </w:r>
      <w:r>
        <w:rPr>
          <w:rFonts w:eastAsia="標楷體"/>
          <w:color w:val="000000"/>
          <w:spacing w:val="4"/>
          <w:kern w:val="0"/>
          <w:sz w:val="28"/>
          <w:szCs w:val="22"/>
        </w:rPr>
        <w:t>，全球排名第</w:t>
      </w:r>
      <w:r>
        <w:rPr>
          <w:rFonts w:eastAsia="標楷體"/>
          <w:color w:val="000000"/>
          <w:spacing w:val="4"/>
          <w:kern w:val="0"/>
          <w:sz w:val="28"/>
          <w:szCs w:val="22"/>
        </w:rPr>
        <w:t>24</w:t>
      </w:r>
      <w:r>
        <w:rPr>
          <w:rFonts w:eastAsia="標楷體"/>
          <w:color w:val="000000"/>
          <w:spacing w:val="4"/>
          <w:kern w:val="0"/>
          <w:sz w:val="28"/>
          <w:szCs w:val="22"/>
        </w:rPr>
        <w:t>位，與</w:t>
      </w:r>
      <w:r>
        <w:rPr>
          <w:rFonts w:eastAsia="標楷體"/>
          <w:spacing w:val="4"/>
          <w:kern w:val="0"/>
          <w:sz w:val="28"/>
          <w:szCs w:val="22"/>
        </w:rPr>
        <w:t>2010</w:t>
      </w:r>
      <w:r>
        <w:rPr>
          <w:rFonts w:eastAsia="標楷體"/>
          <w:spacing w:val="4"/>
          <w:kern w:val="0"/>
          <w:sz w:val="28"/>
          <w:szCs w:val="22"/>
        </w:rPr>
        <w:t>年排名相同，較</w:t>
      </w:r>
      <w:r>
        <w:rPr>
          <w:rFonts w:eastAsia="標楷體"/>
          <w:spacing w:val="4"/>
          <w:kern w:val="0"/>
          <w:sz w:val="28"/>
          <w:szCs w:val="22"/>
        </w:rPr>
        <w:t>2009</w:t>
      </w:r>
      <w:r>
        <w:rPr>
          <w:rFonts w:eastAsia="標楷體"/>
          <w:spacing w:val="4"/>
          <w:kern w:val="0"/>
          <w:sz w:val="28"/>
          <w:szCs w:val="22"/>
        </w:rPr>
        <w:t>年進步</w:t>
      </w:r>
      <w:r>
        <w:rPr>
          <w:rFonts w:eastAsia="標楷體"/>
          <w:spacing w:val="4"/>
          <w:kern w:val="0"/>
          <w:sz w:val="28"/>
          <w:szCs w:val="22"/>
        </w:rPr>
        <w:t>1</w:t>
      </w:r>
      <w:r>
        <w:rPr>
          <w:rFonts w:eastAsia="標楷體"/>
          <w:spacing w:val="4"/>
          <w:kern w:val="0"/>
          <w:sz w:val="28"/>
          <w:szCs w:val="22"/>
        </w:rPr>
        <w:t>名。</w:t>
      </w:r>
    </w:p>
    <w:p w14:paraId="0EB60D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344" w:hanging="288"/>
        <w:jc w:val="both"/>
        <w:textAlignment w:val="center"/>
      </w:pPr>
      <w:r>
        <w:rPr>
          <w:rFonts w:eastAsia="標楷體"/>
          <w:spacing w:val="4"/>
          <w:kern w:val="0"/>
          <w:sz w:val="28"/>
          <w:szCs w:val="22"/>
        </w:rPr>
        <w:t>－聯合國</w:t>
      </w:r>
      <w:r>
        <w:rPr>
          <w:rFonts w:eastAsia="標楷體"/>
          <w:color w:val="000000"/>
          <w:spacing w:val="4"/>
          <w:kern w:val="0"/>
          <w:sz w:val="28"/>
          <w:szCs w:val="22"/>
        </w:rPr>
        <w:t>「</w:t>
      </w:r>
      <w:r>
        <w:rPr>
          <w:rFonts w:eastAsia="標楷體"/>
          <w:color w:val="000000"/>
          <w:spacing w:val="4"/>
          <w:kern w:val="0"/>
          <w:sz w:val="28"/>
          <w:szCs w:val="22"/>
        </w:rPr>
        <w:t>2011</w:t>
      </w:r>
      <w:r>
        <w:rPr>
          <w:rFonts w:eastAsia="標楷體"/>
          <w:color w:val="000000"/>
          <w:spacing w:val="4"/>
          <w:kern w:val="0"/>
          <w:sz w:val="28"/>
          <w:szCs w:val="22"/>
        </w:rPr>
        <w:t>年工業發展報告」指出，我國製造業在全球製造業價值鏈居重要角色，</w:t>
      </w:r>
      <w:r>
        <w:rPr>
          <w:rFonts w:eastAsia="標楷體"/>
          <w:color w:val="000000"/>
          <w:spacing w:val="4"/>
          <w:kern w:val="0"/>
          <w:sz w:val="28"/>
          <w:szCs w:val="22"/>
        </w:rPr>
        <w:t>2009</w:t>
      </w:r>
      <w:r>
        <w:rPr>
          <w:rFonts w:eastAsia="標楷體"/>
          <w:color w:val="000000"/>
          <w:spacing w:val="4"/>
          <w:kern w:val="0"/>
          <w:sz w:val="28"/>
          <w:szCs w:val="22"/>
        </w:rPr>
        <w:t>年臺灣製造業附加價值占全球製造業附加價值比率</w:t>
      </w:r>
      <w:r>
        <w:rPr>
          <w:rFonts w:eastAsia="標楷體"/>
          <w:color w:val="000000"/>
          <w:spacing w:val="4"/>
          <w:kern w:val="0"/>
          <w:sz w:val="28"/>
          <w:szCs w:val="22"/>
        </w:rPr>
        <w:t>1.68%</w:t>
      </w:r>
      <w:r>
        <w:rPr>
          <w:rFonts w:eastAsia="標楷體"/>
          <w:color w:val="000000"/>
          <w:spacing w:val="4"/>
          <w:kern w:val="0"/>
          <w:sz w:val="28"/>
          <w:szCs w:val="22"/>
        </w:rPr>
        <w:t>，高於新加坡的</w:t>
      </w:r>
      <w:r>
        <w:rPr>
          <w:rFonts w:eastAsia="標楷體"/>
          <w:color w:val="000000"/>
          <w:spacing w:val="4"/>
          <w:kern w:val="0"/>
          <w:sz w:val="28"/>
          <w:szCs w:val="22"/>
        </w:rPr>
        <w:t>0.45%</w:t>
      </w:r>
      <w:r>
        <w:rPr>
          <w:rFonts w:eastAsia="標楷體"/>
          <w:color w:val="000000"/>
          <w:spacing w:val="4"/>
          <w:kern w:val="0"/>
          <w:sz w:val="28"/>
          <w:szCs w:val="22"/>
        </w:rPr>
        <w:t>，低於南韓的</w:t>
      </w:r>
      <w:r>
        <w:rPr>
          <w:rFonts w:eastAsia="標楷體"/>
          <w:color w:val="000000"/>
          <w:spacing w:val="4"/>
          <w:kern w:val="0"/>
          <w:sz w:val="28"/>
          <w:szCs w:val="22"/>
        </w:rPr>
        <w:t>3.16%</w:t>
      </w:r>
      <w:r>
        <w:rPr>
          <w:rFonts w:eastAsia="標楷體"/>
          <w:color w:val="000000"/>
          <w:spacing w:val="4"/>
          <w:kern w:val="0"/>
          <w:sz w:val="28"/>
          <w:szCs w:val="22"/>
        </w:rPr>
        <w:t>。</w:t>
      </w:r>
    </w:p>
    <w:p w14:paraId="792659E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19" w:hanging="227"/>
        <w:jc w:val="both"/>
        <w:textAlignment w:val="center"/>
      </w:pPr>
      <w:r>
        <w:rPr>
          <w:rFonts w:eastAsia="標楷體"/>
          <w:spacing w:val="2"/>
          <w:kern w:val="0"/>
          <w:sz w:val="28"/>
          <w:szCs w:val="28"/>
        </w:rPr>
        <w:t>3.</w:t>
      </w:r>
      <w:r>
        <w:rPr>
          <w:rFonts w:eastAsia="標楷體"/>
          <w:spacing w:val="2"/>
          <w:kern w:val="0"/>
          <w:sz w:val="28"/>
          <w:szCs w:val="28"/>
        </w:rPr>
        <w:t>投</w:t>
      </w:r>
      <w:r>
        <w:rPr>
          <w:rFonts w:eastAsia="標楷體"/>
          <w:spacing w:val="4"/>
          <w:kern w:val="0"/>
          <w:sz w:val="28"/>
          <w:szCs w:val="26"/>
        </w:rPr>
        <w:t>資開放方面</w:t>
      </w:r>
    </w:p>
    <w:p w14:paraId="4F552D4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344" w:hanging="288"/>
        <w:jc w:val="both"/>
        <w:textAlignment w:val="center"/>
      </w:pPr>
      <w:r>
        <w:rPr>
          <w:rFonts w:eastAsia="標楷體"/>
          <w:spacing w:val="4"/>
          <w:kern w:val="0"/>
          <w:sz w:val="28"/>
          <w:szCs w:val="22"/>
        </w:rPr>
        <w:t>－根據世界銀行「</w:t>
      </w:r>
      <w:r>
        <w:rPr>
          <w:rFonts w:eastAsia="標楷體"/>
          <w:spacing w:val="4"/>
          <w:kern w:val="0"/>
          <w:sz w:val="28"/>
          <w:szCs w:val="22"/>
        </w:rPr>
        <w:t>2013</w:t>
      </w:r>
      <w:r>
        <w:rPr>
          <w:rFonts w:eastAsia="標楷體"/>
          <w:spacing w:val="4"/>
          <w:kern w:val="0"/>
          <w:sz w:val="28"/>
          <w:szCs w:val="22"/>
        </w:rPr>
        <w:t>經商環境報告」，臺灣排名全球第</w:t>
      </w:r>
      <w:r>
        <w:rPr>
          <w:rFonts w:eastAsia="標楷體"/>
          <w:spacing w:val="4"/>
          <w:kern w:val="0"/>
          <w:sz w:val="28"/>
          <w:szCs w:val="22"/>
        </w:rPr>
        <w:t>16</w:t>
      </w:r>
      <w:r>
        <w:rPr>
          <w:rFonts w:eastAsia="標楷體"/>
          <w:spacing w:val="4"/>
          <w:kern w:val="0"/>
          <w:sz w:val="28"/>
          <w:szCs w:val="22"/>
        </w:rPr>
        <w:t>位，為歷年最佳表現。顯示近年政府積極完善國內經商環境，漸獲國際肯定。</w:t>
      </w:r>
    </w:p>
    <w:p w14:paraId="11B77FA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344" w:hanging="288"/>
        <w:jc w:val="both"/>
        <w:textAlignment w:val="center"/>
      </w:pPr>
      <w:r>
        <w:rPr>
          <w:rFonts w:eastAsia="標楷體"/>
          <w:spacing w:val="4"/>
          <w:kern w:val="0"/>
          <w:sz w:val="28"/>
          <w:szCs w:val="22"/>
        </w:rPr>
        <w:t>－</w:t>
      </w:r>
      <w:r>
        <w:rPr>
          <w:rFonts w:eastAsia="標楷體"/>
          <w:spacing w:val="4"/>
          <w:kern w:val="0"/>
          <w:sz w:val="28"/>
          <w:szCs w:val="22"/>
        </w:rPr>
        <w:t>100</w:t>
      </w:r>
      <w:r>
        <w:rPr>
          <w:rFonts w:eastAsia="標楷體"/>
          <w:spacing w:val="4"/>
          <w:kern w:val="0"/>
          <w:sz w:val="28"/>
          <w:szCs w:val="22"/>
        </w:rPr>
        <w:t>年政府核准僑外投資金額</w:t>
      </w:r>
      <w:r>
        <w:rPr>
          <w:rFonts w:eastAsia="標楷體"/>
          <w:spacing w:val="4"/>
          <w:kern w:val="0"/>
          <w:sz w:val="28"/>
          <w:szCs w:val="22"/>
        </w:rPr>
        <w:t>49.6</w:t>
      </w:r>
      <w:r>
        <w:rPr>
          <w:rFonts w:eastAsia="標楷體"/>
          <w:spacing w:val="4"/>
          <w:kern w:val="0"/>
          <w:sz w:val="28"/>
          <w:szCs w:val="22"/>
        </w:rPr>
        <w:t>億美元，較</w:t>
      </w:r>
      <w:r>
        <w:rPr>
          <w:rFonts w:eastAsia="標楷體"/>
          <w:spacing w:val="4"/>
          <w:kern w:val="0"/>
          <w:sz w:val="28"/>
          <w:szCs w:val="22"/>
        </w:rPr>
        <w:t>99</w:t>
      </w:r>
      <w:r>
        <w:rPr>
          <w:rFonts w:eastAsia="標楷體"/>
          <w:spacing w:val="4"/>
          <w:kern w:val="0"/>
          <w:sz w:val="28"/>
          <w:szCs w:val="22"/>
        </w:rPr>
        <w:t>年成長</w:t>
      </w:r>
      <w:r>
        <w:rPr>
          <w:rFonts w:eastAsia="標楷體"/>
          <w:spacing w:val="4"/>
          <w:kern w:val="0"/>
          <w:sz w:val="28"/>
          <w:szCs w:val="22"/>
        </w:rPr>
        <w:t>30.0%</w:t>
      </w:r>
      <w:r>
        <w:rPr>
          <w:rFonts w:eastAsia="標楷體"/>
          <w:spacing w:val="4"/>
          <w:kern w:val="0"/>
          <w:sz w:val="28"/>
          <w:szCs w:val="22"/>
        </w:rPr>
        <w:t>，扭轉連續三年負成長的趨勢；另</w:t>
      </w:r>
      <w:r>
        <w:rPr>
          <w:rFonts w:eastAsia="標楷體"/>
          <w:spacing w:val="4"/>
          <w:kern w:val="0"/>
          <w:sz w:val="28"/>
          <w:szCs w:val="22"/>
        </w:rPr>
        <w:t>101</w:t>
      </w:r>
      <w:r>
        <w:rPr>
          <w:rFonts w:eastAsia="標楷體"/>
          <w:spacing w:val="4"/>
          <w:kern w:val="0"/>
          <w:sz w:val="28"/>
          <w:szCs w:val="22"/>
        </w:rPr>
        <w:t>年</w:t>
      </w:r>
      <w:r>
        <w:rPr>
          <w:rFonts w:eastAsia="標楷體"/>
          <w:spacing w:val="4"/>
          <w:kern w:val="0"/>
          <w:sz w:val="28"/>
          <w:szCs w:val="22"/>
        </w:rPr>
        <w:t>1</w:t>
      </w:r>
      <w:r>
        <w:rPr>
          <w:rFonts w:eastAsia="標楷體"/>
          <w:spacing w:val="4"/>
          <w:kern w:val="0"/>
          <w:sz w:val="28"/>
          <w:szCs w:val="22"/>
        </w:rPr>
        <w:t>至</w:t>
      </w:r>
      <w:r>
        <w:rPr>
          <w:rFonts w:eastAsia="標楷體"/>
          <w:spacing w:val="4"/>
          <w:kern w:val="0"/>
          <w:sz w:val="28"/>
          <w:szCs w:val="22"/>
        </w:rPr>
        <w:t>11</w:t>
      </w:r>
      <w:r>
        <w:rPr>
          <w:rFonts w:eastAsia="標楷體"/>
          <w:spacing w:val="4"/>
          <w:kern w:val="0"/>
          <w:sz w:val="28"/>
          <w:szCs w:val="22"/>
        </w:rPr>
        <w:t>月核准僑外投資金額為</w:t>
      </w:r>
      <w:r>
        <w:rPr>
          <w:rFonts w:eastAsia="標楷體"/>
          <w:spacing w:val="4"/>
          <w:kern w:val="0"/>
          <w:sz w:val="28"/>
          <w:szCs w:val="22"/>
        </w:rPr>
        <w:t>46.3</w:t>
      </w:r>
      <w:r>
        <w:rPr>
          <w:rFonts w:eastAsia="標楷體"/>
          <w:spacing w:val="4"/>
          <w:kern w:val="0"/>
          <w:sz w:val="28"/>
          <w:szCs w:val="22"/>
        </w:rPr>
        <w:t>億美元，較上年同期增加</w:t>
      </w:r>
      <w:r>
        <w:rPr>
          <w:rFonts w:eastAsia="標楷體"/>
          <w:spacing w:val="4"/>
          <w:kern w:val="0"/>
          <w:sz w:val="28"/>
          <w:szCs w:val="22"/>
        </w:rPr>
        <w:t>3.28%</w:t>
      </w:r>
      <w:r>
        <w:rPr>
          <w:rFonts w:eastAsia="標楷體"/>
          <w:spacing w:val="4"/>
          <w:kern w:val="0"/>
          <w:sz w:val="28"/>
          <w:szCs w:val="22"/>
        </w:rPr>
        <w:t>，顯示僑外投資人對臺灣投資環境前景仍具信心。</w:t>
      </w:r>
    </w:p>
    <w:p w14:paraId="47A9B2C4" w14:textId="77777777" w:rsidR="00052596" w:rsidRDefault="00000000">
      <w:pPr>
        <w:tabs>
          <w:tab w:val="left" w:pos="960"/>
          <w:tab w:val="left" w:pos="1920"/>
          <w:tab w:val="left" w:pos="2880"/>
          <w:tab w:val="left" w:pos="3840"/>
          <w:tab w:val="left" w:pos="4800"/>
          <w:tab w:val="left" w:pos="5760"/>
        </w:tabs>
        <w:overflowPunct w:val="0"/>
        <w:autoSpaceDE w:val="0"/>
        <w:spacing w:line="41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4.</w:t>
      </w:r>
      <w:r>
        <w:rPr>
          <w:rFonts w:eastAsia="標楷體"/>
          <w:spacing w:val="4"/>
          <w:kern w:val="0"/>
          <w:sz w:val="28"/>
          <w:szCs w:val="26"/>
        </w:rPr>
        <w:t>貿易開放方面</w:t>
      </w:r>
    </w:p>
    <w:p w14:paraId="543BD567"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344" w:hanging="288"/>
        <w:jc w:val="both"/>
        <w:textAlignment w:val="center"/>
      </w:pPr>
      <w:r>
        <w:rPr>
          <w:rFonts w:eastAsia="標楷體"/>
          <w:spacing w:val="4"/>
          <w:kern w:val="0"/>
          <w:sz w:val="28"/>
          <w:szCs w:val="22"/>
        </w:rPr>
        <w:t>－</w:t>
      </w:r>
      <w:r>
        <w:rPr>
          <w:rFonts w:eastAsia="標楷體"/>
          <w:spacing w:val="4"/>
          <w:kern w:val="0"/>
          <w:sz w:val="28"/>
          <w:szCs w:val="22"/>
        </w:rPr>
        <w:t>90</w:t>
      </w:r>
      <w:r>
        <w:rPr>
          <w:rFonts w:eastAsia="標楷體"/>
          <w:spacing w:val="4"/>
          <w:kern w:val="0"/>
          <w:sz w:val="28"/>
          <w:szCs w:val="22"/>
        </w:rPr>
        <w:t>至</w:t>
      </w:r>
      <w:r>
        <w:rPr>
          <w:rFonts w:eastAsia="標楷體"/>
          <w:spacing w:val="4"/>
          <w:kern w:val="0"/>
          <w:sz w:val="28"/>
          <w:szCs w:val="22"/>
        </w:rPr>
        <w:t>100</w:t>
      </w:r>
      <w:r>
        <w:rPr>
          <w:rFonts w:eastAsia="標楷體"/>
          <w:spacing w:val="4"/>
          <w:kern w:val="0"/>
          <w:sz w:val="28"/>
          <w:szCs w:val="22"/>
        </w:rPr>
        <w:t>年我國年平均貿易總值</w:t>
      </w:r>
      <w:r>
        <w:rPr>
          <w:rFonts w:eastAsia="標楷體"/>
          <w:color w:val="000000"/>
          <w:spacing w:val="4"/>
          <w:kern w:val="0"/>
          <w:sz w:val="28"/>
          <w:szCs w:val="22"/>
        </w:rPr>
        <w:t>14.95</w:t>
      </w:r>
      <w:r>
        <w:rPr>
          <w:rFonts w:eastAsia="標楷體"/>
          <w:spacing w:val="4"/>
          <w:kern w:val="0"/>
          <w:sz w:val="28"/>
          <w:szCs w:val="22"/>
        </w:rPr>
        <w:t>兆元，約為</w:t>
      </w:r>
      <w:r>
        <w:rPr>
          <w:rFonts w:eastAsia="標楷體"/>
          <w:spacing w:val="4"/>
          <w:kern w:val="0"/>
          <w:sz w:val="28"/>
          <w:szCs w:val="22"/>
        </w:rPr>
        <w:t>80</w:t>
      </w:r>
      <w:r>
        <w:rPr>
          <w:rFonts w:eastAsia="標楷體"/>
          <w:spacing w:val="4"/>
          <w:kern w:val="0"/>
          <w:sz w:val="28"/>
          <w:szCs w:val="22"/>
        </w:rPr>
        <w:t>至</w:t>
      </w:r>
      <w:r>
        <w:rPr>
          <w:rFonts w:eastAsia="標楷體"/>
          <w:spacing w:val="4"/>
          <w:kern w:val="0"/>
          <w:sz w:val="28"/>
          <w:szCs w:val="22"/>
        </w:rPr>
        <w:t>89</w:t>
      </w:r>
      <w:r>
        <w:rPr>
          <w:rFonts w:eastAsia="標楷體"/>
          <w:spacing w:val="4"/>
          <w:kern w:val="0"/>
          <w:sz w:val="28"/>
          <w:szCs w:val="22"/>
        </w:rPr>
        <w:t>年平均</w:t>
      </w:r>
      <w:r>
        <w:rPr>
          <w:rFonts w:eastAsia="標楷體"/>
          <w:spacing w:val="4"/>
          <w:kern w:val="0"/>
          <w:sz w:val="28"/>
          <w:szCs w:val="22"/>
        </w:rPr>
        <w:t>7.86</w:t>
      </w:r>
      <w:r>
        <w:rPr>
          <w:rFonts w:eastAsia="標楷體"/>
          <w:spacing w:val="4"/>
          <w:kern w:val="0"/>
          <w:sz w:val="28"/>
          <w:szCs w:val="22"/>
        </w:rPr>
        <w:t>兆元的</w:t>
      </w:r>
      <w:r>
        <w:rPr>
          <w:rFonts w:eastAsia="標楷體"/>
          <w:spacing w:val="4"/>
          <w:kern w:val="0"/>
          <w:sz w:val="28"/>
          <w:szCs w:val="22"/>
        </w:rPr>
        <w:t>1.9</w:t>
      </w:r>
      <w:r>
        <w:rPr>
          <w:rFonts w:eastAsia="標楷體"/>
          <w:spacing w:val="4"/>
          <w:kern w:val="0"/>
          <w:sz w:val="28"/>
          <w:szCs w:val="22"/>
        </w:rPr>
        <w:t>倍；占實質</w:t>
      </w:r>
      <w:r>
        <w:rPr>
          <w:rFonts w:eastAsia="標楷體"/>
          <w:spacing w:val="4"/>
          <w:kern w:val="0"/>
          <w:sz w:val="28"/>
          <w:szCs w:val="22"/>
        </w:rPr>
        <w:t>GDP</w:t>
      </w:r>
      <w:r>
        <w:rPr>
          <w:rFonts w:eastAsia="標楷體"/>
          <w:spacing w:val="4"/>
          <w:kern w:val="0"/>
          <w:sz w:val="28"/>
          <w:szCs w:val="22"/>
        </w:rPr>
        <w:t>比率達</w:t>
      </w:r>
      <w:r>
        <w:rPr>
          <w:rFonts w:eastAsia="標楷體"/>
          <w:spacing w:val="4"/>
          <w:kern w:val="0"/>
          <w:sz w:val="28"/>
          <w:szCs w:val="22"/>
        </w:rPr>
        <w:t>122.8%</w:t>
      </w:r>
      <w:r>
        <w:rPr>
          <w:rFonts w:eastAsia="標楷體"/>
          <w:spacing w:val="4"/>
          <w:kern w:val="0"/>
          <w:sz w:val="28"/>
          <w:szCs w:val="22"/>
        </w:rPr>
        <w:t>，高於</w:t>
      </w:r>
      <w:r>
        <w:rPr>
          <w:rFonts w:eastAsia="標楷體"/>
          <w:spacing w:val="4"/>
          <w:kern w:val="0"/>
          <w:sz w:val="28"/>
          <w:szCs w:val="22"/>
        </w:rPr>
        <w:t>80</w:t>
      </w:r>
      <w:r>
        <w:rPr>
          <w:rFonts w:eastAsia="標楷體"/>
          <w:spacing w:val="4"/>
          <w:kern w:val="0"/>
          <w:sz w:val="28"/>
          <w:szCs w:val="22"/>
        </w:rPr>
        <w:t>至</w:t>
      </w:r>
      <w:r>
        <w:rPr>
          <w:rFonts w:eastAsia="標楷體"/>
          <w:spacing w:val="4"/>
          <w:kern w:val="0"/>
          <w:sz w:val="28"/>
          <w:szCs w:val="22"/>
        </w:rPr>
        <w:t>89</w:t>
      </w:r>
      <w:r>
        <w:rPr>
          <w:rFonts w:eastAsia="標楷體"/>
          <w:spacing w:val="4"/>
          <w:kern w:val="0"/>
          <w:sz w:val="28"/>
          <w:szCs w:val="22"/>
        </w:rPr>
        <w:t>年平均的</w:t>
      </w:r>
      <w:r>
        <w:rPr>
          <w:rFonts w:eastAsia="標楷體"/>
          <w:spacing w:val="4"/>
          <w:kern w:val="0"/>
          <w:sz w:val="28"/>
          <w:szCs w:val="22"/>
        </w:rPr>
        <w:t>101%</w:t>
      </w:r>
      <w:r>
        <w:rPr>
          <w:rFonts w:eastAsia="標楷體"/>
          <w:spacing w:val="4"/>
          <w:kern w:val="0"/>
          <w:sz w:val="28"/>
          <w:szCs w:val="22"/>
        </w:rPr>
        <w:t>。</w:t>
      </w:r>
    </w:p>
    <w:p w14:paraId="1676C635"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344" w:hanging="288"/>
        <w:jc w:val="both"/>
        <w:textAlignment w:val="center"/>
      </w:pPr>
      <w:r>
        <w:rPr>
          <w:rFonts w:eastAsia="標楷體"/>
          <w:spacing w:val="4"/>
          <w:kern w:val="0"/>
          <w:sz w:val="28"/>
          <w:szCs w:val="22"/>
        </w:rPr>
        <w:t>－根據</w:t>
      </w:r>
      <w:r>
        <w:rPr>
          <w:rFonts w:eastAsia="標楷體"/>
          <w:spacing w:val="4"/>
          <w:kern w:val="0"/>
          <w:sz w:val="28"/>
          <w:szCs w:val="22"/>
        </w:rPr>
        <w:t>WTO</w:t>
      </w:r>
      <w:r>
        <w:rPr>
          <w:rFonts w:eastAsia="標楷體"/>
          <w:spacing w:val="4"/>
          <w:kern w:val="0"/>
          <w:sz w:val="28"/>
          <w:szCs w:val="22"/>
        </w:rPr>
        <w:t>統計，</w:t>
      </w:r>
      <w:r>
        <w:rPr>
          <w:rFonts w:eastAsia="標楷體"/>
          <w:spacing w:val="4"/>
          <w:kern w:val="0"/>
          <w:sz w:val="28"/>
          <w:szCs w:val="22"/>
        </w:rPr>
        <w:t>2000</w:t>
      </w:r>
      <w:r>
        <w:rPr>
          <w:rFonts w:eastAsia="標楷體"/>
          <w:spacing w:val="4"/>
          <w:kern w:val="0"/>
          <w:sz w:val="28"/>
          <w:szCs w:val="22"/>
        </w:rPr>
        <w:t>年後我國商品出口占全球商品出口比重大致呈趨降態勢，惟</w:t>
      </w:r>
      <w:r>
        <w:rPr>
          <w:rFonts w:eastAsia="標楷體"/>
          <w:spacing w:val="4"/>
          <w:kern w:val="0"/>
          <w:sz w:val="28"/>
          <w:szCs w:val="22"/>
        </w:rPr>
        <w:t>2011</w:t>
      </w:r>
      <w:r>
        <w:rPr>
          <w:rFonts w:eastAsia="標楷體"/>
          <w:spacing w:val="4"/>
          <w:kern w:val="0"/>
          <w:sz w:val="28"/>
          <w:szCs w:val="22"/>
        </w:rPr>
        <w:t>年為</w:t>
      </w:r>
      <w:r>
        <w:rPr>
          <w:rFonts w:eastAsia="標楷體"/>
          <w:spacing w:val="4"/>
          <w:kern w:val="0"/>
          <w:sz w:val="28"/>
          <w:szCs w:val="22"/>
        </w:rPr>
        <w:t>1.69%</w:t>
      </w:r>
      <w:r>
        <w:rPr>
          <w:rFonts w:ascii="標楷體" w:eastAsia="標楷體" w:hAnsi="標楷體"/>
          <w:spacing w:val="4"/>
          <w:kern w:val="0"/>
          <w:sz w:val="28"/>
          <w:szCs w:val="22"/>
        </w:rPr>
        <w:t>(</w:t>
      </w:r>
      <w:r>
        <w:rPr>
          <w:rFonts w:eastAsia="標楷體"/>
          <w:spacing w:val="4"/>
          <w:kern w:val="0"/>
          <w:sz w:val="28"/>
          <w:szCs w:val="22"/>
        </w:rPr>
        <w:t>全球排名第</w:t>
      </w:r>
      <w:r>
        <w:rPr>
          <w:rFonts w:eastAsia="標楷體"/>
          <w:spacing w:val="4"/>
          <w:kern w:val="0"/>
          <w:sz w:val="28"/>
          <w:szCs w:val="22"/>
        </w:rPr>
        <w:t>17</w:t>
      </w:r>
      <w:r>
        <w:rPr>
          <w:rFonts w:eastAsia="標楷體"/>
          <w:spacing w:val="4"/>
          <w:kern w:val="0"/>
          <w:sz w:val="28"/>
          <w:szCs w:val="22"/>
        </w:rPr>
        <w:t>位</w:t>
      </w:r>
      <w:r>
        <w:rPr>
          <w:rFonts w:ascii="標楷體" w:eastAsia="標楷體" w:hAnsi="標楷體"/>
          <w:spacing w:val="4"/>
          <w:kern w:val="0"/>
          <w:sz w:val="28"/>
          <w:szCs w:val="22"/>
        </w:rPr>
        <w:t>)，已較</w:t>
      </w:r>
      <w:r>
        <w:rPr>
          <w:rFonts w:eastAsia="標楷體"/>
          <w:spacing w:val="4"/>
          <w:kern w:val="0"/>
          <w:sz w:val="28"/>
          <w:szCs w:val="22"/>
        </w:rPr>
        <w:t>2008</w:t>
      </w:r>
      <w:r>
        <w:rPr>
          <w:rFonts w:eastAsia="標楷體"/>
          <w:spacing w:val="4"/>
          <w:kern w:val="0"/>
          <w:sz w:val="28"/>
          <w:szCs w:val="22"/>
        </w:rPr>
        <w:t>年的</w:t>
      </w:r>
      <w:r>
        <w:rPr>
          <w:rFonts w:eastAsia="標楷體"/>
          <w:spacing w:val="4"/>
          <w:kern w:val="0"/>
          <w:sz w:val="28"/>
          <w:szCs w:val="22"/>
        </w:rPr>
        <w:t>1.58%</w:t>
      </w:r>
      <w:r>
        <w:rPr>
          <w:rFonts w:ascii="標楷體" w:eastAsia="標楷體" w:hAnsi="標楷體"/>
          <w:spacing w:val="4"/>
          <w:kern w:val="0"/>
          <w:sz w:val="28"/>
          <w:szCs w:val="22"/>
        </w:rPr>
        <w:t>(</w:t>
      </w:r>
      <w:r>
        <w:rPr>
          <w:rFonts w:eastAsia="標楷體"/>
          <w:spacing w:val="4"/>
          <w:kern w:val="0"/>
          <w:sz w:val="28"/>
          <w:szCs w:val="22"/>
        </w:rPr>
        <w:t>2000</w:t>
      </w:r>
      <w:r>
        <w:rPr>
          <w:rFonts w:eastAsia="標楷體"/>
          <w:spacing w:val="4"/>
          <w:kern w:val="0"/>
          <w:sz w:val="28"/>
          <w:szCs w:val="22"/>
        </w:rPr>
        <w:t>至</w:t>
      </w:r>
      <w:r>
        <w:rPr>
          <w:rFonts w:eastAsia="標楷體"/>
          <w:spacing w:val="4"/>
          <w:kern w:val="0"/>
          <w:sz w:val="28"/>
          <w:szCs w:val="22"/>
        </w:rPr>
        <w:t>2011</w:t>
      </w:r>
      <w:r>
        <w:rPr>
          <w:rFonts w:eastAsia="標楷體"/>
          <w:spacing w:val="4"/>
          <w:kern w:val="0"/>
          <w:sz w:val="28"/>
          <w:szCs w:val="22"/>
        </w:rPr>
        <w:t>年的最低點</w:t>
      </w:r>
      <w:r>
        <w:rPr>
          <w:rFonts w:ascii="標楷體" w:eastAsia="標楷體" w:hAnsi="標楷體"/>
          <w:spacing w:val="4"/>
          <w:kern w:val="0"/>
          <w:sz w:val="28"/>
          <w:szCs w:val="22"/>
        </w:rPr>
        <w:t>)提高</w:t>
      </w:r>
      <w:r>
        <w:rPr>
          <w:rFonts w:eastAsia="標楷體"/>
          <w:spacing w:val="4"/>
          <w:kern w:val="0"/>
          <w:sz w:val="28"/>
          <w:szCs w:val="22"/>
        </w:rPr>
        <w:t>0.11</w:t>
      </w:r>
      <w:r>
        <w:rPr>
          <w:rFonts w:eastAsia="標楷體"/>
          <w:spacing w:val="4"/>
          <w:kern w:val="0"/>
          <w:sz w:val="28"/>
          <w:szCs w:val="22"/>
        </w:rPr>
        <w:t>個百分點。此外，</w:t>
      </w:r>
      <w:r>
        <w:rPr>
          <w:rFonts w:eastAsia="標楷體"/>
          <w:spacing w:val="4"/>
          <w:kern w:val="0"/>
          <w:sz w:val="28"/>
          <w:szCs w:val="22"/>
        </w:rPr>
        <w:t>2011</w:t>
      </w:r>
      <w:r>
        <w:rPr>
          <w:rFonts w:eastAsia="標楷體"/>
          <w:spacing w:val="4"/>
          <w:kern w:val="0"/>
          <w:sz w:val="28"/>
          <w:szCs w:val="22"/>
        </w:rPr>
        <w:t>年臺灣製造業產品出口占全球製造業產品出口比率為</w:t>
      </w:r>
      <w:r>
        <w:rPr>
          <w:rFonts w:eastAsia="標楷體"/>
          <w:spacing w:val="4"/>
          <w:kern w:val="0"/>
          <w:sz w:val="28"/>
          <w:szCs w:val="22"/>
        </w:rPr>
        <w:t>2.35%</w:t>
      </w:r>
      <w:r>
        <w:rPr>
          <w:rFonts w:eastAsia="標楷體"/>
          <w:spacing w:val="4"/>
          <w:kern w:val="0"/>
          <w:sz w:val="28"/>
          <w:szCs w:val="22"/>
        </w:rPr>
        <w:t>，亦較</w:t>
      </w:r>
      <w:r>
        <w:rPr>
          <w:rFonts w:eastAsia="標楷體"/>
          <w:spacing w:val="4"/>
          <w:kern w:val="0"/>
          <w:sz w:val="28"/>
          <w:szCs w:val="22"/>
        </w:rPr>
        <w:t>2008</w:t>
      </w:r>
      <w:r>
        <w:rPr>
          <w:rFonts w:eastAsia="標楷體"/>
          <w:spacing w:val="4"/>
          <w:kern w:val="0"/>
          <w:sz w:val="28"/>
          <w:szCs w:val="22"/>
        </w:rPr>
        <w:t>年的</w:t>
      </w:r>
      <w:r>
        <w:rPr>
          <w:rFonts w:eastAsia="標楷體"/>
          <w:spacing w:val="4"/>
          <w:kern w:val="0"/>
          <w:sz w:val="28"/>
          <w:szCs w:val="22"/>
        </w:rPr>
        <w:t>2.14%</w:t>
      </w:r>
      <w:r>
        <w:rPr>
          <w:rFonts w:eastAsia="標楷體"/>
          <w:spacing w:val="4"/>
          <w:kern w:val="0"/>
          <w:sz w:val="28"/>
          <w:szCs w:val="22"/>
        </w:rPr>
        <w:t>提高</w:t>
      </w:r>
      <w:r>
        <w:rPr>
          <w:rFonts w:eastAsia="標楷體"/>
          <w:spacing w:val="4"/>
          <w:kern w:val="0"/>
          <w:sz w:val="28"/>
          <w:szCs w:val="22"/>
        </w:rPr>
        <w:t>0.21</w:t>
      </w:r>
      <w:r>
        <w:rPr>
          <w:rFonts w:eastAsia="標楷體"/>
          <w:spacing w:val="4"/>
          <w:kern w:val="0"/>
          <w:sz w:val="28"/>
          <w:szCs w:val="22"/>
        </w:rPr>
        <w:t>個百分點。另</w:t>
      </w:r>
      <w:r>
        <w:rPr>
          <w:rFonts w:eastAsia="標楷體"/>
          <w:spacing w:val="4"/>
          <w:kern w:val="0"/>
          <w:sz w:val="28"/>
          <w:szCs w:val="22"/>
        </w:rPr>
        <w:t>2011</w:t>
      </w:r>
      <w:r>
        <w:rPr>
          <w:rFonts w:eastAsia="標楷體"/>
          <w:spacing w:val="4"/>
          <w:kern w:val="0"/>
          <w:sz w:val="28"/>
          <w:szCs w:val="22"/>
        </w:rPr>
        <w:t>年我國服務出口占全球服務出口比率</w:t>
      </w:r>
      <w:r>
        <w:rPr>
          <w:rFonts w:eastAsia="標楷體"/>
          <w:spacing w:val="4"/>
          <w:kern w:val="0"/>
          <w:sz w:val="28"/>
          <w:szCs w:val="22"/>
        </w:rPr>
        <w:t>1.10%</w:t>
      </w:r>
      <w:r>
        <w:rPr>
          <w:rFonts w:ascii="標楷體" w:eastAsia="標楷體" w:hAnsi="標楷體"/>
          <w:spacing w:val="4"/>
          <w:kern w:val="0"/>
          <w:sz w:val="28"/>
          <w:szCs w:val="22"/>
        </w:rPr>
        <w:t>(</w:t>
      </w:r>
      <w:r>
        <w:rPr>
          <w:rFonts w:eastAsia="標楷體"/>
          <w:spacing w:val="4"/>
          <w:kern w:val="0"/>
          <w:sz w:val="28"/>
          <w:szCs w:val="22"/>
        </w:rPr>
        <w:t>全球排名第</w:t>
      </w:r>
      <w:r>
        <w:rPr>
          <w:rFonts w:eastAsia="標楷體"/>
          <w:spacing w:val="4"/>
          <w:kern w:val="0"/>
          <w:sz w:val="28"/>
          <w:szCs w:val="22"/>
        </w:rPr>
        <w:t>24</w:t>
      </w:r>
      <w:r>
        <w:rPr>
          <w:rFonts w:eastAsia="標楷體"/>
          <w:spacing w:val="4"/>
          <w:kern w:val="0"/>
          <w:sz w:val="28"/>
          <w:szCs w:val="22"/>
        </w:rPr>
        <w:t>位</w:t>
      </w:r>
      <w:r>
        <w:rPr>
          <w:rFonts w:ascii="標楷體" w:eastAsia="標楷體" w:hAnsi="標楷體"/>
          <w:spacing w:val="4"/>
          <w:kern w:val="0"/>
          <w:sz w:val="28"/>
          <w:szCs w:val="22"/>
        </w:rPr>
        <w:t>)，較</w:t>
      </w:r>
      <w:r>
        <w:rPr>
          <w:rFonts w:eastAsia="標楷體"/>
          <w:spacing w:val="4"/>
          <w:kern w:val="0"/>
          <w:sz w:val="28"/>
          <w:szCs w:val="22"/>
        </w:rPr>
        <w:t>2009</w:t>
      </w:r>
      <w:r>
        <w:rPr>
          <w:rFonts w:eastAsia="標楷體"/>
          <w:spacing w:val="4"/>
          <w:kern w:val="0"/>
          <w:sz w:val="28"/>
          <w:szCs w:val="22"/>
        </w:rPr>
        <w:t>年的</w:t>
      </w:r>
      <w:r>
        <w:rPr>
          <w:rFonts w:eastAsia="標楷體"/>
          <w:spacing w:val="4"/>
          <w:kern w:val="0"/>
          <w:sz w:val="28"/>
          <w:szCs w:val="22"/>
        </w:rPr>
        <w:t>0.92%</w:t>
      </w:r>
      <w:r>
        <w:rPr>
          <w:rFonts w:ascii="標楷體" w:eastAsia="標楷體" w:hAnsi="標楷體"/>
          <w:spacing w:val="4"/>
          <w:kern w:val="0"/>
          <w:sz w:val="28"/>
          <w:szCs w:val="22"/>
        </w:rPr>
        <w:t>(</w:t>
      </w:r>
      <w:r>
        <w:rPr>
          <w:rFonts w:eastAsia="標楷體"/>
          <w:spacing w:val="4"/>
          <w:kern w:val="0"/>
          <w:sz w:val="28"/>
          <w:szCs w:val="22"/>
        </w:rPr>
        <w:t>2000</w:t>
      </w:r>
      <w:r>
        <w:rPr>
          <w:rFonts w:eastAsia="標楷體"/>
          <w:spacing w:val="4"/>
          <w:kern w:val="0"/>
          <w:sz w:val="28"/>
          <w:szCs w:val="22"/>
        </w:rPr>
        <w:t>至</w:t>
      </w:r>
      <w:r>
        <w:rPr>
          <w:rFonts w:eastAsia="標楷體"/>
          <w:spacing w:val="4"/>
          <w:kern w:val="0"/>
          <w:sz w:val="28"/>
          <w:szCs w:val="22"/>
        </w:rPr>
        <w:t>2011</w:t>
      </w:r>
      <w:r>
        <w:rPr>
          <w:rFonts w:eastAsia="標楷體"/>
          <w:spacing w:val="4"/>
          <w:kern w:val="0"/>
          <w:sz w:val="28"/>
          <w:szCs w:val="22"/>
        </w:rPr>
        <w:t>年的最低點</w:t>
      </w:r>
      <w:r>
        <w:rPr>
          <w:rFonts w:ascii="標楷體" w:eastAsia="標楷體" w:hAnsi="標楷體"/>
          <w:spacing w:val="4"/>
          <w:kern w:val="0"/>
          <w:sz w:val="28"/>
          <w:szCs w:val="22"/>
        </w:rPr>
        <w:t>)增加</w:t>
      </w:r>
      <w:r>
        <w:rPr>
          <w:rFonts w:eastAsia="標楷體"/>
          <w:spacing w:val="4"/>
          <w:kern w:val="0"/>
          <w:sz w:val="28"/>
          <w:szCs w:val="22"/>
        </w:rPr>
        <w:t>0.18</w:t>
      </w:r>
      <w:r>
        <w:rPr>
          <w:rFonts w:ascii="標楷體" w:eastAsia="標楷體" w:hAnsi="標楷體"/>
          <w:spacing w:val="4"/>
          <w:kern w:val="0"/>
          <w:sz w:val="28"/>
          <w:szCs w:val="22"/>
        </w:rPr>
        <w:t>個百分點。</w:t>
      </w:r>
    </w:p>
    <w:p w14:paraId="659EA768" w14:textId="77777777" w:rsidR="00052596" w:rsidRDefault="00000000">
      <w:pPr>
        <w:widowControl/>
      </w:pPr>
      <w:r>
        <w:rPr>
          <w:noProof/>
        </w:rPr>
        <mc:AlternateContent>
          <mc:Choice Requires="wpg">
            <w:drawing>
              <wp:anchor distT="0" distB="0" distL="114300" distR="114300" simplePos="0" relativeHeight="251635200" behindDoc="1" locked="0" layoutInCell="1" allowOverlap="1" wp14:anchorId="094F5077" wp14:editId="42CEA299">
                <wp:simplePos x="0" y="0"/>
                <wp:positionH relativeFrom="column">
                  <wp:posOffset>888367</wp:posOffset>
                </wp:positionH>
                <wp:positionV relativeFrom="paragraph">
                  <wp:posOffset>-1901</wp:posOffset>
                </wp:positionV>
                <wp:extent cx="4022729" cy="2816212"/>
                <wp:effectExtent l="0" t="0" r="0" b="0"/>
                <wp:wrapNone/>
                <wp:docPr id="90" name="群組 7646"/>
                <wp:cNvGraphicFramePr/>
                <a:graphic xmlns:a="http://schemas.openxmlformats.org/drawingml/2006/main">
                  <a:graphicData uri="http://schemas.microsoft.com/office/word/2010/wordprocessingGroup">
                    <wpg:wgp>
                      <wpg:cNvGrpSpPr/>
                      <wpg:grpSpPr>
                        <a:xfrm>
                          <a:off x="0" y="0"/>
                          <a:ext cx="4022729" cy="2816212"/>
                          <a:chOff x="0" y="0"/>
                          <a:chExt cx="4022729" cy="2816212"/>
                        </a:xfrm>
                      </wpg:grpSpPr>
                      <pic:pic xmlns:pic="http://schemas.openxmlformats.org/drawingml/2006/picture">
                        <pic:nvPicPr>
                          <pic:cNvPr id="91" name="圖表 17487"/>
                          <pic:cNvPicPr>
                            <a:picLocks noChangeAspect="1"/>
                          </pic:cNvPicPr>
                        </pic:nvPicPr>
                        <pic:blipFill>
                          <a:blip r:embed="rId20"/>
                          <a:srcRect/>
                          <a:stretch>
                            <a:fillRect/>
                          </a:stretch>
                        </pic:blipFill>
                        <pic:spPr>
                          <a:xfrm>
                            <a:off x="0" y="140332"/>
                            <a:ext cx="3992883" cy="2383154"/>
                          </a:xfrm>
                          <a:prstGeom prst="rect">
                            <a:avLst/>
                          </a:prstGeom>
                          <a:noFill/>
                          <a:ln>
                            <a:noFill/>
                            <a:prstDash/>
                          </a:ln>
                        </pic:spPr>
                      </pic:pic>
                      <wps:wsp>
                        <wps:cNvPr id="92" name="Text Box 30"/>
                        <wps:cNvSpPr txBox="1"/>
                        <wps:spPr>
                          <a:xfrm>
                            <a:off x="344171" y="0"/>
                            <a:ext cx="3678558" cy="398778"/>
                          </a:xfrm>
                          <a:prstGeom prst="rect">
                            <a:avLst/>
                          </a:prstGeom>
                        </wps:spPr>
                        <wps:txbx>
                          <w:txbxContent>
                            <w:p w14:paraId="5766A3D4" w14:textId="77777777" w:rsidR="00052596" w:rsidRDefault="00000000">
                              <w:pPr>
                                <w:jc w:val="center"/>
                                <w:rPr>
                                  <w:rFonts w:eastAsia="標楷體"/>
                                  <w:b/>
                                  <w:color w:val="0000FF"/>
                                  <w:sz w:val="25"/>
                                  <w:szCs w:val="25"/>
                                </w:rPr>
                              </w:pPr>
                              <w:r>
                                <w:rPr>
                                  <w:rFonts w:eastAsia="標楷體"/>
                                  <w:b/>
                                  <w:color w:val="0000FF"/>
                                  <w:sz w:val="25"/>
                                  <w:szCs w:val="25"/>
                                </w:rPr>
                                <w:t>圖</w:t>
                              </w:r>
                              <w:r>
                                <w:rPr>
                                  <w:rFonts w:eastAsia="標楷體"/>
                                  <w:b/>
                                  <w:color w:val="0000FF"/>
                                  <w:sz w:val="25"/>
                                  <w:szCs w:val="25"/>
                                </w:rPr>
                                <w:t>1.2.1</w:t>
                              </w:r>
                              <w:r>
                                <w:rPr>
                                  <w:rFonts w:eastAsia="標楷體"/>
                                  <w:b/>
                                  <w:color w:val="0000FF"/>
                                  <w:sz w:val="25"/>
                                  <w:szCs w:val="25"/>
                                </w:rPr>
                                <w:t xml:space="preserve">　臺灣商品及服務出口占全球市場比率</w:t>
                              </w:r>
                            </w:p>
                          </w:txbxContent>
                        </wps:txbx>
                        <wps:bodyPr wrap="square" lIns="91440" tIns="45720" rIns="91440" bIns="45720" anchor="t">
                          <a:noAutofit/>
                        </wps:bodyPr>
                      </wps:wsp>
                      <wps:wsp>
                        <wps:cNvPr id="93" name="Text Box 31"/>
                        <wps:cNvSpPr txBox="1"/>
                        <wps:spPr>
                          <a:xfrm>
                            <a:off x="200655" y="2522846"/>
                            <a:ext cx="2647946" cy="293366"/>
                          </a:xfrm>
                          <a:prstGeom prst="rect">
                            <a:avLst/>
                          </a:prstGeom>
                        </wps:spPr>
                        <wps:txbx>
                          <w:txbxContent>
                            <w:p w14:paraId="1D763C37" w14:textId="77777777" w:rsidR="00052596" w:rsidRDefault="00000000">
                              <w:r>
                                <w:rPr>
                                  <w:rFonts w:eastAsia="標楷體"/>
                                  <w:color w:val="000000"/>
                                  <w:spacing w:val="-2"/>
                                </w:rPr>
                                <w:t>資料來源：根據</w:t>
                              </w:r>
                              <w:r>
                                <w:rPr>
                                  <w:rFonts w:eastAsia="標楷體"/>
                                  <w:color w:val="000000"/>
                                  <w:spacing w:val="-2"/>
                                </w:rPr>
                                <w:t>WTO</w:t>
                              </w:r>
                              <w:r>
                                <w:rPr>
                                  <w:rFonts w:eastAsia="標楷體"/>
                                  <w:color w:val="000000"/>
                                  <w:spacing w:val="-2"/>
                                </w:rPr>
                                <w:t>資料計算。</w:t>
                              </w:r>
                            </w:p>
                          </w:txbxContent>
                        </wps:txbx>
                        <wps:bodyPr wrap="square" lIns="91440" tIns="45720" rIns="91440" bIns="45720" anchor="t">
                          <a:noAutofit/>
                        </wps:bodyPr>
                      </wps:wsp>
                    </wpg:wgp>
                  </a:graphicData>
                </a:graphic>
              </wp:anchor>
            </w:drawing>
          </mc:Choice>
          <mc:Fallback>
            <w:pict>
              <v:group w14:anchorId="094F5077" id="群組 7646" o:spid="_x0000_s1035" style="position:absolute;margin-left:69.95pt;margin-top:-.15pt;width:316.75pt;height:221.75pt;z-index:-251681280" coordsize="40227,2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">
                <v:shape id="圖表 17487" o:spid="_x0000_s1036" type="#_x0000_t75" style="position:absolute;top:1403;width:39928;height:2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">
                  <v:imagedata r:id="rId21" o:title=""/>
                </v:shape>
                <v:shape id="Text Box 30" o:spid="_x0000_s1037" type="#_x0000_t202" style="position:absolute;left:3441;width:36786;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5766A3D4" w14:textId="77777777" w:rsidR="00052596" w:rsidRDefault="00000000">
                        <w:pPr>
                          <w:jc w:val="center"/>
                          <w:rPr>
                            <w:rFonts w:eastAsia="標楷體"/>
                            <w:b/>
                            <w:color w:val="0000FF"/>
                            <w:sz w:val="25"/>
                            <w:szCs w:val="25"/>
                          </w:rPr>
                        </w:pPr>
                        <w:r>
                          <w:rPr>
                            <w:rFonts w:eastAsia="標楷體"/>
                            <w:b/>
                            <w:color w:val="0000FF"/>
                            <w:sz w:val="25"/>
                            <w:szCs w:val="25"/>
                          </w:rPr>
                          <w:t>圖</w:t>
                        </w:r>
                        <w:r>
                          <w:rPr>
                            <w:rFonts w:eastAsia="標楷體"/>
                            <w:b/>
                            <w:color w:val="0000FF"/>
                            <w:sz w:val="25"/>
                            <w:szCs w:val="25"/>
                          </w:rPr>
                          <w:t>1.2.1</w:t>
                        </w:r>
                        <w:r>
                          <w:rPr>
                            <w:rFonts w:eastAsia="標楷體"/>
                            <w:b/>
                            <w:color w:val="0000FF"/>
                            <w:sz w:val="25"/>
                            <w:szCs w:val="25"/>
                          </w:rPr>
                          <w:t xml:space="preserve">　臺灣商品及服務出口占全球市場比率</w:t>
                        </w:r>
                      </w:p>
                    </w:txbxContent>
                  </v:textbox>
                </v:shape>
                <v:shape id="Text Box 31" o:spid="_x0000_s1038" type="#_x0000_t202" style="position:absolute;left:2006;top:25228;width:2648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1D763C37" w14:textId="77777777" w:rsidR="00052596" w:rsidRDefault="00000000">
                        <w:r>
                          <w:rPr>
                            <w:rFonts w:eastAsia="標楷體"/>
                            <w:color w:val="000000"/>
                            <w:spacing w:val="-2"/>
                          </w:rPr>
                          <w:t>資料來源：根據</w:t>
                        </w:r>
                        <w:r>
                          <w:rPr>
                            <w:rFonts w:eastAsia="標楷體"/>
                            <w:color w:val="000000"/>
                            <w:spacing w:val="-2"/>
                          </w:rPr>
                          <w:t>WTO</w:t>
                        </w:r>
                        <w:r>
                          <w:rPr>
                            <w:rFonts w:eastAsia="標楷體"/>
                            <w:color w:val="000000"/>
                            <w:spacing w:val="-2"/>
                          </w:rPr>
                          <w:t>資料計算。</w:t>
                        </w:r>
                      </w:p>
                    </w:txbxContent>
                  </v:textbox>
                </v:shape>
              </v:group>
            </w:pict>
          </mc:Fallback>
        </mc:AlternateContent>
      </w:r>
    </w:p>
    <w:p w14:paraId="12893DEA" w14:textId="77777777" w:rsidR="00052596" w:rsidRDefault="00052596">
      <w:pPr>
        <w:widowControl/>
        <w:rPr>
          <w:rFonts w:ascii="Calibri" w:hAnsi="Calibri"/>
          <w:kern w:val="0"/>
          <w:szCs w:val="24"/>
        </w:rPr>
      </w:pPr>
    </w:p>
    <w:p w14:paraId="3618FA86" w14:textId="77777777" w:rsidR="00052596" w:rsidRDefault="00052596">
      <w:pPr>
        <w:widowControl/>
        <w:rPr>
          <w:rFonts w:ascii="Calibri" w:hAnsi="Calibri"/>
          <w:kern w:val="0"/>
          <w:szCs w:val="24"/>
        </w:rPr>
      </w:pPr>
    </w:p>
    <w:p w14:paraId="774FA937" w14:textId="77777777" w:rsidR="00052596" w:rsidRDefault="00052596">
      <w:pPr>
        <w:widowControl/>
        <w:rPr>
          <w:rFonts w:ascii="Calibri" w:hAnsi="Calibri"/>
          <w:kern w:val="0"/>
          <w:szCs w:val="24"/>
        </w:rPr>
      </w:pPr>
    </w:p>
    <w:p w14:paraId="461B8835" w14:textId="77777777" w:rsidR="00052596" w:rsidRDefault="00052596">
      <w:pPr>
        <w:widowControl/>
        <w:rPr>
          <w:rFonts w:ascii="Calibri" w:hAnsi="Calibri"/>
          <w:kern w:val="0"/>
          <w:szCs w:val="24"/>
        </w:rPr>
      </w:pPr>
    </w:p>
    <w:p w14:paraId="29454261" w14:textId="77777777" w:rsidR="00052596" w:rsidRDefault="00052596">
      <w:pPr>
        <w:widowControl/>
        <w:rPr>
          <w:rFonts w:ascii="Calibri" w:hAnsi="Calibri"/>
          <w:kern w:val="0"/>
          <w:szCs w:val="24"/>
        </w:rPr>
      </w:pPr>
    </w:p>
    <w:p w14:paraId="61105702" w14:textId="77777777" w:rsidR="00052596" w:rsidRDefault="00052596">
      <w:pPr>
        <w:widowControl/>
        <w:rPr>
          <w:rFonts w:ascii="Calibri" w:hAnsi="Calibri"/>
          <w:kern w:val="0"/>
          <w:szCs w:val="24"/>
        </w:rPr>
      </w:pPr>
    </w:p>
    <w:p w14:paraId="4AE6C46A" w14:textId="77777777" w:rsidR="00052596" w:rsidRDefault="00052596">
      <w:pPr>
        <w:widowControl/>
        <w:rPr>
          <w:rFonts w:ascii="Calibri" w:hAnsi="Calibri"/>
          <w:kern w:val="0"/>
          <w:szCs w:val="24"/>
        </w:rPr>
      </w:pPr>
    </w:p>
    <w:p w14:paraId="1209E470" w14:textId="77777777" w:rsidR="00052596" w:rsidRDefault="00052596">
      <w:pPr>
        <w:widowControl/>
        <w:rPr>
          <w:rFonts w:ascii="Calibri" w:hAnsi="Calibri"/>
          <w:kern w:val="0"/>
          <w:szCs w:val="24"/>
        </w:rPr>
      </w:pPr>
    </w:p>
    <w:p w14:paraId="208D4C92" w14:textId="77777777" w:rsidR="00052596" w:rsidRDefault="00052596">
      <w:pPr>
        <w:widowControl/>
        <w:rPr>
          <w:rFonts w:ascii="Calibri" w:hAnsi="Calibri"/>
          <w:kern w:val="0"/>
          <w:szCs w:val="24"/>
        </w:rPr>
      </w:pPr>
    </w:p>
    <w:p w14:paraId="67BF3323" w14:textId="77777777" w:rsidR="00052596" w:rsidRDefault="00052596">
      <w:pPr>
        <w:widowControl/>
        <w:rPr>
          <w:rFonts w:ascii="Calibri" w:hAnsi="Calibri"/>
          <w:kern w:val="0"/>
          <w:szCs w:val="24"/>
        </w:rPr>
      </w:pPr>
    </w:p>
    <w:p w14:paraId="2D19A51A" w14:textId="77777777" w:rsidR="00052596" w:rsidRDefault="00052596">
      <w:pPr>
        <w:widowControl/>
        <w:rPr>
          <w:rFonts w:ascii="Calibri" w:hAnsi="Calibri"/>
          <w:kern w:val="0"/>
          <w:szCs w:val="24"/>
        </w:rPr>
      </w:pPr>
    </w:p>
    <w:p w14:paraId="4BDF92B0" w14:textId="77777777" w:rsidR="00052596" w:rsidRDefault="00052596">
      <w:pPr>
        <w:widowControl/>
        <w:rPr>
          <w:rFonts w:ascii="Calibri" w:hAnsi="Calibri"/>
          <w:kern w:val="0"/>
          <w:szCs w:val="24"/>
        </w:rPr>
      </w:pPr>
    </w:p>
    <w:p w14:paraId="5B0B4546" w14:textId="77777777" w:rsidR="00052596" w:rsidRDefault="00052596">
      <w:pPr>
        <w:widowControl/>
        <w:rPr>
          <w:rFonts w:ascii="Calibri" w:hAnsi="Calibri"/>
          <w:kern w:val="0"/>
          <w:szCs w:val="24"/>
        </w:rPr>
      </w:pPr>
    </w:p>
    <w:p w14:paraId="5A6D7861" w14:textId="77777777" w:rsidR="00052596" w:rsidRDefault="00052596">
      <w:pPr>
        <w:widowControl/>
        <w:rPr>
          <w:rFonts w:ascii="Calibri" w:hAnsi="Calibri"/>
          <w:kern w:val="0"/>
          <w:szCs w:val="24"/>
        </w:rPr>
      </w:pPr>
    </w:p>
    <w:p w14:paraId="34AFF4EF"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344" w:hanging="288"/>
        <w:jc w:val="both"/>
        <w:textAlignment w:val="center"/>
      </w:pPr>
      <w:r>
        <w:rPr>
          <w:rFonts w:eastAsia="標楷體"/>
          <w:spacing w:val="4"/>
          <w:kern w:val="0"/>
          <w:sz w:val="28"/>
          <w:szCs w:val="22"/>
        </w:rPr>
        <w:t>－因應全球創意經濟及綠色潮流，我國創意商品貿易及綠色產品出口均有相當成長。根據聯合國貿易暨發展會議</w:t>
      </w:r>
      <w:r>
        <w:rPr>
          <w:rFonts w:ascii="標楷體" w:eastAsia="標楷體" w:hAnsi="標楷體"/>
          <w:spacing w:val="4"/>
          <w:kern w:val="0"/>
          <w:sz w:val="28"/>
          <w:szCs w:val="22"/>
        </w:rPr>
        <w:t>(</w:t>
      </w:r>
      <w:r>
        <w:rPr>
          <w:rFonts w:eastAsia="標楷體"/>
          <w:spacing w:val="4"/>
          <w:kern w:val="0"/>
          <w:sz w:val="28"/>
          <w:szCs w:val="22"/>
        </w:rPr>
        <w:t>UNCTAD</w:t>
      </w:r>
      <w:r>
        <w:rPr>
          <w:rFonts w:ascii="標楷體" w:eastAsia="標楷體" w:hAnsi="標楷體"/>
          <w:spacing w:val="4"/>
          <w:kern w:val="0"/>
          <w:sz w:val="28"/>
          <w:szCs w:val="22"/>
        </w:rPr>
        <w:t>)</w:t>
      </w:r>
      <w:r>
        <w:rPr>
          <w:rFonts w:eastAsia="標楷體"/>
          <w:spacing w:val="4"/>
          <w:kern w:val="0"/>
          <w:sz w:val="28"/>
          <w:szCs w:val="22"/>
        </w:rPr>
        <w:t>統計，</w:t>
      </w:r>
      <w:r>
        <w:rPr>
          <w:rFonts w:eastAsia="標楷體"/>
          <w:spacing w:val="4"/>
          <w:kern w:val="0"/>
          <w:sz w:val="28"/>
          <w:szCs w:val="22"/>
        </w:rPr>
        <w:t>2010</w:t>
      </w:r>
      <w:r>
        <w:rPr>
          <w:rFonts w:eastAsia="標楷體"/>
          <w:spacing w:val="4"/>
          <w:kern w:val="0"/>
          <w:sz w:val="28"/>
          <w:szCs w:val="22"/>
        </w:rPr>
        <w:t>年臺灣創意商品貿易總額</w:t>
      </w:r>
      <w:r>
        <w:rPr>
          <w:rFonts w:eastAsia="標楷體"/>
          <w:spacing w:val="4"/>
          <w:kern w:val="0"/>
          <w:sz w:val="28"/>
          <w:szCs w:val="22"/>
        </w:rPr>
        <w:t>68.59</w:t>
      </w:r>
      <w:r>
        <w:rPr>
          <w:rFonts w:eastAsia="標楷體"/>
          <w:spacing w:val="4"/>
          <w:kern w:val="0"/>
          <w:sz w:val="28"/>
          <w:szCs w:val="22"/>
        </w:rPr>
        <w:t>億美元，較</w:t>
      </w:r>
      <w:r>
        <w:rPr>
          <w:rFonts w:eastAsia="標楷體"/>
          <w:spacing w:val="4"/>
          <w:kern w:val="0"/>
          <w:sz w:val="28"/>
          <w:szCs w:val="22"/>
        </w:rPr>
        <w:t>2009</w:t>
      </w:r>
      <w:r>
        <w:rPr>
          <w:rFonts w:eastAsia="標楷體"/>
          <w:spacing w:val="4"/>
          <w:kern w:val="0"/>
          <w:sz w:val="28"/>
          <w:szCs w:val="22"/>
        </w:rPr>
        <w:t>年增加</w:t>
      </w:r>
      <w:r>
        <w:rPr>
          <w:rFonts w:eastAsia="標楷體"/>
          <w:spacing w:val="4"/>
          <w:kern w:val="0"/>
          <w:sz w:val="28"/>
          <w:szCs w:val="22"/>
        </w:rPr>
        <w:t>14.57%</w:t>
      </w:r>
      <w:r>
        <w:rPr>
          <w:rFonts w:eastAsia="標楷體"/>
          <w:spacing w:val="4"/>
          <w:kern w:val="0"/>
          <w:sz w:val="28"/>
          <w:szCs w:val="22"/>
        </w:rPr>
        <w:t>。依經濟部「</w:t>
      </w:r>
      <w:r>
        <w:rPr>
          <w:rFonts w:eastAsia="標楷體"/>
          <w:spacing w:val="4"/>
          <w:kern w:val="0"/>
          <w:sz w:val="28"/>
          <w:szCs w:val="22"/>
        </w:rPr>
        <w:t>2011</w:t>
      </w:r>
      <w:r>
        <w:rPr>
          <w:rFonts w:eastAsia="標楷體"/>
          <w:spacing w:val="4"/>
          <w:kern w:val="0"/>
          <w:sz w:val="28"/>
          <w:szCs w:val="22"/>
        </w:rPr>
        <w:t>年臺灣綠色商品出口統計年報」，</w:t>
      </w:r>
      <w:r>
        <w:rPr>
          <w:rFonts w:eastAsia="標楷體"/>
          <w:spacing w:val="4"/>
          <w:kern w:val="0"/>
          <w:sz w:val="28"/>
          <w:szCs w:val="22"/>
        </w:rPr>
        <w:t>100</w:t>
      </w:r>
      <w:r>
        <w:rPr>
          <w:rFonts w:eastAsia="標楷體"/>
          <w:spacing w:val="4"/>
          <w:kern w:val="0"/>
          <w:sz w:val="28"/>
          <w:szCs w:val="22"/>
        </w:rPr>
        <w:t>年我國綠色產業清單內商品出口值約</w:t>
      </w:r>
      <w:r>
        <w:rPr>
          <w:rFonts w:eastAsia="標楷體"/>
          <w:spacing w:val="4"/>
          <w:kern w:val="0"/>
          <w:sz w:val="28"/>
          <w:szCs w:val="22"/>
        </w:rPr>
        <w:t>428</w:t>
      </w:r>
      <w:r>
        <w:rPr>
          <w:rFonts w:eastAsia="標楷體"/>
          <w:spacing w:val="4"/>
          <w:kern w:val="0"/>
          <w:sz w:val="28"/>
          <w:szCs w:val="22"/>
        </w:rPr>
        <w:t>億美元，占我國出口比率</w:t>
      </w:r>
      <w:r>
        <w:rPr>
          <w:rFonts w:eastAsia="標楷體"/>
          <w:spacing w:val="4"/>
          <w:kern w:val="0"/>
          <w:sz w:val="28"/>
          <w:szCs w:val="22"/>
        </w:rPr>
        <w:t>13.88%</w:t>
      </w:r>
      <w:r>
        <w:rPr>
          <w:rFonts w:eastAsia="標楷體"/>
          <w:spacing w:val="4"/>
          <w:kern w:val="0"/>
          <w:sz w:val="28"/>
          <w:szCs w:val="22"/>
        </w:rPr>
        <w:t>。</w:t>
      </w:r>
    </w:p>
    <w:p w14:paraId="5D544A8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)全球化外溢效應</w:t>
      </w:r>
    </w:p>
    <w:p w14:paraId="05BC888C" w14:textId="77777777" w:rsidR="00052596" w:rsidRDefault="00000000">
      <w:pPr>
        <w:overflowPunct w:val="0"/>
        <w:autoSpaceDE w:val="0"/>
        <w:spacing w:line="400" w:lineRule="exact"/>
        <w:ind w:left="792" w:firstLine="605"/>
        <w:jc w:val="both"/>
        <w:textAlignment w:val="center"/>
        <w:rPr>
          <w:rFonts w:eastAsia="標楷體"/>
          <w:spacing w:val="4"/>
          <w:kern w:val="0"/>
          <w:sz w:val="28"/>
          <w:szCs w:val="26"/>
        </w:rPr>
      </w:pPr>
      <w:r>
        <w:rPr>
          <w:rFonts w:eastAsia="標楷體"/>
          <w:spacing w:val="4"/>
          <w:kern w:val="0"/>
          <w:sz w:val="28"/>
          <w:szCs w:val="26"/>
        </w:rPr>
        <w:t>開放作為全球化的重要內涵與驅動力量，對經濟成長具正面作用，且可有效緩解國內資源供應瓶頸。惟開放在經濟發展</w:t>
      </w:r>
      <w:r>
        <w:rPr>
          <w:rFonts w:eastAsia="標楷體"/>
          <w:spacing w:val="4"/>
          <w:kern w:val="0"/>
          <w:sz w:val="28"/>
          <w:szCs w:val="26"/>
        </w:rPr>
        <w:lastRenderedPageBreak/>
        <w:t>過程中亦會衍生若干負面效應。例如，</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10</w:t>
      </w:r>
      <w:r>
        <w:rPr>
          <w:rFonts w:eastAsia="標楷體"/>
          <w:spacing w:val="4"/>
          <w:kern w:val="0"/>
          <w:sz w:val="28"/>
          <w:szCs w:val="26"/>
        </w:rPr>
        <w:t>月</w:t>
      </w:r>
      <w:r>
        <w:rPr>
          <w:rFonts w:eastAsia="標楷體"/>
          <w:spacing w:val="4"/>
          <w:kern w:val="0"/>
          <w:sz w:val="28"/>
          <w:szCs w:val="26"/>
        </w:rPr>
        <w:t>IMF</w:t>
      </w:r>
      <w:r>
        <w:rPr>
          <w:rFonts w:eastAsia="標楷體"/>
          <w:spacing w:val="4"/>
          <w:kern w:val="0"/>
          <w:sz w:val="28"/>
          <w:szCs w:val="26"/>
        </w:rPr>
        <w:t>「亞洲及太平洋地區經濟展望更新報告」指出，</w:t>
      </w:r>
      <w:r>
        <w:rPr>
          <w:rFonts w:eastAsia="標楷體"/>
          <w:spacing w:val="4"/>
          <w:kern w:val="0"/>
          <w:sz w:val="28"/>
          <w:szCs w:val="26"/>
        </w:rPr>
        <w:t>2012</w:t>
      </w:r>
      <w:r>
        <w:rPr>
          <w:rFonts w:eastAsia="標楷體"/>
          <w:spacing w:val="4"/>
          <w:kern w:val="0"/>
          <w:sz w:val="28"/>
          <w:szCs w:val="26"/>
        </w:rPr>
        <w:t>年上半年，受歐債危機的負面貿易外溢效應影響，亞洲出口明顯下降，且亞洲</w:t>
      </w:r>
      <w:r>
        <w:rPr>
          <w:rFonts w:eastAsia="標楷體"/>
          <w:spacing w:val="4"/>
          <w:kern w:val="0"/>
          <w:sz w:val="28"/>
          <w:szCs w:val="26"/>
        </w:rPr>
        <w:t>GDP</w:t>
      </w:r>
      <w:r>
        <w:rPr>
          <w:rFonts w:eastAsia="標楷體"/>
          <w:spacing w:val="4"/>
          <w:kern w:val="0"/>
          <w:sz w:val="28"/>
          <w:szCs w:val="26"/>
        </w:rPr>
        <w:t>成長率更是</w:t>
      </w:r>
      <w:r>
        <w:rPr>
          <w:rFonts w:eastAsia="標楷體"/>
          <w:spacing w:val="4"/>
          <w:kern w:val="0"/>
          <w:sz w:val="28"/>
          <w:szCs w:val="26"/>
        </w:rPr>
        <w:t>2008</w:t>
      </w:r>
      <w:r>
        <w:rPr>
          <w:rFonts w:eastAsia="標楷體"/>
          <w:spacing w:val="4"/>
          <w:kern w:val="0"/>
          <w:sz w:val="28"/>
          <w:szCs w:val="26"/>
        </w:rPr>
        <w:t>年金融危機以來的最低水準。</w:t>
      </w:r>
      <w:r>
        <w:rPr>
          <w:rFonts w:eastAsia="標楷體"/>
          <w:spacing w:val="4"/>
          <w:kern w:val="0"/>
          <w:sz w:val="28"/>
          <w:szCs w:val="26"/>
        </w:rPr>
        <w:t>IMF</w:t>
      </w:r>
      <w:r>
        <w:rPr>
          <w:rFonts w:eastAsia="標楷體"/>
          <w:spacing w:val="4"/>
          <w:kern w:val="0"/>
          <w:sz w:val="28"/>
          <w:szCs w:val="26"/>
        </w:rPr>
        <w:t>強調，若歐元區經濟持續惡化，勢將嚴重衝擊亞洲多數開放經濟體的成長。尤其中國大陸處於亞洲供應鏈樞紐的核心地位，一旦中國大陸出口嚴重下滑，必將波及亞洲其他貿易夥伴國。</w:t>
      </w:r>
      <w:r>
        <w:rPr>
          <w:rFonts w:eastAsia="標楷體"/>
          <w:spacing w:val="4"/>
          <w:kern w:val="0"/>
          <w:sz w:val="28"/>
          <w:szCs w:val="26"/>
        </w:rPr>
        <w:t>IMF</w:t>
      </w:r>
      <w:r>
        <w:rPr>
          <w:rFonts w:eastAsia="標楷體"/>
          <w:spacing w:val="4"/>
          <w:kern w:val="0"/>
          <w:sz w:val="28"/>
          <w:szCs w:val="26"/>
        </w:rPr>
        <w:t>估計，中國大陸出口成長若下降</w:t>
      </w:r>
      <w:r>
        <w:rPr>
          <w:rFonts w:eastAsia="標楷體"/>
          <w:spacing w:val="4"/>
          <w:kern w:val="0"/>
          <w:sz w:val="28"/>
          <w:szCs w:val="26"/>
        </w:rPr>
        <w:t>1</w:t>
      </w:r>
      <w:r>
        <w:rPr>
          <w:rFonts w:eastAsia="標楷體"/>
          <w:spacing w:val="4"/>
          <w:kern w:val="0"/>
          <w:sz w:val="28"/>
          <w:szCs w:val="26"/>
        </w:rPr>
        <w:t>個百分點，將影響其他亞洲經濟體對中國大陸出口成長下降約</w:t>
      </w:r>
      <w:r>
        <w:rPr>
          <w:rFonts w:eastAsia="標楷體"/>
          <w:spacing w:val="4"/>
          <w:kern w:val="0"/>
          <w:sz w:val="28"/>
          <w:szCs w:val="26"/>
        </w:rPr>
        <w:t>0.33</w:t>
      </w:r>
      <w:r>
        <w:rPr>
          <w:rFonts w:eastAsia="標楷體"/>
          <w:spacing w:val="4"/>
          <w:kern w:val="0"/>
          <w:sz w:val="28"/>
          <w:szCs w:val="26"/>
        </w:rPr>
        <w:t>個百分點。此外，隨著中國大陸經濟成長模式漸由投資導向轉為消費導向，亞洲供應鏈內的經濟體所面臨中國投資減緩的風險將提高。</w:t>
      </w:r>
    </w:p>
    <w:p w14:paraId="2CCF125E"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123" w:hanging="331"/>
        <w:jc w:val="both"/>
        <w:textAlignment w:val="center"/>
      </w:pPr>
      <w:r>
        <w:rPr>
          <w:rFonts w:eastAsia="標楷體"/>
          <w:spacing w:val="4"/>
          <w:kern w:val="0"/>
          <w:sz w:val="28"/>
          <w:szCs w:val="26"/>
        </w:rPr>
        <w:t>－</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10</w:t>
      </w:r>
      <w:r>
        <w:rPr>
          <w:rFonts w:eastAsia="標楷體"/>
          <w:spacing w:val="4"/>
          <w:kern w:val="0"/>
          <w:sz w:val="28"/>
          <w:szCs w:val="26"/>
        </w:rPr>
        <w:t>月</w:t>
      </w:r>
      <w:r>
        <w:rPr>
          <w:rFonts w:eastAsia="標楷體"/>
          <w:spacing w:val="4"/>
          <w:kern w:val="0"/>
          <w:sz w:val="28"/>
          <w:szCs w:val="26"/>
        </w:rPr>
        <w:t>IMF</w:t>
      </w:r>
      <w:r>
        <w:rPr>
          <w:rFonts w:eastAsia="標楷體"/>
          <w:spacing w:val="4"/>
          <w:kern w:val="0"/>
          <w:sz w:val="28"/>
          <w:szCs w:val="26"/>
        </w:rPr>
        <w:t>「世界經濟展望」報告評估，中國大陸投資若下降</w:t>
      </w:r>
      <w:r>
        <w:rPr>
          <w:rFonts w:eastAsia="標楷體"/>
          <w:spacing w:val="4"/>
          <w:kern w:val="0"/>
          <w:sz w:val="28"/>
          <w:szCs w:val="26"/>
        </w:rPr>
        <w:t>1</w:t>
      </w:r>
      <w:r>
        <w:rPr>
          <w:rFonts w:eastAsia="標楷體"/>
          <w:spacing w:val="4"/>
          <w:kern w:val="0"/>
          <w:sz w:val="28"/>
          <w:szCs w:val="26"/>
        </w:rPr>
        <w:t>個百分點，將嚴重影響區域供應鏈內經濟體的經濟成長，其中又以我國經濟成長率下降</w:t>
      </w:r>
      <w:r>
        <w:rPr>
          <w:rFonts w:eastAsia="標楷體"/>
          <w:spacing w:val="4"/>
          <w:kern w:val="0"/>
          <w:sz w:val="28"/>
          <w:szCs w:val="26"/>
        </w:rPr>
        <w:t>0.91%</w:t>
      </w:r>
      <w:r>
        <w:rPr>
          <w:rFonts w:eastAsia="標楷體"/>
          <w:spacing w:val="4"/>
          <w:kern w:val="0"/>
          <w:sz w:val="28"/>
          <w:szCs w:val="26"/>
        </w:rPr>
        <w:t>影響最大</w:t>
      </w:r>
      <w:r>
        <w:rPr>
          <w:rFonts w:ascii="標楷體" w:eastAsia="標楷體" w:hAnsi="標楷體"/>
          <w:spacing w:val="4"/>
          <w:kern w:val="0"/>
          <w:sz w:val="28"/>
          <w:szCs w:val="26"/>
        </w:rPr>
        <w:t>(馬來西亞下降</w:t>
      </w:r>
      <w:r>
        <w:rPr>
          <w:rFonts w:eastAsia="標楷體"/>
          <w:spacing w:val="4"/>
          <w:kern w:val="0"/>
          <w:sz w:val="28"/>
          <w:szCs w:val="26"/>
        </w:rPr>
        <w:t>0.62%</w:t>
      </w:r>
      <w:r>
        <w:rPr>
          <w:rFonts w:ascii="標楷體" w:eastAsia="標楷體" w:hAnsi="標楷體"/>
          <w:spacing w:val="4"/>
          <w:kern w:val="0"/>
          <w:sz w:val="28"/>
          <w:szCs w:val="26"/>
        </w:rPr>
        <w:t>，</w:t>
      </w:r>
      <w:r>
        <w:rPr>
          <w:rFonts w:eastAsia="標楷體"/>
          <w:spacing w:val="4"/>
          <w:kern w:val="0"/>
          <w:sz w:val="28"/>
          <w:szCs w:val="26"/>
        </w:rPr>
        <w:t>南韓下降</w:t>
      </w:r>
      <w:r>
        <w:rPr>
          <w:rFonts w:eastAsia="標楷體"/>
          <w:spacing w:val="4"/>
          <w:kern w:val="0"/>
          <w:sz w:val="28"/>
          <w:szCs w:val="26"/>
        </w:rPr>
        <w:t>0.6%</w:t>
      </w:r>
      <w:r>
        <w:rPr>
          <w:rFonts w:ascii="標楷體" w:eastAsia="標楷體" w:hAnsi="標楷體"/>
          <w:spacing w:val="4"/>
          <w:kern w:val="0"/>
          <w:sz w:val="28"/>
          <w:szCs w:val="26"/>
        </w:rPr>
        <w:t>)</w:t>
      </w:r>
      <w:r>
        <w:rPr>
          <w:rFonts w:eastAsia="標楷體"/>
          <w:spacing w:val="4"/>
          <w:kern w:val="0"/>
          <w:sz w:val="28"/>
          <w:szCs w:val="26"/>
        </w:rPr>
        <w:t>。</w:t>
      </w:r>
    </w:p>
    <w:p w14:paraId="1F0059C5"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123" w:hanging="331"/>
        <w:jc w:val="both"/>
        <w:textAlignment w:val="center"/>
      </w:pPr>
      <w:r>
        <w:rPr>
          <w:rFonts w:eastAsia="標楷體"/>
          <w:spacing w:val="4"/>
          <w:kern w:val="0"/>
          <w:sz w:val="28"/>
          <w:szCs w:val="26"/>
        </w:rPr>
        <w:t>－面對中國大陸經濟成長模式轉變對我國經濟成長可能產生的負面外溢影響，政府將加快產業結構調整步伐，落實執行「加強推動臺商回臺投資方案」，促進國內投資及增加就業機會，並致力拓展新興市場，</w:t>
      </w:r>
      <w:r>
        <w:rPr>
          <w:rFonts w:ascii="標楷體" w:eastAsia="標楷體" w:hAnsi="標楷體"/>
          <w:color w:val="000000"/>
          <w:spacing w:val="4"/>
          <w:kern w:val="0"/>
          <w:sz w:val="28"/>
          <w:szCs w:val="28"/>
        </w:rPr>
        <w:t>促進出口市場多元化</w:t>
      </w:r>
      <w:r>
        <w:rPr>
          <w:rFonts w:eastAsia="標楷體"/>
          <w:spacing w:val="4"/>
          <w:kern w:val="0"/>
          <w:sz w:val="28"/>
          <w:szCs w:val="26"/>
        </w:rPr>
        <w:t>，降低單一出口地區經濟變動的可能影響。</w:t>
      </w:r>
    </w:p>
    <w:p w14:paraId="6B80A831" w14:textId="77777777" w:rsidR="00052596" w:rsidRDefault="00000000">
      <w:pPr>
        <w:overflowPunct w:val="0"/>
        <w:autoSpaceDE w:val="0"/>
        <w:snapToGrid w:val="0"/>
        <w:spacing w:before="240" w:line="280" w:lineRule="exact"/>
        <w:ind w:left="1133" w:right="708"/>
        <w:jc w:val="center"/>
        <w:textAlignment w:val="center"/>
        <w:rPr>
          <w:rFonts w:eastAsia="標楷體"/>
          <w:b/>
          <w:color w:val="0000FF"/>
          <w:kern w:val="0"/>
          <w:sz w:val="25"/>
          <w:szCs w:val="22"/>
        </w:rPr>
      </w:pPr>
      <w:r>
        <w:rPr>
          <w:rFonts w:eastAsia="標楷體"/>
          <w:b/>
          <w:color w:val="0000FF"/>
          <w:kern w:val="0"/>
          <w:sz w:val="25"/>
          <w:szCs w:val="22"/>
        </w:rPr>
        <w:t>圖</w:t>
      </w:r>
      <w:r>
        <w:rPr>
          <w:rFonts w:eastAsia="標楷體"/>
          <w:b/>
          <w:color w:val="0000FF"/>
          <w:kern w:val="0"/>
          <w:sz w:val="25"/>
          <w:szCs w:val="22"/>
        </w:rPr>
        <w:t>1.2.2</w:t>
      </w:r>
      <w:r>
        <w:rPr>
          <w:rFonts w:eastAsia="標楷體"/>
          <w:b/>
          <w:color w:val="0000FF"/>
          <w:kern w:val="0"/>
          <w:sz w:val="25"/>
          <w:szCs w:val="22"/>
        </w:rPr>
        <w:t xml:space="preserve">　中國大陸投資下降</w:t>
      </w:r>
      <w:r>
        <w:rPr>
          <w:rFonts w:eastAsia="標楷體"/>
          <w:b/>
          <w:color w:val="0000FF"/>
          <w:kern w:val="0"/>
          <w:sz w:val="25"/>
          <w:szCs w:val="22"/>
        </w:rPr>
        <w:t>1</w:t>
      </w:r>
      <w:r>
        <w:rPr>
          <w:rFonts w:eastAsia="標楷體"/>
          <w:b/>
          <w:color w:val="0000FF"/>
          <w:kern w:val="0"/>
          <w:sz w:val="25"/>
          <w:szCs w:val="22"/>
        </w:rPr>
        <w:t>個百分點，對貿易夥伴國</w:t>
      </w:r>
      <w:r>
        <w:rPr>
          <w:rFonts w:eastAsia="標楷體"/>
          <w:b/>
          <w:color w:val="0000FF"/>
          <w:kern w:val="0"/>
          <w:sz w:val="25"/>
          <w:szCs w:val="22"/>
        </w:rPr>
        <w:br/>
      </w:r>
      <w:r>
        <w:rPr>
          <w:rFonts w:eastAsia="標楷體"/>
          <w:b/>
          <w:color w:val="0000FF"/>
          <w:kern w:val="0"/>
          <w:sz w:val="25"/>
          <w:szCs w:val="22"/>
        </w:rPr>
        <w:t>經濟成長率的影響</w:t>
      </w:r>
    </w:p>
    <w:p w14:paraId="41C14089" w14:textId="77777777" w:rsidR="00052596" w:rsidRDefault="00000000">
      <w:pPr>
        <w:overflowPunct w:val="0"/>
        <w:autoSpaceDE w:val="0"/>
        <w:spacing w:line="220" w:lineRule="exact"/>
        <w:ind w:left="1531" w:right="708" w:hanging="1296"/>
        <w:jc w:val="right"/>
        <w:textAlignment w:val="center"/>
      </w:pPr>
      <w:r>
        <w:rPr>
          <w:noProof/>
        </w:rPr>
        <mc:AlternateContent>
          <mc:Choice Requires="wps">
            <w:drawing>
              <wp:anchor distT="0" distB="0" distL="114300" distR="114300" simplePos="0" relativeHeight="251629056" behindDoc="0" locked="0" layoutInCell="1" allowOverlap="1" wp14:anchorId="0C40985C" wp14:editId="2521AD8E">
                <wp:simplePos x="0" y="0"/>
                <wp:positionH relativeFrom="column">
                  <wp:posOffset>536579</wp:posOffset>
                </wp:positionH>
                <wp:positionV relativeFrom="paragraph">
                  <wp:posOffset>81911</wp:posOffset>
                </wp:positionV>
                <wp:extent cx="579757" cy="2044068"/>
                <wp:effectExtent l="0" t="0" r="0" b="0"/>
                <wp:wrapNone/>
                <wp:docPr id="94" name="文字方塊 7644"/>
                <wp:cNvGraphicFramePr/>
                <a:graphic xmlns:a="http://schemas.openxmlformats.org/drawingml/2006/main">
                  <a:graphicData uri="http://schemas.microsoft.com/office/word/2010/wordprocessingShape">
                    <wps:wsp>
                      <wps:cNvSpPr txBox="1"/>
                      <wps:spPr>
                        <a:xfrm>
                          <a:off x="0" y="0"/>
                          <a:ext cx="579757" cy="2044068"/>
                        </a:xfrm>
                        <a:prstGeom prst="rect">
                          <a:avLst/>
                        </a:prstGeom>
                        <a:noFill/>
                        <a:ln>
                          <a:noFill/>
                          <a:prstDash/>
                        </a:ln>
                      </wps:spPr>
                      <wps:txbx>
                        <w:txbxContent>
                          <w:p w14:paraId="3F83ED73" w14:textId="77777777" w:rsidR="00052596" w:rsidRDefault="00000000">
                            <w:pPr>
                              <w:spacing w:after="1008" w:line="240" w:lineRule="exact"/>
                              <w:jc w:val="right"/>
                            </w:pPr>
                            <w:r>
                              <w:t>0.0</w:t>
                            </w:r>
                          </w:p>
                          <w:p w14:paraId="43392C5E" w14:textId="77777777" w:rsidR="00052596" w:rsidRDefault="00000000">
                            <w:pPr>
                              <w:spacing w:after="1008" w:line="240" w:lineRule="exact"/>
                              <w:jc w:val="right"/>
                            </w:pPr>
                            <w:r>
                              <w:t>-0.5</w:t>
                            </w:r>
                          </w:p>
                          <w:p w14:paraId="0367F8F4" w14:textId="77777777" w:rsidR="00052596" w:rsidRDefault="00000000">
                            <w:pPr>
                              <w:spacing w:after="1008" w:line="240" w:lineRule="exact"/>
                              <w:jc w:val="right"/>
                            </w:pPr>
                            <w:r>
                              <w:t>-1.0</w:t>
                            </w:r>
                          </w:p>
                        </w:txbxContent>
                      </wps:txbx>
                      <wps:bodyPr wrap="square" lIns="91440" tIns="45720" rIns="91440" bIns="45720" anchor="t">
                        <a:noAutofit/>
                      </wps:bodyPr>
                    </wps:wsp>
                  </a:graphicData>
                </a:graphic>
              </wp:anchor>
            </w:drawing>
          </mc:Choice>
          <mc:Fallback>
            <w:pict>
              <v:shape w14:anchorId="0C40985C" id="文字方塊 7644" o:spid="_x0000_s1039" type="#_x0000_t202" style="position:absolute;left:0;text-align:left;margin-left:42.25pt;margin-top:6.45pt;width:45.65pt;height:160.9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" filled="f" stroked="f">
                <v:textbox>
                  <w:txbxContent>
                    <w:p w14:paraId="3F83ED73" w14:textId="77777777" w:rsidR="00052596" w:rsidRDefault="00000000">
                      <w:pPr>
                        <w:spacing w:after="1008" w:line="240" w:lineRule="exact"/>
                        <w:jc w:val="right"/>
                      </w:pPr>
                      <w:r>
                        <w:t>0.0</w:t>
                      </w:r>
                    </w:p>
                    <w:p w14:paraId="43392C5E" w14:textId="77777777" w:rsidR="00052596" w:rsidRDefault="00000000">
                      <w:pPr>
                        <w:spacing w:after="1008" w:line="240" w:lineRule="exact"/>
                        <w:jc w:val="right"/>
                      </w:pPr>
                      <w:r>
                        <w:t>-0.5</w:t>
                      </w:r>
                    </w:p>
                    <w:p w14:paraId="0367F8F4" w14:textId="77777777" w:rsidR="00052596" w:rsidRDefault="00000000">
                      <w:pPr>
                        <w:spacing w:after="1008" w:line="240" w:lineRule="exact"/>
                        <w:jc w:val="right"/>
                      </w:pPr>
                      <w:r>
                        <w:t>-1.0</w:t>
                      </w:r>
                    </w:p>
                  </w:txbxContent>
                </v:textbox>
              </v:shape>
            </w:pict>
          </mc:Fallback>
        </mc:AlternateContent>
      </w:r>
      <w:r>
        <w:rPr>
          <w:noProof/>
        </w:rPr>
        <w:drawing>
          <wp:anchor distT="0" distB="0" distL="114300" distR="114300" simplePos="0" relativeHeight="251657728" behindDoc="0" locked="0" layoutInCell="1" allowOverlap="1" wp14:anchorId="180BF9E7" wp14:editId="1E7EDA2D">
            <wp:simplePos x="0" y="0"/>
            <wp:positionH relativeFrom="column">
              <wp:posOffset>1146172</wp:posOffset>
            </wp:positionH>
            <wp:positionV relativeFrom="paragraph">
              <wp:posOffset>135258</wp:posOffset>
            </wp:positionV>
            <wp:extent cx="3905246" cy="1713869"/>
            <wp:effectExtent l="0" t="0" r="4" b="631"/>
            <wp:wrapNone/>
            <wp:docPr id="95" name="圖片 76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905246" cy="1713869"/>
                    </a:xfrm>
                    <a:prstGeom prst="rect">
                      <a:avLst/>
                    </a:prstGeom>
                    <a:noFill/>
                    <a:ln>
                      <a:noFill/>
                      <a:prstDash/>
                    </a:ln>
                  </pic:spPr>
                </pic:pic>
              </a:graphicData>
            </a:graphic>
          </wp:anchor>
        </w:drawing>
      </w:r>
      <w:r>
        <w:rPr>
          <w:rFonts w:eastAsia="標楷體"/>
          <w:bCs/>
          <w:spacing w:val="-6"/>
          <w:kern w:val="0"/>
          <w:szCs w:val="24"/>
        </w:rPr>
        <w:t>單位</w:t>
      </w:r>
      <w:r>
        <w:rPr>
          <w:rFonts w:eastAsia="標楷體"/>
          <w:bCs/>
          <w:spacing w:val="8"/>
          <w:kern w:val="0"/>
          <w:szCs w:val="24"/>
        </w:rPr>
        <w:t>：</w:t>
      </w:r>
      <w:r>
        <w:rPr>
          <w:rFonts w:eastAsia="標楷體"/>
          <w:bCs/>
          <w:spacing w:val="8"/>
          <w:kern w:val="0"/>
          <w:szCs w:val="24"/>
        </w:rPr>
        <w:t>%</w:t>
      </w:r>
    </w:p>
    <w:p w14:paraId="2DD58E6E" w14:textId="77777777" w:rsidR="00052596" w:rsidRDefault="00052596">
      <w:pPr>
        <w:overflowPunct w:val="0"/>
        <w:autoSpaceDE w:val="0"/>
        <w:spacing w:line="220" w:lineRule="exact"/>
        <w:ind w:left="1617" w:right="389" w:hanging="1382"/>
        <w:jc w:val="both"/>
        <w:textAlignment w:val="center"/>
        <w:rPr>
          <w:rFonts w:eastAsia="標楷體"/>
          <w:bCs/>
          <w:spacing w:val="8"/>
          <w:kern w:val="0"/>
          <w:szCs w:val="24"/>
        </w:rPr>
      </w:pPr>
    </w:p>
    <w:p w14:paraId="74C5D073"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63DAB859"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58DF0FD0"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006E8478"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2ADCA445"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6D96B924"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4A4989C2"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0236BA76"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089BF253"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61AC0922"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1FE749EA" w14:textId="77777777" w:rsidR="00052596" w:rsidRDefault="00052596">
      <w:pPr>
        <w:overflowPunct w:val="0"/>
        <w:autoSpaceDE w:val="0"/>
        <w:spacing w:line="220" w:lineRule="exact"/>
        <w:ind w:left="1401" w:right="389" w:hanging="1166"/>
        <w:jc w:val="both"/>
        <w:textAlignment w:val="center"/>
        <w:rPr>
          <w:rFonts w:ascii="新細明體" w:hAnsi="新細明體"/>
          <w:bCs/>
          <w:spacing w:val="8"/>
          <w:kern w:val="0"/>
          <w:sz w:val="20"/>
        </w:rPr>
      </w:pPr>
    </w:p>
    <w:p w14:paraId="070B6822" w14:textId="77777777" w:rsidR="00052596" w:rsidRDefault="00000000">
      <w:pPr>
        <w:overflowPunct w:val="0"/>
        <w:autoSpaceDE w:val="0"/>
        <w:spacing w:line="220" w:lineRule="exact"/>
        <w:ind w:left="1531" w:right="389" w:hanging="1296"/>
        <w:jc w:val="both"/>
        <w:textAlignment w:val="center"/>
      </w:pPr>
      <w:r>
        <w:rPr>
          <w:noProof/>
        </w:rPr>
        <mc:AlternateContent>
          <mc:Choice Requires="wps">
            <w:drawing>
              <wp:anchor distT="0" distB="0" distL="114300" distR="114300" simplePos="0" relativeHeight="251630080" behindDoc="0" locked="0" layoutInCell="1" allowOverlap="1" wp14:anchorId="0384C03A" wp14:editId="16CF1650">
                <wp:simplePos x="0" y="0"/>
                <wp:positionH relativeFrom="column">
                  <wp:posOffset>1222379</wp:posOffset>
                </wp:positionH>
                <wp:positionV relativeFrom="paragraph">
                  <wp:posOffset>110486</wp:posOffset>
                </wp:positionV>
                <wp:extent cx="790571" cy="264791"/>
                <wp:effectExtent l="0" t="0" r="0" b="1909"/>
                <wp:wrapNone/>
                <wp:docPr id="96" name="文字方塊 7643"/>
                <wp:cNvGraphicFramePr/>
                <a:graphic xmlns:a="http://schemas.openxmlformats.org/drawingml/2006/main">
                  <a:graphicData uri="http://schemas.microsoft.com/office/word/2010/wordprocessingShape">
                    <wps:wsp>
                      <wps:cNvSpPr txBox="1"/>
                      <wps:spPr>
                        <a:xfrm>
                          <a:off x="0" y="0"/>
                          <a:ext cx="790571" cy="264791"/>
                        </a:xfrm>
                        <a:prstGeom prst="rect">
                          <a:avLst/>
                        </a:prstGeom>
                        <a:noFill/>
                        <a:ln>
                          <a:noFill/>
                          <a:prstDash/>
                        </a:ln>
                      </wps:spPr>
                      <wps:txbx>
                        <w:txbxContent>
                          <w:p w14:paraId="43FF2E9A" w14:textId="77777777" w:rsidR="00052596" w:rsidRDefault="00000000">
                            <w:pPr>
                              <w:spacing w:line="280" w:lineRule="exact"/>
                              <w:rPr>
                                <w:rFonts w:ascii="標楷體" w:eastAsia="標楷體" w:hAnsi="標楷體"/>
                                <w:spacing w:val="-6"/>
                              </w:rPr>
                            </w:pPr>
                            <w:r>
                              <w:rPr>
                                <w:rFonts w:ascii="標楷體" w:eastAsia="標楷體" w:hAnsi="標楷體"/>
                                <w:spacing w:val="-6"/>
                              </w:rPr>
                              <w:t>菲律賓</w:t>
                            </w:r>
                          </w:p>
                        </w:txbxContent>
                      </wps:txbx>
                      <wps:bodyPr wrap="square" lIns="91440" tIns="45720" rIns="91440" bIns="45720" anchor="t">
                        <a:noAutofit/>
                      </wps:bodyPr>
                    </wps:wsp>
                  </a:graphicData>
                </a:graphic>
              </wp:anchor>
            </w:drawing>
          </mc:Choice>
          <mc:Fallback>
            <w:pict>
              <v:shape w14:anchorId="0384C03A" id="文字方塊 7643" o:spid="_x0000_s1040" type="#_x0000_t202" style="position:absolute;left:0;text-align:left;margin-left:96.25pt;margin-top:8.7pt;width:62.25pt;height:20.8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" filled="f" stroked="f">
                <v:textbox>
                  <w:txbxContent>
                    <w:p w14:paraId="43FF2E9A" w14:textId="77777777" w:rsidR="00052596" w:rsidRDefault="00000000">
                      <w:pPr>
                        <w:spacing w:line="280" w:lineRule="exact"/>
                        <w:rPr>
                          <w:rFonts w:ascii="標楷體" w:eastAsia="標楷體" w:hAnsi="標楷體"/>
                          <w:spacing w:val="-6"/>
                        </w:rPr>
                      </w:pPr>
                      <w:r>
                        <w:rPr>
                          <w:rFonts w:ascii="標楷體" w:eastAsia="標楷體" w:hAnsi="標楷體"/>
                          <w:spacing w:val="-6"/>
                        </w:rPr>
                        <w:t>菲律賓</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2197B91B" wp14:editId="54A50392">
                <wp:simplePos x="0" y="0"/>
                <wp:positionH relativeFrom="column">
                  <wp:posOffset>2051054</wp:posOffset>
                </wp:positionH>
                <wp:positionV relativeFrom="paragraph">
                  <wp:posOffset>109856</wp:posOffset>
                </wp:positionV>
                <wp:extent cx="571500" cy="285750"/>
                <wp:effectExtent l="0" t="0" r="0" b="0"/>
                <wp:wrapNone/>
                <wp:docPr id="97" name="文字方塊 7642"/>
                <wp:cNvGraphicFramePr/>
                <a:graphic xmlns:a="http://schemas.openxmlformats.org/drawingml/2006/main">
                  <a:graphicData uri="http://schemas.microsoft.com/office/word/2010/wordprocessingShape">
                    <wps:wsp>
                      <wps:cNvSpPr txBox="1"/>
                      <wps:spPr>
                        <a:xfrm>
                          <a:off x="0" y="0"/>
                          <a:ext cx="571500" cy="285750"/>
                        </a:xfrm>
                        <a:prstGeom prst="rect">
                          <a:avLst/>
                        </a:prstGeom>
                        <a:noFill/>
                        <a:ln>
                          <a:noFill/>
                          <a:prstDash/>
                        </a:ln>
                      </wps:spPr>
                      <wps:txbx>
                        <w:txbxContent>
                          <w:p w14:paraId="68F04E15" w14:textId="77777777" w:rsidR="00052596" w:rsidRDefault="00000000">
                            <w:pPr>
                              <w:spacing w:line="280" w:lineRule="exact"/>
                              <w:rPr>
                                <w:rFonts w:ascii="標楷體" w:eastAsia="標楷體" w:hAnsi="標楷體"/>
                                <w:spacing w:val="-6"/>
                              </w:rPr>
                            </w:pPr>
                            <w:r>
                              <w:rPr>
                                <w:rFonts w:ascii="標楷體" w:eastAsia="標楷體" w:hAnsi="標楷體"/>
                                <w:spacing w:val="-6"/>
                              </w:rPr>
                              <w:t>泰 國</w:t>
                            </w:r>
                          </w:p>
                        </w:txbxContent>
                      </wps:txbx>
                      <wps:bodyPr wrap="square" lIns="91440" tIns="45720" rIns="91440" bIns="45720" anchor="t">
                        <a:noAutofit/>
                      </wps:bodyPr>
                    </wps:wsp>
                  </a:graphicData>
                </a:graphic>
              </wp:anchor>
            </w:drawing>
          </mc:Choice>
          <mc:Fallback>
            <w:pict>
              <v:shape w14:anchorId="2197B91B" id="文字方塊 7642" o:spid="_x0000_s1041" type="#_x0000_t202" style="position:absolute;left:0;text-align:left;margin-left:161.5pt;margin-top:8.65pt;width:45pt;height:22.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" filled="f" stroked="f">
                <v:textbox>
                  <w:txbxContent>
                    <w:p w14:paraId="68F04E15" w14:textId="77777777" w:rsidR="00052596" w:rsidRDefault="00000000">
                      <w:pPr>
                        <w:spacing w:line="280" w:lineRule="exact"/>
                        <w:rPr>
                          <w:rFonts w:ascii="標楷體" w:eastAsia="標楷體" w:hAnsi="標楷體"/>
                          <w:spacing w:val="-6"/>
                        </w:rPr>
                      </w:pPr>
                      <w:r>
                        <w:rPr>
                          <w:rFonts w:ascii="標楷體" w:eastAsia="標楷體" w:hAnsi="標楷體"/>
                          <w:spacing w:val="-6"/>
                        </w:rPr>
                        <w:t>泰 國</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5986CBCF" wp14:editId="2345A0E3">
                <wp:simplePos x="0" y="0"/>
                <wp:positionH relativeFrom="column">
                  <wp:posOffset>2803522</wp:posOffset>
                </wp:positionH>
                <wp:positionV relativeFrom="paragraph">
                  <wp:posOffset>119384</wp:posOffset>
                </wp:positionV>
                <wp:extent cx="619121" cy="308610"/>
                <wp:effectExtent l="0" t="0" r="0" b="0"/>
                <wp:wrapNone/>
                <wp:docPr id="98" name="文字方塊 7638"/>
                <wp:cNvGraphicFramePr/>
                <a:graphic xmlns:a="http://schemas.openxmlformats.org/drawingml/2006/main">
                  <a:graphicData uri="http://schemas.microsoft.com/office/word/2010/wordprocessingShape">
                    <wps:wsp>
                      <wps:cNvSpPr txBox="1"/>
                      <wps:spPr>
                        <a:xfrm>
                          <a:off x="0" y="0"/>
                          <a:ext cx="619121" cy="308610"/>
                        </a:xfrm>
                        <a:prstGeom prst="rect">
                          <a:avLst/>
                        </a:prstGeom>
                        <a:noFill/>
                        <a:ln>
                          <a:noFill/>
                          <a:prstDash/>
                        </a:ln>
                      </wps:spPr>
                      <wps:txbx>
                        <w:txbxContent>
                          <w:p w14:paraId="542D7EAC" w14:textId="77777777" w:rsidR="00052596" w:rsidRDefault="00000000">
                            <w:pPr>
                              <w:spacing w:line="280" w:lineRule="exact"/>
                              <w:rPr>
                                <w:rFonts w:ascii="標楷體" w:eastAsia="標楷體" w:hAnsi="標楷體"/>
                                <w:spacing w:val="-6"/>
                              </w:rPr>
                            </w:pPr>
                            <w:r>
                              <w:rPr>
                                <w:rFonts w:ascii="標楷體" w:eastAsia="標楷體" w:hAnsi="標楷體"/>
                                <w:spacing w:val="-6"/>
                              </w:rPr>
                              <w:t>南 韓</w:t>
                            </w:r>
                          </w:p>
                        </w:txbxContent>
                      </wps:txbx>
                      <wps:bodyPr wrap="square" lIns="91440" tIns="45720" rIns="91440" bIns="45720" anchor="t">
                        <a:noAutofit/>
                      </wps:bodyPr>
                    </wps:wsp>
                  </a:graphicData>
                </a:graphic>
              </wp:anchor>
            </w:drawing>
          </mc:Choice>
          <mc:Fallback>
            <w:pict>
              <v:shape w14:anchorId="5986CBCF" id="文字方塊 7638" o:spid="_x0000_s1042" type="#_x0000_t202" style="position:absolute;left:0;text-align:left;margin-left:220.75pt;margin-top:9.4pt;width:48.75pt;height:24.3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" filled="f" stroked="f">
                <v:textbox>
                  <w:txbxContent>
                    <w:p w14:paraId="542D7EAC" w14:textId="77777777" w:rsidR="00052596" w:rsidRDefault="00000000">
                      <w:pPr>
                        <w:spacing w:line="280" w:lineRule="exact"/>
                        <w:rPr>
                          <w:rFonts w:ascii="標楷體" w:eastAsia="標楷體" w:hAnsi="標楷體"/>
                          <w:spacing w:val="-6"/>
                        </w:rPr>
                      </w:pPr>
                      <w:r>
                        <w:rPr>
                          <w:rFonts w:ascii="標楷體" w:eastAsia="標楷體" w:hAnsi="標楷體"/>
                          <w:spacing w:val="-6"/>
                        </w:rPr>
                        <w:t>南 韓</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4139F264" wp14:editId="6714BC92">
                <wp:simplePos x="0" y="0"/>
                <wp:positionH relativeFrom="column">
                  <wp:posOffset>3432172</wp:posOffset>
                </wp:positionH>
                <wp:positionV relativeFrom="paragraph">
                  <wp:posOffset>119384</wp:posOffset>
                </wp:positionV>
                <wp:extent cx="828675" cy="276862"/>
                <wp:effectExtent l="0" t="0" r="0" b="8888"/>
                <wp:wrapNone/>
                <wp:docPr id="99" name="文字方塊 7637"/>
                <wp:cNvGraphicFramePr/>
                <a:graphic xmlns:a="http://schemas.openxmlformats.org/drawingml/2006/main">
                  <a:graphicData uri="http://schemas.microsoft.com/office/word/2010/wordprocessingShape">
                    <wps:wsp>
                      <wps:cNvSpPr txBox="1"/>
                      <wps:spPr>
                        <a:xfrm>
                          <a:off x="0" y="0"/>
                          <a:ext cx="828675" cy="276862"/>
                        </a:xfrm>
                        <a:prstGeom prst="rect">
                          <a:avLst/>
                        </a:prstGeom>
                        <a:noFill/>
                        <a:ln>
                          <a:noFill/>
                          <a:prstDash/>
                        </a:ln>
                      </wps:spPr>
                      <wps:txbx>
                        <w:txbxContent>
                          <w:p w14:paraId="663FF18F" w14:textId="77777777" w:rsidR="00052596" w:rsidRDefault="00000000">
                            <w:pPr>
                              <w:spacing w:line="280" w:lineRule="exact"/>
                              <w:rPr>
                                <w:rFonts w:ascii="標楷體" w:eastAsia="標楷體" w:hAnsi="標楷體"/>
                                <w:spacing w:val="-6"/>
                              </w:rPr>
                            </w:pPr>
                            <w:r>
                              <w:rPr>
                                <w:rFonts w:ascii="標楷體" w:eastAsia="標楷體" w:hAnsi="標楷體"/>
                                <w:spacing w:val="-6"/>
                              </w:rPr>
                              <w:t>馬來西亞</w:t>
                            </w:r>
                          </w:p>
                        </w:txbxContent>
                      </wps:txbx>
                      <wps:bodyPr wrap="square" lIns="91440" tIns="45720" rIns="91440" bIns="45720" anchor="t">
                        <a:noAutofit/>
                      </wps:bodyPr>
                    </wps:wsp>
                  </a:graphicData>
                </a:graphic>
              </wp:anchor>
            </w:drawing>
          </mc:Choice>
          <mc:Fallback>
            <w:pict>
              <v:shape w14:anchorId="4139F264" id="文字方塊 7637" o:spid="_x0000_s1043" type="#_x0000_t202" style="position:absolute;left:0;text-align:left;margin-left:270.25pt;margin-top:9.4pt;width:65.25pt;height:21.8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" filled="f" stroked="f">
                <v:textbox>
                  <w:txbxContent>
                    <w:p w14:paraId="663FF18F" w14:textId="77777777" w:rsidR="00052596" w:rsidRDefault="00000000">
                      <w:pPr>
                        <w:spacing w:line="280" w:lineRule="exact"/>
                        <w:rPr>
                          <w:rFonts w:ascii="標楷體" w:eastAsia="標楷體" w:hAnsi="標楷體"/>
                          <w:spacing w:val="-6"/>
                        </w:rPr>
                      </w:pPr>
                      <w:r>
                        <w:rPr>
                          <w:rFonts w:ascii="標楷體" w:eastAsia="標楷體" w:hAnsi="標楷體"/>
                          <w:spacing w:val="-6"/>
                        </w:rPr>
                        <w:t>馬來西亞</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21930981" wp14:editId="20E052E3">
                <wp:simplePos x="0" y="0"/>
                <wp:positionH relativeFrom="column">
                  <wp:posOffset>4337054</wp:posOffset>
                </wp:positionH>
                <wp:positionV relativeFrom="paragraph">
                  <wp:posOffset>110486</wp:posOffset>
                </wp:positionV>
                <wp:extent cx="676271" cy="282577"/>
                <wp:effectExtent l="0" t="0" r="0" b="3173"/>
                <wp:wrapNone/>
                <wp:docPr id="100" name="文字方塊 7636"/>
                <wp:cNvGraphicFramePr/>
                <a:graphic xmlns:a="http://schemas.openxmlformats.org/drawingml/2006/main">
                  <a:graphicData uri="http://schemas.microsoft.com/office/word/2010/wordprocessingShape">
                    <wps:wsp>
                      <wps:cNvSpPr txBox="1"/>
                      <wps:spPr>
                        <a:xfrm>
                          <a:off x="0" y="0"/>
                          <a:ext cx="676271" cy="282577"/>
                        </a:xfrm>
                        <a:prstGeom prst="rect">
                          <a:avLst/>
                        </a:prstGeom>
                        <a:noFill/>
                        <a:ln>
                          <a:noFill/>
                          <a:prstDash/>
                        </a:ln>
                      </wps:spPr>
                      <wps:txbx>
                        <w:txbxContent>
                          <w:p w14:paraId="5E2F62AB" w14:textId="77777777" w:rsidR="00052596" w:rsidRDefault="00000000">
                            <w:pPr>
                              <w:spacing w:line="280" w:lineRule="exact"/>
                              <w:rPr>
                                <w:rFonts w:ascii="標楷體" w:eastAsia="標楷體" w:hAnsi="標楷體"/>
                                <w:spacing w:val="-6"/>
                              </w:rPr>
                            </w:pPr>
                            <w:r>
                              <w:rPr>
                                <w:rFonts w:ascii="標楷體" w:eastAsia="標楷體" w:hAnsi="標楷體"/>
                                <w:spacing w:val="-6"/>
                              </w:rPr>
                              <w:t>臺 灣</w:t>
                            </w:r>
                          </w:p>
                        </w:txbxContent>
                      </wps:txbx>
                      <wps:bodyPr wrap="square" lIns="91440" tIns="45720" rIns="91440" bIns="45720" anchor="t">
                        <a:noAutofit/>
                      </wps:bodyPr>
                    </wps:wsp>
                  </a:graphicData>
                </a:graphic>
              </wp:anchor>
            </w:drawing>
          </mc:Choice>
          <mc:Fallback>
            <w:pict>
              <v:shape w14:anchorId="21930981" id="文字方塊 7636" o:spid="_x0000_s1044" type="#_x0000_t202" style="position:absolute;left:0;text-align:left;margin-left:341.5pt;margin-top:8.7pt;width:53.25pt;height:22.2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" filled="f" stroked="f">
                <v:textbox>
                  <w:txbxContent>
                    <w:p w14:paraId="5E2F62AB" w14:textId="77777777" w:rsidR="00052596" w:rsidRDefault="00000000">
                      <w:pPr>
                        <w:spacing w:line="280" w:lineRule="exact"/>
                        <w:rPr>
                          <w:rFonts w:ascii="標楷體" w:eastAsia="標楷體" w:hAnsi="標楷體"/>
                          <w:spacing w:val="-6"/>
                        </w:rPr>
                      </w:pPr>
                      <w:r>
                        <w:rPr>
                          <w:rFonts w:ascii="標楷體" w:eastAsia="標楷體" w:hAnsi="標楷體"/>
                          <w:spacing w:val="-6"/>
                        </w:rPr>
                        <w:t>臺 灣</w:t>
                      </w:r>
                    </w:p>
                  </w:txbxContent>
                </v:textbox>
              </v:shape>
            </w:pict>
          </mc:Fallback>
        </mc:AlternateContent>
      </w:r>
    </w:p>
    <w:p w14:paraId="5BA696D3" w14:textId="77777777" w:rsidR="00052596" w:rsidRDefault="00052596">
      <w:pPr>
        <w:overflowPunct w:val="0"/>
        <w:autoSpaceDE w:val="0"/>
        <w:spacing w:before="48" w:line="240" w:lineRule="exact"/>
        <w:ind w:left="2643" w:right="890" w:hanging="1227"/>
        <w:jc w:val="both"/>
        <w:textAlignment w:val="center"/>
        <w:rPr>
          <w:rFonts w:eastAsia="標楷體"/>
          <w:bCs/>
          <w:spacing w:val="8"/>
          <w:kern w:val="0"/>
          <w:sz w:val="22"/>
          <w:szCs w:val="22"/>
        </w:rPr>
      </w:pPr>
    </w:p>
    <w:p w14:paraId="20F4F884" w14:textId="77777777" w:rsidR="00052596" w:rsidRDefault="00000000">
      <w:pPr>
        <w:overflowPunct w:val="0"/>
        <w:autoSpaceDE w:val="0"/>
        <w:spacing w:before="120" w:line="240" w:lineRule="exact"/>
        <w:ind w:left="2643" w:right="566" w:hanging="1227"/>
        <w:jc w:val="both"/>
        <w:textAlignment w:val="center"/>
      </w:pPr>
      <w:r>
        <w:rPr>
          <w:rFonts w:eastAsia="標楷體"/>
          <w:bCs/>
          <w:spacing w:val="8"/>
          <w:kern w:val="0"/>
          <w:sz w:val="22"/>
          <w:szCs w:val="22"/>
        </w:rPr>
        <w:t>資料來源：</w:t>
      </w:r>
      <w:r>
        <w:rPr>
          <w:rFonts w:eastAsia="標楷體"/>
          <w:bCs/>
          <w:kern w:val="0"/>
          <w:sz w:val="22"/>
          <w:szCs w:val="22"/>
        </w:rPr>
        <w:t>IMF</w:t>
      </w:r>
      <w:r>
        <w:rPr>
          <w:rFonts w:ascii="標楷體" w:eastAsia="標楷體" w:hAnsi="標楷體"/>
          <w:bCs/>
          <w:kern w:val="0"/>
          <w:sz w:val="22"/>
          <w:szCs w:val="22"/>
        </w:rPr>
        <w:t>(</w:t>
      </w:r>
      <w:r>
        <w:rPr>
          <w:rFonts w:eastAsia="標楷體"/>
          <w:bCs/>
          <w:kern w:val="0"/>
          <w:sz w:val="22"/>
          <w:szCs w:val="22"/>
        </w:rPr>
        <w:t>2012</w:t>
      </w:r>
      <w:r>
        <w:rPr>
          <w:rFonts w:ascii="標楷體" w:eastAsia="標楷體" w:hAnsi="標楷體"/>
          <w:bCs/>
          <w:kern w:val="0"/>
          <w:sz w:val="22"/>
          <w:szCs w:val="22"/>
        </w:rPr>
        <w:t>)</w:t>
      </w:r>
      <w:r>
        <w:rPr>
          <w:rFonts w:eastAsia="標楷體"/>
          <w:bCs/>
          <w:kern w:val="0"/>
          <w:sz w:val="22"/>
          <w:szCs w:val="22"/>
        </w:rPr>
        <w:t xml:space="preserve">, </w:t>
      </w:r>
      <w:r>
        <w:rPr>
          <w:rFonts w:eastAsia="標楷體"/>
          <w:bCs/>
          <w:i/>
          <w:kern w:val="0"/>
          <w:sz w:val="22"/>
          <w:szCs w:val="22"/>
        </w:rPr>
        <w:t>World Economic Outlook</w:t>
      </w:r>
      <w:r>
        <w:rPr>
          <w:rFonts w:eastAsia="標楷體"/>
          <w:bCs/>
          <w:kern w:val="0"/>
          <w:sz w:val="22"/>
          <w:szCs w:val="22"/>
        </w:rPr>
        <w:t>:</w:t>
      </w:r>
      <w:r>
        <w:rPr>
          <w:rFonts w:eastAsia="標楷體"/>
          <w:bCs/>
          <w:i/>
          <w:kern w:val="0"/>
          <w:sz w:val="22"/>
          <w:szCs w:val="22"/>
        </w:rPr>
        <w:t xml:space="preserve"> Coping with High Debt and Sluggish Growth</w:t>
      </w:r>
      <w:r>
        <w:rPr>
          <w:rFonts w:eastAsia="標楷體"/>
          <w:bCs/>
          <w:kern w:val="0"/>
          <w:sz w:val="22"/>
          <w:szCs w:val="22"/>
        </w:rPr>
        <w:t>, Oct., Washington, D.C.: IMF.</w:t>
      </w:r>
    </w:p>
    <w:p w14:paraId="70EEADF3" w14:textId="77777777" w:rsidR="00052596" w:rsidRDefault="00000000">
      <w:pPr>
        <w:widowControl/>
      </w:pPr>
      <w:r>
        <w:rPr>
          <w:noProof/>
        </w:rPr>
        <w:lastRenderedPageBreak/>
        <mc:AlternateContent>
          <mc:Choice Requires="wpg">
            <w:drawing>
              <wp:anchor distT="0" distB="0" distL="114300" distR="114300" simplePos="0" relativeHeight="251637248" behindDoc="1" locked="0" layoutInCell="1" allowOverlap="1" wp14:anchorId="58D88AB5" wp14:editId="064E1D18">
                <wp:simplePos x="0" y="0"/>
                <wp:positionH relativeFrom="column">
                  <wp:posOffset>215268</wp:posOffset>
                </wp:positionH>
                <wp:positionV relativeFrom="paragraph">
                  <wp:posOffset>3695062</wp:posOffset>
                </wp:positionV>
                <wp:extent cx="4687571" cy="3730624"/>
                <wp:effectExtent l="0" t="0" r="0" b="3176"/>
                <wp:wrapNone/>
                <wp:docPr id="101" name="群組 7630"/>
                <wp:cNvGraphicFramePr/>
                <a:graphic xmlns:a="http://schemas.openxmlformats.org/drawingml/2006/main">
                  <a:graphicData uri="http://schemas.microsoft.com/office/word/2010/wordprocessingGroup">
                    <wpg:wgp>
                      <wpg:cNvGrpSpPr/>
                      <wpg:grpSpPr>
                        <a:xfrm>
                          <a:off x="0" y="0"/>
                          <a:ext cx="4687571" cy="3730624"/>
                          <a:chOff x="0" y="0"/>
                          <a:chExt cx="4687571" cy="3730624"/>
                        </a:xfrm>
                      </wpg:grpSpPr>
                      <pic:pic xmlns:pic="http://schemas.openxmlformats.org/drawingml/2006/picture">
                        <pic:nvPicPr>
                          <pic:cNvPr id="102" name="圖表 12"/>
                          <pic:cNvPicPr>
                            <a:picLocks noChangeAspect="1"/>
                          </pic:cNvPicPr>
                        </pic:nvPicPr>
                        <pic:blipFill>
                          <a:blip r:embed="rId23"/>
                          <a:srcRect/>
                          <a:stretch>
                            <a:fillRect/>
                          </a:stretch>
                        </pic:blipFill>
                        <pic:spPr>
                          <a:xfrm>
                            <a:off x="2414262" y="0"/>
                            <a:ext cx="2261238" cy="1847216"/>
                          </a:xfrm>
                          <a:prstGeom prst="rect">
                            <a:avLst/>
                          </a:prstGeom>
                          <a:noFill/>
                          <a:ln>
                            <a:noFill/>
                            <a:prstDash/>
                          </a:ln>
                        </pic:spPr>
                      </pic:pic>
                      <pic:pic xmlns:pic="http://schemas.openxmlformats.org/drawingml/2006/picture">
                        <pic:nvPicPr>
                          <pic:cNvPr id="103" name="圖表 13"/>
                          <pic:cNvPicPr>
                            <a:picLocks noChangeAspect="1"/>
                          </pic:cNvPicPr>
                        </pic:nvPicPr>
                        <pic:blipFill>
                          <a:blip r:embed="rId24"/>
                          <a:srcRect/>
                          <a:stretch>
                            <a:fillRect/>
                          </a:stretch>
                        </pic:blipFill>
                        <pic:spPr>
                          <a:xfrm>
                            <a:off x="6345" y="0"/>
                            <a:ext cx="2273298" cy="1847216"/>
                          </a:xfrm>
                          <a:prstGeom prst="rect">
                            <a:avLst/>
                          </a:prstGeom>
                          <a:noFill/>
                          <a:ln>
                            <a:noFill/>
                            <a:prstDash/>
                          </a:ln>
                        </pic:spPr>
                      </pic:pic>
                      <wpg:grpSp>
                        <wpg:cNvPr id="104" name="群組 32"/>
                        <wpg:cNvGrpSpPr/>
                        <wpg:grpSpPr>
                          <a:xfrm>
                            <a:off x="0" y="1883408"/>
                            <a:ext cx="4687571" cy="1847216"/>
                            <a:chOff x="0" y="0"/>
                            <a:chExt cx="4687571" cy="1847216"/>
                          </a:xfrm>
                        </wpg:grpSpPr>
                        <pic:pic xmlns:pic="http://schemas.openxmlformats.org/drawingml/2006/picture">
                          <pic:nvPicPr>
                            <pic:cNvPr id="105" name="圖表 1"/>
                            <pic:cNvPicPr>
                              <a:picLocks noChangeAspect="1"/>
                            </pic:cNvPicPr>
                          </pic:nvPicPr>
                          <pic:blipFill>
                            <a:blip r:embed="rId25"/>
                            <a:srcRect/>
                            <a:stretch>
                              <a:fillRect/>
                            </a:stretch>
                          </pic:blipFill>
                          <pic:spPr>
                            <a:xfrm>
                              <a:off x="2426333" y="0"/>
                              <a:ext cx="2261238" cy="1847216"/>
                            </a:xfrm>
                            <a:prstGeom prst="rect">
                              <a:avLst/>
                            </a:prstGeom>
                            <a:noFill/>
                            <a:ln>
                              <a:noFill/>
                              <a:prstDash/>
                            </a:ln>
                          </pic:spPr>
                        </pic:pic>
                        <pic:pic xmlns:pic="http://schemas.openxmlformats.org/drawingml/2006/picture">
                          <pic:nvPicPr>
                            <pic:cNvPr id="106" name="圖表 14"/>
                            <pic:cNvPicPr>
                              <a:picLocks noChangeAspect="1"/>
                            </pic:cNvPicPr>
                          </pic:nvPicPr>
                          <pic:blipFill>
                            <a:blip r:embed="rId26"/>
                            <a:srcRect/>
                            <a:stretch>
                              <a:fillRect/>
                            </a:stretch>
                          </pic:blipFill>
                          <pic:spPr>
                            <a:xfrm>
                              <a:off x="0" y="0"/>
                              <a:ext cx="2255523" cy="1847216"/>
                            </a:xfrm>
                            <a:prstGeom prst="rect">
                              <a:avLst/>
                            </a:prstGeom>
                            <a:noFill/>
                            <a:ln>
                              <a:noFill/>
                              <a:prstDash/>
                            </a:ln>
                          </pic:spPr>
                        </pic:pic>
                      </wpg:grpSp>
                    </wpg:wgp>
                  </a:graphicData>
                </a:graphic>
              </wp:anchor>
            </w:drawing>
          </mc:Choice>
          <mc:Fallback>
            <w:pict>
              <v:group w14:anchorId="0557898A" id="群組 7630" o:spid="_x0000_s1026" style="position:absolute;margin-left:16.95pt;margin-top:290.95pt;width:369.1pt;height:293.75pt;z-index:-251679232" coordsize="46875,37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">
                <v:shape id="圖表 12" o:spid="_x0000_s1027" type="#_x0000_t75" style="position:absolute;left:24142;width:22613;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">
                  <v:imagedata r:id="rId27" o:title=""/>
                </v:shape>
                <v:shape id="圖表 13" o:spid="_x0000_s1028" type="#_x0000_t75" style="position:absolute;left:63;width:22733;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">
                  <v:imagedata r:id="rId28" o:title=""/>
                </v:shape>
                <v:group id="群組 32" o:spid="_x0000_s1029" style="position:absolute;top:18834;width:46875;height:18472" coordsize="46875,1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圖表 1" o:spid="_x0000_s1030" type="#_x0000_t75" style="position:absolute;left:24263;width:22612;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">
                    <v:imagedata r:id="rId29" o:title=""/>
                  </v:shape>
                  <v:shape id="圖表 14" o:spid="_x0000_s1031" type="#_x0000_t75" style="position:absolute;width:22555;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">
                    <v:imagedata r:id="rId30" o:title=""/>
                  </v:shape>
                </v:group>
              </v:group>
            </w:pict>
          </mc:Fallback>
        </mc:AlternateContent>
      </w:r>
      <w:r>
        <w:rPr>
          <w:noProof/>
        </w:rPr>
        <mc:AlternateContent>
          <mc:Choice Requires="wps">
            <w:drawing>
              <wp:anchor distT="0" distB="0" distL="114300" distR="114300" simplePos="0" relativeHeight="251636224" behindDoc="1" locked="0" layoutInCell="1" allowOverlap="1" wp14:anchorId="7DBEE54D" wp14:editId="1F6FB508">
                <wp:simplePos x="0" y="0"/>
                <wp:positionH relativeFrom="column">
                  <wp:posOffset>28575</wp:posOffset>
                </wp:positionH>
                <wp:positionV relativeFrom="paragraph">
                  <wp:posOffset>25402</wp:posOffset>
                </wp:positionV>
                <wp:extent cx="5255898" cy="8136258"/>
                <wp:effectExtent l="0" t="0" r="20952" b="17142"/>
                <wp:wrapNone/>
                <wp:docPr id="107" name="文字方塊 7629"/>
                <wp:cNvGraphicFramePr/>
                <a:graphic xmlns:a="http://schemas.openxmlformats.org/drawingml/2006/main">
                  <a:graphicData uri="http://schemas.microsoft.com/office/word/2010/wordprocessingShape">
                    <wps:wsp>
                      <wps:cNvSpPr txBox="1"/>
                      <wps:spPr>
                        <a:xfrm>
                          <a:off x="0" y="0"/>
                          <a:ext cx="5255898" cy="8136258"/>
                        </a:xfrm>
                        <a:prstGeom prst="rect">
                          <a:avLst/>
                        </a:prstGeom>
                        <a:solidFill>
                          <a:srgbClr val="EFF5FF"/>
                        </a:solidFill>
                        <a:ln w="9528">
                          <a:solidFill>
                            <a:srgbClr val="000000"/>
                          </a:solidFill>
                          <a:prstDash val="solid"/>
                        </a:ln>
                      </wps:spPr>
                      <wps:txbx>
                        <w:txbxContent>
                          <w:p w14:paraId="3B8FCBF4" w14:textId="77777777" w:rsidR="00052596" w:rsidRDefault="00000000">
                            <w:pPr>
                              <w:pStyle w:val="t12"/>
                              <w:spacing w:before="240" w:after="120"/>
                              <w:rPr>
                                <w:color w:val="0000FF"/>
                              </w:rPr>
                            </w:pPr>
                            <w:r>
                              <w:rPr>
                                <w:color w:val="0000FF"/>
                              </w:rPr>
                              <w:t>我國與亞洲貿易整合程度加深</w:t>
                            </w:r>
                          </w:p>
                          <w:p w14:paraId="16901A7F" w14:textId="77777777" w:rsidR="00052596" w:rsidRDefault="00000000">
                            <w:pPr>
                              <w:pStyle w:val="t11"/>
                              <w:spacing w:line="380" w:lineRule="exact"/>
                              <w:ind w:left="72" w:right="72" w:firstLine="472"/>
                            </w:pPr>
                            <w:r>
                              <w:t>亞洲開發銀行(ADB)指出，後金融海嘯時期，亞洲經濟體持續推動經濟再平衡，更重視擴大內需及活絡區域內貿易。過去十年間，亞洲區域內貿易額增至原來的3倍，根據ADB亞洲區域整合中心(ARIC)資料，2011年亞洲區域內貿易占亞洲貿易總額比重更達58.6%。</w:t>
                            </w:r>
                          </w:p>
                          <w:p w14:paraId="31553F39" w14:textId="77777777" w:rsidR="00052596" w:rsidRDefault="00000000">
                            <w:pPr>
                              <w:pStyle w:val="t11"/>
                              <w:spacing w:line="380" w:lineRule="exact"/>
                              <w:ind w:left="308" w:right="72" w:hanging="236"/>
                            </w:pPr>
                            <w:r>
                              <w:t>－</w:t>
                            </w:r>
                            <w:r>
                              <w:rPr>
                                <w:spacing w:val="6"/>
                              </w:rPr>
                              <w:t>1995至2011年間，臺灣對亞洲國家貿易總額由1,144億美元增至3,813億美元，增加233%；臺灣對亞洲貿易比重(臺灣對亞洲貿易額占臺灣貿易總額比重)由52.6%增至64.7%，增加12.1個百分點。此外，臺灣對中國大陸貿易比重則由1995年的1.6%大幅增至2011年的21.6%，增幅達20個百分點，顯示我國對亞洲地區及中國大陸的貿易整合程度不斷提升。</w:t>
                            </w:r>
                          </w:p>
                          <w:p w14:paraId="2E673351" w14:textId="77777777" w:rsidR="00052596" w:rsidRDefault="00000000">
                            <w:pPr>
                              <w:pStyle w:val="t11"/>
                              <w:spacing w:line="380" w:lineRule="exact"/>
                              <w:ind w:left="308" w:right="72" w:hanging="236"/>
                            </w:pPr>
                            <w:r>
                              <w:t>－就亞洲四小龍觀察，我國對亞洲地區及中國大陸的貿易比重雖不及香港，但高於南韓及新加坡。展望未來，政府將持續強化臺灣與亞洲各經濟體的經濟合作，拓展亞洲市場。</w:t>
                            </w:r>
                          </w:p>
                          <w:p w14:paraId="48287A73" w14:textId="77777777" w:rsidR="00052596" w:rsidRDefault="00000000">
                            <w:pPr>
                              <w:pStyle w:val="t11"/>
                              <w:ind w:left="72" w:right="72" w:firstLine="0"/>
                              <w:jc w:val="center"/>
                              <w:rPr>
                                <w:b/>
                                <w:color w:val="0000FF"/>
                              </w:rPr>
                            </w:pPr>
                            <w:r>
                              <w:rPr>
                                <w:b/>
                                <w:color w:val="0000FF"/>
                              </w:rPr>
                              <w:t>亞洲四小龍亞洲區域內貿易的變動趨勢</w:t>
                            </w:r>
                          </w:p>
                          <w:p w14:paraId="53EE6751" w14:textId="77777777" w:rsidR="00052596" w:rsidRDefault="00052596">
                            <w:pPr>
                              <w:pStyle w:val="t115"/>
                              <w:spacing w:line="220" w:lineRule="exact"/>
                              <w:ind w:left="1401" w:right="389" w:hanging="1166"/>
                              <w:rPr>
                                <w:sz w:val="20"/>
                              </w:rPr>
                            </w:pPr>
                          </w:p>
                          <w:p w14:paraId="7BFE6A96" w14:textId="77777777" w:rsidR="00052596" w:rsidRDefault="00052596">
                            <w:pPr>
                              <w:pStyle w:val="t115"/>
                              <w:spacing w:line="220" w:lineRule="exact"/>
                              <w:ind w:left="1401" w:right="389" w:hanging="1166"/>
                              <w:rPr>
                                <w:sz w:val="20"/>
                              </w:rPr>
                            </w:pPr>
                          </w:p>
                          <w:p w14:paraId="6A4BE65D" w14:textId="77777777" w:rsidR="00052596" w:rsidRDefault="00052596">
                            <w:pPr>
                              <w:pStyle w:val="t115"/>
                              <w:spacing w:line="220" w:lineRule="exact"/>
                              <w:ind w:left="1401" w:right="389" w:hanging="1166"/>
                              <w:rPr>
                                <w:sz w:val="20"/>
                              </w:rPr>
                            </w:pPr>
                          </w:p>
                          <w:p w14:paraId="7CD170F2" w14:textId="77777777" w:rsidR="00052596" w:rsidRDefault="00052596">
                            <w:pPr>
                              <w:pStyle w:val="t115"/>
                              <w:spacing w:line="220" w:lineRule="exact"/>
                              <w:ind w:left="1401" w:right="389" w:hanging="1166"/>
                              <w:rPr>
                                <w:sz w:val="20"/>
                              </w:rPr>
                            </w:pPr>
                          </w:p>
                          <w:p w14:paraId="09E6FB17" w14:textId="77777777" w:rsidR="00052596" w:rsidRDefault="00052596">
                            <w:pPr>
                              <w:pStyle w:val="t115"/>
                              <w:spacing w:line="220" w:lineRule="exact"/>
                              <w:ind w:left="1401" w:right="389" w:hanging="1166"/>
                              <w:rPr>
                                <w:sz w:val="20"/>
                              </w:rPr>
                            </w:pPr>
                          </w:p>
                          <w:p w14:paraId="7D3B488A" w14:textId="77777777" w:rsidR="00052596" w:rsidRDefault="00052596">
                            <w:pPr>
                              <w:pStyle w:val="t115"/>
                              <w:spacing w:line="220" w:lineRule="exact"/>
                              <w:ind w:left="1401" w:right="389" w:hanging="1166"/>
                              <w:rPr>
                                <w:sz w:val="20"/>
                              </w:rPr>
                            </w:pPr>
                          </w:p>
                          <w:p w14:paraId="665AD642" w14:textId="77777777" w:rsidR="00052596" w:rsidRDefault="00052596">
                            <w:pPr>
                              <w:pStyle w:val="t115"/>
                              <w:spacing w:line="220" w:lineRule="exact"/>
                              <w:ind w:left="1401" w:right="389" w:hanging="1166"/>
                              <w:rPr>
                                <w:sz w:val="20"/>
                              </w:rPr>
                            </w:pPr>
                          </w:p>
                          <w:p w14:paraId="45DA9331" w14:textId="77777777" w:rsidR="00052596" w:rsidRDefault="00052596">
                            <w:pPr>
                              <w:pStyle w:val="t115"/>
                              <w:spacing w:line="220" w:lineRule="exact"/>
                              <w:ind w:left="1401" w:right="389" w:hanging="1166"/>
                              <w:rPr>
                                <w:sz w:val="20"/>
                              </w:rPr>
                            </w:pPr>
                          </w:p>
                          <w:p w14:paraId="6D4DAA3F" w14:textId="77777777" w:rsidR="00052596" w:rsidRDefault="00052596">
                            <w:pPr>
                              <w:pStyle w:val="t115"/>
                              <w:spacing w:line="220" w:lineRule="exact"/>
                              <w:ind w:left="1401" w:right="389" w:hanging="1166"/>
                              <w:rPr>
                                <w:sz w:val="20"/>
                              </w:rPr>
                            </w:pPr>
                          </w:p>
                          <w:p w14:paraId="57891EDB" w14:textId="77777777" w:rsidR="00052596" w:rsidRDefault="00052596">
                            <w:pPr>
                              <w:pStyle w:val="t115"/>
                              <w:spacing w:line="220" w:lineRule="exact"/>
                              <w:ind w:left="1401" w:right="389" w:hanging="1166"/>
                              <w:rPr>
                                <w:sz w:val="20"/>
                              </w:rPr>
                            </w:pPr>
                          </w:p>
                          <w:p w14:paraId="4271AE05" w14:textId="77777777" w:rsidR="00052596" w:rsidRDefault="00052596">
                            <w:pPr>
                              <w:pStyle w:val="t115"/>
                              <w:spacing w:line="220" w:lineRule="exact"/>
                              <w:ind w:left="1401" w:right="389" w:hanging="1166"/>
                              <w:rPr>
                                <w:sz w:val="20"/>
                              </w:rPr>
                            </w:pPr>
                          </w:p>
                          <w:p w14:paraId="1E2DD654" w14:textId="77777777" w:rsidR="00052596" w:rsidRDefault="00052596">
                            <w:pPr>
                              <w:pStyle w:val="t115"/>
                              <w:spacing w:line="220" w:lineRule="exact"/>
                              <w:ind w:left="1401" w:right="389" w:hanging="1166"/>
                              <w:rPr>
                                <w:sz w:val="20"/>
                              </w:rPr>
                            </w:pPr>
                          </w:p>
                          <w:p w14:paraId="5F840631" w14:textId="77777777" w:rsidR="00052596" w:rsidRDefault="00052596">
                            <w:pPr>
                              <w:pStyle w:val="t115"/>
                              <w:spacing w:line="220" w:lineRule="exact"/>
                              <w:ind w:left="1401" w:right="389" w:hanging="1166"/>
                              <w:rPr>
                                <w:sz w:val="20"/>
                              </w:rPr>
                            </w:pPr>
                          </w:p>
                          <w:p w14:paraId="66EE700C" w14:textId="77777777" w:rsidR="00052596" w:rsidRDefault="00052596">
                            <w:pPr>
                              <w:pStyle w:val="t115"/>
                              <w:spacing w:line="220" w:lineRule="exact"/>
                              <w:ind w:left="1401" w:right="389" w:hanging="1166"/>
                              <w:rPr>
                                <w:sz w:val="20"/>
                              </w:rPr>
                            </w:pPr>
                          </w:p>
                          <w:p w14:paraId="644D6BED" w14:textId="77777777" w:rsidR="00052596" w:rsidRDefault="00052596">
                            <w:pPr>
                              <w:pStyle w:val="t115"/>
                              <w:spacing w:line="220" w:lineRule="exact"/>
                              <w:ind w:left="1401" w:right="389" w:hanging="1166"/>
                              <w:rPr>
                                <w:sz w:val="20"/>
                              </w:rPr>
                            </w:pPr>
                          </w:p>
                          <w:p w14:paraId="09324EB3" w14:textId="77777777" w:rsidR="00052596" w:rsidRDefault="00052596">
                            <w:pPr>
                              <w:pStyle w:val="t115"/>
                              <w:spacing w:line="220" w:lineRule="exact"/>
                              <w:ind w:left="1401" w:right="389" w:hanging="1166"/>
                              <w:rPr>
                                <w:sz w:val="20"/>
                              </w:rPr>
                            </w:pPr>
                          </w:p>
                          <w:p w14:paraId="6A01D635" w14:textId="77777777" w:rsidR="00052596" w:rsidRDefault="00052596">
                            <w:pPr>
                              <w:pStyle w:val="t115"/>
                              <w:spacing w:line="220" w:lineRule="exact"/>
                              <w:ind w:left="1401" w:right="389" w:hanging="1166"/>
                              <w:rPr>
                                <w:sz w:val="20"/>
                              </w:rPr>
                            </w:pPr>
                          </w:p>
                          <w:p w14:paraId="63839D66" w14:textId="77777777" w:rsidR="00052596" w:rsidRDefault="00052596">
                            <w:pPr>
                              <w:pStyle w:val="t115"/>
                              <w:spacing w:line="220" w:lineRule="exact"/>
                              <w:ind w:left="1401" w:right="389" w:hanging="1166"/>
                              <w:rPr>
                                <w:sz w:val="20"/>
                              </w:rPr>
                            </w:pPr>
                          </w:p>
                          <w:p w14:paraId="4B3A2C58" w14:textId="77777777" w:rsidR="00052596" w:rsidRDefault="00052596">
                            <w:pPr>
                              <w:pStyle w:val="t115"/>
                              <w:spacing w:line="220" w:lineRule="exact"/>
                              <w:ind w:left="1401" w:right="389" w:hanging="1166"/>
                              <w:rPr>
                                <w:sz w:val="20"/>
                              </w:rPr>
                            </w:pPr>
                          </w:p>
                          <w:p w14:paraId="11C40117" w14:textId="77777777" w:rsidR="00052596" w:rsidRDefault="00052596">
                            <w:pPr>
                              <w:pStyle w:val="t115"/>
                              <w:spacing w:line="220" w:lineRule="exact"/>
                              <w:ind w:left="1401" w:right="389" w:hanging="1166"/>
                              <w:rPr>
                                <w:sz w:val="20"/>
                              </w:rPr>
                            </w:pPr>
                          </w:p>
                          <w:p w14:paraId="276A9005" w14:textId="77777777" w:rsidR="00052596" w:rsidRDefault="00052596">
                            <w:pPr>
                              <w:pStyle w:val="t115"/>
                              <w:spacing w:line="220" w:lineRule="exact"/>
                              <w:ind w:left="1401" w:right="389" w:hanging="1166"/>
                              <w:rPr>
                                <w:sz w:val="20"/>
                              </w:rPr>
                            </w:pPr>
                          </w:p>
                          <w:p w14:paraId="3E23E04A" w14:textId="77777777" w:rsidR="00052596" w:rsidRDefault="00052596">
                            <w:pPr>
                              <w:pStyle w:val="t115"/>
                              <w:spacing w:line="220" w:lineRule="exact"/>
                              <w:ind w:left="1401" w:right="389" w:hanging="1166"/>
                              <w:rPr>
                                <w:sz w:val="20"/>
                              </w:rPr>
                            </w:pPr>
                          </w:p>
                          <w:p w14:paraId="016053DF" w14:textId="77777777" w:rsidR="00052596" w:rsidRDefault="00052596">
                            <w:pPr>
                              <w:pStyle w:val="t115"/>
                              <w:spacing w:line="220" w:lineRule="exact"/>
                              <w:ind w:left="1401" w:right="389" w:hanging="1166"/>
                              <w:rPr>
                                <w:sz w:val="20"/>
                              </w:rPr>
                            </w:pPr>
                          </w:p>
                          <w:p w14:paraId="677E5572" w14:textId="77777777" w:rsidR="00052596" w:rsidRDefault="00052596">
                            <w:pPr>
                              <w:pStyle w:val="t115"/>
                              <w:spacing w:line="220" w:lineRule="exact"/>
                              <w:ind w:left="1401" w:right="389" w:hanging="1166"/>
                              <w:rPr>
                                <w:sz w:val="20"/>
                              </w:rPr>
                            </w:pPr>
                          </w:p>
                          <w:p w14:paraId="74A0E289" w14:textId="77777777" w:rsidR="00052596" w:rsidRDefault="00052596">
                            <w:pPr>
                              <w:pStyle w:val="t115"/>
                              <w:spacing w:line="220" w:lineRule="exact"/>
                              <w:ind w:left="1401" w:right="389" w:hanging="1166"/>
                              <w:rPr>
                                <w:sz w:val="20"/>
                              </w:rPr>
                            </w:pPr>
                          </w:p>
                          <w:p w14:paraId="5B1F8B31" w14:textId="77777777" w:rsidR="00052596" w:rsidRDefault="00052596">
                            <w:pPr>
                              <w:pStyle w:val="t115"/>
                              <w:spacing w:line="220" w:lineRule="exact"/>
                              <w:ind w:left="1401" w:right="389" w:hanging="1166"/>
                              <w:rPr>
                                <w:sz w:val="20"/>
                              </w:rPr>
                            </w:pPr>
                          </w:p>
                          <w:p w14:paraId="642BC684" w14:textId="77777777" w:rsidR="00052596" w:rsidRDefault="00052596">
                            <w:pPr>
                              <w:pStyle w:val="t115"/>
                              <w:spacing w:line="220" w:lineRule="exact"/>
                              <w:ind w:left="1401" w:right="389" w:hanging="1166"/>
                              <w:rPr>
                                <w:sz w:val="20"/>
                              </w:rPr>
                            </w:pPr>
                          </w:p>
                          <w:p w14:paraId="7E6BAF7C" w14:textId="77777777" w:rsidR="00052596" w:rsidRDefault="00000000">
                            <w:pPr>
                              <w:pStyle w:val="t115"/>
                              <w:spacing w:before="120" w:line="240" w:lineRule="exact"/>
                              <w:ind w:left="1822" w:right="749" w:hanging="454"/>
                              <w:rPr>
                                <w:sz w:val="20"/>
                              </w:rPr>
                            </w:pPr>
                            <w:r>
                              <w:rPr>
                                <w:sz w:val="20"/>
                              </w:rPr>
                              <w:t>註：各國對亞洲(中國大陸)貿易比率，係指該國與亞洲(中國大陸)貿易額占該國貿易總額的比率。數值愈大，表示該國與亞洲(中國大陸)的貿易整合程度愈高。</w:t>
                            </w:r>
                          </w:p>
                          <w:p w14:paraId="043819B8" w14:textId="77777777" w:rsidR="00052596" w:rsidRDefault="00000000">
                            <w:pPr>
                              <w:pStyle w:val="t115"/>
                              <w:spacing w:line="220" w:lineRule="exact"/>
                              <w:ind w:left="1399" w:right="389" w:hanging="691"/>
                            </w:pPr>
                            <w:r>
                              <w:rPr>
                                <w:sz w:val="20"/>
                              </w:rPr>
                              <w:t>資料來源：ADB, Asia Regional Integration Center Database.</w:t>
                            </w:r>
                          </w:p>
                        </w:txbxContent>
                      </wps:txbx>
                      <wps:bodyPr wrap="square" lIns="90004" tIns="0" rIns="90004" bIns="0" anchor="t">
                        <a:noAutofit/>
                      </wps:bodyPr>
                    </wps:wsp>
                  </a:graphicData>
                </a:graphic>
              </wp:anchor>
            </w:drawing>
          </mc:Choice>
          <mc:Fallback>
            <w:pict>
              <v:shape w14:anchorId="7DBEE54D" id="文字方塊 7629" o:spid="_x0000_s1045" type="#_x0000_t202" style="position:absolute;margin-left:2.25pt;margin-top:2pt;width:413.85pt;height:640.6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" fillcolor="#eff5ff" strokeweight=".26467mm">
                <v:textbox inset="2.50011mm,0,2.50011mm,0">
                  <w:txbxContent>
                    <w:p w14:paraId="3B8FCBF4" w14:textId="77777777" w:rsidR="00052596" w:rsidRDefault="00000000">
                      <w:pPr>
                        <w:pStyle w:val="t12"/>
                        <w:spacing w:before="240" w:after="120"/>
                        <w:rPr>
                          <w:color w:val="0000FF"/>
                        </w:rPr>
                      </w:pPr>
                      <w:r>
                        <w:rPr>
                          <w:color w:val="0000FF"/>
                        </w:rPr>
                        <w:t>我國與亞洲貿易整合程度加深</w:t>
                      </w:r>
                    </w:p>
                    <w:p w14:paraId="16901A7F" w14:textId="77777777" w:rsidR="00052596" w:rsidRDefault="00000000">
                      <w:pPr>
                        <w:pStyle w:val="t11"/>
                        <w:spacing w:line="380" w:lineRule="exact"/>
                        <w:ind w:left="72" w:right="72" w:firstLine="472"/>
                      </w:pPr>
                      <w:r>
                        <w:t>亞洲開發銀行(ADB)指出，後金融海嘯時期，亞洲經濟體持續推動經濟再平衡，更重視擴大內需及活絡區域內貿易。過去十年間，亞洲區域內貿易額增至原來的3倍，根據ADB亞洲區域整合中心(ARIC)資料，2011年亞洲區域內貿易占亞洲貿易總額比重更達58.6%。</w:t>
                      </w:r>
                    </w:p>
                    <w:p w14:paraId="31553F39" w14:textId="77777777" w:rsidR="00052596" w:rsidRDefault="00000000">
                      <w:pPr>
                        <w:pStyle w:val="t11"/>
                        <w:spacing w:line="380" w:lineRule="exact"/>
                        <w:ind w:left="308" w:right="72" w:hanging="236"/>
                      </w:pPr>
                      <w:r>
                        <w:t>－</w:t>
                      </w:r>
                      <w:r>
                        <w:rPr>
                          <w:spacing w:val="6"/>
                        </w:rPr>
                        <w:t>1995至2011年間，臺灣對亞洲國家貿易總額由1,144億美元增至3,813億美元，增加233%；臺灣對亞洲貿易比重(臺灣對亞洲貿易額占臺灣貿易總額比重)由52.6%增至64.7%，增加12.1個百分點。此外，臺灣對中國大陸貿易比重則由1995年的1.6%大幅增至2011年的21.6%，增幅達20個百分點，顯示我國對亞洲地區及中國大陸的貿易整合程度不斷提升。</w:t>
                      </w:r>
                    </w:p>
                    <w:p w14:paraId="2E673351" w14:textId="77777777" w:rsidR="00052596" w:rsidRDefault="00000000">
                      <w:pPr>
                        <w:pStyle w:val="t11"/>
                        <w:spacing w:line="380" w:lineRule="exact"/>
                        <w:ind w:left="308" w:right="72" w:hanging="236"/>
                      </w:pPr>
                      <w:r>
                        <w:t>－就亞洲四小龍觀察，我國對亞洲地區及中國大陸的貿易比重雖不及香港，但高於南韓及新加坡。展望未來，政府將持續強化臺灣與亞洲各經濟體的經濟合作，拓展亞洲市場。</w:t>
                      </w:r>
                    </w:p>
                    <w:p w14:paraId="48287A73" w14:textId="77777777" w:rsidR="00052596" w:rsidRDefault="00000000">
                      <w:pPr>
                        <w:pStyle w:val="t11"/>
                        <w:ind w:left="72" w:right="72" w:firstLine="0"/>
                        <w:jc w:val="center"/>
                        <w:rPr>
                          <w:b/>
                          <w:color w:val="0000FF"/>
                        </w:rPr>
                      </w:pPr>
                      <w:r>
                        <w:rPr>
                          <w:b/>
                          <w:color w:val="0000FF"/>
                        </w:rPr>
                        <w:t>亞洲四小龍亞洲區域內貿易的變動趨勢</w:t>
                      </w:r>
                    </w:p>
                    <w:p w14:paraId="53EE6751" w14:textId="77777777" w:rsidR="00052596" w:rsidRDefault="00052596">
                      <w:pPr>
                        <w:pStyle w:val="t115"/>
                        <w:spacing w:line="220" w:lineRule="exact"/>
                        <w:ind w:left="1401" w:right="389" w:hanging="1166"/>
                        <w:rPr>
                          <w:sz w:val="20"/>
                        </w:rPr>
                      </w:pPr>
                    </w:p>
                    <w:p w14:paraId="7BFE6A96" w14:textId="77777777" w:rsidR="00052596" w:rsidRDefault="00052596">
                      <w:pPr>
                        <w:pStyle w:val="t115"/>
                        <w:spacing w:line="220" w:lineRule="exact"/>
                        <w:ind w:left="1401" w:right="389" w:hanging="1166"/>
                        <w:rPr>
                          <w:sz w:val="20"/>
                        </w:rPr>
                      </w:pPr>
                    </w:p>
                    <w:p w14:paraId="6A4BE65D" w14:textId="77777777" w:rsidR="00052596" w:rsidRDefault="00052596">
                      <w:pPr>
                        <w:pStyle w:val="t115"/>
                        <w:spacing w:line="220" w:lineRule="exact"/>
                        <w:ind w:left="1401" w:right="389" w:hanging="1166"/>
                        <w:rPr>
                          <w:sz w:val="20"/>
                        </w:rPr>
                      </w:pPr>
                    </w:p>
                    <w:p w14:paraId="7CD170F2" w14:textId="77777777" w:rsidR="00052596" w:rsidRDefault="00052596">
                      <w:pPr>
                        <w:pStyle w:val="t115"/>
                        <w:spacing w:line="220" w:lineRule="exact"/>
                        <w:ind w:left="1401" w:right="389" w:hanging="1166"/>
                        <w:rPr>
                          <w:sz w:val="20"/>
                        </w:rPr>
                      </w:pPr>
                    </w:p>
                    <w:p w14:paraId="09E6FB17" w14:textId="77777777" w:rsidR="00052596" w:rsidRDefault="00052596">
                      <w:pPr>
                        <w:pStyle w:val="t115"/>
                        <w:spacing w:line="220" w:lineRule="exact"/>
                        <w:ind w:left="1401" w:right="389" w:hanging="1166"/>
                        <w:rPr>
                          <w:sz w:val="20"/>
                        </w:rPr>
                      </w:pPr>
                    </w:p>
                    <w:p w14:paraId="7D3B488A" w14:textId="77777777" w:rsidR="00052596" w:rsidRDefault="00052596">
                      <w:pPr>
                        <w:pStyle w:val="t115"/>
                        <w:spacing w:line="220" w:lineRule="exact"/>
                        <w:ind w:left="1401" w:right="389" w:hanging="1166"/>
                        <w:rPr>
                          <w:sz w:val="20"/>
                        </w:rPr>
                      </w:pPr>
                    </w:p>
                    <w:p w14:paraId="665AD642" w14:textId="77777777" w:rsidR="00052596" w:rsidRDefault="00052596">
                      <w:pPr>
                        <w:pStyle w:val="t115"/>
                        <w:spacing w:line="220" w:lineRule="exact"/>
                        <w:ind w:left="1401" w:right="389" w:hanging="1166"/>
                        <w:rPr>
                          <w:sz w:val="20"/>
                        </w:rPr>
                      </w:pPr>
                    </w:p>
                    <w:p w14:paraId="45DA9331" w14:textId="77777777" w:rsidR="00052596" w:rsidRDefault="00052596">
                      <w:pPr>
                        <w:pStyle w:val="t115"/>
                        <w:spacing w:line="220" w:lineRule="exact"/>
                        <w:ind w:left="1401" w:right="389" w:hanging="1166"/>
                        <w:rPr>
                          <w:sz w:val="20"/>
                        </w:rPr>
                      </w:pPr>
                    </w:p>
                    <w:p w14:paraId="6D4DAA3F" w14:textId="77777777" w:rsidR="00052596" w:rsidRDefault="00052596">
                      <w:pPr>
                        <w:pStyle w:val="t115"/>
                        <w:spacing w:line="220" w:lineRule="exact"/>
                        <w:ind w:left="1401" w:right="389" w:hanging="1166"/>
                        <w:rPr>
                          <w:sz w:val="20"/>
                        </w:rPr>
                      </w:pPr>
                    </w:p>
                    <w:p w14:paraId="57891EDB" w14:textId="77777777" w:rsidR="00052596" w:rsidRDefault="00052596">
                      <w:pPr>
                        <w:pStyle w:val="t115"/>
                        <w:spacing w:line="220" w:lineRule="exact"/>
                        <w:ind w:left="1401" w:right="389" w:hanging="1166"/>
                        <w:rPr>
                          <w:sz w:val="20"/>
                        </w:rPr>
                      </w:pPr>
                    </w:p>
                    <w:p w14:paraId="4271AE05" w14:textId="77777777" w:rsidR="00052596" w:rsidRDefault="00052596">
                      <w:pPr>
                        <w:pStyle w:val="t115"/>
                        <w:spacing w:line="220" w:lineRule="exact"/>
                        <w:ind w:left="1401" w:right="389" w:hanging="1166"/>
                        <w:rPr>
                          <w:sz w:val="20"/>
                        </w:rPr>
                      </w:pPr>
                    </w:p>
                    <w:p w14:paraId="1E2DD654" w14:textId="77777777" w:rsidR="00052596" w:rsidRDefault="00052596">
                      <w:pPr>
                        <w:pStyle w:val="t115"/>
                        <w:spacing w:line="220" w:lineRule="exact"/>
                        <w:ind w:left="1401" w:right="389" w:hanging="1166"/>
                        <w:rPr>
                          <w:sz w:val="20"/>
                        </w:rPr>
                      </w:pPr>
                    </w:p>
                    <w:p w14:paraId="5F840631" w14:textId="77777777" w:rsidR="00052596" w:rsidRDefault="00052596">
                      <w:pPr>
                        <w:pStyle w:val="t115"/>
                        <w:spacing w:line="220" w:lineRule="exact"/>
                        <w:ind w:left="1401" w:right="389" w:hanging="1166"/>
                        <w:rPr>
                          <w:sz w:val="20"/>
                        </w:rPr>
                      </w:pPr>
                    </w:p>
                    <w:p w14:paraId="66EE700C" w14:textId="77777777" w:rsidR="00052596" w:rsidRDefault="00052596">
                      <w:pPr>
                        <w:pStyle w:val="t115"/>
                        <w:spacing w:line="220" w:lineRule="exact"/>
                        <w:ind w:left="1401" w:right="389" w:hanging="1166"/>
                        <w:rPr>
                          <w:sz w:val="20"/>
                        </w:rPr>
                      </w:pPr>
                    </w:p>
                    <w:p w14:paraId="644D6BED" w14:textId="77777777" w:rsidR="00052596" w:rsidRDefault="00052596">
                      <w:pPr>
                        <w:pStyle w:val="t115"/>
                        <w:spacing w:line="220" w:lineRule="exact"/>
                        <w:ind w:left="1401" w:right="389" w:hanging="1166"/>
                        <w:rPr>
                          <w:sz w:val="20"/>
                        </w:rPr>
                      </w:pPr>
                    </w:p>
                    <w:p w14:paraId="09324EB3" w14:textId="77777777" w:rsidR="00052596" w:rsidRDefault="00052596">
                      <w:pPr>
                        <w:pStyle w:val="t115"/>
                        <w:spacing w:line="220" w:lineRule="exact"/>
                        <w:ind w:left="1401" w:right="389" w:hanging="1166"/>
                        <w:rPr>
                          <w:sz w:val="20"/>
                        </w:rPr>
                      </w:pPr>
                    </w:p>
                    <w:p w14:paraId="6A01D635" w14:textId="77777777" w:rsidR="00052596" w:rsidRDefault="00052596">
                      <w:pPr>
                        <w:pStyle w:val="t115"/>
                        <w:spacing w:line="220" w:lineRule="exact"/>
                        <w:ind w:left="1401" w:right="389" w:hanging="1166"/>
                        <w:rPr>
                          <w:sz w:val="20"/>
                        </w:rPr>
                      </w:pPr>
                    </w:p>
                    <w:p w14:paraId="63839D66" w14:textId="77777777" w:rsidR="00052596" w:rsidRDefault="00052596">
                      <w:pPr>
                        <w:pStyle w:val="t115"/>
                        <w:spacing w:line="220" w:lineRule="exact"/>
                        <w:ind w:left="1401" w:right="389" w:hanging="1166"/>
                        <w:rPr>
                          <w:sz w:val="20"/>
                        </w:rPr>
                      </w:pPr>
                    </w:p>
                    <w:p w14:paraId="4B3A2C58" w14:textId="77777777" w:rsidR="00052596" w:rsidRDefault="00052596">
                      <w:pPr>
                        <w:pStyle w:val="t115"/>
                        <w:spacing w:line="220" w:lineRule="exact"/>
                        <w:ind w:left="1401" w:right="389" w:hanging="1166"/>
                        <w:rPr>
                          <w:sz w:val="20"/>
                        </w:rPr>
                      </w:pPr>
                    </w:p>
                    <w:p w14:paraId="11C40117" w14:textId="77777777" w:rsidR="00052596" w:rsidRDefault="00052596">
                      <w:pPr>
                        <w:pStyle w:val="t115"/>
                        <w:spacing w:line="220" w:lineRule="exact"/>
                        <w:ind w:left="1401" w:right="389" w:hanging="1166"/>
                        <w:rPr>
                          <w:sz w:val="20"/>
                        </w:rPr>
                      </w:pPr>
                    </w:p>
                    <w:p w14:paraId="276A9005" w14:textId="77777777" w:rsidR="00052596" w:rsidRDefault="00052596">
                      <w:pPr>
                        <w:pStyle w:val="t115"/>
                        <w:spacing w:line="220" w:lineRule="exact"/>
                        <w:ind w:left="1401" w:right="389" w:hanging="1166"/>
                        <w:rPr>
                          <w:sz w:val="20"/>
                        </w:rPr>
                      </w:pPr>
                    </w:p>
                    <w:p w14:paraId="3E23E04A" w14:textId="77777777" w:rsidR="00052596" w:rsidRDefault="00052596">
                      <w:pPr>
                        <w:pStyle w:val="t115"/>
                        <w:spacing w:line="220" w:lineRule="exact"/>
                        <w:ind w:left="1401" w:right="389" w:hanging="1166"/>
                        <w:rPr>
                          <w:sz w:val="20"/>
                        </w:rPr>
                      </w:pPr>
                    </w:p>
                    <w:p w14:paraId="016053DF" w14:textId="77777777" w:rsidR="00052596" w:rsidRDefault="00052596">
                      <w:pPr>
                        <w:pStyle w:val="t115"/>
                        <w:spacing w:line="220" w:lineRule="exact"/>
                        <w:ind w:left="1401" w:right="389" w:hanging="1166"/>
                        <w:rPr>
                          <w:sz w:val="20"/>
                        </w:rPr>
                      </w:pPr>
                    </w:p>
                    <w:p w14:paraId="677E5572" w14:textId="77777777" w:rsidR="00052596" w:rsidRDefault="00052596">
                      <w:pPr>
                        <w:pStyle w:val="t115"/>
                        <w:spacing w:line="220" w:lineRule="exact"/>
                        <w:ind w:left="1401" w:right="389" w:hanging="1166"/>
                        <w:rPr>
                          <w:sz w:val="20"/>
                        </w:rPr>
                      </w:pPr>
                    </w:p>
                    <w:p w14:paraId="74A0E289" w14:textId="77777777" w:rsidR="00052596" w:rsidRDefault="00052596">
                      <w:pPr>
                        <w:pStyle w:val="t115"/>
                        <w:spacing w:line="220" w:lineRule="exact"/>
                        <w:ind w:left="1401" w:right="389" w:hanging="1166"/>
                        <w:rPr>
                          <w:sz w:val="20"/>
                        </w:rPr>
                      </w:pPr>
                    </w:p>
                    <w:p w14:paraId="5B1F8B31" w14:textId="77777777" w:rsidR="00052596" w:rsidRDefault="00052596">
                      <w:pPr>
                        <w:pStyle w:val="t115"/>
                        <w:spacing w:line="220" w:lineRule="exact"/>
                        <w:ind w:left="1401" w:right="389" w:hanging="1166"/>
                        <w:rPr>
                          <w:sz w:val="20"/>
                        </w:rPr>
                      </w:pPr>
                    </w:p>
                    <w:p w14:paraId="642BC684" w14:textId="77777777" w:rsidR="00052596" w:rsidRDefault="00052596">
                      <w:pPr>
                        <w:pStyle w:val="t115"/>
                        <w:spacing w:line="220" w:lineRule="exact"/>
                        <w:ind w:left="1401" w:right="389" w:hanging="1166"/>
                        <w:rPr>
                          <w:sz w:val="20"/>
                        </w:rPr>
                      </w:pPr>
                    </w:p>
                    <w:p w14:paraId="7E6BAF7C" w14:textId="77777777" w:rsidR="00052596" w:rsidRDefault="00000000">
                      <w:pPr>
                        <w:pStyle w:val="t115"/>
                        <w:spacing w:before="120" w:line="240" w:lineRule="exact"/>
                        <w:ind w:left="1822" w:right="749" w:hanging="454"/>
                        <w:rPr>
                          <w:sz w:val="20"/>
                        </w:rPr>
                      </w:pPr>
                      <w:r>
                        <w:rPr>
                          <w:sz w:val="20"/>
                        </w:rPr>
                        <w:t>註：各國對亞洲(中國大陸)貿易比率，係指該國與亞洲(中國大陸)貿易額占該國貿易總額的比率。數值愈大，表示該國與亞洲(中國大陸)的貿易整合程度愈高。</w:t>
                      </w:r>
                    </w:p>
                    <w:p w14:paraId="043819B8" w14:textId="77777777" w:rsidR="00052596" w:rsidRDefault="00000000">
                      <w:pPr>
                        <w:pStyle w:val="t115"/>
                        <w:spacing w:line="220" w:lineRule="exact"/>
                        <w:ind w:left="1399" w:right="389" w:hanging="691"/>
                      </w:pPr>
                      <w:r>
                        <w:rPr>
                          <w:sz w:val="20"/>
                        </w:rPr>
                        <w:t>資料來源：ADB, Asia Regional Integration Center Database.</w:t>
                      </w:r>
                    </w:p>
                  </w:txbxContent>
                </v:textbox>
              </v:shape>
            </w:pict>
          </mc:Fallback>
        </mc:AlternateContent>
      </w:r>
    </w:p>
    <w:p w14:paraId="0F9446DB" w14:textId="77777777" w:rsidR="00052596" w:rsidRDefault="00052596">
      <w:pPr>
        <w:pageBreakBefore/>
        <w:widowControl/>
      </w:pPr>
    </w:p>
    <w:p w14:paraId="466EF189" w14:textId="77777777" w:rsidR="00052596" w:rsidRDefault="00000000">
      <w:pPr>
        <w:overflowPunct w:val="0"/>
        <w:autoSpaceDE w:val="0"/>
        <w:spacing w:line="400" w:lineRule="exact"/>
        <w:jc w:val="center"/>
        <w:textAlignment w:val="center"/>
      </w:pPr>
      <w:r>
        <w:rPr>
          <w:rFonts w:eastAsia="標楷體"/>
          <w:b/>
          <w:color w:val="0000FF"/>
          <w:kern w:val="0"/>
          <w:sz w:val="28"/>
          <w:szCs w:val="28"/>
        </w:rPr>
        <w:t>貳、產業結構調整與升級</w:t>
      </w:r>
    </w:p>
    <w:p w14:paraId="2934F48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6F95BE20"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近十年來，國內產業持續朝知識、技術密集及節能減碳方向調整升級，惟在產業發展過程中亦顯現若干結構失衡現象。包括：服務業研發投資偏低，創新程度亦不足，對經濟成長貢獻與其占</w:t>
      </w:r>
      <w:r>
        <w:rPr>
          <w:rFonts w:eastAsia="標楷體"/>
          <w:spacing w:val="4"/>
          <w:kern w:val="0"/>
          <w:sz w:val="28"/>
          <w:szCs w:val="26"/>
        </w:rPr>
        <w:t>GDP</w:t>
      </w:r>
      <w:r>
        <w:rPr>
          <w:rFonts w:eastAsia="標楷體"/>
          <w:spacing w:val="4"/>
          <w:kern w:val="0"/>
          <w:sz w:val="28"/>
          <w:szCs w:val="26"/>
        </w:rPr>
        <w:t>比重不對稱；製造業生產及出口過度集中於資訊電子業，且中間產品占出口比重偏高。另海外生產比重過高，亦弱化國內產業分工等。</w:t>
      </w:r>
    </w:p>
    <w:p w14:paraId="5EABBEB8"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為突破上述困境，政府將持續推動「傳統產業全面升級」、「新興產業加速推動」及「三業四化－製造業服務化、服務業科技化與國際化、傳統產業特色化」等策略，運用資訊通信科技</w:t>
      </w:r>
      <w:r>
        <w:rPr>
          <w:rFonts w:ascii="標楷體" w:eastAsia="標楷體" w:hAnsi="標楷體"/>
          <w:spacing w:val="4"/>
          <w:kern w:val="0"/>
          <w:sz w:val="28"/>
          <w:szCs w:val="26"/>
        </w:rPr>
        <w:t>(</w:t>
      </w:r>
      <w:r>
        <w:rPr>
          <w:rFonts w:eastAsia="標楷體"/>
          <w:spacing w:val="4"/>
          <w:kern w:val="0"/>
          <w:sz w:val="28"/>
          <w:szCs w:val="26"/>
        </w:rPr>
        <w:t>ICT</w:t>
      </w:r>
      <w:r>
        <w:rPr>
          <w:rFonts w:ascii="標楷體" w:eastAsia="標楷體" w:hAnsi="標楷體"/>
          <w:spacing w:val="4"/>
          <w:kern w:val="0"/>
          <w:sz w:val="28"/>
          <w:szCs w:val="26"/>
        </w:rPr>
        <w:t>)</w:t>
      </w:r>
      <w:r>
        <w:rPr>
          <w:rFonts w:eastAsia="標楷體"/>
          <w:spacing w:val="4"/>
          <w:kern w:val="0"/>
          <w:sz w:val="28"/>
          <w:szCs w:val="26"/>
        </w:rPr>
        <w:t>與注入</w:t>
      </w:r>
      <w:r>
        <w:rPr>
          <w:rFonts w:eastAsia="標楷體"/>
          <w:spacing w:val="4"/>
          <w:kern w:val="0"/>
          <w:sz w:val="28"/>
          <w:szCs w:val="28"/>
          <w:lang w:bidi="hi-IN"/>
        </w:rPr>
        <w:t>創意美學</w:t>
      </w:r>
      <w:r>
        <w:rPr>
          <w:rFonts w:eastAsia="標楷體"/>
          <w:spacing w:val="4"/>
          <w:kern w:val="0"/>
          <w:sz w:val="28"/>
          <w:szCs w:val="26"/>
        </w:rPr>
        <w:t>、</w:t>
      </w:r>
      <w:r>
        <w:rPr>
          <w:rFonts w:eastAsia="標楷體"/>
          <w:spacing w:val="4"/>
          <w:kern w:val="0"/>
          <w:sz w:val="28"/>
          <w:szCs w:val="28"/>
          <w:lang w:bidi="hi-IN"/>
        </w:rPr>
        <w:t>生態化設計等，提升</w:t>
      </w:r>
      <w:r>
        <w:rPr>
          <w:rFonts w:eastAsia="標楷體"/>
          <w:spacing w:val="4"/>
          <w:kern w:val="0"/>
          <w:sz w:val="28"/>
          <w:szCs w:val="26"/>
        </w:rPr>
        <w:t>傳統產業轉型升級，強化新興產業發展與應用，以及發展可輸出服務業，透過「創新」與「開放」優化產業結構。</w:t>
      </w:r>
    </w:p>
    <w:p w14:paraId="7DC084A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288" w:hanging="288"/>
        <w:jc w:val="both"/>
        <w:textAlignment w:val="center"/>
        <w:rPr>
          <w:rFonts w:eastAsia="標楷體"/>
          <w:b/>
          <w:color w:val="0000FF"/>
          <w:spacing w:val="4"/>
          <w:kern w:val="0"/>
          <w:sz w:val="28"/>
          <w:szCs w:val="22"/>
        </w:rPr>
      </w:pPr>
      <w:r>
        <w:rPr>
          <w:rFonts w:eastAsia="標楷體"/>
          <w:b/>
          <w:color w:val="0000FF"/>
          <w:spacing w:val="4"/>
          <w:kern w:val="0"/>
          <w:sz w:val="28"/>
          <w:szCs w:val="22"/>
        </w:rPr>
        <w:t>一、產業成長與結構變化</w:t>
      </w:r>
    </w:p>
    <w:p w14:paraId="5DAE5635" w14:textId="77777777" w:rsidR="00052596" w:rsidRDefault="00000000">
      <w:pPr>
        <w:overflowPunct w:val="0"/>
        <w:autoSpaceDE w:val="0"/>
        <w:spacing w:line="420" w:lineRule="exact"/>
        <w:ind w:left="240" w:firstLine="576"/>
        <w:jc w:val="both"/>
        <w:textAlignment w:val="center"/>
      </w:pPr>
      <w:r>
        <w:rPr>
          <w:rFonts w:eastAsia="標楷體"/>
          <w:spacing w:val="4"/>
          <w:kern w:val="0"/>
          <w:sz w:val="28"/>
          <w:szCs w:val="26"/>
        </w:rPr>
        <w:t>91</w:t>
      </w:r>
      <w:r>
        <w:rPr>
          <w:rFonts w:eastAsia="標楷體"/>
          <w:spacing w:val="4"/>
          <w:kern w:val="0"/>
          <w:sz w:val="28"/>
          <w:szCs w:val="26"/>
        </w:rPr>
        <w:t>至</w:t>
      </w:r>
      <w:r>
        <w:rPr>
          <w:rFonts w:eastAsia="標楷體"/>
          <w:spacing w:val="4"/>
          <w:kern w:val="0"/>
          <w:sz w:val="28"/>
          <w:szCs w:val="26"/>
        </w:rPr>
        <w:t>100</w:t>
      </w:r>
      <w:r>
        <w:rPr>
          <w:rFonts w:eastAsia="標楷體"/>
          <w:spacing w:val="4"/>
          <w:kern w:val="0"/>
          <w:sz w:val="28"/>
          <w:szCs w:val="26"/>
        </w:rPr>
        <w:t>年間，國內三級產業結構，大致呈現與先進國家相類似的變動型態。農業實質成長率平均</w:t>
      </w:r>
      <w:r>
        <w:rPr>
          <w:rFonts w:eastAsia="標楷體"/>
          <w:spacing w:val="4"/>
          <w:kern w:val="0"/>
          <w:sz w:val="28"/>
          <w:szCs w:val="26"/>
        </w:rPr>
        <w:t>1.41%</w:t>
      </w:r>
      <w:r>
        <w:rPr>
          <w:rFonts w:eastAsia="標楷體"/>
          <w:spacing w:val="4"/>
          <w:kern w:val="0"/>
          <w:sz w:val="28"/>
          <w:szCs w:val="26"/>
        </w:rPr>
        <w:t>，占</w:t>
      </w:r>
      <w:r>
        <w:rPr>
          <w:rFonts w:eastAsia="標楷體"/>
          <w:spacing w:val="4"/>
          <w:kern w:val="0"/>
          <w:sz w:val="28"/>
          <w:szCs w:val="26"/>
        </w:rPr>
        <w:t>GDP</w:t>
      </w:r>
      <w:r>
        <w:rPr>
          <w:rFonts w:eastAsia="標楷體"/>
          <w:spacing w:val="4"/>
          <w:kern w:val="0"/>
          <w:sz w:val="28"/>
          <w:szCs w:val="26"/>
          <w:vertAlign w:val="superscript"/>
        </w:rPr>
        <w:footnoteReference w:customMarkFollows="1" w:id="13"/>
        <w:t>13</w:t>
      </w:r>
      <w:r>
        <w:rPr>
          <w:rFonts w:eastAsia="標楷體"/>
          <w:spacing w:val="4"/>
          <w:kern w:val="0"/>
          <w:sz w:val="28"/>
          <w:szCs w:val="26"/>
        </w:rPr>
        <w:t>比重低於</w:t>
      </w:r>
      <w:r>
        <w:rPr>
          <w:rFonts w:eastAsia="標楷體"/>
          <w:spacing w:val="4"/>
          <w:kern w:val="0"/>
          <w:sz w:val="28"/>
          <w:szCs w:val="26"/>
        </w:rPr>
        <w:t xml:space="preserve">2% </w:t>
      </w:r>
      <w:r>
        <w:rPr>
          <w:rFonts w:ascii="標楷體" w:eastAsia="標楷體" w:hAnsi="標楷體"/>
          <w:spacing w:val="4"/>
          <w:kern w:val="0"/>
          <w:sz w:val="28"/>
          <w:szCs w:val="26"/>
        </w:rPr>
        <w:t>(</w:t>
      </w:r>
      <w:r>
        <w:rPr>
          <w:rFonts w:eastAsia="標楷體"/>
          <w:spacing w:val="4"/>
          <w:kern w:val="0"/>
          <w:sz w:val="28"/>
          <w:szCs w:val="26"/>
        </w:rPr>
        <w:t>100</w:t>
      </w:r>
      <w:r>
        <w:rPr>
          <w:rFonts w:eastAsia="標楷體"/>
          <w:spacing w:val="4"/>
          <w:kern w:val="0"/>
          <w:sz w:val="28"/>
          <w:szCs w:val="26"/>
        </w:rPr>
        <w:t>年為</w:t>
      </w:r>
      <w:r>
        <w:rPr>
          <w:rFonts w:eastAsia="標楷體"/>
          <w:spacing w:val="4"/>
          <w:kern w:val="0"/>
          <w:sz w:val="28"/>
          <w:szCs w:val="26"/>
        </w:rPr>
        <w:t>1.81%</w:t>
      </w:r>
      <w:r>
        <w:rPr>
          <w:rFonts w:ascii="標楷體" w:eastAsia="標楷體" w:hAnsi="標楷體"/>
          <w:spacing w:val="4"/>
          <w:kern w:val="0"/>
          <w:sz w:val="28"/>
          <w:szCs w:val="26"/>
        </w:rPr>
        <w:t>)</w:t>
      </w:r>
      <w:r>
        <w:rPr>
          <w:rFonts w:eastAsia="標楷體"/>
          <w:spacing w:val="4"/>
          <w:kern w:val="0"/>
          <w:sz w:val="28"/>
          <w:szCs w:val="26"/>
        </w:rPr>
        <w:t>；服務業實質成長率平均</w:t>
      </w:r>
      <w:r>
        <w:rPr>
          <w:rFonts w:eastAsia="標楷體"/>
          <w:spacing w:val="4"/>
          <w:kern w:val="0"/>
          <w:sz w:val="28"/>
          <w:szCs w:val="26"/>
        </w:rPr>
        <w:t>3.20%</w:t>
      </w:r>
      <w:r>
        <w:rPr>
          <w:rFonts w:eastAsia="標楷體"/>
          <w:spacing w:val="4"/>
          <w:kern w:val="0"/>
          <w:sz w:val="28"/>
          <w:szCs w:val="26"/>
        </w:rPr>
        <w:t>，占</w:t>
      </w:r>
      <w:r>
        <w:rPr>
          <w:rFonts w:eastAsia="標楷體"/>
          <w:spacing w:val="4"/>
          <w:kern w:val="0"/>
          <w:sz w:val="28"/>
          <w:szCs w:val="26"/>
        </w:rPr>
        <w:t>GDP</w:t>
      </w:r>
      <w:r>
        <w:rPr>
          <w:rFonts w:eastAsia="標楷體"/>
          <w:spacing w:val="4"/>
          <w:kern w:val="0"/>
          <w:sz w:val="28"/>
          <w:szCs w:val="26"/>
        </w:rPr>
        <w:t>比重接近七成</w:t>
      </w:r>
      <w:r>
        <w:rPr>
          <w:rFonts w:ascii="標楷體" w:eastAsia="標楷體" w:hAnsi="標楷體"/>
          <w:spacing w:val="4"/>
          <w:kern w:val="0"/>
          <w:sz w:val="28"/>
          <w:szCs w:val="26"/>
        </w:rPr>
        <w:t>(</w:t>
      </w:r>
      <w:r>
        <w:rPr>
          <w:rFonts w:eastAsia="標楷體"/>
          <w:spacing w:val="4"/>
          <w:kern w:val="0"/>
          <w:sz w:val="28"/>
          <w:szCs w:val="26"/>
        </w:rPr>
        <w:t>100</w:t>
      </w:r>
      <w:r>
        <w:rPr>
          <w:rFonts w:eastAsia="標楷體"/>
          <w:spacing w:val="4"/>
          <w:kern w:val="0"/>
          <w:sz w:val="28"/>
          <w:szCs w:val="26"/>
        </w:rPr>
        <w:t>年為</w:t>
      </w:r>
      <w:r>
        <w:rPr>
          <w:rFonts w:eastAsia="標楷體"/>
          <w:spacing w:val="4"/>
          <w:kern w:val="0"/>
          <w:sz w:val="28"/>
          <w:szCs w:val="26"/>
        </w:rPr>
        <w:t>68.43%</w:t>
      </w:r>
      <w:r>
        <w:rPr>
          <w:rFonts w:ascii="標楷體" w:eastAsia="標楷體" w:hAnsi="標楷體"/>
          <w:spacing w:val="4"/>
          <w:kern w:val="0"/>
          <w:sz w:val="28"/>
          <w:szCs w:val="26"/>
        </w:rPr>
        <w:t>)</w:t>
      </w:r>
      <w:r>
        <w:rPr>
          <w:rFonts w:eastAsia="標楷體"/>
          <w:spacing w:val="4"/>
          <w:kern w:val="0"/>
          <w:sz w:val="28"/>
          <w:szCs w:val="26"/>
        </w:rPr>
        <w:t>；製造業實質成長率平均</w:t>
      </w:r>
      <w:r>
        <w:rPr>
          <w:rFonts w:eastAsia="標楷體"/>
          <w:spacing w:val="4"/>
          <w:kern w:val="0"/>
          <w:sz w:val="28"/>
          <w:szCs w:val="26"/>
        </w:rPr>
        <w:t>8.51%</w:t>
      </w:r>
      <w:r>
        <w:rPr>
          <w:rFonts w:eastAsia="標楷體"/>
          <w:spacing w:val="4"/>
          <w:kern w:val="0"/>
          <w:sz w:val="28"/>
          <w:szCs w:val="26"/>
        </w:rPr>
        <w:t>，占</w:t>
      </w:r>
      <w:r>
        <w:rPr>
          <w:rFonts w:eastAsia="標楷體"/>
          <w:spacing w:val="4"/>
          <w:kern w:val="0"/>
          <w:sz w:val="28"/>
          <w:szCs w:val="26"/>
        </w:rPr>
        <w:t>GDP</w:t>
      </w:r>
      <w:r>
        <w:rPr>
          <w:rFonts w:eastAsia="標楷體"/>
          <w:spacing w:val="4"/>
          <w:kern w:val="0"/>
          <w:sz w:val="28"/>
          <w:szCs w:val="26"/>
        </w:rPr>
        <w:t>比重維持在</w:t>
      </w:r>
      <w:r>
        <w:rPr>
          <w:rFonts w:eastAsia="標楷體"/>
          <w:spacing w:val="4"/>
          <w:kern w:val="0"/>
          <w:sz w:val="28"/>
          <w:szCs w:val="26"/>
        </w:rPr>
        <w:t>23%~27%</w:t>
      </w:r>
      <w:r>
        <w:rPr>
          <w:rFonts w:eastAsia="標楷體"/>
          <w:spacing w:val="4"/>
          <w:kern w:val="0"/>
          <w:sz w:val="28"/>
          <w:szCs w:val="26"/>
        </w:rPr>
        <w:t>之間</w:t>
      </w:r>
      <w:r>
        <w:rPr>
          <w:rFonts w:ascii="標楷體" w:eastAsia="標楷體" w:hAnsi="標楷體"/>
          <w:spacing w:val="4"/>
          <w:kern w:val="0"/>
          <w:sz w:val="28"/>
          <w:szCs w:val="26"/>
        </w:rPr>
        <w:t>(</w:t>
      </w:r>
      <w:r>
        <w:rPr>
          <w:rFonts w:eastAsia="標楷體"/>
          <w:spacing w:val="4"/>
          <w:kern w:val="0"/>
          <w:sz w:val="28"/>
          <w:szCs w:val="26"/>
        </w:rPr>
        <w:t>100</w:t>
      </w:r>
      <w:r>
        <w:rPr>
          <w:rFonts w:eastAsia="標楷體"/>
          <w:spacing w:val="4"/>
          <w:kern w:val="0"/>
          <w:sz w:val="28"/>
          <w:szCs w:val="26"/>
        </w:rPr>
        <w:t>年</w:t>
      </w:r>
      <w:r>
        <w:rPr>
          <w:rFonts w:eastAsia="標楷體"/>
          <w:spacing w:val="4"/>
          <w:kern w:val="0"/>
          <w:sz w:val="28"/>
          <w:szCs w:val="26"/>
        </w:rPr>
        <w:t>25.11%</w:t>
      </w:r>
      <w:r>
        <w:rPr>
          <w:rFonts w:ascii="標楷體" w:eastAsia="標楷體" w:hAnsi="標楷體"/>
          <w:spacing w:val="4"/>
          <w:kern w:val="0"/>
          <w:sz w:val="28"/>
          <w:szCs w:val="26"/>
        </w:rPr>
        <w:t>)</w:t>
      </w:r>
      <w:r>
        <w:rPr>
          <w:rFonts w:eastAsia="標楷體"/>
          <w:spacing w:val="4"/>
          <w:kern w:val="0"/>
          <w:sz w:val="28"/>
          <w:szCs w:val="26"/>
        </w:rPr>
        <w:t>。顯示近十年來，農業對經濟成長的貢獻相對其他產業趨降，製造業與服務業為促進經濟成長的關鍵部門。</w:t>
      </w:r>
    </w:p>
    <w:p w14:paraId="042E1130"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288" w:hanging="288"/>
        <w:jc w:val="both"/>
        <w:textAlignment w:val="center"/>
        <w:rPr>
          <w:rFonts w:eastAsia="標楷體"/>
          <w:b/>
          <w:color w:val="0000FF"/>
          <w:spacing w:val="4"/>
          <w:kern w:val="0"/>
          <w:sz w:val="28"/>
          <w:szCs w:val="22"/>
        </w:rPr>
      </w:pPr>
      <w:r>
        <w:rPr>
          <w:rFonts w:eastAsia="標楷體"/>
          <w:b/>
          <w:color w:val="0000FF"/>
          <w:spacing w:val="4"/>
          <w:kern w:val="0"/>
          <w:sz w:val="28"/>
          <w:szCs w:val="22"/>
        </w:rPr>
        <w:t>二、製造業</w:t>
      </w:r>
    </w:p>
    <w:p w14:paraId="7656216C"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91</w:t>
      </w:r>
      <w:r>
        <w:rPr>
          <w:rFonts w:eastAsia="標楷體"/>
          <w:spacing w:val="4"/>
          <w:kern w:val="0"/>
          <w:sz w:val="28"/>
          <w:szCs w:val="26"/>
        </w:rPr>
        <w:t>至</w:t>
      </w:r>
      <w:r>
        <w:rPr>
          <w:rFonts w:eastAsia="標楷體"/>
          <w:spacing w:val="4"/>
          <w:kern w:val="0"/>
          <w:sz w:val="28"/>
          <w:szCs w:val="26"/>
        </w:rPr>
        <w:t>100</w:t>
      </w:r>
      <w:r>
        <w:rPr>
          <w:rFonts w:eastAsia="標楷體"/>
          <w:spacing w:val="4"/>
          <w:kern w:val="0"/>
          <w:sz w:val="28"/>
          <w:szCs w:val="26"/>
        </w:rPr>
        <w:t>年間，製造業生產、投資及出口在整體經濟均居重要地位。生產方面，占</w:t>
      </w:r>
      <w:r>
        <w:rPr>
          <w:rFonts w:eastAsia="標楷體"/>
          <w:spacing w:val="4"/>
          <w:kern w:val="0"/>
          <w:sz w:val="28"/>
          <w:szCs w:val="26"/>
        </w:rPr>
        <w:t>GDP</w:t>
      </w:r>
      <w:r>
        <w:rPr>
          <w:rFonts w:eastAsia="標楷體"/>
          <w:spacing w:val="4"/>
          <w:kern w:val="0"/>
          <w:sz w:val="28"/>
          <w:szCs w:val="26"/>
        </w:rPr>
        <w:t>比重雖均不及</w:t>
      </w:r>
      <w:r>
        <w:rPr>
          <w:rFonts w:eastAsia="標楷體"/>
          <w:spacing w:val="4"/>
          <w:kern w:val="0"/>
          <w:sz w:val="28"/>
          <w:szCs w:val="26"/>
        </w:rPr>
        <w:t>3</w:t>
      </w:r>
      <w:r>
        <w:rPr>
          <w:rFonts w:eastAsia="標楷體"/>
          <w:spacing w:val="4"/>
          <w:kern w:val="0"/>
          <w:sz w:val="28"/>
          <w:szCs w:val="26"/>
        </w:rPr>
        <w:t>成，但對經濟成長的平均貢獻率卻高達</w:t>
      </w:r>
      <w:r>
        <w:rPr>
          <w:rFonts w:eastAsia="標楷體"/>
          <w:spacing w:val="4"/>
          <w:kern w:val="0"/>
          <w:sz w:val="28"/>
          <w:szCs w:val="26"/>
        </w:rPr>
        <w:t>47.22%</w:t>
      </w:r>
      <w:r>
        <w:rPr>
          <w:rFonts w:eastAsia="標楷體"/>
          <w:spacing w:val="4"/>
          <w:kern w:val="0"/>
          <w:sz w:val="28"/>
          <w:szCs w:val="26"/>
        </w:rPr>
        <w:t>。投資方面，製造業實質固定投資占實質總固定投資比重平均達</w:t>
      </w:r>
      <w:r>
        <w:rPr>
          <w:rFonts w:eastAsia="標楷體"/>
          <w:spacing w:val="4"/>
          <w:kern w:val="0"/>
          <w:sz w:val="28"/>
          <w:szCs w:val="26"/>
        </w:rPr>
        <w:t>39.56%</w:t>
      </w:r>
      <w:r>
        <w:rPr>
          <w:rFonts w:eastAsia="標楷體"/>
          <w:spacing w:val="4"/>
          <w:kern w:val="0"/>
          <w:sz w:val="28"/>
          <w:szCs w:val="26"/>
        </w:rPr>
        <w:t>。出口方面，製造業出口值占商品及</w:t>
      </w:r>
      <w:r>
        <w:rPr>
          <w:rFonts w:eastAsia="標楷體"/>
          <w:spacing w:val="4"/>
          <w:kern w:val="0"/>
          <w:sz w:val="28"/>
          <w:szCs w:val="26"/>
        </w:rPr>
        <w:lastRenderedPageBreak/>
        <w:t>服務輸出總值平均比重更高達</w:t>
      </w:r>
      <w:r>
        <w:rPr>
          <w:rFonts w:eastAsia="標楷體"/>
          <w:spacing w:val="4"/>
          <w:kern w:val="0"/>
          <w:sz w:val="28"/>
          <w:szCs w:val="26"/>
        </w:rPr>
        <w:t>86.81%</w:t>
      </w:r>
      <w:r>
        <w:rPr>
          <w:rFonts w:eastAsia="標楷體"/>
          <w:spacing w:val="4"/>
          <w:kern w:val="0"/>
          <w:sz w:val="28"/>
          <w:szCs w:val="26"/>
        </w:rPr>
        <w:t>，惟因過度集中</w:t>
      </w:r>
      <w:r>
        <w:rPr>
          <w:rFonts w:eastAsia="標楷體"/>
          <w:spacing w:val="4"/>
          <w:kern w:val="0"/>
          <w:sz w:val="28"/>
          <w:szCs w:val="26"/>
        </w:rPr>
        <w:t>ICT</w:t>
      </w:r>
      <w:r>
        <w:rPr>
          <w:rFonts w:eastAsia="標楷體"/>
          <w:spacing w:val="4"/>
          <w:kern w:val="0"/>
          <w:sz w:val="28"/>
          <w:szCs w:val="26"/>
        </w:rPr>
        <w:t>產品，以致易受國際景氣榮枯衝擊，風險相對較高。</w:t>
      </w:r>
    </w:p>
    <w:p w14:paraId="614D14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高度依賴資訊電子業</w:t>
      </w:r>
      <w:r>
        <w:rPr>
          <w:rFonts w:eastAsia="標楷體"/>
          <w:spacing w:val="4"/>
          <w:kern w:val="0"/>
          <w:sz w:val="28"/>
          <w:szCs w:val="22"/>
        </w:rPr>
        <w:t xml:space="preserve"> </w:t>
      </w:r>
    </w:p>
    <w:p w14:paraId="6527FF0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r>
        <w:rPr>
          <w:rFonts w:eastAsia="標楷體"/>
          <w:spacing w:val="4"/>
          <w:kern w:val="0"/>
          <w:sz w:val="28"/>
          <w:szCs w:val="26"/>
        </w:rPr>
        <w:t>－</w:t>
      </w:r>
      <w:r>
        <w:rPr>
          <w:rFonts w:eastAsia="標楷體"/>
          <w:spacing w:val="4"/>
          <w:kern w:val="0"/>
          <w:sz w:val="28"/>
          <w:szCs w:val="26"/>
        </w:rPr>
        <w:t>100</w:t>
      </w:r>
      <w:r>
        <w:rPr>
          <w:rFonts w:eastAsia="標楷體"/>
          <w:spacing w:val="4"/>
          <w:kern w:val="0"/>
          <w:sz w:val="28"/>
          <w:szCs w:val="26"/>
        </w:rPr>
        <w:t>年資訊電子業占製造業生產比重由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34.44%</w:t>
      </w:r>
      <w:r>
        <w:rPr>
          <w:rFonts w:eastAsia="標楷體"/>
          <w:spacing w:val="4"/>
          <w:kern w:val="0"/>
          <w:sz w:val="28"/>
          <w:szCs w:val="26"/>
        </w:rPr>
        <w:t>，上升至</w:t>
      </w:r>
      <w:r>
        <w:rPr>
          <w:rFonts w:eastAsia="標楷體"/>
          <w:spacing w:val="4"/>
          <w:kern w:val="0"/>
          <w:sz w:val="28"/>
          <w:szCs w:val="26"/>
        </w:rPr>
        <w:t>43.54%</w:t>
      </w:r>
      <w:r>
        <w:rPr>
          <w:rFonts w:eastAsia="標楷體"/>
          <w:spacing w:val="4"/>
          <w:kern w:val="0"/>
          <w:sz w:val="28"/>
          <w:szCs w:val="26"/>
        </w:rPr>
        <w:t>，增幅達</w:t>
      </w:r>
      <w:r>
        <w:rPr>
          <w:rFonts w:eastAsia="標楷體"/>
          <w:spacing w:val="4"/>
          <w:kern w:val="0"/>
          <w:sz w:val="28"/>
          <w:szCs w:val="26"/>
        </w:rPr>
        <w:t>9.10</w:t>
      </w:r>
      <w:r>
        <w:rPr>
          <w:rFonts w:eastAsia="標楷體"/>
          <w:spacing w:val="4"/>
          <w:kern w:val="0"/>
          <w:sz w:val="28"/>
          <w:szCs w:val="26"/>
        </w:rPr>
        <w:t>個百分點；同時期傳統產業所占比重則由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65.56%</w:t>
      </w:r>
      <w:r>
        <w:rPr>
          <w:rFonts w:eastAsia="標楷體"/>
          <w:spacing w:val="4"/>
          <w:kern w:val="0"/>
          <w:sz w:val="28"/>
          <w:szCs w:val="26"/>
        </w:rPr>
        <w:t>降至</w:t>
      </w:r>
      <w:r>
        <w:rPr>
          <w:rFonts w:eastAsia="標楷體"/>
          <w:spacing w:val="4"/>
          <w:kern w:val="0"/>
          <w:sz w:val="28"/>
          <w:szCs w:val="26"/>
        </w:rPr>
        <w:t>56.46%</w:t>
      </w:r>
      <w:r>
        <w:rPr>
          <w:rFonts w:eastAsia="標楷體"/>
          <w:spacing w:val="4"/>
          <w:kern w:val="0"/>
          <w:sz w:val="28"/>
          <w:szCs w:val="26"/>
        </w:rPr>
        <w:t>，反映製造業發展持續偏賴資訊電子業。</w:t>
      </w:r>
    </w:p>
    <w:p w14:paraId="4A701F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出口偏重中間產品</w:t>
      </w:r>
    </w:p>
    <w:p w14:paraId="4A62A40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pPr>
      <w:r>
        <w:rPr>
          <w:rFonts w:eastAsia="標楷體"/>
          <w:spacing w:val="4"/>
          <w:kern w:val="0"/>
          <w:sz w:val="28"/>
          <w:szCs w:val="26"/>
        </w:rPr>
        <w:t>－</w:t>
      </w:r>
      <w:r>
        <w:rPr>
          <w:rFonts w:eastAsia="標楷體"/>
          <w:spacing w:val="4"/>
          <w:kern w:val="0"/>
          <w:sz w:val="28"/>
          <w:szCs w:val="26"/>
        </w:rPr>
        <w:t>100</w:t>
      </w:r>
      <w:r>
        <w:rPr>
          <w:rFonts w:eastAsia="標楷體"/>
          <w:spacing w:val="4"/>
          <w:kern w:val="0"/>
          <w:sz w:val="28"/>
          <w:szCs w:val="26"/>
        </w:rPr>
        <w:t>年中間產品占總出口比重由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61.51%</w:t>
      </w:r>
      <w:r>
        <w:rPr>
          <w:rFonts w:eastAsia="標楷體"/>
          <w:spacing w:val="4"/>
          <w:kern w:val="0"/>
          <w:sz w:val="28"/>
          <w:szCs w:val="26"/>
        </w:rPr>
        <w:t>上升至</w:t>
      </w:r>
      <w:r>
        <w:rPr>
          <w:rFonts w:eastAsia="標楷體"/>
          <w:spacing w:val="4"/>
          <w:kern w:val="0"/>
          <w:sz w:val="28"/>
          <w:szCs w:val="26"/>
        </w:rPr>
        <w:t>73.85%</w:t>
      </w:r>
      <w:r>
        <w:rPr>
          <w:rFonts w:eastAsia="標楷體"/>
          <w:spacing w:val="4"/>
          <w:kern w:val="0"/>
          <w:sz w:val="28"/>
          <w:szCs w:val="26"/>
        </w:rPr>
        <w:t>，突顯中、上游中間產品出口比重愈趨提高；最終產品</w:t>
      </w:r>
      <w:r>
        <w:rPr>
          <w:rFonts w:ascii="標楷體" w:eastAsia="標楷體" w:hAnsi="標楷體"/>
          <w:spacing w:val="4"/>
          <w:kern w:val="0"/>
          <w:sz w:val="28"/>
          <w:szCs w:val="26"/>
        </w:rPr>
        <w:t>(</w:t>
      </w:r>
      <w:r>
        <w:rPr>
          <w:rFonts w:eastAsia="標楷體"/>
          <w:spacing w:val="4"/>
          <w:kern w:val="0"/>
          <w:sz w:val="28"/>
          <w:szCs w:val="26"/>
        </w:rPr>
        <w:t>大多數是消費性產品</w:t>
      </w:r>
      <w:r>
        <w:rPr>
          <w:rFonts w:ascii="標楷體" w:eastAsia="標楷體" w:hAnsi="標楷體"/>
          <w:spacing w:val="4"/>
          <w:kern w:val="0"/>
          <w:sz w:val="28"/>
          <w:szCs w:val="26"/>
        </w:rPr>
        <w:t>)</w:t>
      </w:r>
      <w:r>
        <w:rPr>
          <w:rFonts w:eastAsia="標楷體"/>
          <w:spacing w:val="4"/>
          <w:kern w:val="0"/>
          <w:sz w:val="28"/>
          <w:szCs w:val="26"/>
        </w:rPr>
        <w:t>出口比重愈趨降低，亟需提升。</w:t>
      </w:r>
    </w:p>
    <w:p w14:paraId="453ACC7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製造業附加價值率持續下降，加深微利化困境</w:t>
      </w:r>
    </w:p>
    <w:p w14:paraId="7BC31F6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r>
        <w:rPr>
          <w:rFonts w:eastAsia="標楷體"/>
          <w:spacing w:val="4"/>
          <w:kern w:val="0"/>
          <w:sz w:val="28"/>
          <w:szCs w:val="26"/>
        </w:rPr>
        <w:t>－近年來，在全球化競爭加劇下，各國製造業附加價值率大多呈趨降型態，</w:t>
      </w:r>
      <w:r>
        <w:rPr>
          <w:rFonts w:eastAsia="標楷體"/>
          <w:spacing w:val="4"/>
          <w:kern w:val="0"/>
          <w:sz w:val="28"/>
          <w:szCs w:val="26"/>
        </w:rPr>
        <w:t>100</w:t>
      </w:r>
      <w:r>
        <w:rPr>
          <w:rFonts w:eastAsia="標楷體"/>
          <w:spacing w:val="4"/>
          <w:kern w:val="0"/>
          <w:sz w:val="28"/>
          <w:szCs w:val="26"/>
        </w:rPr>
        <w:t>年我國製造業附加價值率</w:t>
      </w:r>
      <w:r>
        <w:rPr>
          <w:rFonts w:eastAsia="標楷體"/>
          <w:spacing w:val="4"/>
          <w:kern w:val="0"/>
          <w:sz w:val="28"/>
          <w:szCs w:val="26"/>
        </w:rPr>
        <w:t>20.23%</w:t>
      </w:r>
      <w:r>
        <w:rPr>
          <w:rFonts w:eastAsia="標楷體"/>
          <w:spacing w:val="4"/>
          <w:kern w:val="0"/>
          <w:sz w:val="28"/>
          <w:szCs w:val="26"/>
        </w:rPr>
        <w:t>，較</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27.46%</w:t>
      </w:r>
      <w:r>
        <w:rPr>
          <w:rFonts w:eastAsia="標楷體"/>
          <w:spacing w:val="4"/>
          <w:kern w:val="0"/>
          <w:sz w:val="28"/>
          <w:szCs w:val="26"/>
        </w:rPr>
        <w:t>，下降</w:t>
      </w:r>
      <w:r>
        <w:rPr>
          <w:rFonts w:eastAsia="標楷體"/>
          <w:spacing w:val="4"/>
          <w:kern w:val="0"/>
          <w:sz w:val="28"/>
          <w:szCs w:val="26"/>
        </w:rPr>
        <w:t>7.23</w:t>
      </w:r>
      <w:r>
        <w:rPr>
          <w:rFonts w:eastAsia="標楷體"/>
          <w:spacing w:val="4"/>
          <w:kern w:val="0"/>
          <w:sz w:val="28"/>
          <w:szCs w:val="26"/>
        </w:rPr>
        <w:t>個百分點。若以</w:t>
      </w:r>
      <w:r>
        <w:rPr>
          <w:rFonts w:eastAsia="標楷體"/>
          <w:spacing w:val="4"/>
          <w:kern w:val="0"/>
          <w:sz w:val="28"/>
          <w:szCs w:val="26"/>
        </w:rPr>
        <w:t>90</w:t>
      </w:r>
      <w:r>
        <w:rPr>
          <w:rFonts w:eastAsia="標楷體"/>
          <w:spacing w:val="4"/>
          <w:kern w:val="0"/>
          <w:sz w:val="28"/>
          <w:szCs w:val="26"/>
        </w:rPr>
        <w:t>至</w:t>
      </w:r>
      <w:r>
        <w:rPr>
          <w:rFonts w:eastAsia="標楷體"/>
          <w:spacing w:val="4"/>
          <w:kern w:val="0"/>
          <w:sz w:val="28"/>
          <w:szCs w:val="26"/>
        </w:rPr>
        <w:t>99</w:t>
      </w:r>
      <w:r>
        <w:rPr>
          <w:rFonts w:eastAsia="標楷體"/>
          <w:spacing w:val="4"/>
          <w:kern w:val="0"/>
          <w:sz w:val="28"/>
          <w:szCs w:val="26"/>
        </w:rPr>
        <w:t>年間進行國際比</w:t>
      </w:r>
    </w:p>
    <w:p w14:paraId="0799F198" w14:textId="77777777" w:rsidR="00052596" w:rsidRDefault="00000000">
      <w:pPr>
        <w:overflowPunct w:val="0"/>
        <w:autoSpaceDE w:val="0"/>
        <w:snapToGrid w:val="0"/>
        <w:spacing w:before="240" w:after="120" w:line="320" w:lineRule="exact"/>
        <w:jc w:val="center"/>
        <w:textAlignment w:val="center"/>
        <w:rPr>
          <w:rFonts w:eastAsia="標楷體"/>
          <w:b/>
          <w:color w:val="0000FF"/>
          <w:kern w:val="0"/>
          <w:sz w:val="25"/>
          <w:szCs w:val="22"/>
        </w:rPr>
      </w:pPr>
      <w:r>
        <w:rPr>
          <w:rFonts w:eastAsia="標楷體"/>
          <w:b/>
          <w:color w:val="0000FF"/>
          <w:kern w:val="0"/>
          <w:sz w:val="25"/>
          <w:szCs w:val="22"/>
        </w:rPr>
        <w:t>表</w:t>
      </w:r>
      <w:r>
        <w:rPr>
          <w:rFonts w:eastAsia="標楷體"/>
          <w:b/>
          <w:color w:val="0000FF"/>
          <w:kern w:val="0"/>
          <w:sz w:val="25"/>
          <w:szCs w:val="22"/>
        </w:rPr>
        <w:t>1.2.5</w:t>
      </w:r>
      <w:r>
        <w:rPr>
          <w:rFonts w:eastAsia="標楷體"/>
          <w:b/>
          <w:color w:val="0000FF"/>
          <w:kern w:val="0"/>
          <w:sz w:val="25"/>
          <w:szCs w:val="22"/>
        </w:rPr>
        <w:t xml:space="preserve">　製造業與服務業占</w:t>
      </w:r>
      <w:r>
        <w:rPr>
          <w:rFonts w:eastAsia="標楷體"/>
          <w:b/>
          <w:color w:val="0000FF"/>
          <w:kern w:val="0"/>
          <w:sz w:val="25"/>
          <w:szCs w:val="22"/>
        </w:rPr>
        <w:t>GDP</w:t>
      </w:r>
      <w:r>
        <w:rPr>
          <w:rFonts w:eastAsia="標楷體"/>
          <w:b/>
          <w:color w:val="0000FF"/>
          <w:kern w:val="0"/>
          <w:sz w:val="25"/>
          <w:szCs w:val="22"/>
        </w:rPr>
        <w:t>比重及對經濟成長貢獻率</w:t>
      </w:r>
    </w:p>
    <w:p w14:paraId="37D608E5" w14:textId="77777777" w:rsidR="00052596" w:rsidRDefault="00000000">
      <w:pPr>
        <w:tabs>
          <w:tab w:val="left" w:pos="960"/>
          <w:tab w:val="left" w:pos="1920"/>
          <w:tab w:val="left" w:pos="2880"/>
          <w:tab w:val="left" w:pos="3840"/>
          <w:tab w:val="left" w:pos="4800"/>
          <w:tab w:val="left" w:pos="5760"/>
        </w:tabs>
        <w:wordWrap w:val="0"/>
        <w:overflowPunct w:val="0"/>
        <w:autoSpaceDE w:val="0"/>
        <w:spacing w:line="280" w:lineRule="exact"/>
        <w:jc w:val="right"/>
        <w:textAlignment w:val="center"/>
        <w:rPr>
          <w:rFonts w:eastAsia="標楷體"/>
          <w:spacing w:val="4"/>
          <w:kern w:val="0"/>
          <w:sz w:val="22"/>
          <w:szCs w:val="22"/>
        </w:rPr>
      </w:pPr>
      <w:r>
        <w:rPr>
          <w:rFonts w:eastAsia="標楷體"/>
          <w:spacing w:val="4"/>
          <w:kern w:val="0"/>
          <w:sz w:val="22"/>
          <w:szCs w:val="22"/>
        </w:rPr>
        <w:t>單位：</w:t>
      </w:r>
      <w:r>
        <w:rPr>
          <w:rFonts w:eastAsia="標楷體"/>
          <w:spacing w:val="4"/>
          <w:kern w:val="0"/>
          <w:sz w:val="22"/>
          <w:szCs w:val="22"/>
        </w:rPr>
        <w:t>%</w:t>
      </w:r>
    </w:p>
    <w:tbl>
      <w:tblPr>
        <w:tblW w:w="8587" w:type="dxa"/>
        <w:jc w:val="center"/>
        <w:tblLayout w:type="fixed"/>
        <w:tblCellMar>
          <w:left w:w="10" w:type="dxa"/>
          <w:right w:w="10" w:type="dxa"/>
        </w:tblCellMar>
        <w:tblLook w:val="04A0" w:firstRow="1" w:lastRow="0" w:firstColumn="1" w:lastColumn="0" w:noHBand="0" w:noVBand="1"/>
      </w:tblPr>
      <w:tblGrid>
        <w:gridCol w:w="567"/>
        <w:gridCol w:w="934"/>
        <w:gridCol w:w="935"/>
        <w:gridCol w:w="918"/>
        <w:gridCol w:w="918"/>
        <w:gridCol w:w="919"/>
        <w:gridCol w:w="866"/>
        <w:gridCol w:w="843"/>
        <w:gridCol w:w="843"/>
        <w:gridCol w:w="844"/>
      </w:tblGrid>
      <w:tr w:rsidR="00052596" w14:paraId="2F87FB4C" w14:textId="77777777">
        <w:tblPrEx>
          <w:tblCellMar>
            <w:top w:w="0" w:type="dxa"/>
            <w:bottom w:w="0" w:type="dxa"/>
          </w:tblCellMar>
        </w:tblPrEx>
        <w:trPr>
          <w:trHeight w:val="438"/>
          <w:jc w:val="center"/>
        </w:trPr>
        <w:tc>
          <w:tcPr>
            <w:tcW w:w="567" w:type="dxa"/>
            <w:vMerge w:val="restart"/>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29200745"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年別</w:t>
            </w:r>
          </w:p>
        </w:tc>
        <w:tc>
          <w:tcPr>
            <w:tcW w:w="1869"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CC39FE2"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占名目</w:t>
            </w:r>
            <w:r>
              <w:rPr>
                <w:rFonts w:eastAsia="標楷體"/>
                <w:kern w:val="0"/>
                <w:sz w:val="25"/>
                <w:szCs w:val="25"/>
              </w:rPr>
              <w:t>GDP</w:t>
            </w:r>
            <w:r>
              <w:rPr>
                <w:rFonts w:eastAsia="標楷體"/>
                <w:kern w:val="0"/>
                <w:sz w:val="25"/>
                <w:szCs w:val="25"/>
              </w:rPr>
              <w:t>比重</w:t>
            </w:r>
          </w:p>
        </w:tc>
        <w:tc>
          <w:tcPr>
            <w:tcW w:w="2755" w:type="dxa"/>
            <w:gridSpan w:val="3"/>
            <w:tcBorders>
              <w:top w:val="single" w:sz="6" w:space="0" w:color="000000"/>
              <w:left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07D97553"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實質成長率</w:t>
            </w:r>
          </w:p>
        </w:tc>
        <w:tc>
          <w:tcPr>
            <w:tcW w:w="3396" w:type="dxa"/>
            <w:gridSpan w:val="4"/>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3C76AAEC"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對</w:t>
            </w:r>
            <w:r>
              <w:rPr>
                <w:rFonts w:eastAsia="標楷體"/>
                <w:kern w:val="0"/>
                <w:sz w:val="25"/>
                <w:szCs w:val="25"/>
              </w:rPr>
              <w:t>GDP</w:t>
            </w:r>
            <w:r>
              <w:rPr>
                <w:rFonts w:eastAsia="標楷體"/>
                <w:kern w:val="0"/>
                <w:sz w:val="25"/>
                <w:szCs w:val="25"/>
              </w:rPr>
              <w:t>成長貢獻率</w:t>
            </w:r>
          </w:p>
        </w:tc>
      </w:tr>
      <w:tr w:rsidR="00052596" w14:paraId="1E85CA0E" w14:textId="77777777">
        <w:tblPrEx>
          <w:tblCellMar>
            <w:top w:w="0" w:type="dxa"/>
            <w:bottom w:w="0" w:type="dxa"/>
          </w:tblCellMar>
        </w:tblPrEx>
        <w:trPr>
          <w:trHeight w:val="114"/>
          <w:jc w:val="center"/>
        </w:trPr>
        <w:tc>
          <w:tcPr>
            <w:tcW w:w="567" w:type="dxa"/>
            <w:vMerge/>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EC06B1A" w14:textId="77777777" w:rsidR="00052596" w:rsidRDefault="00052596">
            <w:pPr>
              <w:widowControl/>
              <w:autoSpaceDE w:val="0"/>
              <w:spacing w:line="320" w:lineRule="exact"/>
              <w:jc w:val="center"/>
              <w:rPr>
                <w:rFonts w:eastAsia="標楷體"/>
                <w:kern w:val="0"/>
                <w:sz w:val="25"/>
                <w:szCs w:val="25"/>
              </w:rPr>
            </w:pPr>
          </w:p>
        </w:tc>
        <w:tc>
          <w:tcPr>
            <w:tcW w:w="934"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6D98BC8"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製造業</w:t>
            </w:r>
          </w:p>
        </w:tc>
        <w:tc>
          <w:tcPr>
            <w:tcW w:w="935"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62D42822"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服務業</w:t>
            </w:r>
          </w:p>
        </w:tc>
        <w:tc>
          <w:tcPr>
            <w:tcW w:w="918"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0148E33"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GDP</w:t>
            </w:r>
          </w:p>
        </w:tc>
        <w:tc>
          <w:tcPr>
            <w:tcW w:w="918" w:type="dxa"/>
            <w:vMerge w:val="restart"/>
            <w:tcBorders>
              <w:top w:val="single" w:sz="6" w:space="0" w:color="000000"/>
              <w:left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2F9FF8F2"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製造業</w:t>
            </w:r>
          </w:p>
        </w:tc>
        <w:tc>
          <w:tcPr>
            <w:tcW w:w="919"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271E1B28"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服務業</w:t>
            </w:r>
          </w:p>
        </w:tc>
        <w:tc>
          <w:tcPr>
            <w:tcW w:w="866"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9049A55"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GDP</w:t>
            </w:r>
          </w:p>
        </w:tc>
        <w:tc>
          <w:tcPr>
            <w:tcW w:w="843" w:type="dxa"/>
            <w:vMerge w:val="restart"/>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50A18FB0"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工業</w:t>
            </w:r>
          </w:p>
        </w:tc>
        <w:tc>
          <w:tcPr>
            <w:tcW w:w="843" w:type="dxa"/>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6112207D" w14:textId="77777777" w:rsidR="00052596" w:rsidRDefault="00052596">
            <w:pPr>
              <w:widowControl/>
              <w:autoSpaceDE w:val="0"/>
              <w:snapToGrid w:val="0"/>
              <w:spacing w:line="320" w:lineRule="exact"/>
              <w:jc w:val="center"/>
              <w:rPr>
                <w:rFonts w:eastAsia="標楷體"/>
                <w:kern w:val="0"/>
                <w:sz w:val="25"/>
                <w:szCs w:val="25"/>
              </w:rPr>
            </w:pPr>
          </w:p>
        </w:tc>
        <w:tc>
          <w:tcPr>
            <w:tcW w:w="844" w:type="dxa"/>
            <w:vMerge w:val="restart"/>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0F75352D"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服務業</w:t>
            </w:r>
          </w:p>
        </w:tc>
      </w:tr>
      <w:tr w:rsidR="00052596" w14:paraId="56EA1D33" w14:textId="77777777">
        <w:tblPrEx>
          <w:tblCellMar>
            <w:top w:w="0" w:type="dxa"/>
            <w:bottom w:w="0" w:type="dxa"/>
          </w:tblCellMar>
        </w:tblPrEx>
        <w:trPr>
          <w:trHeight w:val="326"/>
          <w:jc w:val="center"/>
        </w:trPr>
        <w:tc>
          <w:tcPr>
            <w:tcW w:w="567" w:type="dxa"/>
            <w:vMerge/>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DA5323D" w14:textId="77777777" w:rsidR="00052596" w:rsidRDefault="00052596">
            <w:pPr>
              <w:widowControl/>
              <w:autoSpaceDE w:val="0"/>
              <w:spacing w:line="320" w:lineRule="exact"/>
              <w:jc w:val="center"/>
              <w:rPr>
                <w:rFonts w:eastAsia="標楷體"/>
                <w:kern w:val="0"/>
                <w:sz w:val="25"/>
                <w:szCs w:val="25"/>
              </w:rPr>
            </w:pPr>
          </w:p>
        </w:tc>
        <w:tc>
          <w:tcPr>
            <w:tcW w:w="934"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1584F5A6" w14:textId="77777777" w:rsidR="00052596" w:rsidRDefault="00052596">
            <w:pPr>
              <w:widowControl/>
              <w:autoSpaceDE w:val="0"/>
              <w:spacing w:line="320" w:lineRule="exact"/>
              <w:jc w:val="center"/>
              <w:rPr>
                <w:rFonts w:eastAsia="標楷體"/>
                <w:kern w:val="0"/>
                <w:sz w:val="25"/>
                <w:szCs w:val="25"/>
              </w:rPr>
            </w:pPr>
          </w:p>
        </w:tc>
        <w:tc>
          <w:tcPr>
            <w:tcW w:w="935"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28D0B095" w14:textId="77777777" w:rsidR="00052596" w:rsidRDefault="00052596">
            <w:pPr>
              <w:widowControl/>
              <w:autoSpaceDE w:val="0"/>
              <w:spacing w:line="320" w:lineRule="exact"/>
              <w:jc w:val="center"/>
              <w:rPr>
                <w:rFonts w:eastAsia="標楷體"/>
                <w:kern w:val="0"/>
                <w:sz w:val="25"/>
                <w:szCs w:val="25"/>
              </w:rPr>
            </w:pPr>
          </w:p>
        </w:tc>
        <w:tc>
          <w:tcPr>
            <w:tcW w:w="918"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6912FE59" w14:textId="77777777" w:rsidR="00052596" w:rsidRDefault="00052596">
            <w:pPr>
              <w:widowControl/>
              <w:autoSpaceDE w:val="0"/>
              <w:spacing w:line="320" w:lineRule="exact"/>
              <w:jc w:val="center"/>
              <w:rPr>
                <w:rFonts w:eastAsia="標楷體"/>
                <w:kern w:val="0"/>
                <w:sz w:val="25"/>
                <w:szCs w:val="25"/>
              </w:rPr>
            </w:pPr>
          </w:p>
        </w:tc>
        <w:tc>
          <w:tcPr>
            <w:tcW w:w="918" w:type="dxa"/>
            <w:vMerge/>
            <w:tcBorders>
              <w:top w:val="single" w:sz="6" w:space="0" w:color="000000"/>
              <w:left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18B47B58" w14:textId="77777777" w:rsidR="00052596" w:rsidRDefault="00052596">
            <w:pPr>
              <w:widowControl/>
              <w:autoSpaceDE w:val="0"/>
              <w:spacing w:line="320" w:lineRule="exact"/>
              <w:jc w:val="center"/>
              <w:rPr>
                <w:rFonts w:eastAsia="標楷體"/>
                <w:kern w:val="0"/>
                <w:sz w:val="25"/>
                <w:szCs w:val="25"/>
              </w:rPr>
            </w:pPr>
          </w:p>
        </w:tc>
        <w:tc>
          <w:tcPr>
            <w:tcW w:w="919"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EEC9EBB" w14:textId="77777777" w:rsidR="00052596" w:rsidRDefault="00052596">
            <w:pPr>
              <w:widowControl/>
              <w:autoSpaceDE w:val="0"/>
              <w:spacing w:line="320" w:lineRule="exact"/>
              <w:jc w:val="center"/>
              <w:rPr>
                <w:rFonts w:eastAsia="標楷體"/>
                <w:kern w:val="0"/>
                <w:sz w:val="25"/>
                <w:szCs w:val="25"/>
              </w:rPr>
            </w:pPr>
          </w:p>
        </w:tc>
        <w:tc>
          <w:tcPr>
            <w:tcW w:w="866"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6925BE1" w14:textId="77777777" w:rsidR="00052596" w:rsidRDefault="00052596">
            <w:pPr>
              <w:widowControl/>
              <w:autoSpaceDE w:val="0"/>
              <w:spacing w:line="320" w:lineRule="exact"/>
              <w:jc w:val="center"/>
              <w:rPr>
                <w:rFonts w:eastAsia="標楷體"/>
                <w:kern w:val="0"/>
                <w:sz w:val="25"/>
                <w:szCs w:val="25"/>
              </w:rPr>
            </w:pPr>
          </w:p>
        </w:tc>
        <w:tc>
          <w:tcPr>
            <w:tcW w:w="843" w:type="dxa"/>
            <w:vMerge/>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27DB8874" w14:textId="77777777" w:rsidR="00052596" w:rsidRDefault="00052596">
            <w:pPr>
              <w:widowControl/>
              <w:autoSpaceDE w:val="0"/>
              <w:spacing w:line="320" w:lineRule="exact"/>
              <w:jc w:val="center"/>
              <w:rPr>
                <w:rFonts w:eastAsia="標楷體"/>
                <w:kern w:val="0"/>
                <w:sz w:val="25"/>
                <w:szCs w:val="25"/>
              </w:rPr>
            </w:pPr>
          </w:p>
        </w:tc>
        <w:tc>
          <w:tcPr>
            <w:tcW w:w="843"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2C0E8915"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製造業</w:t>
            </w:r>
          </w:p>
        </w:tc>
        <w:tc>
          <w:tcPr>
            <w:tcW w:w="844" w:type="dxa"/>
            <w:vMerge/>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44ADB449" w14:textId="77777777" w:rsidR="00052596" w:rsidRDefault="00052596">
            <w:pPr>
              <w:widowControl/>
              <w:autoSpaceDE w:val="0"/>
              <w:spacing w:line="320" w:lineRule="exact"/>
              <w:jc w:val="center"/>
              <w:rPr>
                <w:rFonts w:eastAsia="標楷體"/>
                <w:kern w:val="0"/>
                <w:sz w:val="25"/>
                <w:szCs w:val="25"/>
              </w:rPr>
            </w:pPr>
          </w:p>
        </w:tc>
      </w:tr>
      <w:tr w:rsidR="00052596" w14:paraId="6809DFE6" w14:textId="77777777">
        <w:tblPrEx>
          <w:tblCellMar>
            <w:top w:w="0" w:type="dxa"/>
            <w:bottom w:w="0" w:type="dxa"/>
          </w:tblCellMar>
        </w:tblPrEx>
        <w:trPr>
          <w:trHeight w:val="377"/>
          <w:jc w:val="center"/>
        </w:trPr>
        <w:tc>
          <w:tcPr>
            <w:tcW w:w="567"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6E6F0EB5"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91</w:t>
            </w:r>
          </w:p>
        </w:tc>
        <w:tc>
          <w:tcPr>
            <w:tcW w:w="93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5942626"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25.02</w:t>
            </w:r>
          </w:p>
        </w:tc>
        <w:tc>
          <w:tcPr>
            <w:tcW w:w="935"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F8844F7"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67.80</w:t>
            </w:r>
          </w:p>
        </w:tc>
        <w:tc>
          <w:tcPr>
            <w:tcW w:w="918"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79CA844E"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5.26</w:t>
            </w:r>
          </w:p>
        </w:tc>
        <w:tc>
          <w:tcPr>
            <w:tcW w:w="918" w:type="dxa"/>
            <w:tcBorders>
              <w:top w:val="single" w:sz="6" w:space="0" w:color="000000"/>
              <w:left w:val="single" w:sz="6" w:space="0" w:color="000000"/>
              <w:right w:val="single" w:sz="6" w:space="0" w:color="000000"/>
            </w:tcBorders>
            <w:shd w:val="clear" w:color="auto" w:fill="FFF0E1"/>
            <w:tcMar>
              <w:top w:w="0" w:type="dxa"/>
              <w:left w:w="28" w:type="dxa"/>
              <w:bottom w:w="0" w:type="dxa"/>
              <w:right w:w="28" w:type="dxa"/>
            </w:tcMar>
            <w:vAlign w:val="center"/>
          </w:tcPr>
          <w:p w14:paraId="6942969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11.73</w:t>
            </w:r>
          </w:p>
        </w:tc>
        <w:tc>
          <w:tcPr>
            <w:tcW w:w="919"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A986BEF"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2.90</w:t>
            </w:r>
          </w:p>
        </w:tc>
        <w:tc>
          <w:tcPr>
            <w:tcW w:w="86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4718F70"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100.00</w:t>
            </w:r>
          </w:p>
        </w:tc>
        <w:tc>
          <w:tcPr>
            <w:tcW w:w="843" w:type="dxa"/>
            <w:tcBorders>
              <w:top w:val="single" w:sz="6" w:space="0" w:color="000000"/>
              <w:left w:val="single" w:sz="6" w:space="0" w:color="000000"/>
              <w:right w:val="single" w:sz="6" w:space="0" w:color="000000"/>
            </w:tcBorders>
            <w:shd w:val="clear" w:color="auto" w:fill="FFF0E1"/>
            <w:tcMar>
              <w:top w:w="0" w:type="dxa"/>
              <w:left w:w="28" w:type="dxa"/>
              <w:bottom w:w="0" w:type="dxa"/>
              <w:right w:w="28" w:type="dxa"/>
            </w:tcMar>
            <w:vAlign w:val="center"/>
          </w:tcPr>
          <w:p w14:paraId="1398667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51.71</w:t>
            </w:r>
          </w:p>
        </w:tc>
        <w:tc>
          <w:tcPr>
            <w:tcW w:w="843"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89FFEEE"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47.34</w:t>
            </w:r>
          </w:p>
        </w:tc>
        <w:tc>
          <w:tcPr>
            <w:tcW w:w="844" w:type="dxa"/>
            <w:tcBorders>
              <w:top w:val="single" w:sz="6" w:space="0" w:color="000000"/>
              <w:left w:val="single" w:sz="6" w:space="0" w:color="000000"/>
            </w:tcBorders>
            <w:shd w:val="clear" w:color="auto" w:fill="FFF0E1"/>
            <w:noWrap/>
            <w:tcMar>
              <w:top w:w="0" w:type="dxa"/>
              <w:left w:w="28" w:type="dxa"/>
              <w:bottom w:w="0" w:type="dxa"/>
              <w:right w:w="28" w:type="dxa"/>
            </w:tcMar>
            <w:vAlign w:val="center"/>
          </w:tcPr>
          <w:p w14:paraId="0D03DB8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39.35</w:t>
            </w:r>
          </w:p>
        </w:tc>
      </w:tr>
      <w:tr w:rsidR="00052596" w14:paraId="74A3D494" w14:textId="77777777">
        <w:tblPrEx>
          <w:tblCellMar>
            <w:top w:w="0" w:type="dxa"/>
            <w:bottom w:w="0" w:type="dxa"/>
          </w:tblCellMar>
        </w:tblPrEx>
        <w:trPr>
          <w:trHeight w:val="377"/>
          <w:jc w:val="center"/>
        </w:trPr>
        <w:tc>
          <w:tcPr>
            <w:tcW w:w="567" w:type="dxa"/>
            <w:tcBorders>
              <w:right w:val="single" w:sz="6" w:space="0" w:color="000000"/>
            </w:tcBorders>
            <w:shd w:val="clear" w:color="auto" w:fill="FFF0E1"/>
            <w:noWrap/>
            <w:tcMar>
              <w:top w:w="0" w:type="dxa"/>
              <w:left w:w="28" w:type="dxa"/>
              <w:bottom w:w="0" w:type="dxa"/>
              <w:right w:w="28" w:type="dxa"/>
            </w:tcMar>
            <w:vAlign w:val="center"/>
          </w:tcPr>
          <w:p w14:paraId="5DDF5F2F"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92</w:t>
            </w:r>
          </w:p>
        </w:tc>
        <w:tc>
          <w:tcPr>
            <w:tcW w:w="93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D5365BD"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26.13</w:t>
            </w:r>
          </w:p>
        </w:tc>
        <w:tc>
          <w:tcPr>
            <w:tcW w:w="93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372F16E"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67.08</w:t>
            </w:r>
          </w:p>
        </w:tc>
        <w:tc>
          <w:tcPr>
            <w:tcW w:w="918"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BA4E6C5"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3.67</w:t>
            </w:r>
          </w:p>
        </w:tc>
        <w:tc>
          <w:tcPr>
            <w:tcW w:w="91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1035FD4B"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10.09</w:t>
            </w:r>
          </w:p>
        </w:tc>
        <w:tc>
          <w:tcPr>
            <w:tcW w:w="919"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242E50A"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2.57</w:t>
            </w:r>
          </w:p>
        </w:tc>
        <w:tc>
          <w:tcPr>
            <w:tcW w:w="86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B596C5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100.00</w:t>
            </w:r>
          </w:p>
        </w:tc>
        <w:tc>
          <w:tcPr>
            <w:tcW w:w="843"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109E89A0"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58.58</w:t>
            </w:r>
          </w:p>
        </w:tc>
        <w:tc>
          <w:tcPr>
            <w:tcW w:w="843"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D1269D6"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61.85</w:t>
            </w:r>
          </w:p>
        </w:tc>
        <w:tc>
          <w:tcPr>
            <w:tcW w:w="844" w:type="dxa"/>
            <w:tcBorders>
              <w:left w:val="single" w:sz="6" w:space="0" w:color="000000"/>
            </w:tcBorders>
            <w:shd w:val="clear" w:color="auto" w:fill="FFF0E1"/>
            <w:noWrap/>
            <w:tcMar>
              <w:top w:w="0" w:type="dxa"/>
              <w:left w:w="28" w:type="dxa"/>
              <w:bottom w:w="0" w:type="dxa"/>
              <w:right w:w="28" w:type="dxa"/>
            </w:tcMar>
            <w:vAlign w:val="center"/>
          </w:tcPr>
          <w:p w14:paraId="3672FEC0"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48.77</w:t>
            </w:r>
          </w:p>
        </w:tc>
      </w:tr>
      <w:tr w:rsidR="00052596" w14:paraId="5F3DB8A1" w14:textId="77777777">
        <w:tblPrEx>
          <w:tblCellMar>
            <w:top w:w="0" w:type="dxa"/>
            <w:bottom w:w="0" w:type="dxa"/>
          </w:tblCellMar>
        </w:tblPrEx>
        <w:trPr>
          <w:trHeight w:val="377"/>
          <w:jc w:val="center"/>
        </w:trPr>
        <w:tc>
          <w:tcPr>
            <w:tcW w:w="567" w:type="dxa"/>
            <w:tcBorders>
              <w:right w:val="single" w:sz="6" w:space="0" w:color="000000"/>
            </w:tcBorders>
            <w:shd w:val="clear" w:color="auto" w:fill="FFF0E1"/>
            <w:noWrap/>
            <w:tcMar>
              <w:top w:w="0" w:type="dxa"/>
              <w:left w:w="28" w:type="dxa"/>
              <w:bottom w:w="0" w:type="dxa"/>
              <w:right w:w="28" w:type="dxa"/>
            </w:tcMar>
            <w:vAlign w:val="center"/>
          </w:tcPr>
          <w:p w14:paraId="4C1F20E2"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93</w:t>
            </w:r>
          </w:p>
        </w:tc>
        <w:tc>
          <w:tcPr>
            <w:tcW w:w="93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13D6653"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26.81</w:t>
            </w:r>
          </w:p>
        </w:tc>
        <w:tc>
          <w:tcPr>
            <w:tcW w:w="93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B8B7165"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66.57</w:t>
            </w:r>
          </w:p>
        </w:tc>
        <w:tc>
          <w:tcPr>
            <w:tcW w:w="918"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F89F11A"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6.19</w:t>
            </w:r>
          </w:p>
        </w:tc>
        <w:tc>
          <w:tcPr>
            <w:tcW w:w="91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69F3623C"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10.33</w:t>
            </w:r>
          </w:p>
        </w:tc>
        <w:tc>
          <w:tcPr>
            <w:tcW w:w="919"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90C984D"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5.17</w:t>
            </w:r>
          </w:p>
        </w:tc>
        <w:tc>
          <w:tcPr>
            <w:tcW w:w="86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33B8928"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100.00</w:t>
            </w:r>
          </w:p>
        </w:tc>
        <w:tc>
          <w:tcPr>
            <w:tcW w:w="843"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0E098C71"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44.75</w:t>
            </w:r>
          </w:p>
        </w:tc>
        <w:tc>
          <w:tcPr>
            <w:tcW w:w="843"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F5D746A"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39.90</w:t>
            </w:r>
          </w:p>
        </w:tc>
        <w:tc>
          <w:tcPr>
            <w:tcW w:w="844" w:type="dxa"/>
            <w:tcBorders>
              <w:left w:val="single" w:sz="6" w:space="0" w:color="000000"/>
            </w:tcBorders>
            <w:shd w:val="clear" w:color="auto" w:fill="FFF0E1"/>
            <w:noWrap/>
            <w:tcMar>
              <w:top w:w="0" w:type="dxa"/>
              <w:left w:w="28" w:type="dxa"/>
              <w:bottom w:w="0" w:type="dxa"/>
              <w:right w:w="28" w:type="dxa"/>
            </w:tcMar>
            <w:vAlign w:val="center"/>
          </w:tcPr>
          <w:p w14:paraId="5F47C42C"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57.67</w:t>
            </w:r>
          </w:p>
        </w:tc>
      </w:tr>
      <w:tr w:rsidR="00052596" w14:paraId="44D87235" w14:textId="77777777">
        <w:tblPrEx>
          <w:tblCellMar>
            <w:top w:w="0" w:type="dxa"/>
            <w:bottom w:w="0" w:type="dxa"/>
          </w:tblCellMar>
        </w:tblPrEx>
        <w:trPr>
          <w:trHeight w:val="377"/>
          <w:jc w:val="center"/>
        </w:trPr>
        <w:tc>
          <w:tcPr>
            <w:tcW w:w="567" w:type="dxa"/>
            <w:tcBorders>
              <w:right w:val="single" w:sz="6" w:space="0" w:color="000000"/>
            </w:tcBorders>
            <w:shd w:val="clear" w:color="auto" w:fill="FFF0E1"/>
            <w:noWrap/>
            <w:tcMar>
              <w:top w:w="0" w:type="dxa"/>
              <w:left w:w="28" w:type="dxa"/>
              <w:bottom w:w="0" w:type="dxa"/>
              <w:right w:w="28" w:type="dxa"/>
            </w:tcMar>
            <w:vAlign w:val="center"/>
          </w:tcPr>
          <w:p w14:paraId="5DE0E0DD"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94</w:t>
            </w:r>
          </w:p>
        </w:tc>
        <w:tc>
          <w:tcPr>
            <w:tcW w:w="93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71F591A"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26.53</w:t>
            </w:r>
          </w:p>
        </w:tc>
        <w:tc>
          <w:tcPr>
            <w:tcW w:w="93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8A9F39E"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67.08</w:t>
            </w:r>
          </w:p>
        </w:tc>
        <w:tc>
          <w:tcPr>
            <w:tcW w:w="918"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AF3BE94"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4.70</w:t>
            </w:r>
          </w:p>
        </w:tc>
        <w:tc>
          <w:tcPr>
            <w:tcW w:w="91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13E306DD"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7.90</w:t>
            </w:r>
          </w:p>
        </w:tc>
        <w:tc>
          <w:tcPr>
            <w:tcW w:w="919"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78B10A0"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3.87</w:t>
            </w:r>
          </w:p>
        </w:tc>
        <w:tc>
          <w:tcPr>
            <w:tcW w:w="86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D09706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100.00</w:t>
            </w:r>
          </w:p>
        </w:tc>
        <w:tc>
          <w:tcPr>
            <w:tcW w:w="843"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6E2A6560"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44.26</w:t>
            </w:r>
          </w:p>
        </w:tc>
        <w:tc>
          <w:tcPr>
            <w:tcW w:w="843"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B80102E"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41.70</w:t>
            </w:r>
          </w:p>
        </w:tc>
        <w:tc>
          <w:tcPr>
            <w:tcW w:w="844" w:type="dxa"/>
            <w:tcBorders>
              <w:left w:val="single" w:sz="6" w:space="0" w:color="000000"/>
            </w:tcBorders>
            <w:shd w:val="clear" w:color="auto" w:fill="FFF0E1"/>
            <w:noWrap/>
            <w:tcMar>
              <w:top w:w="0" w:type="dxa"/>
              <w:left w:w="28" w:type="dxa"/>
              <w:bottom w:w="0" w:type="dxa"/>
              <w:right w:w="28" w:type="dxa"/>
            </w:tcMar>
            <w:vAlign w:val="center"/>
          </w:tcPr>
          <w:p w14:paraId="2AF99BBD"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56.38</w:t>
            </w:r>
          </w:p>
        </w:tc>
      </w:tr>
      <w:tr w:rsidR="00052596" w14:paraId="324754CE" w14:textId="77777777">
        <w:tblPrEx>
          <w:tblCellMar>
            <w:top w:w="0" w:type="dxa"/>
            <w:bottom w:w="0" w:type="dxa"/>
          </w:tblCellMar>
        </w:tblPrEx>
        <w:trPr>
          <w:trHeight w:val="377"/>
          <w:jc w:val="center"/>
        </w:trPr>
        <w:tc>
          <w:tcPr>
            <w:tcW w:w="567" w:type="dxa"/>
            <w:tcBorders>
              <w:right w:val="single" w:sz="6" w:space="0" w:color="000000"/>
            </w:tcBorders>
            <w:shd w:val="clear" w:color="auto" w:fill="FFF0E1"/>
            <w:noWrap/>
            <w:tcMar>
              <w:top w:w="0" w:type="dxa"/>
              <w:left w:w="28" w:type="dxa"/>
              <w:bottom w:w="0" w:type="dxa"/>
              <w:right w:w="28" w:type="dxa"/>
            </w:tcMar>
            <w:vAlign w:val="center"/>
          </w:tcPr>
          <w:p w14:paraId="3EA23F35"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95</w:t>
            </w:r>
          </w:p>
        </w:tc>
        <w:tc>
          <w:tcPr>
            <w:tcW w:w="93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15FB9EE"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26.46</w:t>
            </w:r>
          </w:p>
        </w:tc>
        <w:tc>
          <w:tcPr>
            <w:tcW w:w="93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06CCBF6"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67.06</w:t>
            </w:r>
          </w:p>
        </w:tc>
        <w:tc>
          <w:tcPr>
            <w:tcW w:w="918"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8D95071"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5.44</w:t>
            </w:r>
          </w:p>
        </w:tc>
        <w:tc>
          <w:tcPr>
            <w:tcW w:w="91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73EFE21B"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9.04</w:t>
            </w:r>
          </w:p>
        </w:tc>
        <w:tc>
          <w:tcPr>
            <w:tcW w:w="919"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4C2100E"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4.22</w:t>
            </w:r>
          </w:p>
        </w:tc>
        <w:tc>
          <w:tcPr>
            <w:tcW w:w="86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3EED8CE"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100.00</w:t>
            </w:r>
          </w:p>
        </w:tc>
        <w:tc>
          <w:tcPr>
            <w:tcW w:w="843"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6D002A01"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44.12</w:t>
            </w:r>
          </w:p>
        </w:tc>
        <w:tc>
          <w:tcPr>
            <w:tcW w:w="843"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A585A08"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42.46</w:t>
            </w:r>
          </w:p>
        </w:tc>
        <w:tc>
          <w:tcPr>
            <w:tcW w:w="844" w:type="dxa"/>
            <w:tcBorders>
              <w:left w:val="single" w:sz="6" w:space="0" w:color="000000"/>
            </w:tcBorders>
            <w:shd w:val="clear" w:color="auto" w:fill="FFF0E1"/>
            <w:noWrap/>
            <w:tcMar>
              <w:top w:w="0" w:type="dxa"/>
              <w:left w:w="28" w:type="dxa"/>
              <w:bottom w:w="0" w:type="dxa"/>
              <w:right w:w="28" w:type="dxa"/>
            </w:tcMar>
            <w:vAlign w:val="center"/>
          </w:tcPr>
          <w:p w14:paraId="6A82AD82"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52.57</w:t>
            </w:r>
          </w:p>
        </w:tc>
      </w:tr>
      <w:tr w:rsidR="00052596" w14:paraId="26A30361" w14:textId="77777777">
        <w:tblPrEx>
          <w:tblCellMar>
            <w:top w:w="0" w:type="dxa"/>
            <w:bottom w:w="0" w:type="dxa"/>
          </w:tblCellMar>
        </w:tblPrEx>
        <w:trPr>
          <w:trHeight w:val="377"/>
          <w:jc w:val="center"/>
        </w:trPr>
        <w:tc>
          <w:tcPr>
            <w:tcW w:w="567" w:type="dxa"/>
            <w:tcBorders>
              <w:right w:val="single" w:sz="6" w:space="0" w:color="000000"/>
            </w:tcBorders>
            <w:shd w:val="clear" w:color="auto" w:fill="FFF0E1"/>
            <w:noWrap/>
            <w:tcMar>
              <w:top w:w="0" w:type="dxa"/>
              <w:left w:w="28" w:type="dxa"/>
              <w:bottom w:w="0" w:type="dxa"/>
              <w:right w:w="28" w:type="dxa"/>
            </w:tcMar>
            <w:vAlign w:val="center"/>
          </w:tcPr>
          <w:p w14:paraId="758D30FC"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96</w:t>
            </w:r>
          </w:p>
        </w:tc>
        <w:tc>
          <w:tcPr>
            <w:tcW w:w="93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49D1EB2"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26.52</w:t>
            </w:r>
          </w:p>
        </w:tc>
        <w:tc>
          <w:tcPr>
            <w:tcW w:w="93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AAF62E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67.12</w:t>
            </w:r>
          </w:p>
        </w:tc>
        <w:tc>
          <w:tcPr>
            <w:tcW w:w="918"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5727317"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5.98</w:t>
            </w:r>
          </w:p>
        </w:tc>
        <w:tc>
          <w:tcPr>
            <w:tcW w:w="91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62B60927"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9.82</w:t>
            </w:r>
          </w:p>
        </w:tc>
        <w:tc>
          <w:tcPr>
            <w:tcW w:w="919"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C8A082A"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4.43</w:t>
            </w:r>
          </w:p>
        </w:tc>
        <w:tc>
          <w:tcPr>
            <w:tcW w:w="86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6681BC8"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100.00</w:t>
            </w:r>
          </w:p>
        </w:tc>
        <w:tc>
          <w:tcPr>
            <w:tcW w:w="843"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72FEB07A"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47.32</w:t>
            </w:r>
          </w:p>
        </w:tc>
        <w:tc>
          <w:tcPr>
            <w:tcW w:w="843"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FC53CF2"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43.48</w:t>
            </w:r>
          </w:p>
        </w:tc>
        <w:tc>
          <w:tcPr>
            <w:tcW w:w="844" w:type="dxa"/>
            <w:tcBorders>
              <w:left w:val="single" w:sz="6" w:space="0" w:color="000000"/>
            </w:tcBorders>
            <w:shd w:val="clear" w:color="auto" w:fill="FFF0E1"/>
            <w:noWrap/>
            <w:tcMar>
              <w:top w:w="0" w:type="dxa"/>
              <w:left w:w="28" w:type="dxa"/>
              <w:bottom w:w="0" w:type="dxa"/>
              <w:right w:w="28" w:type="dxa"/>
            </w:tcMar>
            <w:vAlign w:val="center"/>
          </w:tcPr>
          <w:p w14:paraId="3CBFD6DF"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49.67</w:t>
            </w:r>
          </w:p>
        </w:tc>
      </w:tr>
      <w:tr w:rsidR="00052596" w14:paraId="2AC57101" w14:textId="77777777">
        <w:tblPrEx>
          <w:tblCellMar>
            <w:top w:w="0" w:type="dxa"/>
            <w:bottom w:w="0" w:type="dxa"/>
          </w:tblCellMar>
        </w:tblPrEx>
        <w:trPr>
          <w:trHeight w:val="377"/>
          <w:jc w:val="center"/>
        </w:trPr>
        <w:tc>
          <w:tcPr>
            <w:tcW w:w="567" w:type="dxa"/>
            <w:tcBorders>
              <w:right w:val="single" w:sz="6" w:space="0" w:color="000000"/>
            </w:tcBorders>
            <w:shd w:val="clear" w:color="auto" w:fill="FFF0E1"/>
            <w:noWrap/>
            <w:tcMar>
              <w:top w:w="0" w:type="dxa"/>
              <w:left w:w="28" w:type="dxa"/>
              <w:bottom w:w="0" w:type="dxa"/>
              <w:right w:w="28" w:type="dxa"/>
            </w:tcMar>
            <w:vAlign w:val="center"/>
          </w:tcPr>
          <w:p w14:paraId="56C555F6"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97</w:t>
            </w:r>
          </w:p>
        </w:tc>
        <w:tc>
          <w:tcPr>
            <w:tcW w:w="93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B7FA145"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24.83</w:t>
            </w:r>
          </w:p>
        </w:tc>
        <w:tc>
          <w:tcPr>
            <w:tcW w:w="93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A5ACB48"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69.35</w:t>
            </w:r>
          </w:p>
        </w:tc>
        <w:tc>
          <w:tcPr>
            <w:tcW w:w="918"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8353C56"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0.73</w:t>
            </w:r>
          </w:p>
        </w:tc>
        <w:tc>
          <w:tcPr>
            <w:tcW w:w="91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1D58650B"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0.99</w:t>
            </w:r>
          </w:p>
        </w:tc>
        <w:tc>
          <w:tcPr>
            <w:tcW w:w="919"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3291A81"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1.06</w:t>
            </w:r>
          </w:p>
        </w:tc>
        <w:tc>
          <w:tcPr>
            <w:tcW w:w="86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AEAB9F4"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100.00</w:t>
            </w:r>
          </w:p>
        </w:tc>
        <w:tc>
          <w:tcPr>
            <w:tcW w:w="843"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59EC9F7A"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10.96</w:t>
            </w:r>
          </w:p>
        </w:tc>
        <w:tc>
          <w:tcPr>
            <w:tcW w:w="843"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5AF035A"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36.99</w:t>
            </w:r>
          </w:p>
        </w:tc>
        <w:tc>
          <w:tcPr>
            <w:tcW w:w="844" w:type="dxa"/>
            <w:tcBorders>
              <w:left w:val="single" w:sz="6" w:space="0" w:color="000000"/>
            </w:tcBorders>
            <w:shd w:val="clear" w:color="auto" w:fill="FFF0E1"/>
            <w:noWrap/>
            <w:tcMar>
              <w:top w:w="0" w:type="dxa"/>
              <w:left w:w="28" w:type="dxa"/>
              <w:bottom w:w="0" w:type="dxa"/>
              <w:right w:w="28" w:type="dxa"/>
            </w:tcMar>
            <w:vAlign w:val="center"/>
          </w:tcPr>
          <w:p w14:paraId="06209374"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95.89</w:t>
            </w:r>
          </w:p>
        </w:tc>
      </w:tr>
      <w:tr w:rsidR="00052596" w14:paraId="2F658F6E" w14:textId="77777777">
        <w:tblPrEx>
          <w:tblCellMar>
            <w:top w:w="0" w:type="dxa"/>
            <w:bottom w:w="0" w:type="dxa"/>
          </w:tblCellMar>
        </w:tblPrEx>
        <w:trPr>
          <w:trHeight w:val="377"/>
          <w:jc w:val="center"/>
        </w:trPr>
        <w:tc>
          <w:tcPr>
            <w:tcW w:w="567" w:type="dxa"/>
            <w:tcBorders>
              <w:right w:val="single" w:sz="6" w:space="0" w:color="000000"/>
            </w:tcBorders>
            <w:shd w:val="clear" w:color="auto" w:fill="FFF0E1"/>
            <w:noWrap/>
            <w:tcMar>
              <w:top w:w="0" w:type="dxa"/>
              <w:left w:w="28" w:type="dxa"/>
              <w:bottom w:w="0" w:type="dxa"/>
              <w:right w:w="28" w:type="dxa"/>
            </w:tcMar>
            <w:vAlign w:val="center"/>
          </w:tcPr>
          <w:p w14:paraId="738CFF1D"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98</w:t>
            </w:r>
          </w:p>
        </w:tc>
        <w:tc>
          <w:tcPr>
            <w:tcW w:w="93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323EDE1"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23.77</w:t>
            </w:r>
          </w:p>
        </w:tc>
        <w:tc>
          <w:tcPr>
            <w:tcW w:w="93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4698B6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69.35</w:t>
            </w:r>
          </w:p>
        </w:tc>
        <w:tc>
          <w:tcPr>
            <w:tcW w:w="918"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015F73E" w14:textId="77777777" w:rsidR="00052596" w:rsidRDefault="00000000">
            <w:pPr>
              <w:widowControl/>
              <w:autoSpaceDE w:val="0"/>
              <w:spacing w:line="320" w:lineRule="exact"/>
              <w:ind w:left="72"/>
              <w:jc w:val="center"/>
              <w:rPr>
                <w:rFonts w:eastAsia="標楷體"/>
                <w:kern w:val="0"/>
                <w:sz w:val="25"/>
                <w:szCs w:val="25"/>
              </w:rPr>
            </w:pPr>
            <w:r>
              <w:rPr>
                <w:rFonts w:eastAsia="標楷體"/>
                <w:kern w:val="0"/>
                <w:sz w:val="25"/>
                <w:szCs w:val="25"/>
              </w:rPr>
              <w:t>-1.81</w:t>
            </w:r>
          </w:p>
        </w:tc>
        <w:tc>
          <w:tcPr>
            <w:tcW w:w="91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55BAC390" w14:textId="77777777" w:rsidR="00052596" w:rsidRDefault="00000000">
            <w:pPr>
              <w:widowControl/>
              <w:autoSpaceDE w:val="0"/>
              <w:spacing w:line="320" w:lineRule="exact"/>
              <w:ind w:left="72"/>
              <w:jc w:val="center"/>
              <w:rPr>
                <w:rFonts w:eastAsia="標楷體"/>
                <w:kern w:val="0"/>
                <w:sz w:val="25"/>
                <w:szCs w:val="25"/>
              </w:rPr>
            </w:pPr>
            <w:r>
              <w:rPr>
                <w:rFonts w:eastAsia="標楷體"/>
                <w:kern w:val="0"/>
                <w:sz w:val="25"/>
                <w:szCs w:val="25"/>
              </w:rPr>
              <w:t>-4.30</w:t>
            </w:r>
          </w:p>
        </w:tc>
        <w:tc>
          <w:tcPr>
            <w:tcW w:w="919"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8ED546F"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-0.53</w:t>
            </w:r>
          </w:p>
        </w:tc>
        <w:tc>
          <w:tcPr>
            <w:tcW w:w="86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3CD2075"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w:t>
            </w:r>
          </w:p>
        </w:tc>
        <w:tc>
          <w:tcPr>
            <w:tcW w:w="843"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2F630557"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w:t>
            </w:r>
          </w:p>
        </w:tc>
        <w:tc>
          <w:tcPr>
            <w:tcW w:w="843"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4D0B67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w:t>
            </w:r>
          </w:p>
        </w:tc>
        <w:tc>
          <w:tcPr>
            <w:tcW w:w="844" w:type="dxa"/>
            <w:tcBorders>
              <w:left w:val="single" w:sz="6" w:space="0" w:color="000000"/>
            </w:tcBorders>
            <w:shd w:val="clear" w:color="auto" w:fill="FFF0E1"/>
            <w:noWrap/>
            <w:tcMar>
              <w:top w:w="0" w:type="dxa"/>
              <w:left w:w="28" w:type="dxa"/>
              <w:bottom w:w="0" w:type="dxa"/>
              <w:right w:w="28" w:type="dxa"/>
            </w:tcMar>
            <w:vAlign w:val="center"/>
          </w:tcPr>
          <w:p w14:paraId="55F4E798"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w:t>
            </w:r>
          </w:p>
        </w:tc>
      </w:tr>
      <w:tr w:rsidR="00052596" w14:paraId="392CC9CC" w14:textId="77777777">
        <w:tblPrEx>
          <w:tblCellMar>
            <w:top w:w="0" w:type="dxa"/>
            <w:bottom w:w="0" w:type="dxa"/>
          </w:tblCellMar>
        </w:tblPrEx>
        <w:trPr>
          <w:trHeight w:val="377"/>
          <w:jc w:val="center"/>
        </w:trPr>
        <w:tc>
          <w:tcPr>
            <w:tcW w:w="567" w:type="dxa"/>
            <w:tcBorders>
              <w:right w:val="single" w:sz="6" w:space="0" w:color="000000"/>
            </w:tcBorders>
            <w:shd w:val="clear" w:color="auto" w:fill="FFF0E1"/>
            <w:noWrap/>
            <w:tcMar>
              <w:top w:w="0" w:type="dxa"/>
              <w:left w:w="28" w:type="dxa"/>
              <w:bottom w:w="0" w:type="dxa"/>
              <w:right w:w="28" w:type="dxa"/>
            </w:tcMar>
            <w:vAlign w:val="center"/>
          </w:tcPr>
          <w:p w14:paraId="663C474D"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99</w:t>
            </w:r>
          </w:p>
        </w:tc>
        <w:tc>
          <w:tcPr>
            <w:tcW w:w="93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18834BB"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25.90</w:t>
            </w:r>
          </w:p>
        </w:tc>
        <w:tc>
          <w:tcPr>
            <w:tcW w:w="93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15BC904"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67.36</w:t>
            </w:r>
          </w:p>
        </w:tc>
        <w:tc>
          <w:tcPr>
            <w:tcW w:w="918"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93B8B8C"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10.76</w:t>
            </w:r>
          </w:p>
        </w:tc>
        <w:tc>
          <w:tcPr>
            <w:tcW w:w="918"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0C6565AF"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25.46</w:t>
            </w:r>
          </w:p>
        </w:tc>
        <w:tc>
          <w:tcPr>
            <w:tcW w:w="919"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8FAACAA"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5.50</w:t>
            </w:r>
          </w:p>
        </w:tc>
        <w:tc>
          <w:tcPr>
            <w:tcW w:w="86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3BEB12D"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100.00</w:t>
            </w:r>
          </w:p>
        </w:tc>
        <w:tc>
          <w:tcPr>
            <w:tcW w:w="843"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359FE6C3"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67.19</w:t>
            </w:r>
          </w:p>
        </w:tc>
        <w:tc>
          <w:tcPr>
            <w:tcW w:w="843"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2649165"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63.38</w:t>
            </w:r>
          </w:p>
        </w:tc>
        <w:tc>
          <w:tcPr>
            <w:tcW w:w="844" w:type="dxa"/>
            <w:tcBorders>
              <w:left w:val="single" w:sz="6" w:space="0" w:color="000000"/>
            </w:tcBorders>
            <w:shd w:val="clear" w:color="auto" w:fill="FFF0E1"/>
            <w:noWrap/>
            <w:tcMar>
              <w:top w:w="0" w:type="dxa"/>
              <w:left w:w="28" w:type="dxa"/>
              <w:bottom w:w="0" w:type="dxa"/>
              <w:right w:w="28" w:type="dxa"/>
            </w:tcMar>
            <w:vAlign w:val="center"/>
          </w:tcPr>
          <w:p w14:paraId="772A9F43"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34.39</w:t>
            </w:r>
          </w:p>
        </w:tc>
      </w:tr>
      <w:tr w:rsidR="00052596" w14:paraId="1D3C70CA" w14:textId="77777777">
        <w:tblPrEx>
          <w:tblCellMar>
            <w:top w:w="0" w:type="dxa"/>
            <w:bottom w:w="0" w:type="dxa"/>
          </w:tblCellMar>
        </w:tblPrEx>
        <w:trPr>
          <w:trHeight w:val="377"/>
          <w:jc w:val="center"/>
        </w:trPr>
        <w:tc>
          <w:tcPr>
            <w:tcW w:w="567"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064665B7"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lastRenderedPageBreak/>
              <w:t>100</w:t>
            </w:r>
          </w:p>
        </w:tc>
        <w:tc>
          <w:tcPr>
            <w:tcW w:w="93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5B8BF5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25.11</w:t>
            </w:r>
          </w:p>
        </w:tc>
        <w:tc>
          <w:tcPr>
            <w:tcW w:w="935"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B919712"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68.43</w:t>
            </w:r>
          </w:p>
        </w:tc>
        <w:tc>
          <w:tcPr>
            <w:tcW w:w="918"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0B5D49EF" w14:textId="77777777" w:rsidR="00052596" w:rsidRDefault="00000000">
            <w:pPr>
              <w:widowControl/>
              <w:autoSpaceDE w:val="0"/>
              <w:spacing w:line="320" w:lineRule="exact"/>
              <w:ind w:left="72"/>
              <w:jc w:val="center"/>
              <w:rPr>
                <w:rFonts w:eastAsia="標楷體"/>
                <w:kern w:val="0"/>
                <w:sz w:val="25"/>
                <w:szCs w:val="25"/>
              </w:rPr>
            </w:pPr>
            <w:r>
              <w:rPr>
                <w:rFonts w:eastAsia="標楷體"/>
                <w:kern w:val="0"/>
                <w:sz w:val="25"/>
                <w:szCs w:val="25"/>
              </w:rPr>
              <w:t>4.07</w:t>
            </w:r>
          </w:p>
        </w:tc>
        <w:tc>
          <w:tcPr>
            <w:tcW w:w="918" w:type="dxa"/>
            <w:tcBorders>
              <w:left w:val="single" w:sz="6" w:space="0" w:color="000000"/>
              <w:bottom w:val="single" w:sz="6" w:space="0" w:color="000000"/>
              <w:right w:val="single" w:sz="6" w:space="0" w:color="000000"/>
            </w:tcBorders>
            <w:shd w:val="clear" w:color="auto" w:fill="FFF0E1"/>
            <w:tcMar>
              <w:top w:w="0" w:type="dxa"/>
              <w:left w:w="28" w:type="dxa"/>
              <w:bottom w:w="0" w:type="dxa"/>
              <w:right w:w="28" w:type="dxa"/>
            </w:tcMar>
            <w:vAlign w:val="center"/>
          </w:tcPr>
          <w:p w14:paraId="14EA18BD" w14:textId="77777777" w:rsidR="00052596" w:rsidRDefault="00000000">
            <w:pPr>
              <w:widowControl/>
              <w:autoSpaceDE w:val="0"/>
              <w:spacing w:line="320" w:lineRule="exact"/>
              <w:ind w:left="120"/>
              <w:jc w:val="center"/>
              <w:rPr>
                <w:rFonts w:eastAsia="標楷體"/>
                <w:kern w:val="0"/>
                <w:sz w:val="25"/>
                <w:szCs w:val="25"/>
              </w:rPr>
            </w:pPr>
            <w:r>
              <w:rPr>
                <w:rFonts w:eastAsia="標楷體"/>
                <w:kern w:val="0"/>
                <w:sz w:val="25"/>
                <w:szCs w:val="25"/>
              </w:rPr>
              <w:t>6.42</w:t>
            </w:r>
          </w:p>
        </w:tc>
        <w:tc>
          <w:tcPr>
            <w:tcW w:w="919"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73C3C600"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3.00</w:t>
            </w:r>
          </w:p>
        </w:tc>
        <w:tc>
          <w:tcPr>
            <w:tcW w:w="86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88FE8CF"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100.00</w:t>
            </w:r>
          </w:p>
        </w:tc>
        <w:tc>
          <w:tcPr>
            <w:tcW w:w="843" w:type="dxa"/>
            <w:tcBorders>
              <w:left w:val="single" w:sz="6" w:space="0" w:color="000000"/>
              <w:bottom w:val="single" w:sz="6" w:space="0" w:color="000000"/>
              <w:right w:val="single" w:sz="6" w:space="0" w:color="000000"/>
            </w:tcBorders>
            <w:shd w:val="clear" w:color="auto" w:fill="FFF0E1"/>
            <w:tcMar>
              <w:top w:w="0" w:type="dxa"/>
              <w:left w:w="28" w:type="dxa"/>
              <w:bottom w:w="0" w:type="dxa"/>
              <w:right w:w="28" w:type="dxa"/>
            </w:tcMar>
            <w:vAlign w:val="center"/>
          </w:tcPr>
          <w:p w14:paraId="03E31BF4"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48.40</w:t>
            </w:r>
          </w:p>
        </w:tc>
        <w:tc>
          <w:tcPr>
            <w:tcW w:w="843"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AB40F72"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47.91</w:t>
            </w:r>
          </w:p>
        </w:tc>
        <w:tc>
          <w:tcPr>
            <w:tcW w:w="844" w:type="dxa"/>
            <w:tcBorders>
              <w:left w:val="single" w:sz="6" w:space="0" w:color="000000"/>
              <w:bottom w:val="single" w:sz="6" w:space="0" w:color="000000"/>
            </w:tcBorders>
            <w:shd w:val="clear" w:color="auto" w:fill="FFF0E1"/>
            <w:noWrap/>
            <w:tcMar>
              <w:top w:w="0" w:type="dxa"/>
              <w:left w:w="28" w:type="dxa"/>
              <w:bottom w:w="0" w:type="dxa"/>
              <w:right w:w="28" w:type="dxa"/>
            </w:tcMar>
            <w:vAlign w:val="center"/>
          </w:tcPr>
          <w:p w14:paraId="28C15DE9" w14:textId="77777777" w:rsidR="00052596" w:rsidRDefault="00000000">
            <w:pPr>
              <w:widowControl/>
              <w:autoSpaceDE w:val="0"/>
              <w:spacing w:line="320" w:lineRule="exact"/>
              <w:jc w:val="center"/>
              <w:rPr>
                <w:rFonts w:eastAsia="標楷體"/>
                <w:kern w:val="0"/>
                <w:sz w:val="25"/>
                <w:szCs w:val="25"/>
              </w:rPr>
            </w:pPr>
            <w:r>
              <w:rPr>
                <w:rFonts w:eastAsia="標楷體"/>
                <w:kern w:val="0"/>
                <w:sz w:val="25"/>
                <w:szCs w:val="25"/>
              </w:rPr>
              <w:t>47.17</w:t>
            </w:r>
          </w:p>
        </w:tc>
      </w:tr>
    </w:tbl>
    <w:p w14:paraId="32BFB140" w14:textId="77777777" w:rsidR="00052596" w:rsidRDefault="00000000">
      <w:pPr>
        <w:overflowPunct w:val="0"/>
        <w:autoSpaceDE w:val="0"/>
        <w:spacing w:before="24" w:line="240" w:lineRule="exact"/>
        <w:ind w:left="1336" w:hanging="616"/>
        <w:jc w:val="both"/>
        <w:textAlignment w:val="center"/>
        <w:rPr>
          <w:rFonts w:eastAsia="標楷體"/>
          <w:kern w:val="0"/>
          <w:sz w:val="22"/>
          <w:szCs w:val="22"/>
        </w:rPr>
      </w:pPr>
      <w:r>
        <w:rPr>
          <w:rFonts w:eastAsia="標楷體"/>
          <w:kern w:val="0"/>
          <w:sz w:val="22"/>
          <w:szCs w:val="22"/>
        </w:rPr>
        <w:t>註：</w:t>
      </w:r>
      <w:r>
        <w:rPr>
          <w:rFonts w:eastAsia="標楷體"/>
          <w:kern w:val="0"/>
          <w:sz w:val="22"/>
          <w:szCs w:val="22"/>
        </w:rPr>
        <w:t>1.</w:t>
      </w:r>
      <w:r>
        <w:rPr>
          <w:rFonts w:eastAsia="標楷體"/>
          <w:kern w:val="0"/>
          <w:sz w:val="22"/>
          <w:szCs w:val="22"/>
        </w:rPr>
        <w:t>占名目</w:t>
      </w:r>
      <w:r>
        <w:rPr>
          <w:rFonts w:eastAsia="標楷體"/>
          <w:kern w:val="0"/>
          <w:sz w:val="22"/>
          <w:szCs w:val="22"/>
        </w:rPr>
        <w:t>GDP</w:t>
      </w:r>
      <w:r>
        <w:rPr>
          <w:rFonts w:eastAsia="標楷體"/>
          <w:kern w:val="0"/>
          <w:sz w:val="22"/>
          <w:szCs w:val="22"/>
        </w:rPr>
        <w:t>比重及對</w:t>
      </w:r>
      <w:r>
        <w:rPr>
          <w:rFonts w:eastAsia="標楷體"/>
          <w:kern w:val="0"/>
          <w:sz w:val="22"/>
          <w:szCs w:val="22"/>
        </w:rPr>
        <w:t>GDP</w:t>
      </w:r>
      <w:r>
        <w:rPr>
          <w:rFonts w:eastAsia="標楷體"/>
          <w:kern w:val="0"/>
          <w:sz w:val="22"/>
          <w:szCs w:val="22"/>
        </w:rPr>
        <w:t>成長貢獻率之計算，不含統計差異，故各業貢獻率加總不等於</w:t>
      </w:r>
      <w:r>
        <w:rPr>
          <w:rFonts w:eastAsia="標楷體"/>
          <w:kern w:val="0"/>
          <w:sz w:val="22"/>
          <w:szCs w:val="22"/>
        </w:rPr>
        <w:t>100%</w:t>
      </w:r>
      <w:r>
        <w:rPr>
          <w:rFonts w:eastAsia="標楷體"/>
          <w:kern w:val="0"/>
          <w:sz w:val="22"/>
          <w:szCs w:val="22"/>
        </w:rPr>
        <w:t>。</w:t>
      </w:r>
    </w:p>
    <w:p w14:paraId="7EFFC31B" w14:textId="77777777" w:rsidR="00052596" w:rsidRDefault="00000000">
      <w:pPr>
        <w:overflowPunct w:val="0"/>
        <w:autoSpaceDE w:val="0"/>
        <w:spacing w:before="24" w:line="240" w:lineRule="exact"/>
        <w:ind w:left="1592" w:hanging="440"/>
        <w:jc w:val="both"/>
        <w:textAlignment w:val="center"/>
        <w:rPr>
          <w:rFonts w:eastAsia="標楷體"/>
          <w:kern w:val="0"/>
          <w:sz w:val="22"/>
          <w:szCs w:val="22"/>
        </w:rPr>
      </w:pPr>
      <w:r>
        <w:rPr>
          <w:rFonts w:eastAsia="標楷體"/>
          <w:kern w:val="0"/>
          <w:sz w:val="22"/>
          <w:szCs w:val="22"/>
        </w:rPr>
        <w:t>2.98</w:t>
      </w:r>
      <w:r>
        <w:rPr>
          <w:rFonts w:eastAsia="標楷體"/>
          <w:kern w:val="0"/>
          <w:sz w:val="22"/>
          <w:szCs w:val="22"/>
        </w:rPr>
        <w:t>年經濟成長為負，</w:t>
      </w:r>
      <w:r>
        <w:rPr>
          <w:rFonts w:eastAsia="標楷體"/>
          <w:kern w:val="0"/>
          <w:sz w:val="22"/>
          <w:szCs w:val="22"/>
        </w:rPr>
        <w:t>GDP</w:t>
      </w:r>
      <w:r>
        <w:rPr>
          <w:rFonts w:eastAsia="標楷體"/>
          <w:kern w:val="0"/>
          <w:sz w:val="22"/>
          <w:szCs w:val="22"/>
        </w:rPr>
        <w:t>成長貢獻率不具意義。</w:t>
      </w:r>
    </w:p>
    <w:p w14:paraId="34ECE15D" w14:textId="77777777" w:rsidR="00052596" w:rsidRDefault="00000000">
      <w:pPr>
        <w:overflowPunct w:val="0"/>
        <w:autoSpaceDE w:val="0"/>
        <w:spacing w:line="280" w:lineRule="exact"/>
        <w:ind w:left="1128" w:hanging="1080"/>
        <w:jc w:val="both"/>
        <w:textAlignment w:val="center"/>
        <w:rPr>
          <w:rFonts w:eastAsia="標楷體"/>
          <w:spacing w:val="-2"/>
          <w:kern w:val="0"/>
          <w:sz w:val="22"/>
          <w:szCs w:val="22"/>
        </w:rPr>
      </w:pPr>
      <w:r>
        <w:rPr>
          <w:rFonts w:eastAsia="標楷體"/>
          <w:spacing w:val="-2"/>
          <w:kern w:val="0"/>
          <w:sz w:val="22"/>
          <w:szCs w:val="22"/>
        </w:rPr>
        <w:t>資料來源：行政院主計總處。</w:t>
      </w:r>
    </w:p>
    <w:p w14:paraId="7E8E7EA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pPr>
      <w:r>
        <w:rPr>
          <w:rFonts w:eastAsia="標楷體"/>
          <w:spacing w:val="4"/>
          <w:kern w:val="0"/>
          <w:sz w:val="28"/>
          <w:szCs w:val="26"/>
        </w:rPr>
        <w:t xml:space="preserve">  </w:t>
      </w:r>
      <w:r>
        <w:rPr>
          <w:rFonts w:eastAsia="標楷體"/>
          <w:spacing w:val="4"/>
          <w:kern w:val="0"/>
          <w:sz w:val="28"/>
          <w:szCs w:val="26"/>
        </w:rPr>
        <w:t>較，則我國整體製造業附加價值率降幅</w:t>
      </w:r>
      <w:r>
        <w:rPr>
          <w:rFonts w:eastAsia="標楷體"/>
          <w:spacing w:val="4"/>
          <w:kern w:val="0"/>
          <w:sz w:val="28"/>
          <w:szCs w:val="26"/>
        </w:rPr>
        <w:t>5.59</w:t>
      </w:r>
      <w:r>
        <w:rPr>
          <w:rFonts w:eastAsia="標楷體"/>
          <w:spacing w:val="4"/>
          <w:kern w:val="0"/>
          <w:sz w:val="28"/>
          <w:szCs w:val="26"/>
        </w:rPr>
        <w:t>個百分點，高於同期間南韓降幅</w:t>
      </w:r>
      <w:r>
        <w:rPr>
          <w:rFonts w:ascii="標楷體" w:eastAsia="標楷體" w:hAnsi="標楷體"/>
          <w:spacing w:val="4"/>
          <w:kern w:val="0"/>
          <w:sz w:val="28"/>
          <w:szCs w:val="26"/>
        </w:rPr>
        <w:t>(</w:t>
      </w:r>
      <w:r>
        <w:rPr>
          <w:rFonts w:eastAsia="標楷體"/>
          <w:spacing w:val="4"/>
          <w:kern w:val="0"/>
          <w:sz w:val="28"/>
          <w:szCs w:val="26"/>
        </w:rPr>
        <w:t>3.6</w:t>
      </w:r>
      <w:r>
        <w:rPr>
          <w:rFonts w:eastAsia="標楷體"/>
          <w:spacing w:val="4"/>
          <w:kern w:val="0"/>
          <w:sz w:val="28"/>
          <w:szCs w:val="26"/>
        </w:rPr>
        <w:t>個百分點</w:t>
      </w:r>
      <w:r>
        <w:rPr>
          <w:rFonts w:ascii="標楷體" w:eastAsia="標楷體" w:hAnsi="標楷體"/>
          <w:spacing w:val="4"/>
          <w:kern w:val="0"/>
          <w:sz w:val="28"/>
          <w:szCs w:val="26"/>
        </w:rPr>
        <w:t>)</w:t>
      </w:r>
      <w:r>
        <w:rPr>
          <w:rFonts w:eastAsia="標楷體"/>
          <w:spacing w:val="4"/>
          <w:kern w:val="0"/>
          <w:sz w:val="28"/>
          <w:szCs w:val="26"/>
        </w:rPr>
        <w:t>與日本降幅</w:t>
      </w:r>
      <w:r>
        <w:rPr>
          <w:rFonts w:ascii="標楷體" w:eastAsia="標楷體" w:hAnsi="標楷體"/>
          <w:spacing w:val="4"/>
          <w:kern w:val="0"/>
          <w:sz w:val="28"/>
          <w:szCs w:val="26"/>
        </w:rPr>
        <w:t>(</w:t>
      </w:r>
      <w:r>
        <w:rPr>
          <w:rFonts w:eastAsia="標楷體"/>
          <w:spacing w:val="4"/>
          <w:kern w:val="0"/>
          <w:sz w:val="28"/>
          <w:szCs w:val="26"/>
        </w:rPr>
        <w:t>3.3</w:t>
      </w:r>
      <w:r>
        <w:rPr>
          <w:rFonts w:eastAsia="標楷體"/>
          <w:spacing w:val="4"/>
          <w:kern w:val="0"/>
          <w:sz w:val="28"/>
          <w:szCs w:val="26"/>
        </w:rPr>
        <w:t>個百分點</w:t>
      </w:r>
      <w:r>
        <w:rPr>
          <w:rFonts w:ascii="標楷體" w:eastAsia="標楷體" w:hAnsi="標楷體"/>
          <w:spacing w:val="4"/>
          <w:kern w:val="0"/>
          <w:sz w:val="28"/>
          <w:szCs w:val="26"/>
        </w:rPr>
        <w:t>)</w:t>
      </w:r>
      <w:r>
        <w:rPr>
          <w:rFonts w:eastAsia="標楷體"/>
          <w:spacing w:val="4"/>
          <w:kern w:val="0"/>
          <w:sz w:val="28"/>
          <w:szCs w:val="26"/>
        </w:rPr>
        <w:t>。此應與我國製造業以代工為主，研發創新不足，關鍵技術有賴輸入，以及缺乏有力自有品牌等因素有關。</w:t>
      </w:r>
    </w:p>
    <w:p w14:paraId="3B9EC7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r>
        <w:rPr>
          <w:rFonts w:eastAsia="標楷體"/>
          <w:spacing w:val="4"/>
          <w:kern w:val="0"/>
          <w:sz w:val="28"/>
          <w:szCs w:val="26"/>
        </w:rPr>
        <w:t>－我國資訊電子業產品雖具競爭優勢，惟因關鍵零組件大多依賴進口，在國際市場劇烈競爭下，企業微利化益顯。</w:t>
      </w:r>
      <w:r>
        <w:rPr>
          <w:rFonts w:eastAsia="標楷體"/>
          <w:spacing w:val="4"/>
          <w:kern w:val="0"/>
          <w:sz w:val="28"/>
          <w:szCs w:val="26"/>
        </w:rPr>
        <w:t>100</w:t>
      </w:r>
      <w:r>
        <w:rPr>
          <w:rFonts w:eastAsia="標楷體"/>
          <w:spacing w:val="4"/>
          <w:kern w:val="0"/>
          <w:sz w:val="28"/>
          <w:szCs w:val="26"/>
        </w:rPr>
        <w:t>年資訊電子業附加價值率由</w:t>
      </w:r>
      <w:r>
        <w:rPr>
          <w:rFonts w:eastAsia="標楷體"/>
          <w:spacing w:val="4"/>
          <w:kern w:val="0"/>
          <w:sz w:val="28"/>
          <w:szCs w:val="26"/>
        </w:rPr>
        <w:t>92</w:t>
      </w:r>
      <w:r>
        <w:rPr>
          <w:rFonts w:eastAsia="標楷體"/>
          <w:spacing w:val="4"/>
          <w:kern w:val="0"/>
          <w:sz w:val="28"/>
          <w:szCs w:val="26"/>
        </w:rPr>
        <w:t>年的</w:t>
      </w:r>
      <w:r>
        <w:rPr>
          <w:rFonts w:eastAsia="標楷體"/>
          <w:spacing w:val="4"/>
          <w:kern w:val="0"/>
          <w:sz w:val="28"/>
          <w:szCs w:val="26"/>
        </w:rPr>
        <w:t>28.34%</w:t>
      </w:r>
      <w:r>
        <w:rPr>
          <w:rFonts w:eastAsia="標楷體"/>
          <w:spacing w:val="4"/>
          <w:kern w:val="0"/>
          <w:sz w:val="28"/>
          <w:szCs w:val="26"/>
        </w:rPr>
        <w:t>，持續降至</w:t>
      </w:r>
      <w:r>
        <w:rPr>
          <w:rFonts w:eastAsia="標楷體"/>
          <w:spacing w:val="4"/>
          <w:kern w:val="0"/>
          <w:sz w:val="28"/>
          <w:szCs w:val="26"/>
        </w:rPr>
        <w:t>25.43%</w:t>
      </w:r>
      <w:r>
        <w:rPr>
          <w:rFonts w:eastAsia="標楷體"/>
          <w:spacing w:val="4"/>
          <w:kern w:val="0"/>
          <w:sz w:val="28"/>
          <w:szCs w:val="26"/>
        </w:rPr>
        <w:t>。</w:t>
      </w:r>
    </w:p>
    <w:p w14:paraId="5558881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r>
        <w:rPr>
          <w:rFonts w:eastAsia="標楷體"/>
          <w:spacing w:val="4"/>
          <w:kern w:val="0"/>
          <w:sz w:val="28"/>
          <w:szCs w:val="26"/>
        </w:rPr>
        <w:t>－</w:t>
      </w:r>
      <w:r>
        <w:rPr>
          <w:rFonts w:eastAsia="標楷體"/>
          <w:spacing w:val="4"/>
          <w:kern w:val="0"/>
          <w:sz w:val="28"/>
          <w:szCs w:val="26"/>
        </w:rPr>
        <w:t>100</w:t>
      </w:r>
      <w:r>
        <w:rPr>
          <w:rFonts w:eastAsia="標楷體"/>
          <w:spacing w:val="4"/>
          <w:kern w:val="0"/>
          <w:sz w:val="28"/>
          <w:szCs w:val="26"/>
        </w:rPr>
        <w:t>年傳統製造業附加價值率由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28.27%</w:t>
      </w:r>
      <w:r>
        <w:rPr>
          <w:rFonts w:eastAsia="標楷體"/>
          <w:spacing w:val="4"/>
          <w:kern w:val="0"/>
          <w:sz w:val="28"/>
          <w:szCs w:val="26"/>
        </w:rPr>
        <w:t>降至</w:t>
      </w:r>
      <w:r>
        <w:rPr>
          <w:rFonts w:eastAsia="標楷體"/>
          <w:spacing w:val="4"/>
          <w:kern w:val="0"/>
          <w:sz w:val="28"/>
          <w:szCs w:val="26"/>
        </w:rPr>
        <w:t>17.48%</w:t>
      </w:r>
      <w:r>
        <w:rPr>
          <w:rFonts w:eastAsia="標楷體"/>
          <w:spacing w:val="4"/>
          <w:kern w:val="0"/>
          <w:sz w:val="28"/>
          <w:szCs w:val="26"/>
        </w:rPr>
        <w:t>，降幅達</w:t>
      </w:r>
      <w:r>
        <w:rPr>
          <w:rFonts w:eastAsia="標楷體"/>
          <w:spacing w:val="4"/>
          <w:kern w:val="0"/>
          <w:sz w:val="28"/>
          <w:szCs w:val="26"/>
        </w:rPr>
        <w:t>10.79</w:t>
      </w:r>
      <w:r>
        <w:rPr>
          <w:rFonts w:eastAsia="標楷體"/>
          <w:spacing w:val="4"/>
          <w:kern w:val="0"/>
          <w:sz w:val="28"/>
          <w:szCs w:val="26"/>
        </w:rPr>
        <w:t>個百分點。其中，又以化學工業附加價值率下降</w:t>
      </w:r>
      <w:r>
        <w:rPr>
          <w:rFonts w:eastAsia="標楷體"/>
          <w:spacing w:val="4"/>
          <w:kern w:val="0"/>
          <w:sz w:val="28"/>
          <w:szCs w:val="26"/>
        </w:rPr>
        <w:t>12.48</w:t>
      </w:r>
      <w:r>
        <w:rPr>
          <w:rFonts w:eastAsia="標楷體"/>
          <w:spacing w:val="4"/>
          <w:kern w:val="0"/>
          <w:sz w:val="28"/>
          <w:szCs w:val="26"/>
        </w:rPr>
        <w:t>個百分點，降幅最大；另金屬機械與民生工業則分別下降</w:t>
      </w:r>
      <w:r>
        <w:rPr>
          <w:rFonts w:eastAsia="標楷體"/>
          <w:spacing w:val="4"/>
          <w:kern w:val="0"/>
          <w:sz w:val="28"/>
          <w:szCs w:val="26"/>
        </w:rPr>
        <w:t>9.35</w:t>
      </w:r>
      <w:r>
        <w:rPr>
          <w:rFonts w:eastAsia="標楷體"/>
          <w:spacing w:val="4"/>
          <w:kern w:val="0"/>
          <w:sz w:val="28"/>
          <w:szCs w:val="26"/>
        </w:rPr>
        <w:t>與</w:t>
      </w:r>
      <w:r>
        <w:rPr>
          <w:rFonts w:eastAsia="標楷體"/>
          <w:spacing w:val="4"/>
          <w:kern w:val="0"/>
          <w:sz w:val="28"/>
          <w:szCs w:val="26"/>
        </w:rPr>
        <w:t>8.41</w:t>
      </w:r>
      <w:r>
        <w:rPr>
          <w:rFonts w:eastAsia="標楷體"/>
          <w:spacing w:val="4"/>
          <w:kern w:val="0"/>
          <w:sz w:val="28"/>
          <w:szCs w:val="26"/>
        </w:rPr>
        <w:t>個百分點。</w:t>
      </w:r>
    </w:p>
    <w:p w14:paraId="4069A7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海外生產趨於在地化，與國內產業分工逐步弱化</w:t>
      </w:r>
    </w:p>
    <w:p w14:paraId="30416A3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r>
        <w:rPr>
          <w:rFonts w:eastAsia="標楷體"/>
          <w:spacing w:val="4"/>
          <w:kern w:val="0"/>
          <w:sz w:val="28"/>
          <w:szCs w:val="26"/>
        </w:rPr>
        <w:t>－</w:t>
      </w:r>
      <w:r>
        <w:rPr>
          <w:rFonts w:eastAsia="標楷體"/>
          <w:spacing w:val="4"/>
          <w:kern w:val="0"/>
          <w:sz w:val="28"/>
          <w:szCs w:val="26"/>
        </w:rPr>
        <w:t>100</w:t>
      </w:r>
      <w:r>
        <w:rPr>
          <w:rFonts w:eastAsia="標楷體"/>
          <w:spacing w:val="4"/>
          <w:kern w:val="0"/>
          <w:sz w:val="28"/>
          <w:szCs w:val="26"/>
        </w:rPr>
        <w:t>年製造業外銷訂單海外生產比重由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19.28%</w:t>
      </w:r>
      <w:r>
        <w:rPr>
          <w:rFonts w:eastAsia="標楷體"/>
          <w:spacing w:val="4"/>
          <w:kern w:val="0"/>
          <w:sz w:val="28"/>
          <w:szCs w:val="26"/>
        </w:rPr>
        <w:t>，大幅提升至</w:t>
      </w:r>
      <w:r>
        <w:rPr>
          <w:rFonts w:eastAsia="標楷體"/>
          <w:spacing w:val="4"/>
          <w:kern w:val="0"/>
          <w:sz w:val="28"/>
          <w:szCs w:val="26"/>
        </w:rPr>
        <w:t>50.52%</w:t>
      </w:r>
      <w:r>
        <w:rPr>
          <w:rFonts w:eastAsia="標楷體"/>
          <w:spacing w:val="4"/>
          <w:kern w:val="0"/>
          <w:sz w:val="28"/>
          <w:szCs w:val="26"/>
        </w:rPr>
        <w:t>。「臺灣接單，海外生產」雖基於全球分工效益考量，惟海外生產比重過高，除無法相應創造國內就業機</w:t>
      </w:r>
    </w:p>
    <w:p w14:paraId="5894630C" w14:textId="77777777" w:rsidR="00052596" w:rsidRDefault="00000000">
      <w:pPr>
        <w:overflowPunct w:val="0"/>
        <w:autoSpaceDE w:val="0"/>
        <w:snapToGrid w:val="0"/>
        <w:spacing w:before="240" w:after="120" w:line="280" w:lineRule="exact"/>
        <w:jc w:val="center"/>
        <w:textAlignment w:val="center"/>
        <w:rPr>
          <w:rFonts w:eastAsia="標楷體"/>
          <w:b/>
          <w:color w:val="0000FF"/>
          <w:kern w:val="0"/>
          <w:sz w:val="25"/>
          <w:szCs w:val="22"/>
        </w:rPr>
      </w:pPr>
      <w:r>
        <w:rPr>
          <w:rFonts w:eastAsia="標楷體"/>
          <w:b/>
          <w:color w:val="0000FF"/>
          <w:kern w:val="0"/>
          <w:sz w:val="25"/>
          <w:szCs w:val="22"/>
        </w:rPr>
        <w:t>表</w:t>
      </w:r>
      <w:r>
        <w:rPr>
          <w:rFonts w:eastAsia="標楷體"/>
          <w:b/>
          <w:color w:val="0000FF"/>
          <w:kern w:val="0"/>
          <w:sz w:val="25"/>
          <w:szCs w:val="22"/>
        </w:rPr>
        <w:t>1.2.6</w:t>
      </w:r>
      <w:r>
        <w:rPr>
          <w:rFonts w:eastAsia="標楷體"/>
          <w:b/>
          <w:color w:val="0000FF"/>
          <w:kern w:val="0"/>
          <w:sz w:val="25"/>
          <w:szCs w:val="22"/>
        </w:rPr>
        <w:t xml:space="preserve">　製造業名目附加價值率</w:t>
      </w:r>
    </w:p>
    <w:p w14:paraId="4FA89D7F"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right="240"/>
        <w:jc w:val="right"/>
        <w:textAlignment w:val="center"/>
        <w:rPr>
          <w:rFonts w:eastAsia="標楷體"/>
          <w:spacing w:val="4"/>
          <w:kern w:val="0"/>
          <w:sz w:val="26"/>
          <w:szCs w:val="26"/>
        </w:rPr>
      </w:pPr>
      <w:r>
        <w:rPr>
          <w:rFonts w:eastAsia="標楷體"/>
          <w:spacing w:val="4"/>
          <w:kern w:val="0"/>
          <w:sz w:val="26"/>
          <w:szCs w:val="26"/>
        </w:rPr>
        <w:t>單位：</w:t>
      </w:r>
      <w:r>
        <w:rPr>
          <w:rFonts w:eastAsia="標楷體"/>
          <w:spacing w:val="4"/>
          <w:kern w:val="0"/>
          <w:sz w:val="26"/>
          <w:szCs w:val="26"/>
        </w:rPr>
        <w:t>%</w:t>
      </w:r>
    </w:p>
    <w:tbl>
      <w:tblPr>
        <w:tblW w:w="4936" w:type="pct"/>
        <w:jc w:val="center"/>
        <w:tblLayout w:type="fixed"/>
        <w:tblCellMar>
          <w:left w:w="10" w:type="dxa"/>
          <w:right w:w="10" w:type="dxa"/>
        </w:tblCellMar>
        <w:tblLook w:val="04A0" w:firstRow="1" w:lastRow="0" w:firstColumn="1" w:lastColumn="0" w:noHBand="0" w:noVBand="1"/>
      </w:tblPr>
      <w:tblGrid>
        <w:gridCol w:w="712"/>
        <w:gridCol w:w="984"/>
        <w:gridCol w:w="1206"/>
        <w:gridCol w:w="1710"/>
        <w:gridCol w:w="1301"/>
        <w:gridCol w:w="1301"/>
        <w:gridCol w:w="1182"/>
      </w:tblGrid>
      <w:tr w:rsidR="00052596" w14:paraId="7E1891C7" w14:textId="77777777">
        <w:tblPrEx>
          <w:tblCellMar>
            <w:top w:w="0" w:type="dxa"/>
            <w:bottom w:w="0" w:type="dxa"/>
          </w:tblCellMar>
        </w:tblPrEx>
        <w:trPr>
          <w:trHeight w:val="351"/>
          <w:jc w:val="center"/>
        </w:trPr>
        <w:tc>
          <w:tcPr>
            <w:tcW w:w="716" w:type="dxa"/>
            <w:vMerge w:val="restart"/>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12AEFEAF" w14:textId="77777777" w:rsidR="00052596" w:rsidRDefault="00000000">
            <w:pPr>
              <w:widowControl/>
              <w:spacing w:line="240" w:lineRule="exact"/>
              <w:jc w:val="center"/>
              <w:rPr>
                <w:rFonts w:eastAsia="標楷體"/>
                <w:kern w:val="0"/>
                <w:sz w:val="25"/>
                <w:szCs w:val="25"/>
              </w:rPr>
            </w:pPr>
            <w:r>
              <w:rPr>
                <w:rFonts w:eastAsia="標楷體"/>
                <w:kern w:val="0"/>
                <w:sz w:val="25"/>
                <w:szCs w:val="25"/>
              </w:rPr>
              <w:t>年別</w:t>
            </w:r>
          </w:p>
        </w:tc>
        <w:tc>
          <w:tcPr>
            <w:tcW w:w="990" w:type="dxa"/>
            <w:vMerge w:val="restart"/>
            <w:tcBorders>
              <w:top w:val="single" w:sz="6" w:space="0" w:color="000000"/>
              <w:left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5E6D487A" w14:textId="77777777" w:rsidR="00052596" w:rsidRDefault="00000000">
            <w:pPr>
              <w:widowControl/>
              <w:spacing w:line="320" w:lineRule="exact"/>
              <w:jc w:val="center"/>
              <w:rPr>
                <w:rFonts w:eastAsia="標楷體"/>
                <w:kern w:val="0"/>
                <w:sz w:val="25"/>
                <w:szCs w:val="25"/>
              </w:rPr>
            </w:pPr>
            <w:r>
              <w:rPr>
                <w:rFonts w:eastAsia="標楷體"/>
                <w:kern w:val="0"/>
                <w:sz w:val="25"/>
                <w:szCs w:val="25"/>
              </w:rPr>
              <w:t>整　體</w:t>
            </w:r>
          </w:p>
          <w:p w14:paraId="21826669" w14:textId="77777777" w:rsidR="00052596" w:rsidRDefault="00000000">
            <w:pPr>
              <w:widowControl/>
              <w:spacing w:line="320" w:lineRule="exact"/>
              <w:jc w:val="center"/>
              <w:rPr>
                <w:rFonts w:eastAsia="標楷體"/>
                <w:kern w:val="0"/>
                <w:sz w:val="25"/>
                <w:szCs w:val="25"/>
              </w:rPr>
            </w:pPr>
            <w:r>
              <w:rPr>
                <w:rFonts w:eastAsia="標楷體"/>
                <w:kern w:val="0"/>
                <w:sz w:val="25"/>
                <w:szCs w:val="25"/>
              </w:rPr>
              <w:t>製造業</w:t>
            </w:r>
          </w:p>
        </w:tc>
        <w:tc>
          <w:tcPr>
            <w:tcW w:w="1214" w:type="dxa"/>
            <w:vMerge w:val="restart"/>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229F87D0" w14:textId="77777777" w:rsidR="00052596" w:rsidRDefault="00000000">
            <w:pPr>
              <w:widowControl/>
              <w:spacing w:line="320" w:lineRule="exact"/>
              <w:jc w:val="center"/>
              <w:rPr>
                <w:rFonts w:eastAsia="標楷體"/>
                <w:kern w:val="0"/>
                <w:sz w:val="25"/>
                <w:szCs w:val="25"/>
              </w:rPr>
            </w:pPr>
            <w:r>
              <w:rPr>
                <w:rFonts w:eastAsia="標楷體"/>
                <w:kern w:val="0"/>
                <w:sz w:val="25"/>
                <w:szCs w:val="25"/>
              </w:rPr>
              <w:t>傳　統</w:t>
            </w:r>
          </w:p>
          <w:p w14:paraId="5D29FCD8" w14:textId="77777777" w:rsidR="00052596" w:rsidRDefault="00000000">
            <w:pPr>
              <w:widowControl/>
              <w:spacing w:line="320" w:lineRule="exact"/>
              <w:jc w:val="center"/>
              <w:rPr>
                <w:rFonts w:eastAsia="標楷體"/>
                <w:kern w:val="0"/>
                <w:sz w:val="25"/>
                <w:szCs w:val="25"/>
              </w:rPr>
            </w:pPr>
            <w:r>
              <w:rPr>
                <w:rFonts w:eastAsia="標楷體"/>
                <w:kern w:val="0"/>
                <w:sz w:val="25"/>
                <w:szCs w:val="25"/>
              </w:rPr>
              <w:t>製造業</w:t>
            </w:r>
          </w:p>
        </w:tc>
        <w:tc>
          <w:tcPr>
            <w:tcW w:w="1721" w:type="dxa"/>
            <w:tcBorders>
              <w:top w:val="single" w:sz="6" w:space="0" w:color="000000"/>
              <w:bottom w:val="single" w:sz="6" w:space="0" w:color="000000"/>
            </w:tcBorders>
            <w:shd w:val="clear" w:color="auto" w:fill="EFFFEF"/>
            <w:tcMar>
              <w:top w:w="0" w:type="dxa"/>
              <w:left w:w="28" w:type="dxa"/>
              <w:bottom w:w="0" w:type="dxa"/>
              <w:right w:w="28" w:type="dxa"/>
            </w:tcMar>
            <w:vAlign w:val="center"/>
          </w:tcPr>
          <w:p w14:paraId="2ED5D2D8" w14:textId="77777777" w:rsidR="00052596" w:rsidRDefault="00052596">
            <w:pPr>
              <w:widowControl/>
              <w:snapToGrid w:val="0"/>
              <w:spacing w:line="240" w:lineRule="exact"/>
              <w:jc w:val="center"/>
              <w:rPr>
                <w:rFonts w:eastAsia="標楷體"/>
                <w:kern w:val="0"/>
                <w:sz w:val="25"/>
                <w:szCs w:val="25"/>
              </w:rPr>
            </w:pPr>
          </w:p>
        </w:tc>
        <w:tc>
          <w:tcPr>
            <w:tcW w:w="1310" w:type="dxa"/>
            <w:tcBorders>
              <w:top w:val="single" w:sz="6" w:space="0" w:color="000000"/>
              <w:bottom w:val="single" w:sz="6" w:space="0" w:color="000000"/>
            </w:tcBorders>
            <w:shd w:val="clear" w:color="auto" w:fill="EFFFEF"/>
            <w:tcMar>
              <w:top w:w="0" w:type="dxa"/>
              <w:left w:w="28" w:type="dxa"/>
              <w:bottom w:w="0" w:type="dxa"/>
              <w:right w:w="28" w:type="dxa"/>
            </w:tcMar>
            <w:vAlign w:val="center"/>
          </w:tcPr>
          <w:p w14:paraId="5C068348" w14:textId="77777777" w:rsidR="00052596" w:rsidRDefault="00052596">
            <w:pPr>
              <w:widowControl/>
              <w:snapToGrid w:val="0"/>
              <w:spacing w:line="240" w:lineRule="exact"/>
              <w:jc w:val="center"/>
              <w:rPr>
                <w:rFonts w:eastAsia="標楷體"/>
                <w:kern w:val="0"/>
                <w:sz w:val="25"/>
                <w:szCs w:val="25"/>
              </w:rPr>
            </w:pPr>
          </w:p>
        </w:tc>
        <w:tc>
          <w:tcPr>
            <w:tcW w:w="1310" w:type="dxa"/>
            <w:tcBorders>
              <w:top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00E740B2" w14:textId="77777777" w:rsidR="00052596" w:rsidRDefault="00052596">
            <w:pPr>
              <w:widowControl/>
              <w:snapToGrid w:val="0"/>
              <w:spacing w:line="240" w:lineRule="exact"/>
              <w:jc w:val="center"/>
              <w:rPr>
                <w:rFonts w:eastAsia="標楷體"/>
                <w:kern w:val="0"/>
                <w:sz w:val="25"/>
                <w:szCs w:val="25"/>
              </w:rPr>
            </w:pPr>
          </w:p>
        </w:tc>
        <w:tc>
          <w:tcPr>
            <w:tcW w:w="1190" w:type="dxa"/>
            <w:vMerge w:val="restart"/>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42A9907B" w14:textId="77777777" w:rsidR="00052596" w:rsidRDefault="00000000">
            <w:pPr>
              <w:widowControl/>
              <w:spacing w:line="320" w:lineRule="exact"/>
              <w:jc w:val="center"/>
              <w:rPr>
                <w:rFonts w:eastAsia="標楷體"/>
                <w:kern w:val="0"/>
                <w:sz w:val="25"/>
                <w:szCs w:val="25"/>
              </w:rPr>
            </w:pPr>
            <w:r>
              <w:rPr>
                <w:rFonts w:eastAsia="標楷體"/>
                <w:kern w:val="0"/>
                <w:sz w:val="25"/>
                <w:szCs w:val="25"/>
              </w:rPr>
              <w:t>資訊電子工業</w:t>
            </w:r>
          </w:p>
        </w:tc>
      </w:tr>
      <w:tr w:rsidR="00052596" w14:paraId="6020E410" w14:textId="77777777">
        <w:tblPrEx>
          <w:tblCellMar>
            <w:top w:w="0" w:type="dxa"/>
            <w:bottom w:w="0" w:type="dxa"/>
          </w:tblCellMar>
        </w:tblPrEx>
        <w:trPr>
          <w:trHeight w:val="420"/>
          <w:jc w:val="center"/>
        </w:trPr>
        <w:tc>
          <w:tcPr>
            <w:tcW w:w="716" w:type="dxa"/>
            <w:vMerge/>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F9D7575" w14:textId="77777777" w:rsidR="00052596" w:rsidRDefault="00052596">
            <w:pPr>
              <w:widowControl/>
              <w:spacing w:line="240" w:lineRule="exact"/>
              <w:jc w:val="center"/>
              <w:rPr>
                <w:rFonts w:eastAsia="標楷體"/>
                <w:kern w:val="0"/>
                <w:sz w:val="25"/>
                <w:szCs w:val="25"/>
              </w:rPr>
            </w:pPr>
          </w:p>
        </w:tc>
        <w:tc>
          <w:tcPr>
            <w:tcW w:w="990" w:type="dxa"/>
            <w:vMerge/>
            <w:tcBorders>
              <w:top w:val="single" w:sz="6" w:space="0" w:color="000000"/>
              <w:left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26AFCE37" w14:textId="77777777" w:rsidR="00052596" w:rsidRDefault="00052596">
            <w:pPr>
              <w:widowControl/>
              <w:spacing w:line="240" w:lineRule="exact"/>
              <w:jc w:val="center"/>
              <w:rPr>
                <w:rFonts w:eastAsia="標楷體"/>
                <w:kern w:val="0"/>
                <w:sz w:val="25"/>
                <w:szCs w:val="25"/>
              </w:rPr>
            </w:pPr>
          </w:p>
        </w:tc>
        <w:tc>
          <w:tcPr>
            <w:tcW w:w="1214" w:type="dxa"/>
            <w:vMerge/>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4186DD1C" w14:textId="77777777" w:rsidR="00052596" w:rsidRDefault="00052596">
            <w:pPr>
              <w:widowControl/>
              <w:spacing w:line="240" w:lineRule="exact"/>
              <w:jc w:val="center"/>
              <w:rPr>
                <w:rFonts w:eastAsia="標楷體"/>
                <w:kern w:val="0"/>
                <w:sz w:val="25"/>
                <w:szCs w:val="25"/>
              </w:rPr>
            </w:pPr>
          </w:p>
        </w:tc>
        <w:tc>
          <w:tcPr>
            <w:tcW w:w="1721"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6DDD5FCC" w14:textId="77777777" w:rsidR="00052596" w:rsidRDefault="00000000">
            <w:pPr>
              <w:widowControl/>
              <w:spacing w:line="240" w:lineRule="exact"/>
              <w:jc w:val="center"/>
              <w:rPr>
                <w:rFonts w:eastAsia="標楷體"/>
                <w:kern w:val="0"/>
                <w:sz w:val="25"/>
                <w:szCs w:val="25"/>
              </w:rPr>
            </w:pPr>
            <w:r>
              <w:rPr>
                <w:rFonts w:eastAsia="標楷體"/>
                <w:kern w:val="0"/>
                <w:sz w:val="25"/>
                <w:szCs w:val="25"/>
              </w:rPr>
              <w:t>金屬機械工業</w:t>
            </w:r>
          </w:p>
        </w:tc>
        <w:tc>
          <w:tcPr>
            <w:tcW w:w="1310"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60B1132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化學工業</w:t>
            </w:r>
          </w:p>
        </w:tc>
        <w:tc>
          <w:tcPr>
            <w:tcW w:w="1310"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43813A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民生工業</w:t>
            </w:r>
          </w:p>
        </w:tc>
        <w:tc>
          <w:tcPr>
            <w:tcW w:w="1190" w:type="dxa"/>
            <w:vMerge/>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76561998" w14:textId="77777777" w:rsidR="00052596" w:rsidRDefault="00052596">
            <w:pPr>
              <w:widowControl/>
              <w:spacing w:line="240" w:lineRule="exact"/>
              <w:jc w:val="center"/>
              <w:rPr>
                <w:rFonts w:eastAsia="標楷體"/>
                <w:kern w:val="0"/>
                <w:sz w:val="25"/>
                <w:szCs w:val="25"/>
              </w:rPr>
            </w:pPr>
          </w:p>
        </w:tc>
      </w:tr>
      <w:tr w:rsidR="00052596" w14:paraId="524FC0A6" w14:textId="77777777">
        <w:tblPrEx>
          <w:tblCellMar>
            <w:top w:w="0" w:type="dxa"/>
            <w:bottom w:w="0" w:type="dxa"/>
          </w:tblCellMar>
        </w:tblPrEx>
        <w:trPr>
          <w:trHeight w:val="353"/>
          <w:jc w:val="center"/>
        </w:trPr>
        <w:tc>
          <w:tcPr>
            <w:tcW w:w="716"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68DA1FCA" w14:textId="77777777" w:rsidR="00052596" w:rsidRDefault="00000000">
            <w:pPr>
              <w:widowControl/>
              <w:spacing w:line="240" w:lineRule="exact"/>
              <w:jc w:val="center"/>
              <w:rPr>
                <w:rFonts w:eastAsia="標楷體"/>
                <w:kern w:val="0"/>
                <w:sz w:val="25"/>
                <w:szCs w:val="25"/>
              </w:rPr>
            </w:pPr>
            <w:r>
              <w:rPr>
                <w:rFonts w:eastAsia="標楷體"/>
                <w:kern w:val="0"/>
                <w:sz w:val="25"/>
                <w:szCs w:val="25"/>
              </w:rPr>
              <w:t>90</w:t>
            </w:r>
          </w:p>
        </w:tc>
        <w:tc>
          <w:tcPr>
            <w:tcW w:w="990" w:type="dxa"/>
            <w:tcBorders>
              <w:top w:val="single" w:sz="6" w:space="0" w:color="000000"/>
              <w:left w:val="single" w:sz="6" w:space="0" w:color="000000"/>
              <w:right w:val="single" w:sz="6" w:space="0" w:color="000000"/>
            </w:tcBorders>
            <w:shd w:val="clear" w:color="auto" w:fill="FFF0E1"/>
            <w:tcMar>
              <w:top w:w="0" w:type="dxa"/>
              <w:left w:w="28" w:type="dxa"/>
              <w:bottom w:w="0" w:type="dxa"/>
              <w:right w:w="28" w:type="dxa"/>
            </w:tcMar>
            <w:vAlign w:val="center"/>
          </w:tcPr>
          <w:p w14:paraId="13026A64"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26.80</w:t>
            </w:r>
          </w:p>
        </w:tc>
        <w:tc>
          <w:tcPr>
            <w:tcW w:w="121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EB84848"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28.33</w:t>
            </w:r>
          </w:p>
        </w:tc>
        <w:tc>
          <w:tcPr>
            <w:tcW w:w="1721"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EB9D6B5"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28.19</w:t>
            </w:r>
          </w:p>
        </w:tc>
        <w:tc>
          <w:tcPr>
            <w:tcW w:w="1310"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A6ED4D1"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26.76</w:t>
            </w:r>
          </w:p>
        </w:tc>
        <w:tc>
          <w:tcPr>
            <w:tcW w:w="1310"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28E72175" w14:textId="77777777" w:rsidR="00052596" w:rsidRDefault="00000000">
            <w:pPr>
              <w:widowControl/>
              <w:spacing w:line="240" w:lineRule="exact"/>
              <w:jc w:val="center"/>
              <w:rPr>
                <w:rFonts w:eastAsia="標楷體"/>
                <w:kern w:val="0"/>
                <w:sz w:val="25"/>
                <w:szCs w:val="25"/>
              </w:rPr>
            </w:pPr>
            <w:r>
              <w:rPr>
                <w:rFonts w:eastAsia="標楷體"/>
                <w:kern w:val="0"/>
                <w:sz w:val="25"/>
                <w:szCs w:val="25"/>
              </w:rPr>
              <w:t>30.82</w:t>
            </w:r>
          </w:p>
        </w:tc>
        <w:tc>
          <w:tcPr>
            <w:tcW w:w="1190" w:type="dxa"/>
            <w:tcBorders>
              <w:top w:val="single" w:sz="6" w:space="0" w:color="000000"/>
              <w:left w:val="single" w:sz="6" w:space="0" w:color="000000"/>
            </w:tcBorders>
            <w:shd w:val="clear" w:color="auto" w:fill="FFF0E1"/>
            <w:noWrap/>
            <w:tcMar>
              <w:top w:w="0" w:type="dxa"/>
              <w:left w:w="28" w:type="dxa"/>
              <w:bottom w:w="0" w:type="dxa"/>
              <w:right w:w="28" w:type="dxa"/>
            </w:tcMar>
            <w:vAlign w:val="center"/>
          </w:tcPr>
          <w:p w14:paraId="45FB3C9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23.89</w:t>
            </w:r>
          </w:p>
        </w:tc>
      </w:tr>
      <w:tr w:rsidR="00052596" w14:paraId="4EDD860E" w14:textId="77777777">
        <w:tblPrEx>
          <w:tblCellMar>
            <w:top w:w="0" w:type="dxa"/>
            <w:bottom w:w="0" w:type="dxa"/>
          </w:tblCellMar>
        </w:tblPrEx>
        <w:trPr>
          <w:trHeight w:val="353"/>
          <w:jc w:val="center"/>
        </w:trPr>
        <w:tc>
          <w:tcPr>
            <w:tcW w:w="716" w:type="dxa"/>
            <w:tcBorders>
              <w:right w:val="single" w:sz="6" w:space="0" w:color="000000"/>
            </w:tcBorders>
            <w:shd w:val="clear" w:color="auto" w:fill="FFF0E1"/>
            <w:noWrap/>
            <w:tcMar>
              <w:top w:w="0" w:type="dxa"/>
              <w:left w:w="28" w:type="dxa"/>
              <w:bottom w:w="0" w:type="dxa"/>
              <w:right w:w="28" w:type="dxa"/>
            </w:tcMar>
            <w:vAlign w:val="center"/>
          </w:tcPr>
          <w:p w14:paraId="589E73B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91</w:t>
            </w:r>
          </w:p>
        </w:tc>
        <w:tc>
          <w:tcPr>
            <w:tcW w:w="990"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51C97A3C"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27.46</w:t>
            </w:r>
          </w:p>
        </w:tc>
        <w:tc>
          <w:tcPr>
            <w:tcW w:w="121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9633254"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28.27</w:t>
            </w:r>
          </w:p>
        </w:tc>
        <w:tc>
          <w:tcPr>
            <w:tcW w:w="172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D8E94E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27.54</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1F2902C"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27.40</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191BB4E" w14:textId="77777777" w:rsidR="00052596" w:rsidRDefault="00000000">
            <w:pPr>
              <w:widowControl/>
              <w:spacing w:line="240" w:lineRule="exact"/>
              <w:jc w:val="center"/>
              <w:rPr>
                <w:rFonts w:eastAsia="標楷體"/>
                <w:kern w:val="0"/>
                <w:sz w:val="25"/>
                <w:szCs w:val="25"/>
              </w:rPr>
            </w:pPr>
            <w:r>
              <w:rPr>
                <w:rFonts w:eastAsia="標楷體"/>
                <w:kern w:val="0"/>
                <w:sz w:val="25"/>
                <w:szCs w:val="25"/>
              </w:rPr>
              <w:t>30.66</w:t>
            </w:r>
          </w:p>
        </w:tc>
        <w:tc>
          <w:tcPr>
            <w:tcW w:w="1190" w:type="dxa"/>
            <w:tcBorders>
              <w:left w:val="single" w:sz="6" w:space="0" w:color="000000"/>
            </w:tcBorders>
            <w:shd w:val="clear" w:color="auto" w:fill="FFF0E1"/>
            <w:noWrap/>
            <w:tcMar>
              <w:top w:w="0" w:type="dxa"/>
              <w:left w:w="28" w:type="dxa"/>
              <w:bottom w:w="0" w:type="dxa"/>
              <w:right w:w="28" w:type="dxa"/>
            </w:tcMar>
            <w:vAlign w:val="center"/>
          </w:tcPr>
          <w:p w14:paraId="2ECB7894"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26.03</w:t>
            </w:r>
          </w:p>
        </w:tc>
      </w:tr>
      <w:tr w:rsidR="00052596" w14:paraId="5AD47453" w14:textId="77777777">
        <w:tblPrEx>
          <w:tblCellMar>
            <w:top w:w="0" w:type="dxa"/>
            <w:bottom w:w="0" w:type="dxa"/>
          </w:tblCellMar>
        </w:tblPrEx>
        <w:trPr>
          <w:trHeight w:val="353"/>
          <w:jc w:val="center"/>
        </w:trPr>
        <w:tc>
          <w:tcPr>
            <w:tcW w:w="716" w:type="dxa"/>
            <w:tcBorders>
              <w:right w:val="single" w:sz="6" w:space="0" w:color="000000"/>
            </w:tcBorders>
            <w:shd w:val="clear" w:color="auto" w:fill="FFF0E1"/>
            <w:noWrap/>
            <w:tcMar>
              <w:top w:w="0" w:type="dxa"/>
              <w:left w:w="28" w:type="dxa"/>
              <w:bottom w:w="0" w:type="dxa"/>
              <w:right w:w="28" w:type="dxa"/>
            </w:tcMar>
            <w:vAlign w:val="center"/>
          </w:tcPr>
          <w:p w14:paraId="236C9B15" w14:textId="77777777" w:rsidR="00052596" w:rsidRDefault="00000000">
            <w:pPr>
              <w:widowControl/>
              <w:spacing w:line="240" w:lineRule="exact"/>
              <w:jc w:val="center"/>
              <w:rPr>
                <w:rFonts w:eastAsia="標楷體"/>
                <w:kern w:val="0"/>
                <w:sz w:val="25"/>
                <w:szCs w:val="25"/>
              </w:rPr>
            </w:pPr>
            <w:r>
              <w:rPr>
                <w:rFonts w:eastAsia="標楷體"/>
                <w:kern w:val="0"/>
                <w:sz w:val="25"/>
                <w:szCs w:val="25"/>
              </w:rPr>
              <w:t>92</w:t>
            </w:r>
          </w:p>
        </w:tc>
        <w:tc>
          <w:tcPr>
            <w:tcW w:w="990"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18863FDC"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26.69</w:t>
            </w:r>
          </w:p>
        </w:tc>
        <w:tc>
          <w:tcPr>
            <w:tcW w:w="121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14C9C7B"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25.76</w:t>
            </w:r>
          </w:p>
        </w:tc>
        <w:tc>
          <w:tcPr>
            <w:tcW w:w="172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31C186A"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24.69</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7E16C8F"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24.87</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E0E5974"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28.98</w:t>
            </w:r>
          </w:p>
        </w:tc>
        <w:tc>
          <w:tcPr>
            <w:tcW w:w="1190" w:type="dxa"/>
            <w:tcBorders>
              <w:left w:val="single" w:sz="6" w:space="0" w:color="000000"/>
            </w:tcBorders>
            <w:shd w:val="clear" w:color="auto" w:fill="FFF0E1"/>
            <w:noWrap/>
            <w:tcMar>
              <w:top w:w="0" w:type="dxa"/>
              <w:left w:w="28" w:type="dxa"/>
              <w:bottom w:w="0" w:type="dxa"/>
              <w:right w:w="28" w:type="dxa"/>
            </w:tcMar>
            <w:vAlign w:val="center"/>
          </w:tcPr>
          <w:p w14:paraId="378A9720"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28.34</w:t>
            </w:r>
          </w:p>
        </w:tc>
      </w:tr>
      <w:tr w:rsidR="00052596" w14:paraId="2E2528E8" w14:textId="77777777">
        <w:tblPrEx>
          <w:tblCellMar>
            <w:top w:w="0" w:type="dxa"/>
            <w:bottom w:w="0" w:type="dxa"/>
          </w:tblCellMar>
        </w:tblPrEx>
        <w:trPr>
          <w:trHeight w:val="353"/>
          <w:jc w:val="center"/>
        </w:trPr>
        <w:tc>
          <w:tcPr>
            <w:tcW w:w="716" w:type="dxa"/>
            <w:tcBorders>
              <w:right w:val="single" w:sz="6" w:space="0" w:color="000000"/>
            </w:tcBorders>
            <w:shd w:val="clear" w:color="auto" w:fill="FFF0E1"/>
            <w:noWrap/>
            <w:tcMar>
              <w:top w:w="0" w:type="dxa"/>
              <w:left w:w="28" w:type="dxa"/>
              <w:bottom w:w="0" w:type="dxa"/>
              <w:right w:w="28" w:type="dxa"/>
            </w:tcMar>
            <w:vAlign w:val="center"/>
          </w:tcPr>
          <w:p w14:paraId="237F7BDB" w14:textId="77777777" w:rsidR="00052596" w:rsidRDefault="00000000">
            <w:pPr>
              <w:widowControl/>
              <w:spacing w:line="240" w:lineRule="exact"/>
              <w:jc w:val="center"/>
              <w:rPr>
                <w:rFonts w:eastAsia="標楷體"/>
                <w:kern w:val="0"/>
                <w:sz w:val="25"/>
                <w:szCs w:val="25"/>
              </w:rPr>
            </w:pPr>
            <w:r>
              <w:rPr>
                <w:rFonts w:eastAsia="標楷體"/>
                <w:kern w:val="0"/>
                <w:sz w:val="25"/>
                <w:szCs w:val="25"/>
              </w:rPr>
              <w:t>93</w:t>
            </w:r>
          </w:p>
        </w:tc>
        <w:tc>
          <w:tcPr>
            <w:tcW w:w="990"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6CBF4305"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24.37</w:t>
            </w:r>
          </w:p>
        </w:tc>
        <w:tc>
          <w:tcPr>
            <w:tcW w:w="121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07AF515"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22.89</w:t>
            </w:r>
          </w:p>
        </w:tc>
        <w:tc>
          <w:tcPr>
            <w:tcW w:w="172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818C73A"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20.80</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99FB01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23.36</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E328A21"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25.93</w:t>
            </w:r>
          </w:p>
        </w:tc>
        <w:tc>
          <w:tcPr>
            <w:tcW w:w="1190" w:type="dxa"/>
            <w:tcBorders>
              <w:left w:val="single" w:sz="6" w:space="0" w:color="000000"/>
            </w:tcBorders>
            <w:shd w:val="clear" w:color="auto" w:fill="FFF0E1"/>
            <w:noWrap/>
            <w:tcMar>
              <w:top w:w="0" w:type="dxa"/>
              <w:left w:w="28" w:type="dxa"/>
              <w:bottom w:w="0" w:type="dxa"/>
              <w:right w:w="28" w:type="dxa"/>
            </w:tcMar>
            <w:vAlign w:val="center"/>
          </w:tcPr>
          <w:p w14:paraId="33E9DF38"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27.15</w:t>
            </w:r>
          </w:p>
        </w:tc>
      </w:tr>
      <w:tr w:rsidR="00052596" w14:paraId="673C947C" w14:textId="77777777">
        <w:tblPrEx>
          <w:tblCellMar>
            <w:top w:w="0" w:type="dxa"/>
            <w:bottom w:w="0" w:type="dxa"/>
          </w:tblCellMar>
        </w:tblPrEx>
        <w:trPr>
          <w:trHeight w:val="353"/>
          <w:jc w:val="center"/>
        </w:trPr>
        <w:tc>
          <w:tcPr>
            <w:tcW w:w="716" w:type="dxa"/>
            <w:tcBorders>
              <w:right w:val="single" w:sz="6" w:space="0" w:color="000000"/>
            </w:tcBorders>
            <w:shd w:val="clear" w:color="auto" w:fill="FFF0E1"/>
            <w:noWrap/>
            <w:tcMar>
              <w:top w:w="0" w:type="dxa"/>
              <w:left w:w="28" w:type="dxa"/>
              <w:bottom w:w="0" w:type="dxa"/>
              <w:right w:w="28" w:type="dxa"/>
            </w:tcMar>
            <w:vAlign w:val="center"/>
          </w:tcPr>
          <w:p w14:paraId="629F23A5" w14:textId="77777777" w:rsidR="00052596" w:rsidRDefault="00000000">
            <w:pPr>
              <w:widowControl/>
              <w:spacing w:line="240" w:lineRule="exact"/>
              <w:jc w:val="center"/>
              <w:rPr>
                <w:rFonts w:eastAsia="標楷體"/>
                <w:kern w:val="0"/>
                <w:sz w:val="25"/>
                <w:szCs w:val="25"/>
              </w:rPr>
            </w:pPr>
            <w:r>
              <w:rPr>
                <w:rFonts w:eastAsia="標楷體"/>
                <w:kern w:val="0"/>
                <w:sz w:val="25"/>
                <w:szCs w:val="25"/>
              </w:rPr>
              <w:t>94</w:t>
            </w:r>
          </w:p>
        </w:tc>
        <w:tc>
          <w:tcPr>
            <w:tcW w:w="990"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0E276934"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23.82</w:t>
            </w:r>
          </w:p>
        </w:tc>
        <w:tc>
          <w:tcPr>
            <w:tcW w:w="121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8FBB7D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22.01</w:t>
            </w:r>
          </w:p>
        </w:tc>
        <w:tc>
          <w:tcPr>
            <w:tcW w:w="172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BC7DB85"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20.63</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D3D23D5"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21.59</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D9463CA"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25.71</w:t>
            </w:r>
          </w:p>
        </w:tc>
        <w:tc>
          <w:tcPr>
            <w:tcW w:w="1190" w:type="dxa"/>
            <w:tcBorders>
              <w:left w:val="single" w:sz="6" w:space="0" w:color="000000"/>
            </w:tcBorders>
            <w:shd w:val="clear" w:color="auto" w:fill="FFF0E1"/>
            <w:noWrap/>
            <w:tcMar>
              <w:top w:w="0" w:type="dxa"/>
              <w:left w:w="28" w:type="dxa"/>
              <w:bottom w:w="0" w:type="dxa"/>
              <w:right w:w="28" w:type="dxa"/>
            </w:tcMar>
            <w:vAlign w:val="center"/>
          </w:tcPr>
          <w:p w14:paraId="40C52C2D"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27.21</w:t>
            </w:r>
          </w:p>
        </w:tc>
      </w:tr>
      <w:tr w:rsidR="00052596" w14:paraId="300D99C2" w14:textId="77777777">
        <w:tblPrEx>
          <w:tblCellMar>
            <w:top w:w="0" w:type="dxa"/>
            <w:bottom w:w="0" w:type="dxa"/>
          </w:tblCellMar>
        </w:tblPrEx>
        <w:trPr>
          <w:trHeight w:val="353"/>
          <w:jc w:val="center"/>
        </w:trPr>
        <w:tc>
          <w:tcPr>
            <w:tcW w:w="716" w:type="dxa"/>
            <w:tcBorders>
              <w:right w:val="single" w:sz="6" w:space="0" w:color="000000"/>
            </w:tcBorders>
            <w:shd w:val="clear" w:color="auto" w:fill="FFF0E1"/>
            <w:noWrap/>
            <w:tcMar>
              <w:top w:w="0" w:type="dxa"/>
              <w:left w:w="28" w:type="dxa"/>
              <w:bottom w:w="0" w:type="dxa"/>
              <w:right w:w="28" w:type="dxa"/>
            </w:tcMar>
            <w:vAlign w:val="center"/>
          </w:tcPr>
          <w:p w14:paraId="1A194698" w14:textId="77777777" w:rsidR="00052596" w:rsidRDefault="00000000">
            <w:pPr>
              <w:widowControl/>
              <w:spacing w:line="240" w:lineRule="exact"/>
              <w:jc w:val="center"/>
              <w:rPr>
                <w:rFonts w:eastAsia="標楷體"/>
                <w:kern w:val="0"/>
                <w:sz w:val="25"/>
                <w:szCs w:val="25"/>
              </w:rPr>
            </w:pPr>
            <w:r>
              <w:rPr>
                <w:rFonts w:eastAsia="標楷體"/>
                <w:kern w:val="0"/>
                <w:sz w:val="25"/>
                <w:szCs w:val="25"/>
              </w:rPr>
              <w:t>95</w:t>
            </w:r>
          </w:p>
        </w:tc>
        <w:tc>
          <w:tcPr>
            <w:tcW w:w="990"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56B5FE1F"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22.37</w:t>
            </w:r>
          </w:p>
        </w:tc>
        <w:tc>
          <w:tcPr>
            <w:tcW w:w="121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EE2E15A"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19.15</w:t>
            </w:r>
          </w:p>
        </w:tc>
        <w:tc>
          <w:tcPr>
            <w:tcW w:w="172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0EBF75E"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19.98</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77D7111"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15.64</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267818E"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25.51</w:t>
            </w:r>
          </w:p>
        </w:tc>
        <w:tc>
          <w:tcPr>
            <w:tcW w:w="1190" w:type="dxa"/>
            <w:tcBorders>
              <w:left w:val="single" w:sz="6" w:space="0" w:color="000000"/>
            </w:tcBorders>
            <w:shd w:val="clear" w:color="auto" w:fill="FFF0E1"/>
            <w:noWrap/>
            <w:tcMar>
              <w:top w:w="0" w:type="dxa"/>
              <w:left w:w="28" w:type="dxa"/>
              <w:bottom w:w="0" w:type="dxa"/>
              <w:right w:w="28" w:type="dxa"/>
            </w:tcMar>
            <w:vAlign w:val="center"/>
          </w:tcPr>
          <w:p w14:paraId="77E1E4A6"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27.95</w:t>
            </w:r>
          </w:p>
        </w:tc>
      </w:tr>
      <w:tr w:rsidR="00052596" w14:paraId="52BBDE34" w14:textId="77777777">
        <w:tblPrEx>
          <w:tblCellMar>
            <w:top w:w="0" w:type="dxa"/>
            <w:bottom w:w="0" w:type="dxa"/>
          </w:tblCellMar>
        </w:tblPrEx>
        <w:trPr>
          <w:trHeight w:val="353"/>
          <w:jc w:val="center"/>
        </w:trPr>
        <w:tc>
          <w:tcPr>
            <w:tcW w:w="716" w:type="dxa"/>
            <w:tcBorders>
              <w:right w:val="single" w:sz="6" w:space="0" w:color="000000"/>
            </w:tcBorders>
            <w:shd w:val="clear" w:color="auto" w:fill="FFF0E1"/>
            <w:noWrap/>
            <w:tcMar>
              <w:top w:w="0" w:type="dxa"/>
              <w:left w:w="28" w:type="dxa"/>
              <w:bottom w:w="0" w:type="dxa"/>
              <w:right w:w="28" w:type="dxa"/>
            </w:tcMar>
            <w:vAlign w:val="center"/>
          </w:tcPr>
          <w:p w14:paraId="14D07F38" w14:textId="77777777" w:rsidR="00052596" w:rsidRDefault="00000000">
            <w:pPr>
              <w:widowControl/>
              <w:spacing w:line="240" w:lineRule="exact"/>
              <w:jc w:val="center"/>
              <w:rPr>
                <w:rFonts w:eastAsia="標楷體"/>
                <w:kern w:val="0"/>
                <w:sz w:val="25"/>
                <w:szCs w:val="25"/>
              </w:rPr>
            </w:pPr>
            <w:r>
              <w:rPr>
                <w:rFonts w:eastAsia="標楷體"/>
                <w:kern w:val="0"/>
                <w:sz w:val="25"/>
                <w:szCs w:val="25"/>
              </w:rPr>
              <w:t>96</w:t>
            </w:r>
          </w:p>
        </w:tc>
        <w:tc>
          <w:tcPr>
            <w:tcW w:w="990"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1DAD55B9"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21.72</w:t>
            </w:r>
          </w:p>
        </w:tc>
        <w:tc>
          <w:tcPr>
            <w:tcW w:w="121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DBE4D89"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18.84</w:t>
            </w:r>
          </w:p>
        </w:tc>
        <w:tc>
          <w:tcPr>
            <w:tcW w:w="172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8B14482"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19.40</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39DEA7F"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16.12</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C39D79D"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24.54</w:t>
            </w:r>
          </w:p>
        </w:tc>
        <w:tc>
          <w:tcPr>
            <w:tcW w:w="1190" w:type="dxa"/>
            <w:tcBorders>
              <w:left w:val="single" w:sz="6" w:space="0" w:color="000000"/>
            </w:tcBorders>
            <w:shd w:val="clear" w:color="auto" w:fill="FFF0E1"/>
            <w:noWrap/>
            <w:tcMar>
              <w:top w:w="0" w:type="dxa"/>
              <w:left w:w="28" w:type="dxa"/>
              <w:bottom w:w="0" w:type="dxa"/>
              <w:right w:w="28" w:type="dxa"/>
            </w:tcMar>
            <w:vAlign w:val="center"/>
          </w:tcPr>
          <w:p w14:paraId="621174D4"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26.83</w:t>
            </w:r>
          </w:p>
        </w:tc>
      </w:tr>
      <w:tr w:rsidR="00052596" w14:paraId="50662641" w14:textId="77777777">
        <w:tblPrEx>
          <w:tblCellMar>
            <w:top w:w="0" w:type="dxa"/>
            <w:bottom w:w="0" w:type="dxa"/>
          </w:tblCellMar>
        </w:tblPrEx>
        <w:trPr>
          <w:trHeight w:val="353"/>
          <w:jc w:val="center"/>
        </w:trPr>
        <w:tc>
          <w:tcPr>
            <w:tcW w:w="716" w:type="dxa"/>
            <w:tcBorders>
              <w:right w:val="single" w:sz="6" w:space="0" w:color="000000"/>
            </w:tcBorders>
            <w:shd w:val="clear" w:color="auto" w:fill="FFF0E1"/>
            <w:noWrap/>
            <w:tcMar>
              <w:top w:w="0" w:type="dxa"/>
              <w:left w:w="28" w:type="dxa"/>
              <w:bottom w:w="0" w:type="dxa"/>
              <w:right w:w="28" w:type="dxa"/>
            </w:tcMar>
            <w:vAlign w:val="center"/>
          </w:tcPr>
          <w:p w14:paraId="0C484E08" w14:textId="77777777" w:rsidR="00052596" w:rsidRDefault="00000000">
            <w:pPr>
              <w:widowControl/>
              <w:spacing w:line="240" w:lineRule="exact"/>
              <w:jc w:val="center"/>
              <w:rPr>
                <w:rFonts w:eastAsia="標楷體"/>
                <w:kern w:val="0"/>
                <w:sz w:val="25"/>
                <w:szCs w:val="25"/>
              </w:rPr>
            </w:pPr>
            <w:r>
              <w:rPr>
                <w:rFonts w:eastAsia="標楷體"/>
                <w:kern w:val="0"/>
                <w:sz w:val="25"/>
                <w:szCs w:val="25"/>
              </w:rPr>
              <w:lastRenderedPageBreak/>
              <w:t>97</w:t>
            </w:r>
          </w:p>
        </w:tc>
        <w:tc>
          <w:tcPr>
            <w:tcW w:w="990"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4CE633EA"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20.21</w:t>
            </w:r>
          </w:p>
        </w:tc>
        <w:tc>
          <w:tcPr>
            <w:tcW w:w="121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6627BE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16.61</w:t>
            </w:r>
          </w:p>
        </w:tc>
        <w:tc>
          <w:tcPr>
            <w:tcW w:w="172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B37922C"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19.09</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DEF929B"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11.78</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AD7F816"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23.71</w:t>
            </w:r>
          </w:p>
        </w:tc>
        <w:tc>
          <w:tcPr>
            <w:tcW w:w="1190" w:type="dxa"/>
            <w:tcBorders>
              <w:left w:val="single" w:sz="6" w:space="0" w:color="000000"/>
            </w:tcBorders>
            <w:shd w:val="clear" w:color="auto" w:fill="FFF0E1"/>
            <w:noWrap/>
            <w:tcMar>
              <w:top w:w="0" w:type="dxa"/>
              <w:left w:w="28" w:type="dxa"/>
              <w:bottom w:w="0" w:type="dxa"/>
              <w:right w:w="28" w:type="dxa"/>
            </w:tcMar>
            <w:vAlign w:val="center"/>
          </w:tcPr>
          <w:p w14:paraId="1A552B2D"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27.08</w:t>
            </w:r>
          </w:p>
        </w:tc>
      </w:tr>
      <w:tr w:rsidR="00052596" w14:paraId="02F75E37" w14:textId="77777777">
        <w:tblPrEx>
          <w:tblCellMar>
            <w:top w:w="0" w:type="dxa"/>
            <w:bottom w:w="0" w:type="dxa"/>
          </w:tblCellMar>
        </w:tblPrEx>
        <w:trPr>
          <w:trHeight w:val="353"/>
          <w:jc w:val="center"/>
        </w:trPr>
        <w:tc>
          <w:tcPr>
            <w:tcW w:w="716" w:type="dxa"/>
            <w:tcBorders>
              <w:right w:val="single" w:sz="6" w:space="0" w:color="000000"/>
            </w:tcBorders>
            <w:shd w:val="clear" w:color="auto" w:fill="FFF0E1"/>
            <w:noWrap/>
            <w:tcMar>
              <w:top w:w="0" w:type="dxa"/>
              <w:left w:w="28" w:type="dxa"/>
              <w:bottom w:w="0" w:type="dxa"/>
              <w:right w:w="28" w:type="dxa"/>
            </w:tcMar>
            <w:vAlign w:val="center"/>
          </w:tcPr>
          <w:p w14:paraId="79D65B55" w14:textId="77777777" w:rsidR="00052596" w:rsidRDefault="00000000">
            <w:pPr>
              <w:widowControl/>
              <w:spacing w:line="240" w:lineRule="exact"/>
              <w:jc w:val="center"/>
              <w:rPr>
                <w:rFonts w:eastAsia="標楷體"/>
                <w:kern w:val="0"/>
                <w:sz w:val="25"/>
                <w:szCs w:val="25"/>
              </w:rPr>
            </w:pPr>
            <w:r>
              <w:rPr>
                <w:rFonts w:eastAsia="標楷體"/>
                <w:kern w:val="0"/>
                <w:sz w:val="25"/>
                <w:szCs w:val="25"/>
              </w:rPr>
              <w:t>98</w:t>
            </w:r>
          </w:p>
        </w:tc>
        <w:tc>
          <w:tcPr>
            <w:tcW w:w="990"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2F7AD646"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22.76</w:t>
            </w:r>
          </w:p>
        </w:tc>
        <w:tc>
          <w:tcPr>
            <w:tcW w:w="121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67B01CA"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19.99</w:t>
            </w:r>
          </w:p>
        </w:tc>
        <w:tc>
          <w:tcPr>
            <w:tcW w:w="172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8006B5E"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21.02</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323A57B"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17.05</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990193A"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24.98</w:t>
            </w:r>
          </w:p>
        </w:tc>
        <w:tc>
          <w:tcPr>
            <w:tcW w:w="1190" w:type="dxa"/>
            <w:tcBorders>
              <w:left w:val="single" w:sz="6" w:space="0" w:color="000000"/>
            </w:tcBorders>
            <w:shd w:val="clear" w:color="auto" w:fill="FFF0E1"/>
            <w:noWrap/>
            <w:tcMar>
              <w:top w:w="0" w:type="dxa"/>
              <w:left w:w="28" w:type="dxa"/>
              <w:bottom w:w="0" w:type="dxa"/>
              <w:right w:w="28" w:type="dxa"/>
            </w:tcMar>
            <w:vAlign w:val="center"/>
          </w:tcPr>
          <w:p w14:paraId="0824B318" w14:textId="77777777" w:rsidR="00052596" w:rsidRDefault="00000000">
            <w:pPr>
              <w:widowControl/>
              <w:spacing w:line="240" w:lineRule="exact"/>
              <w:jc w:val="center"/>
              <w:rPr>
                <w:rFonts w:eastAsia="標楷體"/>
                <w:kern w:val="0"/>
                <w:sz w:val="25"/>
                <w:szCs w:val="25"/>
              </w:rPr>
            </w:pPr>
            <w:r>
              <w:rPr>
                <w:rFonts w:eastAsia="標楷體"/>
                <w:kern w:val="0"/>
                <w:sz w:val="25"/>
                <w:szCs w:val="25"/>
              </w:rPr>
              <w:t>27.57</w:t>
            </w:r>
          </w:p>
        </w:tc>
      </w:tr>
      <w:tr w:rsidR="00052596" w14:paraId="4770C7A1" w14:textId="77777777">
        <w:tblPrEx>
          <w:tblCellMar>
            <w:top w:w="0" w:type="dxa"/>
            <w:bottom w:w="0" w:type="dxa"/>
          </w:tblCellMar>
        </w:tblPrEx>
        <w:trPr>
          <w:trHeight w:val="353"/>
          <w:jc w:val="center"/>
        </w:trPr>
        <w:tc>
          <w:tcPr>
            <w:tcW w:w="716" w:type="dxa"/>
            <w:tcBorders>
              <w:right w:val="single" w:sz="6" w:space="0" w:color="000000"/>
            </w:tcBorders>
            <w:shd w:val="clear" w:color="auto" w:fill="FFF0E1"/>
            <w:noWrap/>
            <w:tcMar>
              <w:top w:w="0" w:type="dxa"/>
              <w:left w:w="28" w:type="dxa"/>
              <w:bottom w:w="0" w:type="dxa"/>
              <w:right w:w="28" w:type="dxa"/>
            </w:tcMar>
            <w:vAlign w:val="center"/>
          </w:tcPr>
          <w:p w14:paraId="66E603D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99</w:t>
            </w:r>
          </w:p>
        </w:tc>
        <w:tc>
          <w:tcPr>
            <w:tcW w:w="990" w:type="dxa"/>
            <w:tcBorders>
              <w:left w:val="single" w:sz="6" w:space="0" w:color="000000"/>
              <w:right w:val="single" w:sz="6" w:space="0" w:color="000000"/>
            </w:tcBorders>
            <w:shd w:val="clear" w:color="auto" w:fill="FFF0E1"/>
            <w:tcMar>
              <w:top w:w="0" w:type="dxa"/>
              <w:left w:w="28" w:type="dxa"/>
              <w:bottom w:w="0" w:type="dxa"/>
              <w:right w:w="28" w:type="dxa"/>
            </w:tcMar>
          </w:tcPr>
          <w:p w14:paraId="212D9710"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21.21 </w:t>
            </w:r>
          </w:p>
        </w:tc>
        <w:tc>
          <w:tcPr>
            <w:tcW w:w="1214" w:type="dxa"/>
            <w:tcBorders>
              <w:left w:val="single" w:sz="6" w:space="0" w:color="000000"/>
              <w:right w:val="single" w:sz="6" w:space="0" w:color="000000"/>
            </w:tcBorders>
            <w:shd w:val="clear" w:color="auto" w:fill="FFF0E1"/>
            <w:noWrap/>
            <w:tcMar>
              <w:top w:w="0" w:type="dxa"/>
              <w:left w:w="28" w:type="dxa"/>
              <w:bottom w:w="0" w:type="dxa"/>
              <w:right w:w="28" w:type="dxa"/>
            </w:tcMar>
          </w:tcPr>
          <w:p w14:paraId="6D091062"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18.69 </w:t>
            </w:r>
          </w:p>
        </w:tc>
        <w:tc>
          <w:tcPr>
            <w:tcW w:w="1721" w:type="dxa"/>
            <w:tcBorders>
              <w:left w:val="single" w:sz="6" w:space="0" w:color="000000"/>
              <w:right w:val="single" w:sz="6" w:space="0" w:color="000000"/>
            </w:tcBorders>
            <w:shd w:val="clear" w:color="auto" w:fill="FFF0E1"/>
            <w:noWrap/>
            <w:tcMar>
              <w:top w:w="0" w:type="dxa"/>
              <w:left w:w="28" w:type="dxa"/>
              <w:bottom w:w="0" w:type="dxa"/>
              <w:right w:w="28" w:type="dxa"/>
            </w:tcMar>
          </w:tcPr>
          <w:p w14:paraId="0FC67C10"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18.95 </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tcPr>
          <w:p w14:paraId="4C921A0C"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16.75 </w:t>
            </w:r>
          </w:p>
        </w:tc>
        <w:tc>
          <w:tcPr>
            <w:tcW w:w="1310" w:type="dxa"/>
            <w:tcBorders>
              <w:left w:val="single" w:sz="6" w:space="0" w:color="000000"/>
              <w:right w:val="single" w:sz="6" w:space="0" w:color="000000"/>
            </w:tcBorders>
            <w:shd w:val="clear" w:color="auto" w:fill="FFF0E1"/>
            <w:noWrap/>
            <w:tcMar>
              <w:top w:w="0" w:type="dxa"/>
              <w:left w:w="28" w:type="dxa"/>
              <w:bottom w:w="0" w:type="dxa"/>
              <w:right w:w="28" w:type="dxa"/>
            </w:tcMar>
          </w:tcPr>
          <w:p w14:paraId="1BFE2CF5"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23.04 </w:t>
            </w:r>
          </w:p>
        </w:tc>
        <w:tc>
          <w:tcPr>
            <w:tcW w:w="1190" w:type="dxa"/>
            <w:tcBorders>
              <w:left w:val="single" w:sz="6" w:space="0" w:color="000000"/>
            </w:tcBorders>
            <w:shd w:val="clear" w:color="auto" w:fill="FFF0E1"/>
            <w:noWrap/>
            <w:tcMar>
              <w:top w:w="0" w:type="dxa"/>
              <w:left w:w="28" w:type="dxa"/>
              <w:bottom w:w="0" w:type="dxa"/>
              <w:right w:w="28" w:type="dxa"/>
            </w:tcMar>
          </w:tcPr>
          <w:p w14:paraId="010F6A61"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25.55 </w:t>
            </w:r>
          </w:p>
        </w:tc>
      </w:tr>
      <w:tr w:rsidR="00052596" w14:paraId="5611C716" w14:textId="77777777">
        <w:tblPrEx>
          <w:tblCellMar>
            <w:top w:w="0" w:type="dxa"/>
            <w:bottom w:w="0" w:type="dxa"/>
          </w:tblCellMar>
        </w:tblPrEx>
        <w:trPr>
          <w:trHeight w:val="353"/>
          <w:jc w:val="center"/>
        </w:trPr>
        <w:tc>
          <w:tcPr>
            <w:tcW w:w="716"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4CA754C3" w14:textId="77777777" w:rsidR="00052596" w:rsidRDefault="00000000">
            <w:pPr>
              <w:widowControl/>
              <w:spacing w:line="240" w:lineRule="exact"/>
              <w:jc w:val="center"/>
              <w:rPr>
                <w:rFonts w:eastAsia="標楷體"/>
                <w:kern w:val="0"/>
                <w:sz w:val="25"/>
                <w:szCs w:val="25"/>
              </w:rPr>
            </w:pPr>
            <w:r>
              <w:rPr>
                <w:rFonts w:eastAsia="標楷體"/>
                <w:kern w:val="0"/>
                <w:sz w:val="25"/>
                <w:szCs w:val="25"/>
              </w:rPr>
              <w:t>100</w:t>
            </w:r>
          </w:p>
        </w:tc>
        <w:tc>
          <w:tcPr>
            <w:tcW w:w="990" w:type="dxa"/>
            <w:tcBorders>
              <w:left w:val="single" w:sz="6" w:space="0" w:color="000000"/>
              <w:bottom w:val="single" w:sz="6" w:space="0" w:color="000000"/>
              <w:right w:val="single" w:sz="6" w:space="0" w:color="000000"/>
            </w:tcBorders>
            <w:shd w:val="clear" w:color="auto" w:fill="FFF0E1"/>
            <w:tcMar>
              <w:top w:w="0" w:type="dxa"/>
              <w:left w:w="28" w:type="dxa"/>
              <w:bottom w:w="0" w:type="dxa"/>
              <w:right w:w="28" w:type="dxa"/>
            </w:tcMar>
          </w:tcPr>
          <w:p w14:paraId="4A6BAA03"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20.23 </w:t>
            </w:r>
          </w:p>
        </w:tc>
        <w:tc>
          <w:tcPr>
            <w:tcW w:w="121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tcPr>
          <w:p w14:paraId="1F660185"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17.48 </w:t>
            </w:r>
          </w:p>
        </w:tc>
        <w:tc>
          <w:tcPr>
            <w:tcW w:w="1721"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tcPr>
          <w:p w14:paraId="27550949"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18.19 </w:t>
            </w:r>
          </w:p>
        </w:tc>
        <w:tc>
          <w:tcPr>
            <w:tcW w:w="1310"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tcPr>
          <w:p w14:paraId="0451F151"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14.92 </w:t>
            </w:r>
          </w:p>
        </w:tc>
        <w:tc>
          <w:tcPr>
            <w:tcW w:w="1310"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tcPr>
          <w:p w14:paraId="56A361F4"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22.25 </w:t>
            </w:r>
          </w:p>
        </w:tc>
        <w:tc>
          <w:tcPr>
            <w:tcW w:w="1190" w:type="dxa"/>
            <w:tcBorders>
              <w:left w:val="single" w:sz="6" w:space="0" w:color="000000"/>
              <w:bottom w:val="single" w:sz="6" w:space="0" w:color="000000"/>
            </w:tcBorders>
            <w:shd w:val="clear" w:color="auto" w:fill="FFF0E1"/>
            <w:noWrap/>
            <w:tcMar>
              <w:top w:w="0" w:type="dxa"/>
              <w:left w:w="28" w:type="dxa"/>
              <w:bottom w:w="0" w:type="dxa"/>
              <w:right w:w="28" w:type="dxa"/>
            </w:tcMar>
          </w:tcPr>
          <w:p w14:paraId="54F1A9F4" w14:textId="77777777" w:rsidR="00052596" w:rsidRDefault="00000000">
            <w:pPr>
              <w:widowControl/>
              <w:spacing w:before="48" w:line="240" w:lineRule="exact"/>
              <w:jc w:val="center"/>
              <w:rPr>
                <w:rFonts w:eastAsia="標楷體"/>
                <w:kern w:val="0"/>
                <w:sz w:val="25"/>
                <w:szCs w:val="25"/>
              </w:rPr>
            </w:pPr>
            <w:r>
              <w:rPr>
                <w:rFonts w:eastAsia="標楷體"/>
                <w:kern w:val="0"/>
                <w:sz w:val="25"/>
                <w:szCs w:val="25"/>
              </w:rPr>
              <w:t xml:space="preserve">25.43 </w:t>
            </w:r>
          </w:p>
        </w:tc>
      </w:tr>
    </w:tbl>
    <w:p w14:paraId="030F81D8" w14:textId="77777777" w:rsidR="00052596" w:rsidRDefault="00000000">
      <w:pPr>
        <w:overflowPunct w:val="0"/>
        <w:autoSpaceDE w:val="0"/>
        <w:spacing w:before="24" w:line="240" w:lineRule="exact"/>
        <w:ind w:left="1136" w:hanging="440"/>
        <w:jc w:val="both"/>
        <w:textAlignment w:val="center"/>
        <w:rPr>
          <w:rFonts w:eastAsia="標楷體"/>
          <w:kern w:val="0"/>
          <w:sz w:val="22"/>
          <w:szCs w:val="22"/>
        </w:rPr>
      </w:pPr>
      <w:r>
        <w:rPr>
          <w:rFonts w:eastAsia="標楷體"/>
          <w:kern w:val="0"/>
          <w:sz w:val="22"/>
          <w:szCs w:val="22"/>
        </w:rPr>
        <w:t>註：依經濟部「傳統產業輔導措施」定義，傳統製造業包括金屬機械、化學及民生工業。</w:t>
      </w:r>
    </w:p>
    <w:p w14:paraId="04F4EFB3" w14:textId="77777777" w:rsidR="00052596" w:rsidRDefault="00000000">
      <w:pPr>
        <w:overflowPunct w:val="0"/>
        <w:autoSpaceDE w:val="0"/>
        <w:spacing w:line="280" w:lineRule="exact"/>
        <w:ind w:left="1128" w:hanging="1080"/>
        <w:jc w:val="both"/>
        <w:textAlignment w:val="center"/>
        <w:rPr>
          <w:rFonts w:eastAsia="標楷體"/>
          <w:spacing w:val="-2"/>
          <w:kern w:val="0"/>
          <w:sz w:val="22"/>
          <w:szCs w:val="22"/>
        </w:rPr>
      </w:pPr>
      <w:r>
        <w:rPr>
          <w:rFonts w:eastAsia="標楷體"/>
          <w:spacing w:val="-2"/>
          <w:kern w:val="0"/>
          <w:sz w:val="22"/>
          <w:szCs w:val="22"/>
        </w:rPr>
        <w:t>資料來源：行政院主計總處。</w:t>
      </w:r>
    </w:p>
    <w:p w14:paraId="439C4A4C" w14:textId="77777777" w:rsidR="00052596" w:rsidRDefault="00000000">
      <w:pPr>
        <w:tabs>
          <w:tab w:val="left" w:pos="960"/>
          <w:tab w:val="left" w:pos="1920"/>
          <w:tab w:val="left" w:pos="2880"/>
          <w:tab w:val="left" w:pos="3840"/>
          <w:tab w:val="left" w:pos="4800"/>
          <w:tab w:val="left" w:pos="5760"/>
        </w:tabs>
        <w:overflowPunct w:val="0"/>
        <w:autoSpaceDE w:val="0"/>
        <w:spacing w:after="240" w:line="300" w:lineRule="exact"/>
        <w:jc w:val="both"/>
        <w:textAlignment w:val="center"/>
      </w:pPr>
      <w:r>
        <w:rPr>
          <w:noProof/>
        </w:rPr>
        <mc:AlternateContent>
          <mc:Choice Requires="wps">
            <w:drawing>
              <wp:anchor distT="0" distB="0" distL="114300" distR="114300" simplePos="0" relativeHeight="251641344" behindDoc="0" locked="0" layoutInCell="1" allowOverlap="1" wp14:anchorId="1B80C9B4" wp14:editId="36C6B10B">
                <wp:simplePos x="0" y="0"/>
                <wp:positionH relativeFrom="column">
                  <wp:posOffset>1271</wp:posOffset>
                </wp:positionH>
                <wp:positionV relativeFrom="paragraph">
                  <wp:posOffset>6986</wp:posOffset>
                </wp:positionV>
                <wp:extent cx="5398132" cy="8157847"/>
                <wp:effectExtent l="0" t="0" r="12068" b="14603"/>
                <wp:wrapNone/>
                <wp:docPr id="108" name="文字方塊 17480"/>
                <wp:cNvGraphicFramePr/>
                <a:graphic xmlns:a="http://schemas.openxmlformats.org/drawingml/2006/main">
                  <a:graphicData uri="http://schemas.microsoft.com/office/word/2010/wordprocessingShape">
                    <wps:wsp>
                      <wps:cNvSpPr txBox="1"/>
                      <wps:spPr>
                        <a:xfrm>
                          <a:off x="0" y="0"/>
                          <a:ext cx="5398132" cy="8157847"/>
                        </a:xfrm>
                        <a:prstGeom prst="rect">
                          <a:avLst/>
                        </a:prstGeom>
                        <a:solidFill>
                          <a:srgbClr val="EFF5FF"/>
                        </a:solidFill>
                        <a:ln w="9528">
                          <a:solidFill>
                            <a:srgbClr val="000000"/>
                          </a:solidFill>
                          <a:prstDash val="solid"/>
                        </a:ln>
                      </wps:spPr>
                      <wps:txbx>
                        <w:txbxContent>
                          <w:p w14:paraId="520A0834" w14:textId="77777777" w:rsidR="00052596" w:rsidRDefault="00000000">
                            <w:pPr>
                              <w:pStyle w:val="t12"/>
                              <w:spacing w:before="72" w:after="72"/>
                              <w:rPr>
                                <w:color w:val="0000FF"/>
                              </w:rPr>
                            </w:pPr>
                            <w:r>
                              <w:rPr>
                                <w:color w:val="0000FF"/>
                              </w:rPr>
                              <w:t>我國ICT產業生產、研發與貿易</w:t>
                            </w:r>
                          </w:p>
                          <w:p w14:paraId="65E9A767" w14:textId="77777777" w:rsidR="00052596" w:rsidRDefault="00000000">
                            <w:pPr>
                              <w:pStyle w:val="t11"/>
                              <w:spacing w:line="360" w:lineRule="exact"/>
                              <w:ind w:left="72" w:right="72" w:firstLine="472"/>
                            </w:pPr>
                            <w:r>
                              <w:t>知識經濟時代，資訊通信科技(ICT)產業的重要性與日俱增，成為各國提升產業競爭力的關鍵。我國ICT產業在全球生產鏈中居重要角色，惟因生產偏重於中間產品，且無法掌握關鍵技術，而陷於微利化困境；另因產業過度集中，在金融風暴衝擊下，曝露出產業與貿易結構的脆弱性。準此，政府積極推動ICT產業結構轉型、升級與創新。重點在擴大ICT產業的外溢關聯效果，使ICT產業能與相關產業(例如:精緻農業、文創、醫療等服務業及傳統製造業等)更緊密結合，提升生產力與附加價值，創造各產業的更大效益。近10年來，臺灣ICT產業生產、研發及貿易發展概況如次：</w:t>
                            </w:r>
                          </w:p>
                          <w:p w14:paraId="4FC80591" w14:textId="77777777" w:rsidR="00052596" w:rsidRDefault="00000000">
                            <w:pPr>
                              <w:pStyle w:val="t11"/>
                              <w:spacing w:line="360" w:lineRule="exact"/>
                              <w:ind w:left="485" w:right="72" w:hanging="413"/>
                            </w:pPr>
                            <w:r>
                              <w:t>(一)ICT產業生產</w:t>
                            </w:r>
                          </w:p>
                          <w:p w14:paraId="478A5BC6" w14:textId="77777777" w:rsidR="00052596" w:rsidRDefault="00000000">
                            <w:pPr>
                              <w:pStyle w:val="t11"/>
                              <w:spacing w:line="360" w:lineRule="exact"/>
                              <w:ind w:left="668" w:right="72" w:hanging="236"/>
                            </w:pPr>
                            <w:r>
                              <w:t>－91至100年，臺灣ICT產業實質成長率平均14.71%，高於製造業實質成長率的8.51%；占實質GDP比重由91年的8.92%逐年提高至100年的20.33%；對同期間平均經濟成長率4.45%的貢獻率達53.48%。</w:t>
                            </w:r>
                          </w:p>
                          <w:p w14:paraId="21EF9B71" w14:textId="77777777" w:rsidR="00052596" w:rsidRDefault="00000000">
                            <w:pPr>
                              <w:pStyle w:val="t11"/>
                              <w:spacing w:line="360" w:lineRule="exact"/>
                              <w:ind w:left="668" w:right="72" w:hanging="236"/>
                            </w:pPr>
                            <w:r>
                              <w:t>－100年ICT製造業占ICT產業86.08%，ICT服務業僅占13.92%，反映ICT產業仍以硬體製造為主。</w:t>
                            </w:r>
                          </w:p>
                          <w:p w14:paraId="002AEFBC" w14:textId="77777777" w:rsidR="00052596" w:rsidRDefault="00000000">
                            <w:pPr>
                              <w:pStyle w:val="t11"/>
                              <w:spacing w:line="360" w:lineRule="exact"/>
                              <w:ind w:left="485" w:right="72" w:hanging="413"/>
                            </w:pPr>
                            <w:r>
                              <w:t>(二)ICT研發支出：依OECD「2012年網路經濟展望報告」我國ICT產業研發支出占GDP比重1.52%，全球排名第2，僅次於芬蘭的1.62%。</w:t>
                            </w:r>
                          </w:p>
                          <w:p w14:paraId="0A3B9CD2" w14:textId="77777777" w:rsidR="00052596" w:rsidRDefault="00000000">
                            <w:pPr>
                              <w:pStyle w:val="t11"/>
                              <w:spacing w:line="360" w:lineRule="exact"/>
                              <w:ind w:left="485" w:right="72" w:hanging="413"/>
                            </w:pPr>
                            <w:r>
                              <w:t>(三)高科技商品貿易：100年我國高科技商品進口638.45億美元，較91年增加70.38%；出口1,314.02億美元，增加127.44%；占全體商品進、出口比重分別為22.69%、42.63%。</w:t>
                            </w:r>
                          </w:p>
                          <w:p w14:paraId="2BFBED7F" w14:textId="77777777" w:rsidR="00052596" w:rsidRDefault="00000000">
                            <w:pPr>
                              <w:pStyle w:val="t11"/>
                              <w:spacing w:before="48" w:after="48" w:line="280" w:lineRule="exact"/>
                              <w:ind w:left="596" w:right="72" w:hanging="291"/>
                              <w:jc w:val="center"/>
                              <w:rPr>
                                <w:b/>
                                <w:color w:val="0000FF"/>
                                <w:szCs w:val="24"/>
                              </w:rPr>
                            </w:pPr>
                            <w:r>
                              <w:rPr>
                                <w:b/>
                                <w:color w:val="0000FF"/>
                                <w:szCs w:val="24"/>
                              </w:rPr>
                              <w:t>ICT產業成長與結構變化</w:t>
                            </w:r>
                          </w:p>
                          <w:tbl>
                            <w:tblPr>
                              <w:tblW w:w="7836" w:type="dxa"/>
                              <w:jc w:val="center"/>
                              <w:tblLayout w:type="fixed"/>
                              <w:tblCellMar>
                                <w:left w:w="10" w:type="dxa"/>
                                <w:right w:w="10" w:type="dxa"/>
                              </w:tblCellMar>
                              <w:tblLook w:val="04A0" w:firstRow="1" w:lastRow="0" w:firstColumn="1" w:lastColumn="0" w:noHBand="0" w:noVBand="1"/>
                            </w:tblPr>
                            <w:tblGrid>
                              <w:gridCol w:w="1370"/>
                              <w:gridCol w:w="646"/>
                              <w:gridCol w:w="63"/>
                              <w:gridCol w:w="584"/>
                              <w:gridCol w:w="45"/>
                              <w:gridCol w:w="601"/>
                              <w:gridCol w:w="26"/>
                              <w:gridCol w:w="621"/>
                              <w:gridCol w:w="6"/>
                              <w:gridCol w:w="627"/>
                              <w:gridCol w:w="14"/>
                              <w:gridCol w:w="613"/>
                              <w:gridCol w:w="33"/>
                              <w:gridCol w:w="647"/>
                              <w:gridCol w:w="27"/>
                              <w:gridCol w:w="619"/>
                              <w:gridCol w:w="67"/>
                              <w:gridCol w:w="580"/>
                              <w:gridCol w:w="47"/>
                              <w:gridCol w:w="600"/>
                            </w:tblGrid>
                            <w:tr w:rsidR="00052596" w14:paraId="1620895A" w14:textId="77777777">
                              <w:tblPrEx>
                                <w:tblCellMar>
                                  <w:top w:w="0" w:type="dxa"/>
                                  <w:bottom w:w="0" w:type="dxa"/>
                                </w:tblCellMar>
                              </w:tblPrEx>
                              <w:trPr>
                                <w:trHeight w:val="309"/>
                                <w:jc w:val="center"/>
                              </w:trPr>
                              <w:tc>
                                <w:tcPr>
                                  <w:tcW w:w="1370" w:type="dxa"/>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7AD2F4BE" w14:textId="77777777" w:rsidR="00052596" w:rsidRDefault="00000000">
                                  <w:pPr>
                                    <w:spacing w:line="200" w:lineRule="exact"/>
                                    <w:rPr>
                                      <w:rFonts w:ascii="新細明體" w:hAnsi="新細明體"/>
                                      <w:sz w:val="20"/>
                                    </w:rPr>
                                  </w:pPr>
                                  <w:r>
                                    <w:rPr>
                                      <w:rFonts w:ascii="新細明體" w:hAnsi="新細明體"/>
                                      <w:sz w:val="20"/>
                                    </w:rPr>
                                    <w:t xml:space="preserve">　</w:t>
                                  </w:r>
                                </w:p>
                              </w:tc>
                              <w:tc>
                                <w:tcPr>
                                  <w:tcW w:w="646"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A042941" w14:textId="77777777" w:rsidR="00052596" w:rsidRDefault="00000000">
                                  <w:pPr>
                                    <w:spacing w:line="200" w:lineRule="exact"/>
                                    <w:jc w:val="center"/>
                                    <w:rPr>
                                      <w:rFonts w:ascii="新細明體" w:hAnsi="新細明體"/>
                                      <w:sz w:val="20"/>
                                    </w:rPr>
                                  </w:pPr>
                                  <w:r>
                                    <w:rPr>
                                      <w:rFonts w:ascii="新細明體" w:hAnsi="新細明體"/>
                                      <w:sz w:val="20"/>
                                    </w:rPr>
                                    <w:t>91</w:t>
                                  </w:r>
                                </w:p>
                              </w:tc>
                              <w:tc>
                                <w:tcPr>
                                  <w:tcW w:w="647"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CAF6705" w14:textId="77777777" w:rsidR="00052596" w:rsidRDefault="00000000">
                                  <w:pPr>
                                    <w:spacing w:line="200" w:lineRule="exact"/>
                                    <w:jc w:val="center"/>
                                    <w:rPr>
                                      <w:rFonts w:ascii="新細明體" w:hAnsi="新細明體"/>
                                      <w:sz w:val="20"/>
                                    </w:rPr>
                                  </w:pPr>
                                  <w:r>
                                    <w:rPr>
                                      <w:rFonts w:ascii="新細明體" w:hAnsi="新細明體"/>
                                      <w:sz w:val="20"/>
                                    </w:rPr>
                                    <w:t>92</w:t>
                                  </w:r>
                                </w:p>
                              </w:tc>
                              <w:tc>
                                <w:tcPr>
                                  <w:tcW w:w="646"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01024CD" w14:textId="77777777" w:rsidR="00052596" w:rsidRDefault="00000000">
                                  <w:pPr>
                                    <w:spacing w:line="200" w:lineRule="exact"/>
                                    <w:jc w:val="center"/>
                                    <w:rPr>
                                      <w:rFonts w:ascii="新細明體" w:hAnsi="新細明體"/>
                                      <w:sz w:val="20"/>
                                    </w:rPr>
                                  </w:pPr>
                                  <w:r>
                                    <w:rPr>
                                      <w:rFonts w:ascii="新細明體" w:hAnsi="新細明體"/>
                                      <w:sz w:val="20"/>
                                    </w:rPr>
                                    <w:t>93</w:t>
                                  </w:r>
                                </w:p>
                              </w:tc>
                              <w:tc>
                                <w:tcPr>
                                  <w:tcW w:w="647"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16609B3A" w14:textId="77777777" w:rsidR="00052596" w:rsidRDefault="00000000">
                                  <w:pPr>
                                    <w:spacing w:line="200" w:lineRule="exact"/>
                                    <w:jc w:val="center"/>
                                    <w:rPr>
                                      <w:rFonts w:ascii="新細明體" w:hAnsi="新細明體"/>
                                      <w:sz w:val="20"/>
                                    </w:rPr>
                                  </w:pPr>
                                  <w:r>
                                    <w:rPr>
                                      <w:rFonts w:ascii="新細明體" w:hAnsi="新細明體"/>
                                      <w:sz w:val="20"/>
                                    </w:rPr>
                                    <w:t>94</w:t>
                                  </w:r>
                                </w:p>
                              </w:tc>
                              <w:tc>
                                <w:tcPr>
                                  <w:tcW w:w="647" w:type="dxa"/>
                                  <w:gridSpan w:val="3"/>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132FAFE1" w14:textId="77777777" w:rsidR="00052596" w:rsidRDefault="00000000">
                                  <w:pPr>
                                    <w:spacing w:line="200" w:lineRule="exact"/>
                                    <w:jc w:val="center"/>
                                    <w:rPr>
                                      <w:rFonts w:ascii="新細明體" w:hAnsi="新細明體"/>
                                      <w:sz w:val="20"/>
                                    </w:rPr>
                                  </w:pPr>
                                  <w:r>
                                    <w:rPr>
                                      <w:rFonts w:ascii="新細明體" w:hAnsi="新細明體"/>
                                      <w:sz w:val="20"/>
                                    </w:rPr>
                                    <w:t>95</w:t>
                                  </w:r>
                                </w:p>
                              </w:tc>
                              <w:tc>
                                <w:tcPr>
                                  <w:tcW w:w="646"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277AF9DF" w14:textId="77777777" w:rsidR="00052596" w:rsidRDefault="00000000">
                                  <w:pPr>
                                    <w:spacing w:line="200" w:lineRule="exact"/>
                                    <w:jc w:val="center"/>
                                    <w:rPr>
                                      <w:rFonts w:ascii="新細明體" w:hAnsi="新細明體"/>
                                      <w:sz w:val="20"/>
                                    </w:rPr>
                                  </w:pPr>
                                  <w:r>
                                    <w:rPr>
                                      <w:rFonts w:ascii="新細明體" w:hAnsi="新細明體"/>
                                      <w:sz w:val="20"/>
                                    </w:rPr>
                                    <w:t>96</w:t>
                                  </w:r>
                                </w:p>
                              </w:tc>
                              <w:tc>
                                <w:tcPr>
                                  <w:tcW w:w="647"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3D09D27" w14:textId="77777777" w:rsidR="00052596" w:rsidRDefault="00000000">
                                  <w:pPr>
                                    <w:spacing w:line="200" w:lineRule="exact"/>
                                    <w:jc w:val="center"/>
                                    <w:rPr>
                                      <w:rFonts w:ascii="新細明體" w:hAnsi="新細明體"/>
                                      <w:sz w:val="20"/>
                                    </w:rPr>
                                  </w:pPr>
                                  <w:r>
                                    <w:rPr>
                                      <w:rFonts w:ascii="新細明體" w:hAnsi="新細明體"/>
                                      <w:sz w:val="20"/>
                                    </w:rPr>
                                    <w:t>97</w:t>
                                  </w:r>
                                </w:p>
                              </w:tc>
                              <w:tc>
                                <w:tcPr>
                                  <w:tcW w:w="646"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6529C366" w14:textId="77777777" w:rsidR="00052596" w:rsidRDefault="00000000">
                                  <w:pPr>
                                    <w:spacing w:line="200" w:lineRule="exact"/>
                                    <w:jc w:val="center"/>
                                    <w:rPr>
                                      <w:rFonts w:ascii="新細明體" w:hAnsi="新細明體"/>
                                      <w:sz w:val="20"/>
                                    </w:rPr>
                                  </w:pPr>
                                  <w:r>
                                    <w:rPr>
                                      <w:rFonts w:ascii="新細明體" w:hAnsi="新細明體"/>
                                      <w:sz w:val="20"/>
                                    </w:rPr>
                                    <w:t>98</w:t>
                                  </w:r>
                                </w:p>
                              </w:tc>
                              <w:tc>
                                <w:tcPr>
                                  <w:tcW w:w="647"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E39FEEB" w14:textId="77777777" w:rsidR="00052596" w:rsidRDefault="00000000">
                                  <w:pPr>
                                    <w:spacing w:line="200" w:lineRule="exact"/>
                                    <w:jc w:val="center"/>
                                    <w:rPr>
                                      <w:rFonts w:ascii="新細明體" w:hAnsi="新細明體"/>
                                      <w:sz w:val="20"/>
                                    </w:rPr>
                                  </w:pPr>
                                  <w:r>
                                    <w:rPr>
                                      <w:rFonts w:ascii="新細明體" w:hAnsi="新細明體"/>
                                      <w:sz w:val="20"/>
                                    </w:rPr>
                                    <w:t>99</w:t>
                                  </w:r>
                                </w:p>
                              </w:tc>
                              <w:tc>
                                <w:tcPr>
                                  <w:tcW w:w="647" w:type="dxa"/>
                                  <w:gridSpan w:val="2"/>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61F52F32" w14:textId="77777777" w:rsidR="00052596" w:rsidRDefault="00000000">
                                  <w:pPr>
                                    <w:spacing w:line="200" w:lineRule="exact"/>
                                    <w:jc w:val="center"/>
                                    <w:rPr>
                                      <w:rFonts w:ascii="新細明體" w:hAnsi="新細明體"/>
                                      <w:sz w:val="20"/>
                                    </w:rPr>
                                  </w:pPr>
                                  <w:r>
                                    <w:rPr>
                                      <w:rFonts w:ascii="新細明體" w:hAnsi="新細明體"/>
                                      <w:sz w:val="20"/>
                                    </w:rPr>
                                    <w:t>100</w:t>
                                  </w:r>
                                </w:p>
                              </w:tc>
                            </w:tr>
                            <w:tr w:rsidR="00052596" w14:paraId="78597290" w14:textId="77777777">
                              <w:tblPrEx>
                                <w:tblCellMar>
                                  <w:top w:w="0" w:type="dxa"/>
                                  <w:bottom w:w="0" w:type="dxa"/>
                                </w:tblCellMar>
                              </w:tblPrEx>
                              <w:trPr>
                                <w:trHeight w:val="309"/>
                                <w:jc w:val="center"/>
                              </w:trPr>
                              <w:tc>
                                <w:tcPr>
                                  <w:tcW w:w="1370" w:type="dxa"/>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94202A8" w14:textId="77777777" w:rsidR="00052596" w:rsidRDefault="00000000">
                                  <w:pPr>
                                    <w:spacing w:line="200" w:lineRule="exact"/>
                                    <w:rPr>
                                      <w:rFonts w:ascii="新細明體" w:hAnsi="新細明體"/>
                                      <w:sz w:val="20"/>
                                    </w:rPr>
                                  </w:pPr>
                                  <w:r>
                                    <w:rPr>
                                      <w:rFonts w:ascii="新細明體" w:hAnsi="新細明體"/>
                                      <w:sz w:val="20"/>
                                    </w:rPr>
                                    <w:t>實質成長率(%)</w:t>
                                  </w:r>
                                </w:p>
                              </w:tc>
                              <w:tc>
                                <w:tcPr>
                                  <w:tcW w:w="709"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46CD360" w14:textId="77777777" w:rsidR="00052596" w:rsidRDefault="00052596">
                                  <w:pPr>
                                    <w:spacing w:line="200" w:lineRule="exact"/>
                                    <w:rPr>
                                      <w:rFonts w:ascii="新細明體" w:hAnsi="新細明體"/>
                                      <w:sz w:val="20"/>
                                    </w:rPr>
                                  </w:pPr>
                                </w:p>
                              </w:tc>
                              <w:tc>
                                <w:tcPr>
                                  <w:tcW w:w="629"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0DF5FCE5"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30F389C6"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09F94DB2" w14:textId="77777777" w:rsidR="00052596" w:rsidRDefault="00052596">
                                  <w:pPr>
                                    <w:spacing w:line="200" w:lineRule="exact"/>
                                    <w:rPr>
                                      <w:rFonts w:ascii="新細明體" w:hAnsi="新細明體"/>
                                      <w:sz w:val="20"/>
                                    </w:rPr>
                                  </w:pPr>
                                </w:p>
                              </w:tc>
                              <w:tc>
                                <w:tcPr>
                                  <w:tcW w:w="627" w:type="dxa"/>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3C265432"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2578D44A" w14:textId="77777777" w:rsidR="00052596" w:rsidRDefault="00052596">
                                  <w:pPr>
                                    <w:spacing w:line="200" w:lineRule="exact"/>
                                    <w:rPr>
                                      <w:rFonts w:ascii="新細明體" w:hAnsi="新細明體"/>
                                      <w:sz w:val="20"/>
                                    </w:rPr>
                                  </w:pPr>
                                </w:p>
                              </w:tc>
                              <w:tc>
                                <w:tcPr>
                                  <w:tcW w:w="707" w:type="dxa"/>
                                  <w:gridSpan w:val="3"/>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2774D15C" w14:textId="77777777" w:rsidR="00052596" w:rsidRDefault="00052596">
                                  <w:pPr>
                                    <w:spacing w:line="200" w:lineRule="exact"/>
                                    <w:rPr>
                                      <w:rFonts w:ascii="新細明體" w:hAnsi="新細明體"/>
                                      <w:sz w:val="20"/>
                                    </w:rPr>
                                  </w:pPr>
                                </w:p>
                              </w:tc>
                              <w:tc>
                                <w:tcPr>
                                  <w:tcW w:w="686"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7906BEC"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0A890ABD" w14:textId="77777777" w:rsidR="00052596" w:rsidRDefault="00052596">
                                  <w:pPr>
                                    <w:spacing w:line="200" w:lineRule="exact"/>
                                    <w:rPr>
                                      <w:rFonts w:ascii="新細明體" w:hAnsi="新細明體"/>
                                      <w:sz w:val="20"/>
                                    </w:rPr>
                                  </w:pPr>
                                </w:p>
                              </w:tc>
                              <w:tc>
                                <w:tcPr>
                                  <w:tcW w:w="600" w:type="dxa"/>
                                  <w:tcBorders>
                                    <w:top w:val="single" w:sz="6" w:space="0" w:color="000000"/>
                                    <w:bottom w:val="single" w:sz="6" w:space="0" w:color="000000"/>
                                  </w:tcBorders>
                                  <w:shd w:val="clear" w:color="auto" w:fill="FFF0E1"/>
                                  <w:tcMar>
                                    <w:top w:w="0" w:type="dxa"/>
                                    <w:left w:w="28" w:type="dxa"/>
                                    <w:bottom w:w="0" w:type="dxa"/>
                                    <w:right w:w="28" w:type="dxa"/>
                                  </w:tcMar>
                                </w:tcPr>
                                <w:p w14:paraId="466DAB82" w14:textId="77777777" w:rsidR="00052596" w:rsidRDefault="00052596">
                                  <w:pPr>
                                    <w:spacing w:line="200" w:lineRule="exact"/>
                                    <w:rPr>
                                      <w:rFonts w:ascii="新細明體" w:hAnsi="新細明體"/>
                                      <w:sz w:val="20"/>
                                    </w:rPr>
                                  </w:pPr>
                                </w:p>
                              </w:tc>
                            </w:tr>
                            <w:tr w:rsidR="00052596" w14:paraId="0365B282" w14:textId="77777777">
                              <w:tblPrEx>
                                <w:tblCellMar>
                                  <w:top w:w="0" w:type="dxa"/>
                                  <w:bottom w:w="0" w:type="dxa"/>
                                </w:tblCellMar>
                              </w:tblPrEx>
                              <w:trPr>
                                <w:trHeight w:val="309"/>
                                <w:jc w:val="center"/>
                              </w:trPr>
                              <w:tc>
                                <w:tcPr>
                                  <w:tcW w:w="1370"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1A8D0470" w14:textId="77777777" w:rsidR="00052596" w:rsidRDefault="00000000">
                                  <w:pPr>
                                    <w:spacing w:line="200" w:lineRule="exact"/>
                                    <w:rPr>
                                      <w:rFonts w:ascii="新細明體" w:hAnsi="新細明體"/>
                                      <w:sz w:val="20"/>
                                    </w:rPr>
                                  </w:pPr>
                                  <w:r>
                                    <w:rPr>
                                      <w:rFonts w:ascii="新細明體" w:hAnsi="新細明體"/>
                                      <w:sz w:val="20"/>
                                    </w:rPr>
                                    <w:t>ICT產業</w:t>
                                  </w:r>
                                </w:p>
                              </w:tc>
                              <w:tc>
                                <w:tcPr>
                                  <w:tcW w:w="64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2EEFF58F" w14:textId="77777777" w:rsidR="00052596" w:rsidRDefault="00000000">
                                  <w:pPr>
                                    <w:spacing w:line="200" w:lineRule="exact"/>
                                    <w:jc w:val="center"/>
                                    <w:rPr>
                                      <w:rFonts w:ascii="新細明體" w:hAnsi="新細明體"/>
                                      <w:sz w:val="20"/>
                                    </w:rPr>
                                  </w:pPr>
                                  <w:r>
                                    <w:rPr>
                                      <w:rFonts w:ascii="新細明體" w:hAnsi="新細明體"/>
                                      <w:sz w:val="20"/>
                                    </w:rPr>
                                    <w:t>17.42</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46AC439E" w14:textId="77777777" w:rsidR="00052596" w:rsidRDefault="00000000">
                                  <w:pPr>
                                    <w:spacing w:line="200" w:lineRule="exact"/>
                                    <w:jc w:val="center"/>
                                    <w:rPr>
                                      <w:rFonts w:ascii="新細明體" w:hAnsi="新細明體"/>
                                      <w:sz w:val="20"/>
                                    </w:rPr>
                                  </w:pPr>
                                  <w:r>
                                    <w:rPr>
                                      <w:rFonts w:ascii="新細明體" w:hAnsi="新細明體"/>
                                      <w:sz w:val="20"/>
                                    </w:rPr>
                                    <w:t>19.21</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9AAE7FA" w14:textId="77777777" w:rsidR="00052596" w:rsidRDefault="00000000">
                                  <w:pPr>
                                    <w:spacing w:line="200" w:lineRule="exact"/>
                                    <w:jc w:val="center"/>
                                    <w:rPr>
                                      <w:rFonts w:ascii="新細明體" w:hAnsi="新細明體"/>
                                      <w:sz w:val="20"/>
                                    </w:rPr>
                                  </w:pPr>
                                  <w:r>
                                    <w:rPr>
                                      <w:rFonts w:ascii="新細明體" w:hAnsi="新細明體"/>
                                      <w:sz w:val="20"/>
                                    </w:rPr>
                                    <w:t>14.24</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C924B06" w14:textId="77777777" w:rsidR="00052596" w:rsidRDefault="00000000">
                                  <w:pPr>
                                    <w:spacing w:line="200" w:lineRule="exact"/>
                                    <w:jc w:val="center"/>
                                    <w:rPr>
                                      <w:rFonts w:ascii="新細明體" w:hAnsi="新細明體"/>
                                      <w:sz w:val="20"/>
                                    </w:rPr>
                                  </w:pPr>
                                  <w:r>
                                    <w:rPr>
                                      <w:rFonts w:ascii="新細明體" w:hAnsi="新細明體"/>
                                      <w:sz w:val="20"/>
                                    </w:rPr>
                                    <w:t>16.82</w:t>
                                  </w:r>
                                </w:p>
                              </w:tc>
                              <w:tc>
                                <w:tcPr>
                                  <w:tcW w:w="647" w:type="dxa"/>
                                  <w:gridSpan w:val="3"/>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6354D98E" w14:textId="77777777" w:rsidR="00052596" w:rsidRDefault="00000000">
                                  <w:pPr>
                                    <w:spacing w:line="200" w:lineRule="exact"/>
                                    <w:jc w:val="center"/>
                                    <w:rPr>
                                      <w:rFonts w:ascii="新細明體" w:hAnsi="新細明體"/>
                                      <w:sz w:val="20"/>
                                    </w:rPr>
                                  </w:pPr>
                                  <w:r>
                                    <w:rPr>
                                      <w:rFonts w:ascii="新細明體" w:hAnsi="新細明體"/>
                                      <w:sz w:val="20"/>
                                    </w:rPr>
                                    <w:t>18.85</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492AF527" w14:textId="77777777" w:rsidR="00052596" w:rsidRDefault="00000000">
                                  <w:pPr>
                                    <w:spacing w:line="200" w:lineRule="exact"/>
                                    <w:jc w:val="center"/>
                                    <w:rPr>
                                      <w:rFonts w:ascii="新細明體" w:hAnsi="新細明體"/>
                                      <w:sz w:val="20"/>
                                    </w:rPr>
                                  </w:pPr>
                                  <w:r>
                                    <w:rPr>
                                      <w:rFonts w:ascii="新細明體" w:hAnsi="新細明體"/>
                                      <w:sz w:val="20"/>
                                    </w:rPr>
                                    <w:t>15.84</w:t>
                                  </w:r>
                                </w:p>
                              </w:tc>
                              <w:tc>
                                <w:tcPr>
                                  <w:tcW w:w="647"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00BA779" w14:textId="77777777" w:rsidR="00052596" w:rsidRDefault="00000000">
                                  <w:pPr>
                                    <w:spacing w:line="200" w:lineRule="exact"/>
                                    <w:jc w:val="center"/>
                                    <w:rPr>
                                      <w:rFonts w:ascii="新細明體" w:hAnsi="新細明體"/>
                                      <w:sz w:val="20"/>
                                    </w:rPr>
                                  </w:pPr>
                                  <w:r>
                                    <w:rPr>
                                      <w:rFonts w:ascii="新細明體" w:hAnsi="新細明體"/>
                                      <w:sz w:val="20"/>
                                    </w:rPr>
                                    <w:t>8.58</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2A247951" w14:textId="77777777" w:rsidR="00052596" w:rsidRDefault="00000000">
                                  <w:pPr>
                                    <w:spacing w:line="200" w:lineRule="exact"/>
                                    <w:jc w:val="center"/>
                                    <w:rPr>
                                      <w:rFonts w:ascii="新細明體" w:hAnsi="新細明體"/>
                                      <w:sz w:val="20"/>
                                    </w:rPr>
                                  </w:pPr>
                                  <w:r>
                                    <w:rPr>
                                      <w:rFonts w:ascii="新細明體" w:hAnsi="新細明體"/>
                                      <w:sz w:val="20"/>
                                    </w:rPr>
                                    <w:t>1.40</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44EE048" w14:textId="77777777" w:rsidR="00052596" w:rsidRDefault="00000000">
                                  <w:pPr>
                                    <w:spacing w:line="200" w:lineRule="exact"/>
                                    <w:jc w:val="center"/>
                                    <w:rPr>
                                      <w:rFonts w:ascii="新細明體" w:hAnsi="新細明體"/>
                                      <w:sz w:val="20"/>
                                    </w:rPr>
                                  </w:pPr>
                                  <w:r>
                                    <w:rPr>
                                      <w:rFonts w:ascii="新細明體" w:hAnsi="新細明體"/>
                                      <w:sz w:val="20"/>
                                    </w:rPr>
                                    <w:t>26.85</w:t>
                                  </w:r>
                                </w:p>
                              </w:tc>
                              <w:tc>
                                <w:tcPr>
                                  <w:tcW w:w="647" w:type="dxa"/>
                                  <w:gridSpan w:val="2"/>
                                  <w:tcBorders>
                                    <w:top w:val="single" w:sz="6" w:space="0" w:color="000000"/>
                                    <w:left w:val="single" w:sz="6" w:space="0" w:color="000000"/>
                                  </w:tcBorders>
                                  <w:shd w:val="clear" w:color="auto" w:fill="FFF0E1"/>
                                  <w:tcMar>
                                    <w:top w:w="0" w:type="dxa"/>
                                    <w:left w:w="28" w:type="dxa"/>
                                    <w:bottom w:w="0" w:type="dxa"/>
                                    <w:right w:w="28" w:type="dxa"/>
                                  </w:tcMar>
                                  <w:vAlign w:val="center"/>
                                </w:tcPr>
                                <w:p w14:paraId="70FF0B69" w14:textId="77777777" w:rsidR="00052596" w:rsidRDefault="00000000">
                                  <w:pPr>
                                    <w:spacing w:line="200" w:lineRule="exact"/>
                                    <w:jc w:val="center"/>
                                    <w:rPr>
                                      <w:rFonts w:ascii="新細明體" w:hAnsi="新細明體"/>
                                      <w:sz w:val="20"/>
                                    </w:rPr>
                                  </w:pPr>
                                  <w:r>
                                    <w:rPr>
                                      <w:rFonts w:ascii="新細明體" w:hAnsi="新細明體"/>
                                      <w:sz w:val="20"/>
                                    </w:rPr>
                                    <w:t>9.78</w:t>
                                  </w:r>
                                </w:p>
                              </w:tc>
                            </w:tr>
                            <w:tr w:rsidR="00052596" w14:paraId="0783687B" w14:textId="77777777">
                              <w:tblPrEx>
                                <w:tblCellMar>
                                  <w:top w:w="0" w:type="dxa"/>
                                  <w:bottom w:w="0" w:type="dxa"/>
                                </w:tblCellMar>
                              </w:tblPrEx>
                              <w:trPr>
                                <w:trHeight w:val="309"/>
                                <w:jc w:val="center"/>
                              </w:trPr>
                              <w:tc>
                                <w:tcPr>
                                  <w:tcW w:w="1370" w:type="dxa"/>
                                  <w:tcBorders>
                                    <w:right w:val="single" w:sz="6" w:space="0" w:color="000000"/>
                                  </w:tcBorders>
                                  <w:shd w:val="clear" w:color="auto" w:fill="FFF0E1"/>
                                  <w:noWrap/>
                                  <w:tcMar>
                                    <w:top w:w="0" w:type="dxa"/>
                                    <w:left w:w="28" w:type="dxa"/>
                                    <w:bottom w:w="0" w:type="dxa"/>
                                    <w:right w:w="28" w:type="dxa"/>
                                  </w:tcMar>
                                  <w:vAlign w:val="center"/>
                                </w:tcPr>
                                <w:p w14:paraId="6F7DE656" w14:textId="77777777" w:rsidR="00052596" w:rsidRDefault="00000000">
                                  <w:pPr>
                                    <w:spacing w:line="200" w:lineRule="exact"/>
                                    <w:rPr>
                                      <w:rFonts w:ascii="新細明體" w:hAnsi="新細明體"/>
                                      <w:sz w:val="20"/>
                                    </w:rPr>
                                  </w:pPr>
                                  <w:r>
                                    <w:rPr>
                                      <w:rFonts w:ascii="新細明體" w:hAnsi="新細明體"/>
                                      <w:sz w:val="20"/>
                                    </w:rPr>
                                    <w:t xml:space="preserve">   ICT製造業</w:t>
                                  </w:r>
                                </w:p>
                              </w:tc>
                              <w:tc>
                                <w:tcPr>
                                  <w:tcW w:w="64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BFA6B86" w14:textId="77777777" w:rsidR="00052596" w:rsidRDefault="00000000">
                                  <w:pPr>
                                    <w:spacing w:line="200" w:lineRule="exact"/>
                                    <w:jc w:val="center"/>
                                    <w:rPr>
                                      <w:rFonts w:ascii="新細明體" w:hAnsi="新細明體"/>
                                      <w:sz w:val="20"/>
                                    </w:rPr>
                                  </w:pPr>
                                  <w:r>
                                    <w:rPr>
                                      <w:rFonts w:ascii="新細明體" w:hAnsi="新細明體"/>
                                      <w:sz w:val="20"/>
                                    </w:rPr>
                                    <w:t>22.33</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0FBDE4D" w14:textId="77777777" w:rsidR="00052596" w:rsidRDefault="00000000">
                                  <w:pPr>
                                    <w:spacing w:line="200" w:lineRule="exact"/>
                                    <w:jc w:val="center"/>
                                    <w:rPr>
                                      <w:rFonts w:ascii="新細明體" w:hAnsi="新細明體"/>
                                      <w:sz w:val="20"/>
                                    </w:rPr>
                                  </w:pPr>
                                  <w:r>
                                    <w:rPr>
                                      <w:rFonts w:ascii="新細明體" w:hAnsi="新細明體"/>
                                      <w:sz w:val="20"/>
                                    </w:rPr>
                                    <w:t>25.87</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98C1C05" w14:textId="77777777" w:rsidR="00052596" w:rsidRDefault="00000000">
                                  <w:pPr>
                                    <w:spacing w:line="200" w:lineRule="exact"/>
                                    <w:jc w:val="center"/>
                                    <w:rPr>
                                      <w:rFonts w:ascii="新細明體" w:hAnsi="新細明體"/>
                                      <w:sz w:val="20"/>
                                    </w:rPr>
                                  </w:pPr>
                                  <w:r>
                                    <w:rPr>
                                      <w:rFonts w:ascii="新細明體" w:hAnsi="新細明體"/>
                                      <w:sz w:val="20"/>
                                    </w:rPr>
                                    <w:t>17.39</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F1BC2CF" w14:textId="77777777" w:rsidR="00052596" w:rsidRDefault="00000000">
                                  <w:pPr>
                                    <w:spacing w:line="200" w:lineRule="exact"/>
                                    <w:jc w:val="center"/>
                                    <w:rPr>
                                      <w:rFonts w:ascii="新細明體" w:hAnsi="新細明體"/>
                                      <w:sz w:val="20"/>
                                    </w:rPr>
                                  </w:pPr>
                                  <w:r>
                                    <w:rPr>
                                      <w:rFonts w:ascii="新細明體" w:hAnsi="新細明體"/>
                                      <w:sz w:val="20"/>
                                    </w:rPr>
                                    <w:t>21.43</w:t>
                                  </w:r>
                                </w:p>
                              </w:tc>
                              <w:tc>
                                <w:tcPr>
                                  <w:tcW w:w="647" w:type="dxa"/>
                                  <w:gridSpan w:val="3"/>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70D549D" w14:textId="77777777" w:rsidR="00052596" w:rsidRDefault="00000000">
                                  <w:pPr>
                                    <w:spacing w:line="200" w:lineRule="exact"/>
                                    <w:jc w:val="center"/>
                                    <w:rPr>
                                      <w:rFonts w:ascii="新細明體" w:hAnsi="新細明體"/>
                                      <w:sz w:val="20"/>
                                    </w:rPr>
                                  </w:pPr>
                                  <w:r>
                                    <w:rPr>
                                      <w:rFonts w:ascii="新細明體" w:hAnsi="新細明體"/>
                                      <w:sz w:val="20"/>
                                    </w:rPr>
                                    <w:t>23.08</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5740DEF" w14:textId="77777777" w:rsidR="00052596" w:rsidRDefault="00000000">
                                  <w:pPr>
                                    <w:spacing w:line="200" w:lineRule="exact"/>
                                    <w:jc w:val="center"/>
                                    <w:rPr>
                                      <w:rFonts w:ascii="新細明體" w:hAnsi="新細明體"/>
                                      <w:sz w:val="20"/>
                                    </w:rPr>
                                  </w:pPr>
                                  <w:r>
                                    <w:rPr>
                                      <w:rFonts w:ascii="新細明體" w:hAnsi="新細明體"/>
                                      <w:sz w:val="20"/>
                                    </w:rPr>
                                    <w:t>18.93</w:t>
                                  </w:r>
                                </w:p>
                              </w:tc>
                              <w:tc>
                                <w:tcPr>
                                  <w:tcW w:w="64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0477040" w14:textId="77777777" w:rsidR="00052596" w:rsidRDefault="00000000">
                                  <w:pPr>
                                    <w:spacing w:line="200" w:lineRule="exact"/>
                                    <w:jc w:val="center"/>
                                    <w:rPr>
                                      <w:rFonts w:ascii="新細明體" w:hAnsi="新細明體"/>
                                      <w:sz w:val="20"/>
                                    </w:rPr>
                                  </w:pPr>
                                  <w:r>
                                    <w:rPr>
                                      <w:rFonts w:ascii="新細明體" w:hAnsi="新細明體"/>
                                      <w:sz w:val="20"/>
                                    </w:rPr>
                                    <w:t>9.10</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FAA2CB4" w14:textId="77777777" w:rsidR="00052596" w:rsidRDefault="00000000">
                                  <w:pPr>
                                    <w:spacing w:line="200" w:lineRule="exact"/>
                                    <w:jc w:val="center"/>
                                    <w:rPr>
                                      <w:rFonts w:ascii="新細明體" w:hAnsi="新細明體"/>
                                      <w:sz w:val="20"/>
                                    </w:rPr>
                                  </w:pPr>
                                  <w:r>
                                    <w:rPr>
                                      <w:rFonts w:ascii="新細明體" w:hAnsi="新細明體"/>
                                      <w:sz w:val="20"/>
                                    </w:rPr>
                                    <w:t>0.81</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E81CCFC" w14:textId="77777777" w:rsidR="00052596" w:rsidRDefault="00000000">
                                  <w:pPr>
                                    <w:spacing w:line="200" w:lineRule="exact"/>
                                    <w:jc w:val="center"/>
                                    <w:rPr>
                                      <w:rFonts w:ascii="新細明體" w:hAnsi="新細明體"/>
                                      <w:sz w:val="20"/>
                                    </w:rPr>
                                  </w:pPr>
                                  <w:r>
                                    <w:rPr>
                                      <w:rFonts w:ascii="新細明體" w:hAnsi="新細明體"/>
                                      <w:sz w:val="20"/>
                                    </w:rPr>
                                    <w:t>30.34</w:t>
                                  </w:r>
                                </w:p>
                              </w:tc>
                              <w:tc>
                                <w:tcPr>
                                  <w:tcW w:w="647" w:type="dxa"/>
                                  <w:gridSpan w:val="2"/>
                                  <w:tcBorders>
                                    <w:left w:val="single" w:sz="6" w:space="0" w:color="000000"/>
                                  </w:tcBorders>
                                  <w:shd w:val="clear" w:color="auto" w:fill="FFF0E1"/>
                                  <w:tcMar>
                                    <w:top w:w="0" w:type="dxa"/>
                                    <w:left w:w="28" w:type="dxa"/>
                                    <w:bottom w:w="0" w:type="dxa"/>
                                    <w:right w:w="28" w:type="dxa"/>
                                  </w:tcMar>
                                  <w:vAlign w:val="center"/>
                                </w:tcPr>
                                <w:p w14:paraId="44A19FFC" w14:textId="77777777" w:rsidR="00052596" w:rsidRDefault="00000000">
                                  <w:pPr>
                                    <w:spacing w:line="200" w:lineRule="exact"/>
                                    <w:jc w:val="center"/>
                                    <w:rPr>
                                      <w:rFonts w:ascii="新細明體" w:hAnsi="新細明體"/>
                                      <w:sz w:val="20"/>
                                    </w:rPr>
                                  </w:pPr>
                                  <w:r>
                                    <w:rPr>
                                      <w:rFonts w:ascii="新細明體" w:hAnsi="新細明體"/>
                                      <w:sz w:val="20"/>
                                    </w:rPr>
                                    <w:t>10.49</w:t>
                                  </w:r>
                                </w:p>
                              </w:tc>
                            </w:tr>
                            <w:tr w:rsidR="00052596" w14:paraId="7D6C6A2A" w14:textId="77777777">
                              <w:tblPrEx>
                                <w:tblCellMar>
                                  <w:top w:w="0" w:type="dxa"/>
                                  <w:bottom w:w="0" w:type="dxa"/>
                                </w:tblCellMar>
                              </w:tblPrEx>
                              <w:trPr>
                                <w:trHeight w:val="309"/>
                                <w:jc w:val="center"/>
                              </w:trPr>
                              <w:tc>
                                <w:tcPr>
                                  <w:tcW w:w="1370"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574BF9AB" w14:textId="77777777" w:rsidR="00052596" w:rsidRDefault="00000000">
                                  <w:pPr>
                                    <w:spacing w:line="200" w:lineRule="exact"/>
                                    <w:rPr>
                                      <w:rFonts w:ascii="新細明體" w:hAnsi="新細明體"/>
                                      <w:sz w:val="20"/>
                                    </w:rPr>
                                  </w:pPr>
                                  <w:r>
                                    <w:rPr>
                                      <w:rFonts w:ascii="新細明體" w:hAnsi="新細明體"/>
                                      <w:sz w:val="20"/>
                                    </w:rPr>
                                    <w:t xml:space="preserve">   ICT服務業</w:t>
                                  </w:r>
                                </w:p>
                              </w:tc>
                              <w:tc>
                                <w:tcPr>
                                  <w:tcW w:w="64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8B5FDCC" w14:textId="77777777" w:rsidR="00052596" w:rsidRDefault="00000000">
                                  <w:pPr>
                                    <w:spacing w:line="200" w:lineRule="exact"/>
                                    <w:ind w:left="72"/>
                                    <w:jc w:val="center"/>
                                    <w:rPr>
                                      <w:rFonts w:ascii="新細明體" w:hAnsi="新細明體"/>
                                      <w:sz w:val="20"/>
                                    </w:rPr>
                                  </w:pPr>
                                  <w:r>
                                    <w:rPr>
                                      <w:rFonts w:ascii="新細明體" w:hAnsi="新細明體"/>
                                      <w:sz w:val="20"/>
                                    </w:rPr>
                                    <w:t>7.60</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8D64B6F" w14:textId="77777777" w:rsidR="00052596" w:rsidRDefault="00000000">
                                  <w:pPr>
                                    <w:spacing w:line="200" w:lineRule="exact"/>
                                    <w:ind w:left="72"/>
                                    <w:jc w:val="center"/>
                                    <w:rPr>
                                      <w:rFonts w:ascii="新細明體" w:hAnsi="新細明體"/>
                                      <w:sz w:val="20"/>
                                    </w:rPr>
                                  </w:pPr>
                                  <w:r>
                                    <w:rPr>
                                      <w:rFonts w:ascii="新細明體" w:hAnsi="新細明體"/>
                                      <w:sz w:val="20"/>
                                    </w:rPr>
                                    <w:t>4.06</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7018B05F" w14:textId="77777777" w:rsidR="00052596" w:rsidRDefault="00000000">
                                  <w:pPr>
                                    <w:spacing w:line="200" w:lineRule="exact"/>
                                    <w:ind w:left="72"/>
                                    <w:jc w:val="center"/>
                                    <w:rPr>
                                      <w:rFonts w:ascii="新細明體" w:hAnsi="新細明體"/>
                                      <w:sz w:val="20"/>
                                    </w:rPr>
                                  </w:pPr>
                                  <w:r>
                                    <w:rPr>
                                      <w:rFonts w:ascii="新細明體" w:hAnsi="新細明體"/>
                                      <w:sz w:val="20"/>
                                    </w:rPr>
                                    <w:t>5.59</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7E331E8D" w14:textId="77777777" w:rsidR="00052596" w:rsidRDefault="00000000">
                                  <w:pPr>
                                    <w:spacing w:line="200" w:lineRule="exact"/>
                                    <w:ind w:left="72"/>
                                    <w:jc w:val="center"/>
                                    <w:rPr>
                                      <w:rFonts w:ascii="新細明體" w:hAnsi="新細明體"/>
                                      <w:sz w:val="20"/>
                                    </w:rPr>
                                  </w:pPr>
                                  <w:r>
                                    <w:rPr>
                                      <w:rFonts w:ascii="新細明體" w:hAnsi="新細明體"/>
                                      <w:sz w:val="20"/>
                                    </w:rPr>
                                    <w:t>2.71</w:t>
                                  </w:r>
                                </w:p>
                              </w:tc>
                              <w:tc>
                                <w:tcPr>
                                  <w:tcW w:w="647" w:type="dxa"/>
                                  <w:gridSpan w:val="3"/>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0A27F2C0" w14:textId="77777777" w:rsidR="00052596" w:rsidRDefault="00000000">
                                  <w:pPr>
                                    <w:spacing w:line="200" w:lineRule="exact"/>
                                    <w:ind w:left="72"/>
                                    <w:jc w:val="center"/>
                                    <w:rPr>
                                      <w:rFonts w:ascii="新細明體" w:hAnsi="新細明體"/>
                                      <w:sz w:val="20"/>
                                    </w:rPr>
                                  </w:pPr>
                                  <w:r>
                                    <w:rPr>
                                      <w:rFonts w:ascii="新細明體" w:hAnsi="新細明體"/>
                                      <w:sz w:val="20"/>
                                    </w:rPr>
                                    <w:t>3.53</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998560A" w14:textId="77777777" w:rsidR="00052596" w:rsidRDefault="00000000">
                                  <w:pPr>
                                    <w:spacing w:line="200" w:lineRule="exact"/>
                                    <w:ind w:left="72"/>
                                    <w:jc w:val="center"/>
                                    <w:rPr>
                                      <w:rFonts w:ascii="新細明體" w:hAnsi="新細明體"/>
                                      <w:sz w:val="20"/>
                                    </w:rPr>
                                  </w:pPr>
                                  <w:r>
                                    <w:rPr>
                                      <w:rFonts w:ascii="新細明體" w:hAnsi="新細明體"/>
                                      <w:sz w:val="20"/>
                                    </w:rPr>
                                    <w:t>2.50</w:t>
                                  </w:r>
                                </w:p>
                              </w:tc>
                              <w:tc>
                                <w:tcPr>
                                  <w:tcW w:w="647"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4299081" w14:textId="77777777" w:rsidR="00052596" w:rsidRDefault="00000000">
                                  <w:pPr>
                                    <w:spacing w:line="200" w:lineRule="exact"/>
                                    <w:jc w:val="center"/>
                                    <w:rPr>
                                      <w:rFonts w:ascii="新細明體" w:hAnsi="新細明體"/>
                                      <w:sz w:val="20"/>
                                    </w:rPr>
                                  </w:pPr>
                                  <w:r>
                                    <w:rPr>
                                      <w:rFonts w:ascii="新細明體" w:hAnsi="新細明體"/>
                                      <w:sz w:val="20"/>
                                    </w:rPr>
                                    <w:t>5.97</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69997AA7" w14:textId="77777777" w:rsidR="00052596" w:rsidRDefault="00000000">
                                  <w:pPr>
                                    <w:spacing w:line="200" w:lineRule="exact"/>
                                    <w:jc w:val="center"/>
                                    <w:rPr>
                                      <w:rFonts w:ascii="新細明體" w:hAnsi="新細明體"/>
                                      <w:sz w:val="20"/>
                                    </w:rPr>
                                  </w:pPr>
                                  <w:r>
                                    <w:rPr>
                                      <w:rFonts w:ascii="新細明體" w:hAnsi="新細明體"/>
                                      <w:sz w:val="20"/>
                                    </w:rPr>
                                    <w:t>4.41</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4003580C" w14:textId="77777777" w:rsidR="00052596" w:rsidRDefault="00000000">
                                  <w:pPr>
                                    <w:spacing w:line="200" w:lineRule="exact"/>
                                    <w:ind w:left="72"/>
                                    <w:jc w:val="center"/>
                                    <w:rPr>
                                      <w:rFonts w:ascii="新細明體" w:hAnsi="新細明體"/>
                                      <w:sz w:val="20"/>
                                    </w:rPr>
                                  </w:pPr>
                                  <w:r>
                                    <w:rPr>
                                      <w:rFonts w:ascii="新細明體" w:hAnsi="新細明體"/>
                                      <w:sz w:val="20"/>
                                    </w:rPr>
                                    <w:t>9.52</w:t>
                                  </w:r>
                                </w:p>
                              </w:tc>
                              <w:tc>
                                <w:tcPr>
                                  <w:tcW w:w="647" w:type="dxa"/>
                                  <w:gridSpan w:val="2"/>
                                  <w:tcBorders>
                                    <w:left w:val="single" w:sz="6" w:space="0" w:color="000000"/>
                                    <w:bottom w:val="single" w:sz="6" w:space="0" w:color="000000"/>
                                  </w:tcBorders>
                                  <w:shd w:val="clear" w:color="auto" w:fill="FFF0E1"/>
                                  <w:tcMar>
                                    <w:top w:w="0" w:type="dxa"/>
                                    <w:left w:w="28" w:type="dxa"/>
                                    <w:bottom w:w="0" w:type="dxa"/>
                                    <w:right w:w="28" w:type="dxa"/>
                                  </w:tcMar>
                                  <w:vAlign w:val="center"/>
                                </w:tcPr>
                                <w:p w14:paraId="5B55961B" w14:textId="77777777" w:rsidR="00052596" w:rsidRDefault="00000000">
                                  <w:pPr>
                                    <w:spacing w:line="200" w:lineRule="exact"/>
                                    <w:ind w:left="72"/>
                                    <w:jc w:val="center"/>
                                    <w:rPr>
                                      <w:rFonts w:ascii="新細明體" w:hAnsi="新細明體"/>
                                      <w:sz w:val="20"/>
                                    </w:rPr>
                                  </w:pPr>
                                  <w:r>
                                    <w:rPr>
                                      <w:rFonts w:ascii="新細明體" w:hAnsi="新細明體"/>
                                      <w:sz w:val="20"/>
                                    </w:rPr>
                                    <w:t>5.55</w:t>
                                  </w:r>
                                </w:p>
                              </w:tc>
                            </w:tr>
                            <w:tr w:rsidR="00052596" w14:paraId="38752429" w14:textId="77777777">
                              <w:tblPrEx>
                                <w:tblCellMar>
                                  <w:top w:w="0" w:type="dxa"/>
                                  <w:bottom w:w="0" w:type="dxa"/>
                                </w:tblCellMar>
                              </w:tblPrEx>
                              <w:trPr>
                                <w:trHeight w:val="309"/>
                                <w:jc w:val="center"/>
                              </w:trPr>
                              <w:tc>
                                <w:tcPr>
                                  <w:tcW w:w="2708" w:type="dxa"/>
                                  <w:gridSpan w:val="5"/>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331BDBA" w14:textId="77777777" w:rsidR="00052596" w:rsidRDefault="00000000">
                                  <w:pPr>
                                    <w:spacing w:line="200" w:lineRule="exact"/>
                                    <w:rPr>
                                      <w:rFonts w:ascii="新細明體" w:hAnsi="新細明體"/>
                                      <w:sz w:val="20"/>
                                    </w:rPr>
                                  </w:pPr>
                                  <w:r>
                                    <w:rPr>
                                      <w:rFonts w:ascii="新細明體" w:hAnsi="新細明體"/>
                                      <w:sz w:val="20"/>
                                    </w:rPr>
                                    <w:t>占實質GDP(生產面)比重(%)</w:t>
                                  </w: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664854C5"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FE8FF5A" w14:textId="77777777" w:rsidR="00052596" w:rsidRDefault="00052596">
                                  <w:pPr>
                                    <w:spacing w:line="200" w:lineRule="exact"/>
                                    <w:rPr>
                                      <w:rFonts w:ascii="新細明體" w:hAnsi="新細明體"/>
                                      <w:sz w:val="20"/>
                                    </w:rPr>
                                  </w:pPr>
                                </w:p>
                              </w:tc>
                              <w:tc>
                                <w:tcPr>
                                  <w:tcW w:w="627" w:type="dxa"/>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28990E37"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12C32AD3" w14:textId="77777777" w:rsidR="00052596" w:rsidRDefault="00052596">
                                  <w:pPr>
                                    <w:spacing w:line="200" w:lineRule="exact"/>
                                    <w:rPr>
                                      <w:rFonts w:ascii="新細明體" w:hAnsi="新細明體"/>
                                      <w:sz w:val="20"/>
                                    </w:rPr>
                                  </w:pPr>
                                </w:p>
                              </w:tc>
                              <w:tc>
                                <w:tcPr>
                                  <w:tcW w:w="707" w:type="dxa"/>
                                  <w:gridSpan w:val="3"/>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644EA822" w14:textId="77777777" w:rsidR="00052596" w:rsidRDefault="00052596">
                                  <w:pPr>
                                    <w:spacing w:line="200" w:lineRule="exact"/>
                                    <w:rPr>
                                      <w:rFonts w:ascii="新細明體" w:hAnsi="新細明體"/>
                                      <w:sz w:val="20"/>
                                    </w:rPr>
                                  </w:pPr>
                                </w:p>
                              </w:tc>
                              <w:tc>
                                <w:tcPr>
                                  <w:tcW w:w="686"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38950522"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7F2A897" w14:textId="77777777" w:rsidR="00052596" w:rsidRDefault="00052596">
                                  <w:pPr>
                                    <w:spacing w:line="200" w:lineRule="exact"/>
                                    <w:jc w:val="center"/>
                                    <w:rPr>
                                      <w:rFonts w:ascii="新細明體" w:hAnsi="新細明體"/>
                                      <w:sz w:val="20"/>
                                    </w:rPr>
                                  </w:pPr>
                                </w:p>
                              </w:tc>
                              <w:tc>
                                <w:tcPr>
                                  <w:tcW w:w="600" w:type="dxa"/>
                                  <w:tcBorders>
                                    <w:top w:val="single" w:sz="6" w:space="0" w:color="000000"/>
                                    <w:bottom w:val="single" w:sz="6" w:space="0" w:color="000000"/>
                                  </w:tcBorders>
                                  <w:shd w:val="clear" w:color="auto" w:fill="FFF0E1"/>
                                  <w:tcMar>
                                    <w:top w:w="0" w:type="dxa"/>
                                    <w:left w:w="28" w:type="dxa"/>
                                    <w:bottom w:w="0" w:type="dxa"/>
                                    <w:right w:w="28" w:type="dxa"/>
                                  </w:tcMar>
                                  <w:vAlign w:val="center"/>
                                </w:tcPr>
                                <w:p w14:paraId="433A8E62" w14:textId="77777777" w:rsidR="00052596" w:rsidRDefault="00052596">
                                  <w:pPr>
                                    <w:spacing w:line="200" w:lineRule="exact"/>
                                    <w:jc w:val="center"/>
                                    <w:rPr>
                                      <w:rFonts w:ascii="新細明體" w:hAnsi="新細明體"/>
                                      <w:sz w:val="20"/>
                                    </w:rPr>
                                  </w:pPr>
                                </w:p>
                              </w:tc>
                            </w:tr>
                            <w:tr w:rsidR="00052596" w14:paraId="56DA878C" w14:textId="77777777">
                              <w:tblPrEx>
                                <w:tblCellMar>
                                  <w:top w:w="0" w:type="dxa"/>
                                  <w:bottom w:w="0" w:type="dxa"/>
                                </w:tblCellMar>
                              </w:tblPrEx>
                              <w:trPr>
                                <w:trHeight w:val="309"/>
                                <w:jc w:val="center"/>
                              </w:trPr>
                              <w:tc>
                                <w:tcPr>
                                  <w:tcW w:w="1370"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00F91B94" w14:textId="77777777" w:rsidR="00052596" w:rsidRDefault="00000000">
                                  <w:pPr>
                                    <w:spacing w:line="200" w:lineRule="exact"/>
                                    <w:rPr>
                                      <w:rFonts w:ascii="新細明體" w:hAnsi="新細明體"/>
                                      <w:sz w:val="20"/>
                                    </w:rPr>
                                  </w:pPr>
                                  <w:r>
                                    <w:rPr>
                                      <w:rFonts w:ascii="新細明體" w:hAnsi="新細明體"/>
                                      <w:sz w:val="20"/>
                                    </w:rPr>
                                    <w:t>ICT產業</w:t>
                                  </w:r>
                                </w:p>
                              </w:tc>
                              <w:tc>
                                <w:tcPr>
                                  <w:tcW w:w="64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6FA3B8B5" w14:textId="77777777" w:rsidR="00052596" w:rsidRDefault="00000000">
                                  <w:pPr>
                                    <w:spacing w:line="200" w:lineRule="exact"/>
                                    <w:jc w:val="center"/>
                                    <w:rPr>
                                      <w:rFonts w:ascii="新細明體" w:hAnsi="新細明體"/>
                                      <w:sz w:val="20"/>
                                    </w:rPr>
                                  </w:pPr>
                                  <w:r>
                                    <w:rPr>
                                      <w:rFonts w:ascii="新細明體" w:hAnsi="新細明體"/>
                                      <w:sz w:val="20"/>
                                    </w:rPr>
                                    <w:t>8.92</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76F1DD94" w14:textId="77777777" w:rsidR="00052596" w:rsidRDefault="00000000">
                                  <w:pPr>
                                    <w:spacing w:line="200" w:lineRule="exact"/>
                                    <w:jc w:val="center"/>
                                    <w:rPr>
                                      <w:rFonts w:ascii="新細明體" w:hAnsi="新細明體"/>
                                      <w:sz w:val="20"/>
                                    </w:rPr>
                                  </w:pPr>
                                  <w:r>
                                    <w:rPr>
                                      <w:rFonts w:ascii="新細明體" w:hAnsi="新細明體"/>
                                      <w:sz w:val="20"/>
                                    </w:rPr>
                                    <w:t>10.23</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7CE7CD0" w14:textId="77777777" w:rsidR="00052596" w:rsidRDefault="00000000">
                                  <w:pPr>
                                    <w:spacing w:line="200" w:lineRule="exact"/>
                                    <w:jc w:val="center"/>
                                    <w:rPr>
                                      <w:rFonts w:ascii="新細明體" w:hAnsi="新細明體"/>
                                      <w:sz w:val="20"/>
                                    </w:rPr>
                                  </w:pPr>
                                  <w:r>
                                    <w:rPr>
                                      <w:rFonts w:ascii="新細明體" w:hAnsi="新細明體"/>
                                      <w:sz w:val="20"/>
                                    </w:rPr>
                                    <w:t>11.00</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7970FC2" w14:textId="77777777" w:rsidR="00052596" w:rsidRDefault="00000000">
                                  <w:pPr>
                                    <w:spacing w:line="200" w:lineRule="exact"/>
                                    <w:jc w:val="center"/>
                                    <w:rPr>
                                      <w:rFonts w:ascii="新細明體" w:hAnsi="新細明體"/>
                                      <w:sz w:val="20"/>
                                    </w:rPr>
                                  </w:pPr>
                                  <w:r>
                                    <w:rPr>
                                      <w:rFonts w:ascii="新細明體" w:hAnsi="新細明體"/>
                                      <w:sz w:val="20"/>
                                    </w:rPr>
                                    <w:t>12.28</w:t>
                                  </w:r>
                                </w:p>
                              </w:tc>
                              <w:tc>
                                <w:tcPr>
                                  <w:tcW w:w="647" w:type="dxa"/>
                                  <w:gridSpan w:val="3"/>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494430EF" w14:textId="77777777" w:rsidR="00052596" w:rsidRDefault="00000000">
                                  <w:pPr>
                                    <w:spacing w:line="200" w:lineRule="exact"/>
                                    <w:jc w:val="center"/>
                                    <w:rPr>
                                      <w:rFonts w:ascii="新細明體" w:hAnsi="新細明體"/>
                                      <w:sz w:val="20"/>
                                    </w:rPr>
                                  </w:pPr>
                                  <w:r>
                                    <w:rPr>
                                      <w:rFonts w:ascii="新細明體" w:hAnsi="新細明體"/>
                                      <w:sz w:val="20"/>
                                    </w:rPr>
                                    <w:t>13.84</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8162826" w14:textId="77777777" w:rsidR="00052596" w:rsidRDefault="00000000">
                                  <w:pPr>
                                    <w:spacing w:line="200" w:lineRule="exact"/>
                                    <w:jc w:val="center"/>
                                    <w:rPr>
                                      <w:rFonts w:ascii="新細明體" w:hAnsi="新細明體"/>
                                      <w:sz w:val="20"/>
                                    </w:rPr>
                                  </w:pPr>
                                  <w:r>
                                    <w:rPr>
                                      <w:rFonts w:ascii="新細明體" w:hAnsi="新細明體"/>
                                      <w:sz w:val="20"/>
                                    </w:rPr>
                                    <w:t>15.15</w:t>
                                  </w:r>
                                </w:p>
                              </w:tc>
                              <w:tc>
                                <w:tcPr>
                                  <w:tcW w:w="647"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650F2626" w14:textId="77777777" w:rsidR="00052596" w:rsidRDefault="00000000">
                                  <w:pPr>
                                    <w:spacing w:line="200" w:lineRule="exact"/>
                                    <w:jc w:val="center"/>
                                    <w:rPr>
                                      <w:rFonts w:ascii="新細明體" w:hAnsi="新細明體"/>
                                      <w:sz w:val="20"/>
                                    </w:rPr>
                                  </w:pPr>
                                  <w:r>
                                    <w:rPr>
                                      <w:rFonts w:ascii="新細明體" w:hAnsi="新細明體"/>
                                      <w:sz w:val="20"/>
                                    </w:rPr>
                                    <w:t>16.33</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13772AC" w14:textId="77777777" w:rsidR="00052596" w:rsidRDefault="00000000">
                                  <w:pPr>
                                    <w:spacing w:line="200" w:lineRule="exact"/>
                                    <w:jc w:val="center"/>
                                    <w:rPr>
                                      <w:rFonts w:ascii="新細明體" w:hAnsi="新細明體"/>
                                      <w:sz w:val="20"/>
                                    </w:rPr>
                                  </w:pPr>
                                  <w:r>
                                    <w:rPr>
                                      <w:rFonts w:ascii="新細明體" w:hAnsi="新細明體"/>
                                      <w:sz w:val="20"/>
                                    </w:rPr>
                                    <w:t>16.85</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736F56C" w14:textId="77777777" w:rsidR="00052596" w:rsidRDefault="00000000">
                                  <w:pPr>
                                    <w:spacing w:line="200" w:lineRule="exact"/>
                                    <w:jc w:val="center"/>
                                    <w:rPr>
                                      <w:rFonts w:ascii="新細明體" w:hAnsi="新細明體"/>
                                      <w:sz w:val="20"/>
                                    </w:rPr>
                                  </w:pPr>
                                  <w:r>
                                    <w:rPr>
                                      <w:rFonts w:ascii="新細明體" w:hAnsi="新細明體"/>
                                      <w:sz w:val="20"/>
                                    </w:rPr>
                                    <w:t>19.26</w:t>
                                  </w:r>
                                </w:p>
                              </w:tc>
                              <w:tc>
                                <w:tcPr>
                                  <w:tcW w:w="647" w:type="dxa"/>
                                  <w:gridSpan w:val="2"/>
                                  <w:tcBorders>
                                    <w:top w:val="single" w:sz="6" w:space="0" w:color="000000"/>
                                    <w:left w:val="single" w:sz="6" w:space="0" w:color="000000"/>
                                  </w:tcBorders>
                                  <w:shd w:val="clear" w:color="auto" w:fill="FFF0E1"/>
                                  <w:tcMar>
                                    <w:top w:w="0" w:type="dxa"/>
                                    <w:left w:w="28" w:type="dxa"/>
                                    <w:bottom w:w="0" w:type="dxa"/>
                                    <w:right w:w="28" w:type="dxa"/>
                                  </w:tcMar>
                                  <w:vAlign w:val="center"/>
                                </w:tcPr>
                                <w:p w14:paraId="3271E7E8" w14:textId="77777777" w:rsidR="00052596" w:rsidRDefault="00000000">
                                  <w:pPr>
                                    <w:spacing w:line="200" w:lineRule="exact"/>
                                    <w:jc w:val="center"/>
                                    <w:rPr>
                                      <w:rFonts w:ascii="新細明體" w:hAnsi="新細明體"/>
                                      <w:sz w:val="20"/>
                                    </w:rPr>
                                  </w:pPr>
                                  <w:r>
                                    <w:rPr>
                                      <w:rFonts w:ascii="新細明體" w:hAnsi="新細明體"/>
                                      <w:sz w:val="20"/>
                                    </w:rPr>
                                    <w:t>20.33</w:t>
                                  </w:r>
                                </w:p>
                              </w:tc>
                            </w:tr>
                            <w:tr w:rsidR="00052596" w14:paraId="1737A8A1" w14:textId="77777777">
                              <w:tblPrEx>
                                <w:tblCellMar>
                                  <w:top w:w="0" w:type="dxa"/>
                                  <w:bottom w:w="0" w:type="dxa"/>
                                </w:tblCellMar>
                              </w:tblPrEx>
                              <w:trPr>
                                <w:trHeight w:val="309"/>
                                <w:jc w:val="center"/>
                              </w:trPr>
                              <w:tc>
                                <w:tcPr>
                                  <w:tcW w:w="1370" w:type="dxa"/>
                                  <w:tcBorders>
                                    <w:right w:val="single" w:sz="6" w:space="0" w:color="000000"/>
                                  </w:tcBorders>
                                  <w:shd w:val="clear" w:color="auto" w:fill="FFF0E1"/>
                                  <w:noWrap/>
                                  <w:tcMar>
                                    <w:top w:w="0" w:type="dxa"/>
                                    <w:left w:w="28" w:type="dxa"/>
                                    <w:bottom w:w="0" w:type="dxa"/>
                                    <w:right w:w="28" w:type="dxa"/>
                                  </w:tcMar>
                                  <w:vAlign w:val="center"/>
                                </w:tcPr>
                                <w:p w14:paraId="188EDEA7" w14:textId="77777777" w:rsidR="00052596" w:rsidRDefault="00000000">
                                  <w:pPr>
                                    <w:spacing w:line="200" w:lineRule="exact"/>
                                    <w:rPr>
                                      <w:rFonts w:ascii="新細明體" w:hAnsi="新細明體"/>
                                      <w:sz w:val="20"/>
                                    </w:rPr>
                                  </w:pPr>
                                  <w:r>
                                    <w:rPr>
                                      <w:rFonts w:ascii="新細明體" w:hAnsi="新細明體"/>
                                      <w:sz w:val="20"/>
                                    </w:rPr>
                                    <w:t xml:space="preserve">   ICT製造業</w:t>
                                  </w:r>
                                </w:p>
                              </w:tc>
                              <w:tc>
                                <w:tcPr>
                                  <w:tcW w:w="64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C006983" w14:textId="77777777" w:rsidR="00052596" w:rsidRDefault="00000000">
                                  <w:pPr>
                                    <w:spacing w:line="200" w:lineRule="exact"/>
                                    <w:jc w:val="center"/>
                                    <w:rPr>
                                      <w:rFonts w:ascii="新細明體" w:hAnsi="新細明體"/>
                                      <w:sz w:val="20"/>
                                    </w:rPr>
                                  </w:pPr>
                                  <w:r>
                                    <w:rPr>
                                      <w:rFonts w:ascii="新細明體" w:hAnsi="新細明體"/>
                                      <w:sz w:val="20"/>
                                    </w:rPr>
                                    <w:t>6.20</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6DC8CF2" w14:textId="77777777" w:rsidR="00052596" w:rsidRDefault="00000000">
                                  <w:pPr>
                                    <w:spacing w:line="200" w:lineRule="exact"/>
                                    <w:ind w:left="72"/>
                                    <w:jc w:val="center"/>
                                    <w:rPr>
                                      <w:rFonts w:ascii="新細明體" w:hAnsi="新細明體"/>
                                      <w:sz w:val="20"/>
                                    </w:rPr>
                                  </w:pPr>
                                  <w:r>
                                    <w:rPr>
                                      <w:rFonts w:ascii="新細明體" w:hAnsi="新細明體"/>
                                      <w:sz w:val="20"/>
                                    </w:rPr>
                                    <w:t>7.50</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6180F43" w14:textId="77777777" w:rsidR="00052596" w:rsidRDefault="00000000">
                                  <w:pPr>
                                    <w:spacing w:line="200" w:lineRule="exact"/>
                                    <w:ind w:left="72"/>
                                    <w:jc w:val="center"/>
                                    <w:rPr>
                                      <w:rFonts w:ascii="新細明體" w:hAnsi="新細明體"/>
                                      <w:sz w:val="20"/>
                                    </w:rPr>
                                  </w:pPr>
                                  <w:r>
                                    <w:rPr>
                                      <w:rFonts w:ascii="新細明體" w:hAnsi="新細明體"/>
                                      <w:sz w:val="20"/>
                                    </w:rPr>
                                    <w:t>8.29</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40E2DD1" w14:textId="77777777" w:rsidR="00052596" w:rsidRDefault="00000000">
                                  <w:pPr>
                                    <w:spacing w:line="200" w:lineRule="exact"/>
                                    <w:ind w:left="72"/>
                                    <w:jc w:val="center"/>
                                    <w:rPr>
                                      <w:rFonts w:ascii="新細明體" w:hAnsi="新細明體"/>
                                      <w:sz w:val="20"/>
                                    </w:rPr>
                                  </w:pPr>
                                  <w:r>
                                    <w:rPr>
                                      <w:rFonts w:ascii="新細明體" w:hAnsi="新細明體"/>
                                      <w:sz w:val="20"/>
                                    </w:rPr>
                                    <w:t>9.62</w:t>
                                  </w:r>
                                </w:p>
                              </w:tc>
                              <w:tc>
                                <w:tcPr>
                                  <w:tcW w:w="647" w:type="dxa"/>
                                  <w:gridSpan w:val="3"/>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F0098C6" w14:textId="77777777" w:rsidR="00052596" w:rsidRDefault="00000000">
                                  <w:pPr>
                                    <w:spacing w:line="200" w:lineRule="exact"/>
                                    <w:jc w:val="center"/>
                                    <w:rPr>
                                      <w:rFonts w:ascii="新細明體" w:hAnsi="新細明體"/>
                                      <w:sz w:val="20"/>
                                    </w:rPr>
                                  </w:pPr>
                                  <w:r>
                                    <w:rPr>
                                      <w:rFonts w:ascii="新細明體" w:hAnsi="新細明體"/>
                                      <w:sz w:val="20"/>
                                    </w:rPr>
                                    <w:t>11.23</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4F1A259" w14:textId="77777777" w:rsidR="00052596" w:rsidRDefault="00000000">
                                  <w:pPr>
                                    <w:spacing w:line="200" w:lineRule="exact"/>
                                    <w:jc w:val="center"/>
                                    <w:rPr>
                                      <w:rFonts w:ascii="新細明體" w:hAnsi="新細明體"/>
                                      <w:sz w:val="20"/>
                                    </w:rPr>
                                  </w:pPr>
                                  <w:r>
                                    <w:rPr>
                                      <w:rFonts w:ascii="新細明體" w:hAnsi="新細明體"/>
                                      <w:sz w:val="20"/>
                                    </w:rPr>
                                    <w:t>12.63</w:t>
                                  </w:r>
                                </w:p>
                              </w:tc>
                              <w:tc>
                                <w:tcPr>
                                  <w:tcW w:w="64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4EDEF92" w14:textId="77777777" w:rsidR="00052596" w:rsidRDefault="00000000">
                                  <w:pPr>
                                    <w:spacing w:line="200" w:lineRule="exact"/>
                                    <w:jc w:val="center"/>
                                    <w:rPr>
                                      <w:rFonts w:ascii="新細明體" w:hAnsi="新細明體"/>
                                      <w:sz w:val="20"/>
                                    </w:rPr>
                                  </w:pPr>
                                  <w:r>
                                    <w:rPr>
                                      <w:rFonts w:ascii="新細明體" w:hAnsi="新細明體"/>
                                      <w:sz w:val="20"/>
                                    </w:rPr>
                                    <w:t>13.67</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70C9992" w14:textId="77777777" w:rsidR="00052596" w:rsidRDefault="00000000">
                                  <w:pPr>
                                    <w:spacing w:line="200" w:lineRule="exact"/>
                                    <w:jc w:val="center"/>
                                    <w:rPr>
                                      <w:rFonts w:ascii="新細明體" w:hAnsi="新細明體"/>
                                      <w:sz w:val="20"/>
                                    </w:rPr>
                                  </w:pPr>
                                  <w:r>
                                    <w:rPr>
                                      <w:rFonts w:ascii="新細明體" w:hAnsi="新細明體"/>
                                      <w:sz w:val="20"/>
                                    </w:rPr>
                                    <w:t>14.02</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96C2E3C" w14:textId="77777777" w:rsidR="00052596" w:rsidRDefault="00000000">
                                  <w:pPr>
                                    <w:spacing w:line="200" w:lineRule="exact"/>
                                    <w:jc w:val="center"/>
                                    <w:rPr>
                                      <w:rFonts w:ascii="新細明體" w:hAnsi="新細明體"/>
                                      <w:sz w:val="20"/>
                                    </w:rPr>
                                  </w:pPr>
                                  <w:r>
                                    <w:rPr>
                                      <w:rFonts w:ascii="新細明體" w:hAnsi="新細明體"/>
                                      <w:sz w:val="20"/>
                                    </w:rPr>
                                    <w:t>16.47</w:t>
                                  </w:r>
                                </w:p>
                              </w:tc>
                              <w:tc>
                                <w:tcPr>
                                  <w:tcW w:w="647" w:type="dxa"/>
                                  <w:gridSpan w:val="2"/>
                                  <w:tcBorders>
                                    <w:left w:val="single" w:sz="6" w:space="0" w:color="000000"/>
                                  </w:tcBorders>
                                  <w:shd w:val="clear" w:color="auto" w:fill="FFF0E1"/>
                                  <w:tcMar>
                                    <w:top w:w="0" w:type="dxa"/>
                                    <w:left w:w="28" w:type="dxa"/>
                                    <w:bottom w:w="0" w:type="dxa"/>
                                    <w:right w:w="28" w:type="dxa"/>
                                  </w:tcMar>
                                  <w:vAlign w:val="center"/>
                                </w:tcPr>
                                <w:p w14:paraId="2636967B" w14:textId="77777777" w:rsidR="00052596" w:rsidRDefault="00000000">
                                  <w:pPr>
                                    <w:spacing w:line="200" w:lineRule="exact"/>
                                    <w:jc w:val="center"/>
                                    <w:rPr>
                                      <w:rFonts w:ascii="新細明體" w:hAnsi="新細明體"/>
                                      <w:sz w:val="20"/>
                                    </w:rPr>
                                  </w:pPr>
                                  <w:r>
                                    <w:rPr>
                                      <w:rFonts w:ascii="新細明體" w:hAnsi="新細明體"/>
                                      <w:sz w:val="20"/>
                                    </w:rPr>
                                    <w:t>17.50</w:t>
                                  </w:r>
                                </w:p>
                              </w:tc>
                            </w:tr>
                            <w:tr w:rsidR="00052596" w14:paraId="092FDBB4" w14:textId="77777777">
                              <w:tblPrEx>
                                <w:tblCellMar>
                                  <w:top w:w="0" w:type="dxa"/>
                                  <w:bottom w:w="0" w:type="dxa"/>
                                </w:tblCellMar>
                              </w:tblPrEx>
                              <w:trPr>
                                <w:trHeight w:val="309"/>
                                <w:jc w:val="center"/>
                              </w:trPr>
                              <w:tc>
                                <w:tcPr>
                                  <w:tcW w:w="1370"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4D4CE7F4" w14:textId="77777777" w:rsidR="00052596" w:rsidRDefault="00000000">
                                  <w:pPr>
                                    <w:spacing w:line="200" w:lineRule="exact"/>
                                    <w:rPr>
                                      <w:rFonts w:ascii="新細明體" w:hAnsi="新細明體"/>
                                      <w:sz w:val="20"/>
                                    </w:rPr>
                                  </w:pPr>
                                  <w:r>
                                    <w:rPr>
                                      <w:rFonts w:ascii="新細明體" w:hAnsi="新細明體"/>
                                      <w:sz w:val="20"/>
                                    </w:rPr>
                                    <w:t xml:space="preserve">   ICT服務業</w:t>
                                  </w:r>
                                </w:p>
                              </w:tc>
                              <w:tc>
                                <w:tcPr>
                                  <w:tcW w:w="64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A6B4FB6" w14:textId="77777777" w:rsidR="00052596" w:rsidRDefault="00000000">
                                  <w:pPr>
                                    <w:spacing w:line="200" w:lineRule="exact"/>
                                    <w:jc w:val="center"/>
                                    <w:rPr>
                                      <w:rFonts w:ascii="新細明體" w:hAnsi="新細明體"/>
                                      <w:sz w:val="20"/>
                                    </w:rPr>
                                  </w:pPr>
                                  <w:r>
                                    <w:rPr>
                                      <w:rFonts w:ascii="新細明體" w:hAnsi="新細明體"/>
                                      <w:sz w:val="20"/>
                                    </w:rPr>
                                    <w:t>2.72</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1DDCB51" w14:textId="77777777" w:rsidR="00052596" w:rsidRDefault="00000000">
                                  <w:pPr>
                                    <w:spacing w:line="200" w:lineRule="exact"/>
                                    <w:ind w:left="72"/>
                                    <w:jc w:val="center"/>
                                    <w:rPr>
                                      <w:rFonts w:ascii="新細明體" w:hAnsi="新細明體"/>
                                      <w:sz w:val="20"/>
                                    </w:rPr>
                                  </w:pPr>
                                  <w:r>
                                    <w:rPr>
                                      <w:rFonts w:ascii="新細明體" w:hAnsi="新細明體"/>
                                      <w:sz w:val="20"/>
                                    </w:rPr>
                                    <w:t>2.73</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4CD9FDE" w14:textId="77777777" w:rsidR="00052596" w:rsidRDefault="00000000">
                                  <w:pPr>
                                    <w:spacing w:line="200" w:lineRule="exact"/>
                                    <w:ind w:left="72"/>
                                    <w:jc w:val="center"/>
                                    <w:rPr>
                                      <w:rFonts w:ascii="新細明體" w:hAnsi="新細明體"/>
                                      <w:sz w:val="20"/>
                                    </w:rPr>
                                  </w:pPr>
                                  <w:r>
                                    <w:rPr>
                                      <w:rFonts w:ascii="新細明體" w:hAnsi="新細明體"/>
                                      <w:sz w:val="20"/>
                                    </w:rPr>
                                    <w:t>2.71</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6F7ADF63" w14:textId="77777777" w:rsidR="00052596" w:rsidRDefault="00000000">
                                  <w:pPr>
                                    <w:spacing w:line="200" w:lineRule="exact"/>
                                    <w:ind w:left="72"/>
                                    <w:jc w:val="center"/>
                                    <w:rPr>
                                      <w:rFonts w:ascii="新細明體" w:hAnsi="新細明體"/>
                                      <w:sz w:val="20"/>
                                    </w:rPr>
                                  </w:pPr>
                                  <w:r>
                                    <w:rPr>
                                      <w:rFonts w:ascii="新細明體" w:hAnsi="新細明體"/>
                                      <w:sz w:val="20"/>
                                    </w:rPr>
                                    <w:t>2.66</w:t>
                                  </w:r>
                                </w:p>
                              </w:tc>
                              <w:tc>
                                <w:tcPr>
                                  <w:tcW w:w="647" w:type="dxa"/>
                                  <w:gridSpan w:val="3"/>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7D8CDB4" w14:textId="77777777" w:rsidR="00052596" w:rsidRDefault="00000000">
                                  <w:pPr>
                                    <w:spacing w:line="200" w:lineRule="exact"/>
                                    <w:ind w:left="72"/>
                                    <w:jc w:val="center"/>
                                    <w:rPr>
                                      <w:rFonts w:ascii="新細明體" w:hAnsi="新細明體"/>
                                      <w:sz w:val="20"/>
                                    </w:rPr>
                                  </w:pPr>
                                  <w:r>
                                    <w:rPr>
                                      <w:rFonts w:ascii="新細明體" w:hAnsi="新細明體"/>
                                      <w:sz w:val="20"/>
                                    </w:rPr>
                                    <w:t>2.61</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3584C3B" w14:textId="77777777" w:rsidR="00052596" w:rsidRDefault="00000000">
                                  <w:pPr>
                                    <w:spacing w:line="200" w:lineRule="exact"/>
                                    <w:ind w:left="72"/>
                                    <w:jc w:val="center"/>
                                    <w:rPr>
                                      <w:rFonts w:ascii="新細明體" w:hAnsi="新細明體"/>
                                      <w:sz w:val="20"/>
                                    </w:rPr>
                                  </w:pPr>
                                  <w:r>
                                    <w:rPr>
                                      <w:rFonts w:ascii="新細明體" w:hAnsi="新細明體"/>
                                      <w:sz w:val="20"/>
                                    </w:rPr>
                                    <w:t>2.53</w:t>
                                  </w:r>
                                </w:p>
                              </w:tc>
                              <w:tc>
                                <w:tcPr>
                                  <w:tcW w:w="647"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D71451B" w14:textId="77777777" w:rsidR="00052596" w:rsidRDefault="00000000">
                                  <w:pPr>
                                    <w:spacing w:line="200" w:lineRule="exact"/>
                                    <w:ind w:left="72"/>
                                    <w:jc w:val="center"/>
                                    <w:rPr>
                                      <w:rFonts w:ascii="新細明體" w:hAnsi="新細明體"/>
                                      <w:sz w:val="20"/>
                                    </w:rPr>
                                  </w:pPr>
                                  <w:r>
                                    <w:rPr>
                                      <w:rFonts w:ascii="新細明體" w:hAnsi="新細明體"/>
                                      <w:sz w:val="20"/>
                                    </w:rPr>
                                    <w:t>2.66</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D74F632" w14:textId="77777777" w:rsidR="00052596" w:rsidRDefault="00000000">
                                  <w:pPr>
                                    <w:spacing w:line="200" w:lineRule="exact"/>
                                    <w:ind w:left="72"/>
                                    <w:jc w:val="center"/>
                                    <w:rPr>
                                      <w:rFonts w:ascii="新細明體" w:hAnsi="新細明體"/>
                                      <w:sz w:val="20"/>
                                    </w:rPr>
                                  </w:pPr>
                                  <w:r>
                                    <w:rPr>
                                      <w:rFonts w:ascii="新細明體" w:hAnsi="新細明體"/>
                                      <w:sz w:val="20"/>
                                    </w:rPr>
                                    <w:t>2.83</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6B15D0C0" w14:textId="77777777" w:rsidR="00052596" w:rsidRDefault="00000000">
                                  <w:pPr>
                                    <w:spacing w:line="200" w:lineRule="exact"/>
                                    <w:ind w:left="72"/>
                                    <w:jc w:val="center"/>
                                    <w:rPr>
                                      <w:rFonts w:ascii="新細明體" w:hAnsi="新細明體"/>
                                      <w:sz w:val="20"/>
                                    </w:rPr>
                                  </w:pPr>
                                  <w:r>
                                    <w:rPr>
                                      <w:rFonts w:ascii="新細明體" w:hAnsi="新細明體"/>
                                      <w:sz w:val="20"/>
                                    </w:rPr>
                                    <w:t>2.79</w:t>
                                  </w:r>
                                </w:p>
                              </w:tc>
                              <w:tc>
                                <w:tcPr>
                                  <w:tcW w:w="647" w:type="dxa"/>
                                  <w:gridSpan w:val="2"/>
                                  <w:tcBorders>
                                    <w:left w:val="single" w:sz="6" w:space="0" w:color="000000"/>
                                    <w:bottom w:val="single" w:sz="6" w:space="0" w:color="000000"/>
                                  </w:tcBorders>
                                  <w:shd w:val="clear" w:color="auto" w:fill="FFF0E1"/>
                                  <w:tcMar>
                                    <w:top w:w="0" w:type="dxa"/>
                                    <w:left w:w="28" w:type="dxa"/>
                                    <w:bottom w:w="0" w:type="dxa"/>
                                    <w:right w:w="28" w:type="dxa"/>
                                  </w:tcMar>
                                  <w:vAlign w:val="center"/>
                                </w:tcPr>
                                <w:p w14:paraId="3EF647DE" w14:textId="77777777" w:rsidR="00052596" w:rsidRDefault="00000000">
                                  <w:pPr>
                                    <w:spacing w:line="200" w:lineRule="exact"/>
                                    <w:ind w:left="72"/>
                                    <w:jc w:val="center"/>
                                    <w:rPr>
                                      <w:rFonts w:ascii="新細明體" w:hAnsi="新細明體"/>
                                      <w:sz w:val="20"/>
                                    </w:rPr>
                                  </w:pPr>
                                  <w:r>
                                    <w:rPr>
                                      <w:rFonts w:ascii="新細明體" w:hAnsi="新細明體"/>
                                      <w:sz w:val="20"/>
                                    </w:rPr>
                                    <w:t>2.83</w:t>
                                  </w:r>
                                </w:p>
                              </w:tc>
                            </w:tr>
                            <w:tr w:rsidR="00052596" w14:paraId="5DCE7711" w14:textId="77777777">
                              <w:tblPrEx>
                                <w:tblCellMar>
                                  <w:top w:w="0" w:type="dxa"/>
                                  <w:bottom w:w="0" w:type="dxa"/>
                                </w:tblCellMar>
                              </w:tblPrEx>
                              <w:trPr>
                                <w:trHeight w:val="309"/>
                                <w:jc w:val="center"/>
                              </w:trPr>
                              <w:tc>
                                <w:tcPr>
                                  <w:tcW w:w="2708" w:type="dxa"/>
                                  <w:gridSpan w:val="5"/>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0C0C49E2" w14:textId="77777777" w:rsidR="00052596" w:rsidRDefault="00000000">
                                  <w:pPr>
                                    <w:spacing w:line="200" w:lineRule="exact"/>
                                    <w:rPr>
                                      <w:rFonts w:ascii="新細明體" w:hAnsi="新細明體"/>
                                      <w:sz w:val="20"/>
                                    </w:rPr>
                                  </w:pPr>
                                  <w:r>
                                    <w:rPr>
                                      <w:rFonts w:ascii="新細明體" w:hAnsi="新細明體"/>
                                      <w:sz w:val="20"/>
                                    </w:rPr>
                                    <w:t>對經濟成長之貢獻率(%)</w:t>
                                  </w: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E7B0D23"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61B3CDBB" w14:textId="77777777" w:rsidR="00052596" w:rsidRDefault="00052596">
                                  <w:pPr>
                                    <w:spacing w:line="200" w:lineRule="exact"/>
                                    <w:rPr>
                                      <w:rFonts w:ascii="新細明體" w:hAnsi="新細明體"/>
                                      <w:sz w:val="20"/>
                                    </w:rPr>
                                  </w:pPr>
                                </w:p>
                              </w:tc>
                              <w:tc>
                                <w:tcPr>
                                  <w:tcW w:w="627" w:type="dxa"/>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9E86CDA"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4A4D2F0" w14:textId="77777777" w:rsidR="00052596" w:rsidRDefault="00052596">
                                  <w:pPr>
                                    <w:spacing w:line="200" w:lineRule="exact"/>
                                    <w:rPr>
                                      <w:rFonts w:ascii="新細明體" w:hAnsi="新細明體"/>
                                      <w:sz w:val="20"/>
                                    </w:rPr>
                                  </w:pPr>
                                </w:p>
                              </w:tc>
                              <w:tc>
                                <w:tcPr>
                                  <w:tcW w:w="707" w:type="dxa"/>
                                  <w:gridSpan w:val="3"/>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23D4908" w14:textId="77777777" w:rsidR="00052596" w:rsidRDefault="00052596">
                                  <w:pPr>
                                    <w:spacing w:line="200" w:lineRule="exact"/>
                                    <w:rPr>
                                      <w:rFonts w:ascii="新細明體" w:hAnsi="新細明體"/>
                                      <w:sz w:val="20"/>
                                    </w:rPr>
                                  </w:pPr>
                                </w:p>
                              </w:tc>
                              <w:tc>
                                <w:tcPr>
                                  <w:tcW w:w="686"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34279DE2"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6EE0C92E" w14:textId="77777777" w:rsidR="00052596" w:rsidRDefault="00052596">
                                  <w:pPr>
                                    <w:spacing w:line="200" w:lineRule="exact"/>
                                    <w:jc w:val="center"/>
                                    <w:rPr>
                                      <w:rFonts w:ascii="新細明體" w:hAnsi="新細明體"/>
                                      <w:sz w:val="20"/>
                                    </w:rPr>
                                  </w:pPr>
                                </w:p>
                              </w:tc>
                              <w:tc>
                                <w:tcPr>
                                  <w:tcW w:w="600" w:type="dxa"/>
                                  <w:tcBorders>
                                    <w:top w:val="single" w:sz="6" w:space="0" w:color="000000"/>
                                    <w:bottom w:val="single" w:sz="6" w:space="0" w:color="000000"/>
                                  </w:tcBorders>
                                  <w:shd w:val="clear" w:color="auto" w:fill="FFF0E1"/>
                                  <w:tcMar>
                                    <w:top w:w="0" w:type="dxa"/>
                                    <w:left w:w="28" w:type="dxa"/>
                                    <w:bottom w:w="0" w:type="dxa"/>
                                    <w:right w:w="28" w:type="dxa"/>
                                  </w:tcMar>
                                  <w:vAlign w:val="center"/>
                                </w:tcPr>
                                <w:p w14:paraId="4092E0FF" w14:textId="77777777" w:rsidR="00052596" w:rsidRDefault="00052596">
                                  <w:pPr>
                                    <w:spacing w:line="200" w:lineRule="exact"/>
                                    <w:jc w:val="center"/>
                                    <w:rPr>
                                      <w:rFonts w:ascii="新細明體" w:hAnsi="新細明體"/>
                                      <w:sz w:val="20"/>
                                    </w:rPr>
                                  </w:pPr>
                                </w:p>
                              </w:tc>
                            </w:tr>
                            <w:tr w:rsidR="00052596" w14:paraId="5EE0CCAB" w14:textId="77777777">
                              <w:tblPrEx>
                                <w:tblCellMar>
                                  <w:top w:w="0" w:type="dxa"/>
                                  <w:bottom w:w="0" w:type="dxa"/>
                                </w:tblCellMar>
                              </w:tblPrEx>
                              <w:trPr>
                                <w:trHeight w:val="309"/>
                                <w:jc w:val="center"/>
                              </w:trPr>
                              <w:tc>
                                <w:tcPr>
                                  <w:tcW w:w="1370"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54BABE9C" w14:textId="77777777" w:rsidR="00052596" w:rsidRDefault="00000000">
                                  <w:pPr>
                                    <w:spacing w:line="200" w:lineRule="exact"/>
                                    <w:rPr>
                                      <w:rFonts w:ascii="新細明體" w:hAnsi="新細明體"/>
                                      <w:sz w:val="20"/>
                                    </w:rPr>
                                  </w:pPr>
                                  <w:r>
                                    <w:rPr>
                                      <w:rFonts w:ascii="新細明體" w:hAnsi="新細明體"/>
                                      <w:sz w:val="20"/>
                                    </w:rPr>
                                    <w:t>ICT產業</w:t>
                                  </w:r>
                                </w:p>
                              </w:tc>
                              <w:tc>
                                <w:tcPr>
                                  <w:tcW w:w="64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B2F550B" w14:textId="77777777" w:rsidR="00052596" w:rsidRDefault="00000000">
                                  <w:pPr>
                                    <w:spacing w:line="200" w:lineRule="exact"/>
                                    <w:jc w:val="center"/>
                                    <w:rPr>
                                      <w:rFonts w:ascii="新細明體" w:hAnsi="新細明體"/>
                                      <w:sz w:val="20"/>
                                    </w:rPr>
                                  </w:pPr>
                                  <w:r>
                                    <w:rPr>
                                      <w:rFonts w:ascii="新細明體" w:hAnsi="新細明體"/>
                                      <w:sz w:val="20"/>
                                    </w:rPr>
                                    <w:t>26.43</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1DE4FD5" w14:textId="77777777" w:rsidR="00052596" w:rsidRDefault="00000000">
                                  <w:pPr>
                                    <w:spacing w:line="200" w:lineRule="exact"/>
                                    <w:jc w:val="center"/>
                                    <w:rPr>
                                      <w:rFonts w:ascii="新細明體" w:hAnsi="新細明體"/>
                                      <w:sz w:val="20"/>
                                    </w:rPr>
                                  </w:pPr>
                                  <w:r>
                                    <w:rPr>
                                      <w:rFonts w:ascii="新細明體" w:hAnsi="新細明體"/>
                                      <w:sz w:val="20"/>
                                    </w:rPr>
                                    <w:t>46.59</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48A940C5" w14:textId="77777777" w:rsidR="00052596" w:rsidRDefault="00000000">
                                  <w:pPr>
                                    <w:spacing w:line="200" w:lineRule="exact"/>
                                    <w:jc w:val="center"/>
                                    <w:rPr>
                                      <w:rFonts w:ascii="新細明體" w:hAnsi="新細明體"/>
                                      <w:sz w:val="20"/>
                                    </w:rPr>
                                  </w:pPr>
                                  <w:r>
                                    <w:rPr>
                                      <w:rFonts w:ascii="新細明體" w:hAnsi="新細明體"/>
                                      <w:sz w:val="20"/>
                                    </w:rPr>
                                    <w:t>23.59</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2026ADB9" w14:textId="77777777" w:rsidR="00052596" w:rsidRDefault="00000000">
                                  <w:pPr>
                                    <w:spacing w:line="200" w:lineRule="exact"/>
                                    <w:jc w:val="center"/>
                                    <w:rPr>
                                      <w:rFonts w:ascii="新細明體" w:hAnsi="新細明體"/>
                                      <w:sz w:val="20"/>
                                    </w:rPr>
                                  </w:pPr>
                                  <w:r>
                                    <w:rPr>
                                      <w:rFonts w:ascii="新細明體" w:hAnsi="新細明體"/>
                                      <w:sz w:val="20"/>
                                    </w:rPr>
                                    <w:t>39.36</w:t>
                                  </w:r>
                                </w:p>
                              </w:tc>
                              <w:tc>
                                <w:tcPr>
                                  <w:tcW w:w="647" w:type="dxa"/>
                                  <w:gridSpan w:val="3"/>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6E348C2" w14:textId="77777777" w:rsidR="00052596" w:rsidRDefault="00000000">
                                  <w:pPr>
                                    <w:spacing w:line="200" w:lineRule="exact"/>
                                    <w:jc w:val="center"/>
                                    <w:rPr>
                                      <w:rFonts w:ascii="新細明體" w:hAnsi="新細明體"/>
                                      <w:sz w:val="20"/>
                                    </w:rPr>
                                  </w:pPr>
                                  <w:r>
                                    <w:rPr>
                                      <w:rFonts w:ascii="新細明體" w:hAnsi="新細明體"/>
                                      <w:sz w:val="20"/>
                                    </w:rPr>
                                    <w:t>42.46</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86AF6F1" w14:textId="77777777" w:rsidR="00052596" w:rsidRDefault="00000000">
                                  <w:pPr>
                                    <w:spacing w:line="200" w:lineRule="exact"/>
                                    <w:jc w:val="center"/>
                                    <w:rPr>
                                      <w:rFonts w:ascii="新細明體" w:hAnsi="新細明體"/>
                                      <w:sz w:val="20"/>
                                    </w:rPr>
                                  </w:pPr>
                                  <w:r>
                                    <w:rPr>
                                      <w:rFonts w:ascii="新細明體" w:hAnsi="新細明體"/>
                                      <w:sz w:val="20"/>
                                    </w:rPr>
                                    <w:t>36.62</w:t>
                                  </w:r>
                                </w:p>
                              </w:tc>
                              <w:tc>
                                <w:tcPr>
                                  <w:tcW w:w="647"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A906BCC" w14:textId="77777777" w:rsidR="00052596" w:rsidRDefault="00000000">
                                  <w:pPr>
                                    <w:spacing w:line="200" w:lineRule="exact"/>
                                    <w:jc w:val="center"/>
                                    <w:rPr>
                                      <w:rFonts w:ascii="新細明體" w:hAnsi="新細明體"/>
                                      <w:sz w:val="20"/>
                                    </w:rPr>
                                  </w:pPr>
                                  <w:r>
                                    <w:rPr>
                                      <w:rFonts w:ascii="新細明體" w:hAnsi="新細明體"/>
                                      <w:sz w:val="20"/>
                                    </w:rPr>
                                    <w:t>178.08</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1842855" w14:textId="77777777" w:rsidR="00052596" w:rsidRDefault="00000000">
                                  <w:pPr>
                                    <w:spacing w:line="200" w:lineRule="exact"/>
                                    <w:jc w:val="center"/>
                                    <w:rPr>
                                      <w:rFonts w:ascii="新細明體" w:hAnsi="新細明體"/>
                                      <w:sz w:val="20"/>
                                    </w:rPr>
                                  </w:pPr>
                                  <w:r>
                                    <w:rPr>
                                      <w:rFonts w:ascii="新細明體" w:hAnsi="新細明體"/>
                                      <w:sz w:val="20"/>
                                    </w:rPr>
                                    <w:t>－</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60C19B3" w14:textId="77777777" w:rsidR="00052596" w:rsidRDefault="00000000">
                                  <w:pPr>
                                    <w:spacing w:line="200" w:lineRule="exact"/>
                                    <w:jc w:val="center"/>
                                    <w:rPr>
                                      <w:rFonts w:ascii="新細明體" w:hAnsi="新細明體"/>
                                      <w:sz w:val="20"/>
                                    </w:rPr>
                                  </w:pPr>
                                  <w:r>
                                    <w:rPr>
                                      <w:rFonts w:ascii="新細明體" w:hAnsi="新細明體"/>
                                      <w:sz w:val="20"/>
                                    </w:rPr>
                                    <w:t>42.01</w:t>
                                  </w:r>
                                </w:p>
                              </w:tc>
                              <w:tc>
                                <w:tcPr>
                                  <w:tcW w:w="647" w:type="dxa"/>
                                  <w:gridSpan w:val="2"/>
                                  <w:tcBorders>
                                    <w:top w:val="single" w:sz="6" w:space="0" w:color="000000"/>
                                    <w:left w:val="single" w:sz="6" w:space="0" w:color="000000"/>
                                  </w:tcBorders>
                                  <w:shd w:val="clear" w:color="auto" w:fill="FFF0E1"/>
                                  <w:tcMar>
                                    <w:top w:w="0" w:type="dxa"/>
                                    <w:left w:w="28" w:type="dxa"/>
                                    <w:bottom w:w="0" w:type="dxa"/>
                                    <w:right w:w="28" w:type="dxa"/>
                                  </w:tcMar>
                                  <w:vAlign w:val="center"/>
                                </w:tcPr>
                                <w:p w14:paraId="0942B32F" w14:textId="77777777" w:rsidR="00052596" w:rsidRDefault="00000000">
                                  <w:pPr>
                                    <w:spacing w:line="200" w:lineRule="exact"/>
                                    <w:jc w:val="center"/>
                                    <w:rPr>
                                      <w:rFonts w:ascii="新細明體" w:hAnsi="新細明體"/>
                                      <w:sz w:val="20"/>
                                    </w:rPr>
                                  </w:pPr>
                                  <w:r>
                                    <w:rPr>
                                      <w:rFonts w:ascii="新細明體" w:hAnsi="新細明體"/>
                                      <w:sz w:val="20"/>
                                    </w:rPr>
                                    <w:t>46.19</w:t>
                                  </w:r>
                                </w:p>
                              </w:tc>
                            </w:tr>
                            <w:tr w:rsidR="00052596" w14:paraId="7C0038BA" w14:textId="77777777">
                              <w:tblPrEx>
                                <w:tblCellMar>
                                  <w:top w:w="0" w:type="dxa"/>
                                  <w:bottom w:w="0" w:type="dxa"/>
                                </w:tblCellMar>
                              </w:tblPrEx>
                              <w:trPr>
                                <w:trHeight w:val="309"/>
                                <w:jc w:val="center"/>
                              </w:trPr>
                              <w:tc>
                                <w:tcPr>
                                  <w:tcW w:w="1370" w:type="dxa"/>
                                  <w:tcBorders>
                                    <w:right w:val="single" w:sz="6" w:space="0" w:color="000000"/>
                                  </w:tcBorders>
                                  <w:shd w:val="clear" w:color="auto" w:fill="FFF0E1"/>
                                  <w:noWrap/>
                                  <w:tcMar>
                                    <w:top w:w="0" w:type="dxa"/>
                                    <w:left w:w="28" w:type="dxa"/>
                                    <w:bottom w:w="0" w:type="dxa"/>
                                    <w:right w:w="28" w:type="dxa"/>
                                  </w:tcMar>
                                  <w:vAlign w:val="center"/>
                                </w:tcPr>
                                <w:p w14:paraId="7118979B" w14:textId="77777777" w:rsidR="00052596" w:rsidRDefault="00000000">
                                  <w:pPr>
                                    <w:spacing w:line="200" w:lineRule="exact"/>
                                    <w:rPr>
                                      <w:rFonts w:ascii="新細明體" w:hAnsi="新細明體"/>
                                      <w:sz w:val="20"/>
                                    </w:rPr>
                                  </w:pPr>
                                  <w:r>
                                    <w:rPr>
                                      <w:rFonts w:ascii="新細明體" w:hAnsi="新細明體"/>
                                      <w:sz w:val="20"/>
                                    </w:rPr>
                                    <w:t xml:space="preserve">   ICT製造業</w:t>
                                  </w:r>
                                </w:p>
                              </w:tc>
                              <w:tc>
                                <w:tcPr>
                                  <w:tcW w:w="64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77D0D31" w14:textId="77777777" w:rsidR="00052596" w:rsidRDefault="00000000">
                                  <w:pPr>
                                    <w:spacing w:line="200" w:lineRule="exact"/>
                                    <w:jc w:val="center"/>
                                    <w:rPr>
                                      <w:rFonts w:ascii="新細明體" w:hAnsi="新細明體"/>
                                      <w:sz w:val="20"/>
                                    </w:rPr>
                                  </w:pPr>
                                  <w:r>
                                    <w:rPr>
                                      <w:rFonts w:ascii="新細明體" w:hAnsi="新細明體"/>
                                      <w:sz w:val="20"/>
                                    </w:rPr>
                                    <w:t>22.62</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370029D" w14:textId="77777777" w:rsidR="00052596" w:rsidRDefault="00000000">
                                  <w:pPr>
                                    <w:spacing w:line="200" w:lineRule="exact"/>
                                    <w:jc w:val="center"/>
                                    <w:rPr>
                                      <w:rFonts w:ascii="新細明體" w:hAnsi="新細明體"/>
                                      <w:sz w:val="20"/>
                                    </w:rPr>
                                  </w:pPr>
                                  <w:r>
                                    <w:rPr>
                                      <w:rFonts w:ascii="新細明體" w:hAnsi="新細明體"/>
                                      <w:sz w:val="20"/>
                                    </w:rPr>
                                    <w:t>43.60</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B213DDE" w14:textId="77777777" w:rsidR="00052596" w:rsidRDefault="00000000">
                                  <w:pPr>
                                    <w:spacing w:line="200" w:lineRule="exact"/>
                                    <w:jc w:val="center"/>
                                    <w:rPr>
                                      <w:rFonts w:ascii="新細明體" w:hAnsi="新細明體"/>
                                      <w:sz w:val="20"/>
                                    </w:rPr>
                                  </w:pPr>
                                  <w:r>
                                    <w:rPr>
                                      <w:rFonts w:ascii="新細明體" w:hAnsi="新細明體"/>
                                      <w:sz w:val="20"/>
                                    </w:rPr>
                                    <w:t>21.00</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54F38CD" w14:textId="77777777" w:rsidR="00052596" w:rsidRDefault="00000000">
                                  <w:pPr>
                                    <w:spacing w:line="200" w:lineRule="exact"/>
                                    <w:jc w:val="center"/>
                                    <w:rPr>
                                      <w:rFonts w:ascii="新細明體" w:hAnsi="新細明體"/>
                                      <w:sz w:val="20"/>
                                    </w:rPr>
                                  </w:pPr>
                                  <w:r>
                                    <w:rPr>
                                      <w:rFonts w:ascii="新細明體" w:hAnsi="新細明體"/>
                                      <w:sz w:val="20"/>
                                    </w:rPr>
                                    <w:t>37.87</w:t>
                                  </w:r>
                                </w:p>
                              </w:tc>
                              <w:tc>
                                <w:tcPr>
                                  <w:tcW w:w="647" w:type="dxa"/>
                                  <w:gridSpan w:val="3"/>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B42F16E" w14:textId="77777777" w:rsidR="00052596" w:rsidRDefault="00000000">
                                  <w:pPr>
                                    <w:spacing w:line="200" w:lineRule="exact"/>
                                    <w:jc w:val="center"/>
                                    <w:rPr>
                                      <w:rFonts w:ascii="新細明體" w:hAnsi="新細明體"/>
                                      <w:sz w:val="20"/>
                                    </w:rPr>
                                  </w:pPr>
                                  <w:r>
                                    <w:rPr>
                                      <w:rFonts w:ascii="新細明體" w:hAnsi="新細明體"/>
                                      <w:sz w:val="20"/>
                                    </w:rPr>
                                    <w:t>40.81</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234E474" w14:textId="77777777" w:rsidR="00052596" w:rsidRDefault="00000000">
                                  <w:pPr>
                                    <w:spacing w:line="200" w:lineRule="exact"/>
                                    <w:jc w:val="center"/>
                                    <w:rPr>
                                      <w:rFonts w:ascii="新細明體" w:hAnsi="新細明體"/>
                                      <w:sz w:val="20"/>
                                    </w:rPr>
                                  </w:pPr>
                                  <w:r>
                                    <w:rPr>
                                      <w:rFonts w:ascii="新細明體" w:hAnsi="新細明體"/>
                                      <w:sz w:val="20"/>
                                    </w:rPr>
                                    <w:t>35.62</w:t>
                                  </w:r>
                                </w:p>
                              </w:tc>
                              <w:tc>
                                <w:tcPr>
                                  <w:tcW w:w="64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22CE14D" w14:textId="77777777" w:rsidR="00052596" w:rsidRDefault="00000000">
                                  <w:pPr>
                                    <w:spacing w:line="200" w:lineRule="exact"/>
                                    <w:jc w:val="center"/>
                                    <w:rPr>
                                      <w:rFonts w:ascii="新細明體" w:hAnsi="新細明體"/>
                                      <w:sz w:val="20"/>
                                    </w:rPr>
                                  </w:pPr>
                                  <w:r>
                                    <w:rPr>
                                      <w:rFonts w:ascii="新細明體" w:hAnsi="新細明體"/>
                                      <w:sz w:val="20"/>
                                    </w:rPr>
                                    <w:t>157.53</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ECC126D" w14:textId="77777777" w:rsidR="00052596" w:rsidRDefault="00000000">
                                  <w:pPr>
                                    <w:spacing w:line="200" w:lineRule="exact"/>
                                    <w:jc w:val="center"/>
                                    <w:rPr>
                                      <w:rFonts w:ascii="新細明體" w:hAnsi="新細明體"/>
                                      <w:sz w:val="20"/>
                                    </w:rPr>
                                  </w:pPr>
                                  <w:r>
                                    <w:rPr>
                                      <w:rFonts w:ascii="新細明體" w:hAnsi="新細明體"/>
                                      <w:sz w:val="20"/>
                                    </w:rPr>
                                    <w:t>－</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5EBB610" w14:textId="77777777" w:rsidR="00052596" w:rsidRDefault="00000000">
                                  <w:pPr>
                                    <w:spacing w:line="200" w:lineRule="exact"/>
                                    <w:jc w:val="center"/>
                                    <w:rPr>
                                      <w:rFonts w:ascii="新細明體" w:hAnsi="新細明體"/>
                                      <w:sz w:val="20"/>
                                    </w:rPr>
                                  </w:pPr>
                                  <w:r>
                                    <w:rPr>
                                      <w:rFonts w:ascii="新細明體" w:hAnsi="新細明體"/>
                                      <w:sz w:val="20"/>
                                    </w:rPr>
                                    <w:t>39.50</w:t>
                                  </w:r>
                                </w:p>
                              </w:tc>
                              <w:tc>
                                <w:tcPr>
                                  <w:tcW w:w="647" w:type="dxa"/>
                                  <w:gridSpan w:val="2"/>
                                  <w:tcBorders>
                                    <w:left w:val="single" w:sz="6" w:space="0" w:color="000000"/>
                                  </w:tcBorders>
                                  <w:shd w:val="clear" w:color="auto" w:fill="FFF0E1"/>
                                  <w:tcMar>
                                    <w:top w:w="0" w:type="dxa"/>
                                    <w:left w:w="28" w:type="dxa"/>
                                    <w:bottom w:w="0" w:type="dxa"/>
                                    <w:right w:w="28" w:type="dxa"/>
                                  </w:tcMar>
                                  <w:vAlign w:val="center"/>
                                </w:tcPr>
                                <w:p w14:paraId="4EB4752E" w14:textId="77777777" w:rsidR="00052596" w:rsidRDefault="00000000">
                                  <w:pPr>
                                    <w:spacing w:line="200" w:lineRule="exact"/>
                                    <w:jc w:val="center"/>
                                    <w:rPr>
                                      <w:rFonts w:ascii="新細明體" w:hAnsi="新細明體"/>
                                      <w:sz w:val="20"/>
                                    </w:rPr>
                                  </w:pPr>
                                  <w:r>
                                    <w:rPr>
                                      <w:rFonts w:ascii="新細明體" w:hAnsi="新細明體"/>
                                      <w:sz w:val="20"/>
                                    </w:rPr>
                                    <w:t>42.51</w:t>
                                  </w:r>
                                </w:p>
                              </w:tc>
                            </w:tr>
                            <w:tr w:rsidR="00052596" w14:paraId="3BA97BDB" w14:textId="77777777">
                              <w:tblPrEx>
                                <w:tblCellMar>
                                  <w:top w:w="0" w:type="dxa"/>
                                  <w:bottom w:w="0" w:type="dxa"/>
                                </w:tblCellMar>
                              </w:tblPrEx>
                              <w:trPr>
                                <w:trHeight w:val="309"/>
                                <w:jc w:val="center"/>
                              </w:trPr>
                              <w:tc>
                                <w:tcPr>
                                  <w:tcW w:w="1370"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2F8D41AA" w14:textId="77777777" w:rsidR="00052596" w:rsidRDefault="00000000">
                                  <w:pPr>
                                    <w:spacing w:line="200" w:lineRule="exact"/>
                                    <w:rPr>
                                      <w:rFonts w:ascii="新細明體" w:hAnsi="新細明體"/>
                                      <w:sz w:val="20"/>
                                    </w:rPr>
                                  </w:pPr>
                                  <w:r>
                                    <w:rPr>
                                      <w:rFonts w:ascii="新細明體" w:hAnsi="新細明體"/>
                                      <w:sz w:val="20"/>
                                    </w:rPr>
                                    <w:t xml:space="preserve">   ICT服務業</w:t>
                                  </w:r>
                                </w:p>
                              </w:tc>
                              <w:tc>
                                <w:tcPr>
                                  <w:tcW w:w="64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91CE79B" w14:textId="77777777" w:rsidR="00052596" w:rsidRDefault="00000000">
                                  <w:pPr>
                                    <w:spacing w:line="200" w:lineRule="exact"/>
                                    <w:ind w:left="72"/>
                                    <w:jc w:val="center"/>
                                    <w:rPr>
                                      <w:rFonts w:ascii="新細明體" w:hAnsi="新細明體"/>
                                      <w:sz w:val="20"/>
                                    </w:rPr>
                                  </w:pPr>
                                  <w:r>
                                    <w:rPr>
                                      <w:rFonts w:ascii="新細明體" w:hAnsi="新細明體"/>
                                      <w:sz w:val="20"/>
                                    </w:rPr>
                                    <w:t>3.80</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44EDFEC6" w14:textId="77777777" w:rsidR="00052596" w:rsidRDefault="00000000">
                                  <w:pPr>
                                    <w:spacing w:line="200" w:lineRule="exact"/>
                                    <w:ind w:left="72"/>
                                    <w:jc w:val="center"/>
                                    <w:rPr>
                                      <w:rFonts w:ascii="新細明體" w:hAnsi="新細明體"/>
                                      <w:sz w:val="20"/>
                                    </w:rPr>
                                  </w:pPr>
                                  <w:r>
                                    <w:rPr>
                                      <w:rFonts w:ascii="新細明體" w:hAnsi="新細明體"/>
                                      <w:sz w:val="20"/>
                                    </w:rPr>
                                    <w:t>3.00</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7953C71F" w14:textId="77777777" w:rsidR="00052596" w:rsidRDefault="00000000">
                                  <w:pPr>
                                    <w:spacing w:line="200" w:lineRule="exact"/>
                                    <w:ind w:left="72"/>
                                    <w:jc w:val="center"/>
                                    <w:rPr>
                                      <w:rFonts w:ascii="新細明體" w:hAnsi="新細明體"/>
                                      <w:sz w:val="20"/>
                                    </w:rPr>
                                  </w:pPr>
                                  <w:r>
                                    <w:rPr>
                                      <w:rFonts w:ascii="新細明體" w:hAnsi="新細明體"/>
                                      <w:sz w:val="20"/>
                                    </w:rPr>
                                    <w:t>2.42</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E0ADE42" w14:textId="77777777" w:rsidR="00052596" w:rsidRDefault="00000000">
                                  <w:pPr>
                                    <w:spacing w:line="200" w:lineRule="exact"/>
                                    <w:ind w:left="72"/>
                                    <w:jc w:val="center"/>
                                    <w:rPr>
                                      <w:rFonts w:ascii="新細明體" w:hAnsi="新細明體"/>
                                      <w:sz w:val="20"/>
                                    </w:rPr>
                                  </w:pPr>
                                  <w:r>
                                    <w:rPr>
                                      <w:rFonts w:ascii="新細明體" w:hAnsi="新細明體"/>
                                      <w:sz w:val="20"/>
                                    </w:rPr>
                                    <w:t>1.49</w:t>
                                  </w:r>
                                </w:p>
                              </w:tc>
                              <w:tc>
                                <w:tcPr>
                                  <w:tcW w:w="647" w:type="dxa"/>
                                  <w:gridSpan w:val="3"/>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1FD5655" w14:textId="77777777" w:rsidR="00052596" w:rsidRDefault="00000000">
                                  <w:pPr>
                                    <w:spacing w:line="200" w:lineRule="exact"/>
                                    <w:ind w:left="72"/>
                                    <w:jc w:val="center"/>
                                    <w:rPr>
                                      <w:rFonts w:ascii="新細明體" w:hAnsi="新細明體"/>
                                      <w:sz w:val="20"/>
                                    </w:rPr>
                                  </w:pPr>
                                  <w:r>
                                    <w:rPr>
                                      <w:rFonts w:ascii="新細明體" w:hAnsi="新細明體"/>
                                      <w:sz w:val="20"/>
                                    </w:rPr>
                                    <w:t>1.65</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0EE5B1E1" w14:textId="77777777" w:rsidR="00052596" w:rsidRDefault="00000000">
                                  <w:pPr>
                                    <w:spacing w:line="200" w:lineRule="exact"/>
                                    <w:ind w:left="72"/>
                                    <w:jc w:val="center"/>
                                    <w:rPr>
                                      <w:rFonts w:ascii="新細明體" w:hAnsi="新細明體"/>
                                      <w:sz w:val="20"/>
                                    </w:rPr>
                                  </w:pPr>
                                  <w:r>
                                    <w:rPr>
                                      <w:rFonts w:ascii="新細明體" w:hAnsi="新細明體"/>
                                      <w:sz w:val="20"/>
                                    </w:rPr>
                                    <w:t>1.17</w:t>
                                  </w:r>
                                </w:p>
                              </w:tc>
                              <w:tc>
                                <w:tcPr>
                                  <w:tcW w:w="647"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CE5C4A8" w14:textId="77777777" w:rsidR="00052596" w:rsidRDefault="00000000">
                                  <w:pPr>
                                    <w:spacing w:line="200" w:lineRule="exact"/>
                                    <w:jc w:val="center"/>
                                    <w:rPr>
                                      <w:rFonts w:ascii="新細明體" w:hAnsi="新細明體"/>
                                      <w:sz w:val="20"/>
                                    </w:rPr>
                                  </w:pPr>
                                  <w:r>
                                    <w:rPr>
                                      <w:rFonts w:ascii="新細明體" w:hAnsi="新細明體"/>
                                      <w:sz w:val="20"/>
                                    </w:rPr>
                                    <w:t>20.55</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5B6122F" w14:textId="77777777" w:rsidR="00052596" w:rsidRDefault="00000000">
                                  <w:pPr>
                                    <w:spacing w:line="200" w:lineRule="exact"/>
                                    <w:jc w:val="center"/>
                                    <w:rPr>
                                      <w:rFonts w:ascii="新細明體" w:hAnsi="新細明體"/>
                                      <w:sz w:val="20"/>
                                    </w:rPr>
                                  </w:pPr>
                                  <w:r>
                                    <w:rPr>
                                      <w:rFonts w:ascii="新細明體" w:hAnsi="新細明體"/>
                                      <w:sz w:val="20"/>
                                    </w:rPr>
                                    <w:t>－</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4E474E9" w14:textId="77777777" w:rsidR="00052596" w:rsidRDefault="00000000">
                                  <w:pPr>
                                    <w:spacing w:line="200" w:lineRule="exact"/>
                                    <w:ind w:left="72"/>
                                    <w:jc w:val="center"/>
                                    <w:rPr>
                                      <w:rFonts w:ascii="新細明體" w:hAnsi="新細明體"/>
                                      <w:sz w:val="20"/>
                                    </w:rPr>
                                  </w:pPr>
                                  <w:r>
                                    <w:rPr>
                                      <w:rFonts w:ascii="新細明體" w:hAnsi="新細明體"/>
                                      <w:sz w:val="20"/>
                                    </w:rPr>
                                    <w:t>2.51</w:t>
                                  </w:r>
                                </w:p>
                              </w:tc>
                              <w:tc>
                                <w:tcPr>
                                  <w:tcW w:w="647" w:type="dxa"/>
                                  <w:gridSpan w:val="2"/>
                                  <w:tcBorders>
                                    <w:left w:val="single" w:sz="6" w:space="0" w:color="000000"/>
                                    <w:bottom w:val="single" w:sz="6" w:space="0" w:color="000000"/>
                                  </w:tcBorders>
                                  <w:shd w:val="clear" w:color="auto" w:fill="FFF0E1"/>
                                  <w:tcMar>
                                    <w:top w:w="0" w:type="dxa"/>
                                    <w:left w:w="28" w:type="dxa"/>
                                    <w:bottom w:w="0" w:type="dxa"/>
                                    <w:right w:w="28" w:type="dxa"/>
                                  </w:tcMar>
                                  <w:vAlign w:val="center"/>
                                </w:tcPr>
                                <w:p w14:paraId="6B65CE55" w14:textId="77777777" w:rsidR="00052596" w:rsidRDefault="00000000">
                                  <w:pPr>
                                    <w:spacing w:line="200" w:lineRule="exact"/>
                                    <w:ind w:left="72"/>
                                    <w:jc w:val="center"/>
                                    <w:rPr>
                                      <w:rFonts w:ascii="新細明體" w:hAnsi="新細明體"/>
                                      <w:sz w:val="20"/>
                                    </w:rPr>
                                  </w:pPr>
                                  <w:r>
                                    <w:rPr>
                                      <w:rFonts w:ascii="新細明體" w:hAnsi="新細明體"/>
                                      <w:sz w:val="20"/>
                                    </w:rPr>
                                    <w:t>3.69</w:t>
                                  </w:r>
                                </w:p>
                              </w:tc>
                            </w:tr>
                          </w:tbl>
                          <w:p w14:paraId="70014677" w14:textId="77777777" w:rsidR="00052596" w:rsidRDefault="00000000">
                            <w:pPr>
                              <w:pStyle w:val="t11"/>
                              <w:spacing w:line="280" w:lineRule="exact"/>
                              <w:ind w:left="1392" w:right="72" w:hanging="432"/>
                              <w:jc w:val="left"/>
                              <w:rPr>
                                <w:sz w:val="20"/>
                                <w:szCs w:val="20"/>
                              </w:rPr>
                            </w:pPr>
                            <w:r>
                              <w:rPr>
                                <w:sz w:val="20"/>
                                <w:szCs w:val="20"/>
                              </w:rPr>
                              <w:t>註：ICT製造業包括電子零組件製造業、電腦、電子產品及光學製品製造業；ICT服務業包括電信業、資訊業。</w:t>
                            </w:r>
                          </w:p>
                          <w:p w14:paraId="7BF92F20" w14:textId="77777777" w:rsidR="00052596" w:rsidRDefault="00000000">
                            <w:pPr>
                              <w:spacing w:line="280" w:lineRule="exact"/>
                              <w:ind w:left="360"/>
                            </w:pPr>
                            <w:r>
                              <w:rPr>
                                <w:rFonts w:ascii="新細明體" w:hAnsi="新細明體"/>
                                <w:sz w:val="20"/>
                              </w:rPr>
                              <w:t>資料來源：行政院主計總處。</w:t>
                            </w:r>
                          </w:p>
                        </w:txbxContent>
                      </wps:txbx>
                      <wps:bodyPr wrap="square" lIns="91440" tIns="45720" rIns="91440" bIns="45720" anchor="t">
                        <a:noAutofit/>
                      </wps:bodyPr>
                    </wps:wsp>
                  </a:graphicData>
                </a:graphic>
              </wp:anchor>
            </w:drawing>
          </mc:Choice>
          <mc:Fallback>
            <w:pict>
              <v:shape w14:anchorId="1B80C9B4" id="文字方塊 17480" o:spid="_x0000_s1046" type="#_x0000_t202" style="position:absolute;left:0;text-align:left;margin-left:.1pt;margin-top:.55pt;width:425.05pt;height:642.3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" fillcolor="#eff5ff" strokeweight=".26467mm">
                <v:textbox>
                  <w:txbxContent>
                    <w:p w14:paraId="520A0834" w14:textId="77777777" w:rsidR="00052596" w:rsidRDefault="00000000">
                      <w:pPr>
                        <w:pStyle w:val="t12"/>
                        <w:spacing w:before="72" w:after="72"/>
                        <w:rPr>
                          <w:color w:val="0000FF"/>
                        </w:rPr>
                      </w:pPr>
                      <w:r>
                        <w:rPr>
                          <w:color w:val="0000FF"/>
                        </w:rPr>
                        <w:t>我國ICT產業生產、研發與貿易</w:t>
                      </w:r>
                    </w:p>
                    <w:p w14:paraId="65E9A767" w14:textId="77777777" w:rsidR="00052596" w:rsidRDefault="00000000">
                      <w:pPr>
                        <w:pStyle w:val="t11"/>
                        <w:spacing w:line="360" w:lineRule="exact"/>
                        <w:ind w:left="72" w:right="72" w:firstLine="472"/>
                      </w:pPr>
                      <w:r>
                        <w:t>知識經濟時代，資訊通信科技(ICT)產業的重要性與日俱增，成為各國提升產業競爭力的關鍵。我國ICT產業在全球生產鏈中居重要角色，惟因生產偏重於中間產品，且無法掌握關鍵技術，而陷於微利化困境；另因產業過度集中，在金融風暴衝擊下，曝露出產業與貿易結構的脆弱性。準此，政府積極推動ICT產業結構轉型、升級與創新。重點在擴大ICT產業的外溢關聯效果，使ICT產業能與相關產業(例如:精緻農業、文創、醫療等服務業及傳統製造業等)更緊密結合，提升生產力與附加價值，創造各產業的更大效益。近10年來，臺灣ICT產業生產、研發及貿易發展概況如次：</w:t>
                      </w:r>
                    </w:p>
                    <w:p w14:paraId="4FC80591" w14:textId="77777777" w:rsidR="00052596" w:rsidRDefault="00000000">
                      <w:pPr>
                        <w:pStyle w:val="t11"/>
                        <w:spacing w:line="360" w:lineRule="exact"/>
                        <w:ind w:left="485" w:right="72" w:hanging="413"/>
                      </w:pPr>
                      <w:r>
                        <w:t>(一)ICT產業生產</w:t>
                      </w:r>
                    </w:p>
                    <w:p w14:paraId="478A5BC6" w14:textId="77777777" w:rsidR="00052596" w:rsidRDefault="00000000">
                      <w:pPr>
                        <w:pStyle w:val="t11"/>
                        <w:spacing w:line="360" w:lineRule="exact"/>
                        <w:ind w:left="668" w:right="72" w:hanging="236"/>
                      </w:pPr>
                      <w:r>
                        <w:t>－91至100年，臺灣ICT產業實質成長率平均14.71%，高於製造業實質成長率的8.51%；占實質GDP比重由91年的8.92%逐年提高至100年的20.33%；對同期間平均經濟成長率4.45%的貢獻率達53.48%。</w:t>
                      </w:r>
                    </w:p>
                    <w:p w14:paraId="21EF9B71" w14:textId="77777777" w:rsidR="00052596" w:rsidRDefault="00000000">
                      <w:pPr>
                        <w:pStyle w:val="t11"/>
                        <w:spacing w:line="360" w:lineRule="exact"/>
                        <w:ind w:left="668" w:right="72" w:hanging="236"/>
                      </w:pPr>
                      <w:r>
                        <w:t>－100年ICT製造業占ICT產業86.08%，ICT服務業僅占13.92%，反映ICT產業仍以硬體製造為主。</w:t>
                      </w:r>
                    </w:p>
                    <w:p w14:paraId="002AEFBC" w14:textId="77777777" w:rsidR="00052596" w:rsidRDefault="00000000">
                      <w:pPr>
                        <w:pStyle w:val="t11"/>
                        <w:spacing w:line="360" w:lineRule="exact"/>
                        <w:ind w:left="485" w:right="72" w:hanging="413"/>
                      </w:pPr>
                      <w:r>
                        <w:t>(二)ICT研發支出：依OECD「2012年網路經濟展望報告」我國ICT產業研發支出占GDP比重1.52%，全球排名第2，僅次於芬蘭的1.62%。</w:t>
                      </w:r>
                    </w:p>
                    <w:p w14:paraId="0A3B9CD2" w14:textId="77777777" w:rsidR="00052596" w:rsidRDefault="00000000">
                      <w:pPr>
                        <w:pStyle w:val="t11"/>
                        <w:spacing w:line="360" w:lineRule="exact"/>
                        <w:ind w:left="485" w:right="72" w:hanging="413"/>
                      </w:pPr>
                      <w:r>
                        <w:t>(三)高科技商品貿易：100年我國高科技商品進口638.45億美元，較91年增加70.38%；出口1,314.02億美元，增加127.44%；占全體商品進、出口比重分別為22.69%、42.63%。</w:t>
                      </w:r>
                    </w:p>
                    <w:p w14:paraId="2BFBED7F" w14:textId="77777777" w:rsidR="00052596" w:rsidRDefault="00000000">
                      <w:pPr>
                        <w:pStyle w:val="t11"/>
                        <w:spacing w:before="48" w:after="48" w:line="280" w:lineRule="exact"/>
                        <w:ind w:left="596" w:right="72" w:hanging="291"/>
                        <w:jc w:val="center"/>
                        <w:rPr>
                          <w:b/>
                          <w:color w:val="0000FF"/>
                          <w:szCs w:val="24"/>
                        </w:rPr>
                      </w:pPr>
                      <w:r>
                        <w:rPr>
                          <w:b/>
                          <w:color w:val="0000FF"/>
                          <w:szCs w:val="24"/>
                        </w:rPr>
                        <w:t>ICT產業成長與結構變化</w:t>
                      </w:r>
                    </w:p>
                    <w:tbl>
                      <w:tblPr>
                        <w:tblW w:w="7836" w:type="dxa"/>
                        <w:jc w:val="center"/>
                        <w:tblLayout w:type="fixed"/>
                        <w:tblCellMar>
                          <w:left w:w="10" w:type="dxa"/>
                          <w:right w:w="10" w:type="dxa"/>
                        </w:tblCellMar>
                        <w:tblLook w:val="04A0" w:firstRow="1" w:lastRow="0" w:firstColumn="1" w:lastColumn="0" w:noHBand="0" w:noVBand="1"/>
                      </w:tblPr>
                      <w:tblGrid>
                        <w:gridCol w:w="1370"/>
                        <w:gridCol w:w="646"/>
                        <w:gridCol w:w="63"/>
                        <w:gridCol w:w="584"/>
                        <w:gridCol w:w="45"/>
                        <w:gridCol w:w="601"/>
                        <w:gridCol w:w="26"/>
                        <w:gridCol w:w="621"/>
                        <w:gridCol w:w="6"/>
                        <w:gridCol w:w="627"/>
                        <w:gridCol w:w="14"/>
                        <w:gridCol w:w="613"/>
                        <w:gridCol w:w="33"/>
                        <w:gridCol w:w="647"/>
                        <w:gridCol w:w="27"/>
                        <w:gridCol w:w="619"/>
                        <w:gridCol w:w="67"/>
                        <w:gridCol w:w="580"/>
                        <w:gridCol w:w="47"/>
                        <w:gridCol w:w="600"/>
                      </w:tblGrid>
                      <w:tr w:rsidR="00052596" w14:paraId="1620895A" w14:textId="77777777">
                        <w:tblPrEx>
                          <w:tblCellMar>
                            <w:top w:w="0" w:type="dxa"/>
                            <w:bottom w:w="0" w:type="dxa"/>
                          </w:tblCellMar>
                        </w:tblPrEx>
                        <w:trPr>
                          <w:trHeight w:val="309"/>
                          <w:jc w:val="center"/>
                        </w:trPr>
                        <w:tc>
                          <w:tcPr>
                            <w:tcW w:w="1370" w:type="dxa"/>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7AD2F4BE" w14:textId="77777777" w:rsidR="00052596" w:rsidRDefault="00000000">
                            <w:pPr>
                              <w:spacing w:line="200" w:lineRule="exact"/>
                              <w:rPr>
                                <w:rFonts w:ascii="新細明體" w:hAnsi="新細明體"/>
                                <w:sz w:val="20"/>
                              </w:rPr>
                            </w:pPr>
                            <w:r>
                              <w:rPr>
                                <w:rFonts w:ascii="新細明體" w:hAnsi="新細明體"/>
                                <w:sz w:val="20"/>
                              </w:rPr>
                              <w:t xml:space="preserve">　</w:t>
                            </w:r>
                          </w:p>
                        </w:tc>
                        <w:tc>
                          <w:tcPr>
                            <w:tcW w:w="646"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A042941" w14:textId="77777777" w:rsidR="00052596" w:rsidRDefault="00000000">
                            <w:pPr>
                              <w:spacing w:line="200" w:lineRule="exact"/>
                              <w:jc w:val="center"/>
                              <w:rPr>
                                <w:rFonts w:ascii="新細明體" w:hAnsi="新細明體"/>
                                <w:sz w:val="20"/>
                              </w:rPr>
                            </w:pPr>
                            <w:r>
                              <w:rPr>
                                <w:rFonts w:ascii="新細明體" w:hAnsi="新細明體"/>
                                <w:sz w:val="20"/>
                              </w:rPr>
                              <w:t>91</w:t>
                            </w:r>
                          </w:p>
                        </w:tc>
                        <w:tc>
                          <w:tcPr>
                            <w:tcW w:w="647"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CAF6705" w14:textId="77777777" w:rsidR="00052596" w:rsidRDefault="00000000">
                            <w:pPr>
                              <w:spacing w:line="200" w:lineRule="exact"/>
                              <w:jc w:val="center"/>
                              <w:rPr>
                                <w:rFonts w:ascii="新細明體" w:hAnsi="新細明體"/>
                                <w:sz w:val="20"/>
                              </w:rPr>
                            </w:pPr>
                            <w:r>
                              <w:rPr>
                                <w:rFonts w:ascii="新細明體" w:hAnsi="新細明體"/>
                                <w:sz w:val="20"/>
                              </w:rPr>
                              <w:t>92</w:t>
                            </w:r>
                          </w:p>
                        </w:tc>
                        <w:tc>
                          <w:tcPr>
                            <w:tcW w:w="646"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01024CD" w14:textId="77777777" w:rsidR="00052596" w:rsidRDefault="00000000">
                            <w:pPr>
                              <w:spacing w:line="200" w:lineRule="exact"/>
                              <w:jc w:val="center"/>
                              <w:rPr>
                                <w:rFonts w:ascii="新細明體" w:hAnsi="新細明體"/>
                                <w:sz w:val="20"/>
                              </w:rPr>
                            </w:pPr>
                            <w:r>
                              <w:rPr>
                                <w:rFonts w:ascii="新細明體" w:hAnsi="新細明體"/>
                                <w:sz w:val="20"/>
                              </w:rPr>
                              <w:t>93</w:t>
                            </w:r>
                          </w:p>
                        </w:tc>
                        <w:tc>
                          <w:tcPr>
                            <w:tcW w:w="647"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16609B3A" w14:textId="77777777" w:rsidR="00052596" w:rsidRDefault="00000000">
                            <w:pPr>
                              <w:spacing w:line="200" w:lineRule="exact"/>
                              <w:jc w:val="center"/>
                              <w:rPr>
                                <w:rFonts w:ascii="新細明體" w:hAnsi="新細明體"/>
                                <w:sz w:val="20"/>
                              </w:rPr>
                            </w:pPr>
                            <w:r>
                              <w:rPr>
                                <w:rFonts w:ascii="新細明體" w:hAnsi="新細明體"/>
                                <w:sz w:val="20"/>
                              </w:rPr>
                              <w:t>94</w:t>
                            </w:r>
                          </w:p>
                        </w:tc>
                        <w:tc>
                          <w:tcPr>
                            <w:tcW w:w="647" w:type="dxa"/>
                            <w:gridSpan w:val="3"/>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132FAFE1" w14:textId="77777777" w:rsidR="00052596" w:rsidRDefault="00000000">
                            <w:pPr>
                              <w:spacing w:line="200" w:lineRule="exact"/>
                              <w:jc w:val="center"/>
                              <w:rPr>
                                <w:rFonts w:ascii="新細明體" w:hAnsi="新細明體"/>
                                <w:sz w:val="20"/>
                              </w:rPr>
                            </w:pPr>
                            <w:r>
                              <w:rPr>
                                <w:rFonts w:ascii="新細明體" w:hAnsi="新細明體"/>
                                <w:sz w:val="20"/>
                              </w:rPr>
                              <w:t>95</w:t>
                            </w:r>
                          </w:p>
                        </w:tc>
                        <w:tc>
                          <w:tcPr>
                            <w:tcW w:w="646"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277AF9DF" w14:textId="77777777" w:rsidR="00052596" w:rsidRDefault="00000000">
                            <w:pPr>
                              <w:spacing w:line="200" w:lineRule="exact"/>
                              <w:jc w:val="center"/>
                              <w:rPr>
                                <w:rFonts w:ascii="新細明體" w:hAnsi="新細明體"/>
                                <w:sz w:val="20"/>
                              </w:rPr>
                            </w:pPr>
                            <w:r>
                              <w:rPr>
                                <w:rFonts w:ascii="新細明體" w:hAnsi="新細明體"/>
                                <w:sz w:val="20"/>
                              </w:rPr>
                              <w:t>96</w:t>
                            </w:r>
                          </w:p>
                        </w:tc>
                        <w:tc>
                          <w:tcPr>
                            <w:tcW w:w="647"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3D09D27" w14:textId="77777777" w:rsidR="00052596" w:rsidRDefault="00000000">
                            <w:pPr>
                              <w:spacing w:line="200" w:lineRule="exact"/>
                              <w:jc w:val="center"/>
                              <w:rPr>
                                <w:rFonts w:ascii="新細明體" w:hAnsi="新細明體"/>
                                <w:sz w:val="20"/>
                              </w:rPr>
                            </w:pPr>
                            <w:r>
                              <w:rPr>
                                <w:rFonts w:ascii="新細明體" w:hAnsi="新細明體"/>
                                <w:sz w:val="20"/>
                              </w:rPr>
                              <w:t>97</w:t>
                            </w:r>
                          </w:p>
                        </w:tc>
                        <w:tc>
                          <w:tcPr>
                            <w:tcW w:w="646"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6529C366" w14:textId="77777777" w:rsidR="00052596" w:rsidRDefault="00000000">
                            <w:pPr>
                              <w:spacing w:line="200" w:lineRule="exact"/>
                              <w:jc w:val="center"/>
                              <w:rPr>
                                <w:rFonts w:ascii="新細明體" w:hAnsi="新細明體"/>
                                <w:sz w:val="20"/>
                              </w:rPr>
                            </w:pPr>
                            <w:r>
                              <w:rPr>
                                <w:rFonts w:ascii="新細明體" w:hAnsi="新細明體"/>
                                <w:sz w:val="20"/>
                              </w:rPr>
                              <w:t>98</w:t>
                            </w:r>
                          </w:p>
                        </w:tc>
                        <w:tc>
                          <w:tcPr>
                            <w:tcW w:w="647" w:type="dxa"/>
                            <w:gridSpan w:val="2"/>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E39FEEB" w14:textId="77777777" w:rsidR="00052596" w:rsidRDefault="00000000">
                            <w:pPr>
                              <w:spacing w:line="200" w:lineRule="exact"/>
                              <w:jc w:val="center"/>
                              <w:rPr>
                                <w:rFonts w:ascii="新細明體" w:hAnsi="新細明體"/>
                                <w:sz w:val="20"/>
                              </w:rPr>
                            </w:pPr>
                            <w:r>
                              <w:rPr>
                                <w:rFonts w:ascii="新細明體" w:hAnsi="新細明體"/>
                                <w:sz w:val="20"/>
                              </w:rPr>
                              <w:t>99</w:t>
                            </w:r>
                          </w:p>
                        </w:tc>
                        <w:tc>
                          <w:tcPr>
                            <w:tcW w:w="647" w:type="dxa"/>
                            <w:gridSpan w:val="2"/>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61F52F32" w14:textId="77777777" w:rsidR="00052596" w:rsidRDefault="00000000">
                            <w:pPr>
                              <w:spacing w:line="200" w:lineRule="exact"/>
                              <w:jc w:val="center"/>
                              <w:rPr>
                                <w:rFonts w:ascii="新細明體" w:hAnsi="新細明體"/>
                                <w:sz w:val="20"/>
                              </w:rPr>
                            </w:pPr>
                            <w:r>
                              <w:rPr>
                                <w:rFonts w:ascii="新細明體" w:hAnsi="新細明體"/>
                                <w:sz w:val="20"/>
                              </w:rPr>
                              <w:t>100</w:t>
                            </w:r>
                          </w:p>
                        </w:tc>
                      </w:tr>
                      <w:tr w:rsidR="00052596" w14:paraId="78597290" w14:textId="77777777">
                        <w:tblPrEx>
                          <w:tblCellMar>
                            <w:top w:w="0" w:type="dxa"/>
                            <w:bottom w:w="0" w:type="dxa"/>
                          </w:tblCellMar>
                        </w:tblPrEx>
                        <w:trPr>
                          <w:trHeight w:val="309"/>
                          <w:jc w:val="center"/>
                        </w:trPr>
                        <w:tc>
                          <w:tcPr>
                            <w:tcW w:w="1370" w:type="dxa"/>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94202A8" w14:textId="77777777" w:rsidR="00052596" w:rsidRDefault="00000000">
                            <w:pPr>
                              <w:spacing w:line="200" w:lineRule="exact"/>
                              <w:rPr>
                                <w:rFonts w:ascii="新細明體" w:hAnsi="新細明體"/>
                                <w:sz w:val="20"/>
                              </w:rPr>
                            </w:pPr>
                            <w:r>
                              <w:rPr>
                                <w:rFonts w:ascii="新細明體" w:hAnsi="新細明體"/>
                                <w:sz w:val="20"/>
                              </w:rPr>
                              <w:t>實質成長率(%)</w:t>
                            </w:r>
                          </w:p>
                        </w:tc>
                        <w:tc>
                          <w:tcPr>
                            <w:tcW w:w="709"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46CD360" w14:textId="77777777" w:rsidR="00052596" w:rsidRDefault="00052596">
                            <w:pPr>
                              <w:spacing w:line="200" w:lineRule="exact"/>
                              <w:rPr>
                                <w:rFonts w:ascii="新細明體" w:hAnsi="新細明體"/>
                                <w:sz w:val="20"/>
                              </w:rPr>
                            </w:pPr>
                          </w:p>
                        </w:tc>
                        <w:tc>
                          <w:tcPr>
                            <w:tcW w:w="629"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0DF5FCE5"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30F389C6"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09F94DB2" w14:textId="77777777" w:rsidR="00052596" w:rsidRDefault="00052596">
                            <w:pPr>
                              <w:spacing w:line="200" w:lineRule="exact"/>
                              <w:rPr>
                                <w:rFonts w:ascii="新細明體" w:hAnsi="新細明體"/>
                                <w:sz w:val="20"/>
                              </w:rPr>
                            </w:pPr>
                          </w:p>
                        </w:tc>
                        <w:tc>
                          <w:tcPr>
                            <w:tcW w:w="627" w:type="dxa"/>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3C265432"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2578D44A" w14:textId="77777777" w:rsidR="00052596" w:rsidRDefault="00052596">
                            <w:pPr>
                              <w:spacing w:line="200" w:lineRule="exact"/>
                              <w:rPr>
                                <w:rFonts w:ascii="新細明體" w:hAnsi="新細明體"/>
                                <w:sz w:val="20"/>
                              </w:rPr>
                            </w:pPr>
                          </w:p>
                        </w:tc>
                        <w:tc>
                          <w:tcPr>
                            <w:tcW w:w="707" w:type="dxa"/>
                            <w:gridSpan w:val="3"/>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2774D15C" w14:textId="77777777" w:rsidR="00052596" w:rsidRDefault="00052596">
                            <w:pPr>
                              <w:spacing w:line="200" w:lineRule="exact"/>
                              <w:rPr>
                                <w:rFonts w:ascii="新細明體" w:hAnsi="新細明體"/>
                                <w:sz w:val="20"/>
                              </w:rPr>
                            </w:pPr>
                          </w:p>
                        </w:tc>
                        <w:tc>
                          <w:tcPr>
                            <w:tcW w:w="686"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7906BEC"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0A890ABD" w14:textId="77777777" w:rsidR="00052596" w:rsidRDefault="00052596">
                            <w:pPr>
                              <w:spacing w:line="200" w:lineRule="exact"/>
                              <w:rPr>
                                <w:rFonts w:ascii="新細明體" w:hAnsi="新細明體"/>
                                <w:sz w:val="20"/>
                              </w:rPr>
                            </w:pPr>
                          </w:p>
                        </w:tc>
                        <w:tc>
                          <w:tcPr>
                            <w:tcW w:w="600" w:type="dxa"/>
                            <w:tcBorders>
                              <w:top w:val="single" w:sz="6" w:space="0" w:color="000000"/>
                              <w:bottom w:val="single" w:sz="6" w:space="0" w:color="000000"/>
                            </w:tcBorders>
                            <w:shd w:val="clear" w:color="auto" w:fill="FFF0E1"/>
                            <w:tcMar>
                              <w:top w:w="0" w:type="dxa"/>
                              <w:left w:w="28" w:type="dxa"/>
                              <w:bottom w:w="0" w:type="dxa"/>
                              <w:right w:w="28" w:type="dxa"/>
                            </w:tcMar>
                          </w:tcPr>
                          <w:p w14:paraId="466DAB82" w14:textId="77777777" w:rsidR="00052596" w:rsidRDefault="00052596">
                            <w:pPr>
                              <w:spacing w:line="200" w:lineRule="exact"/>
                              <w:rPr>
                                <w:rFonts w:ascii="新細明體" w:hAnsi="新細明體"/>
                                <w:sz w:val="20"/>
                              </w:rPr>
                            </w:pPr>
                          </w:p>
                        </w:tc>
                      </w:tr>
                      <w:tr w:rsidR="00052596" w14:paraId="0365B282" w14:textId="77777777">
                        <w:tblPrEx>
                          <w:tblCellMar>
                            <w:top w:w="0" w:type="dxa"/>
                            <w:bottom w:w="0" w:type="dxa"/>
                          </w:tblCellMar>
                        </w:tblPrEx>
                        <w:trPr>
                          <w:trHeight w:val="309"/>
                          <w:jc w:val="center"/>
                        </w:trPr>
                        <w:tc>
                          <w:tcPr>
                            <w:tcW w:w="1370"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1A8D0470" w14:textId="77777777" w:rsidR="00052596" w:rsidRDefault="00000000">
                            <w:pPr>
                              <w:spacing w:line="200" w:lineRule="exact"/>
                              <w:rPr>
                                <w:rFonts w:ascii="新細明體" w:hAnsi="新細明體"/>
                                <w:sz w:val="20"/>
                              </w:rPr>
                            </w:pPr>
                            <w:r>
                              <w:rPr>
                                <w:rFonts w:ascii="新細明體" w:hAnsi="新細明體"/>
                                <w:sz w:val="20"/>
                              </w:rPr>
                              <w:t>ICT產業</w:t>
                            </w:r>
                          </w:p>
                        </w:tc>
                        <w:tc>
                          <w:tcPr>
                            <w:tcW w:w="64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2EEFF58F" w14:textId="77777777" w:rsidR="00052596" w:rsidRDefault="00000000">
                            <w:pPr>
                              <w:spacing w:line="200" w:lineRule="exact"/>
                              <w:jc w:val="center"/>
                              <w:rPr>
                                <w:rFonts w:ascii="新細明體" w:hAnsi="新細明體"/>
                                <w:sz w:val="20"/>
                              </w:rPr>
                            </w:pPr>
                            <w:r>
                              <w:rPr>
                                <w:rFonts w:ascii="新細明體" w:hAnsi="新細明體"/>
                                <w:sz w:val="20"/>
                              </w:rPr>
                              <w:t>17.42</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46AC439E" w14:textId="77777777" w:rsidR="00052596" w:rsidRDefault="00000000">
                            <w:pPr>
                              <w:spacing w:line="200" w:lineRule="exact"/>
                              <w:jc w:val="center"/>
                              <w:rPr>
                                <w:rFonts w:ascii="新細明體" w:hAnsi="新細明體"/>
                                <w:sz w:val="20"/>
                              </w:rPr>
                            </w:pPr>
                            <w:r>
                              <w:rPr>
                                <w:rFonts w:ascii="新細明體" w:hAnsi="新細明體"/>
                                <w:sz w:val="20"/>
                              </w:rPr>
                              <w:t>19.21</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9AAE7FA" w14:textId="77777777" w:rsidR="00052596" w:rsidRDefault="00000000">
                            <w:pPr>
                              <w:spacing w:line="200" w:lineRule="exact"/>
                              <w:jc w:val="center"/>
                              <w:rPr>
                                <w:rFonts w:ascii="新細明體" w:hAnsi="新細明體"/>
                                <w:sz w:val="20"/>
                              </w:rPr>
                            </w:pPr>
                            <w:r>
                              <w:rPr>
                                <w:rFonts w:ascii="新細明體" w:hAnsi="新細明體"/>
                                <w:sz w:val="20"/>
                              </w:rPr>
                              <w:t>14.24</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C924B06" w14:textId="77777777" w:rsidR="00052596" w:rsidRDefault="00000000">
                            <w:pPr>
                              <w:spacing w:line="200" w:lineRule="exact"/>
                              <w:jc w:val="center"/>
                              <w:rPr>
                                <w:rFonts w:ascii="新細明體" w:hAnsi="新細明體"/>
                                <w:sz w:val="20"/>
                              </w:rPr>
                            </w:pPr>
                            <w:r>
                              <w:rPr>
                                <w:rFonts w:ascii="新細明體" w:hAnsi="新細明體"/>
                                <w:sz w:val="20"/>
                              </w:rPr>
                              <w:t>16.82</w:t>
                            </w:r>
                          </w:p>
                        </w:tc>
                        <w:tc>
                          <w:tcPr>
                            <w:tcW w:w="647" w:type="dxa"/>
                            <w:gridSpan w:val="3"/>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6354D98E" w14:textId="77777777" w:rsidR="00052596" w:rsidRDefault="00000000">
                            <w:pPr>
                              <w:spacing w:line="200" w:lineRule="exact"/>
                              <w:jc w:val="center"/>
                              <w:rPr>
                                <w:rFonts w:ascii="新細明體" w:hAnsi="新細明體"/>
                                <w:sz w:val="20"/>
                              </w:rPr>
                            </w:pPr>
                            <w:r>
                              <w:rPr>
                                <w:rFonts w:ascii="新細明體" w:hAnsi="新細明體"/>
                                <w:sz w:val="20"/>
                              </w:rPr>
                              <w:t>18.85</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492AF527" w14:textId="77777777" w:rsidR="00052596" w:rsidRDefault="00000000">
                            <w:pPr>
                              <w:spacing w:line="200" w:lineRule="exact"/>
                              <w:jc w:val="center"/>
                              <w:rPr>
                                <w:rFonts w:ascii="新細明體" w:hAnsi="新細明體"/>
                                <w:sz w:val="20"/>
                              </w:rPr>
                            </w:pPr>
                            <w:r>
                              <w:rPr>
                                <w:rFonts w:ascii="新細明體" w:hAnsi="新細明體"/>
                                <w:sz w:val="20"/>
                              </w:rPr>
                              <w:t>15.84</w:t>
                            </w:r>
                          </w:p>
                        </w:tc>
                        <w:tc>
                          <w:tcPr>
                            <w:tcW w:w="647"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00BA779" w14:textId="77777777" w:rsidR="00052596" w:rsidRDefault="00000000">
                            <w:pPr>
                              <w:spacing w:line="200" w:lineRule="exact"/>
                              <w:jc w:val="center"/>
                              <w:rPr>
                                <w:rFonts w:ascii="新細明體" w:hAnsi="新細明體"/>
                                <w:sz w:val="20"/>
                              </w:rPr>
                            </w:pPr>
                            <w:r>
                              <w:rPr>
                                <w:rFonts w:ascii="新細明體" w:hAnsi="新細明體"/>
                                <w:sz w:val="20"/>
                              </w:rPr>
                              <w:t>8.58</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2A247951" w14:textId="77777777" w:rsidR="00052596" w:rsidRDefault="00000000">
                            <w:pPr>
                              <w:spacing w:line="200" w:lineRule="exact"/>
                              <w:jc w:val="center"/>
                              <w:rPr>
                                <w:rFonts w:ascii="新細明體" w:hAnsi="新細明體"/>
                                <w:sz w:val="20"/>
                              </w:rPr>
                            </w:pPr>
                            <w:r>
                              <w:rPr>
                                <w:rFonts w:ascii="新細明體" w:hAnsi="新細明體"/>
                                <w:sz w:val="20"/>
                              </w:rPr>
                              <w:t>1.40</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44EE048" w14:textId="77777777" w:rsidR="00052596" w:rsidRDefault="00000000">
                            <w:pPr>
                              <w:spacing w:line="200" w:lineRule="exact"/>
                              <w:jc w:val="center"/>
                              <w:rPr>
                                <w:rFonts w:ascii="新細明體" w:hAnsi="新細明體"/>
                                <w:sz w:val="20"/>
                              </w:rPr>
                            </w:pPr>
                            <w:r>
                              <w:rPr>
                                <w:rFonts w:ascii="新細明體" w:hAnsi="新細明體"/>
                                <w:sz w:val="20"/>
                              </w:rPr>
                              <w:t>26.85</w:t>
                            </w:r>
                          </w:p>
                        </w:tc>
                        <w:tc>
                          <w:tcPr>
                            <w:tcW w:w="647" w:type="dxa"/>
                            <w:gridSpan w:val="2"/>
                            <w:tcBorders>
                              <w:top w:val="single" w:sz="6" w:space="0" w:color="000000"/>
                              <w:left w:val="single" w:sz="6" w:space="0" w:color="000000"/>
                            </w:tcBorders>
                            <w:shd w:val="clear" w:color="auto" w:fill="FFF0E1"/>
                            <w:tcMar>
                              <w:top w:w="0" w:type="dxa"/>
                              <w:left w:w="28" w:type="dxa"/>
                              <w:bottom w:w="0" w:type="dxa"/>
                              <w:right w:w="28" w:type="dxa"/>
                            </w:tcMar>
                            <w:vAlign w:val="center"/>
                          </w:tcPr>
                          <w:p w14:paraId="70FF0B69" w14:textId="77777777" w:rsidR="00052596" w:rsidRDefault="00000000">
                            <w:pPr>
                              <w:spacing w:line="200" w:lineRule="exact"/>
                              <w:jc w:val="center"/>
                              <w:rPr>
                                <w:rFonts w:ascii="新細明體" w:hAnsi="新細明體"/>
                                <w:sz w:val="20"/>
                              </w:rPr>
                            </w:pPr>
                            <w:r>
                              <w:rPr>
                                <w:rFonts w:ascii="新細明體" w:hAnsi="新細明體"/>
                                <w:sz w:val="20"/>
                              </w:rPr>
                              <w:t>9.78</w:t>
                            </w:r>
                          </w:p>
                        </w:tc>
                      </w:tr>
                      <w:tr w:rsidR="00052596" w14:paraId="0783687B" w14:textId="77777777">
                        <w:tblPrEx>
                          <w:tblCellMar>
                            <w:top w:w="0" w:type="dxa"/>
                            <w:bottom w:w="0" w:type="dxa"/>
                          </w:tblCellMar>
                        </w:tblPrEx>
                        <w:trPr>
                          <w:trHeight w:val="309"/>
                          <w:jc w:val="center"/>
                        </w:trPr>
                        <w:tc>
                          <w:tcPr>
                            <w:tcW w:w="1370" w:type="dxa"/>
                            <w:tcBorders>
                              <w:right w:val="single" w:sz="6" w:space="0" w:color="000000"/>
                            </w:tcBorders>
                            <w:shd w:val="clear" w:color="auto" w:fill="FFF0E1"/>
                            <w:noWrap/>
                            <w:tcMar>
                              <w:top w:w="0" w:type="dxa"/>
                              <w:left w:w="28" w:type="dxa"/>
                              <w:bottom w:w="0" w:type="dxa"/>
                              <w:right w:w="28" w:type="dxa"/>
                            </w:tcMar>
                            <w:vAlign w:val="center"/>
                          </w:tcPr>
                          <w:p w14:paraId="6F7DE656" w14:textId="77777777" w:rsidR="00052596" w:rsidRDefault="00000000">
                            <w:pPr>
                              <w:spacing w:line="200" w:lineRule="exact"/>
                              <w:rPr>
                                <w:rFonts w:ascii="新細明體" w:hAnsi="新細明體"/>
                                <w:sz w:val="20"/>
                              </w:rPr>
                            </w:pPr>
                            <w:r>
                              <w:rPr>
                                <w:rFonts w:ascii="新細明體" w:hAnsi="新細明體"/>
                                <w:sz w:val="20"/>
                              </w:rPr>
                              <w:t xml:space="preserve">   ICT製造業</w:t>
                            </w:r>
                          </w:p>
                        </w:tc>
                        <w:tc>
                          <w:tcPr>
                            <w:tcW w:w="64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BFA6B86" w14:textId="77777777" w:rsidR="00052596" w:rsidRDefault="00000000">
                            <w:pPr>
                              <w:spacing w:line="200" w:lineRule="exact"/>
                              <w:jc w:val="center"/>
                              <w:rPr>
                                <w:rFonts w:ascii="新細明體" w:hAnsi="新細明體"/>
                                <w:sz w:val="20"/>
                              </w:rPr>
                            </w:pPr>
                            <w:r>
                              <w:rPr>
                                <w:rFonts w:ascii="新細明體" w:hAnsi="新細明體"/>
                                <w:sz w:val="20"/>
                              </w:rPr>
                              <w:t>22.33</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0FBDE4D" w14:textId="77777777" w:rsidR="00052596" w:rsidRDefault="00000000">
                            <w:pPr>
                              <w:spacing w:line="200" w:lineRule="exact"/>
                              <w:jc w:val="center"/>
                              <w:rPr>
                                <w:rFonts w:ascii="新細明體" w:hAnsi="新細明體"/>
                                <w:sz w:val="20"/>
                              </w:rPr>
                            </w:pPr>
                            <w:r>
                              <w:rPr>
                                <w:rFonts w:ascii="新細明體" w:hAnsi="新細明體"/>
                                <w:sz w:val="20"/>
                              </w:rPr>
                              <w:t>25.87</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98C1C05" w14:textId="77777777" w:rsidR="00052596" w:rsidRDefault="00000000">
                            <w:pPr>
                              <w:spacing w:line="200" w:lineRule="exact"/>
                              <w:jc w:val="center"/>
                              <w:rPr>
                                <w:rFonts w:ascii="新細明體" w:hAnsi="新細明體"/>
                                <w:sz w:val="20"/>
                              </w:rPr>
                            </w:pPr>
                            <w:r>
                              <w:rPr>
                                <w:rFonts w:ascii="新細明體" w:hAnsi="新細明體"/>
                                <w:sz w:val="20"/>
                              </w:rPr>
                              <w:t>17.39</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F1BC2CF" w14:textId="77777777" w:rsidR="00052596" w:rsidRDefault="00000000">
                            <w:pPr>
                              <w:spacing w:line="200" w:lineRule="exact"/>
                              <w:jc w:val="center"/>
                              <w:rPr>
                                <w:rFonts w:ascii="新細明體" w:hAnsi="新細明體"/>
                                <w:sz w:val="20"/>
                              </w:rPr>
                            </w:pPr>
                            <w:r>
                              <w:rPr>
                                <w:rFonts w:ascii="新細明體" w:hAnsi="新細明體"/>
                                <w:sz w:val="20"/>
                              </w:rPr>
                              <w:t>21.43</w:t>
                            </w:r>
                          </w:p>
                        </w:tc>
                        <w:tc>
                          <w:tcPr>
                            <w:tcW w:w="647" w:type="dxa"/>
                            <w:gridSpan w:val="3"/>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70D549D" w14:textId="77777777" w:rsidR="00052596" w:rsidRDefault="00000000">
                            <w:pPr>
                              <w:spacing w:line="200" w:lineRule="exact"/>
                              <w:jc w:val="center"/>
                              <w:rPr>
                                <w:rFonts w:ascii="新細明體" w:hAnsi="新細明體"/>
                                <w:sz w:val="20"/>
                              </w:rPr>
                            </w:pPr>
                            <w:r>
                              <w:rPr>
                                <w:rFonts w:ascii="新細明體" w:hAnsi="新細明體"/>
                                <w:sz w:val="20"/>
                              </w:rPr>
                              <w:t>23.08</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5740DEF" w14:textId="77777777" w:rsidR="00052596" w:rsidRDefault="00000000">
                            <w:pPr>
                              <w:spacing w:line="200" w:lineRule="exact"/>
                              <w:jc w:val="center"/>
                              <w:rPr>
                                <w:rFonts w:ascii="新細明體" w:hAnsi="新細明體"/>
                                <w:sz w:val="20"/>
                              </w:rPr>
                            </w:pPr>
                            <w:r>
                              <w:rPr>
                                <w:rFonts w:ascii="新細明體" w:hAnsi="新細明體"/>
                                <w:sz w:val="20"/>
                              </w:rPr>
                              <w:t>18.93</w:t>
                            </w:r>
                          </w:p>
                        </w:tc>
                        <w:tc>
                          <w:tcPr>
                            <w:tcW w:w="64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0477040" w14:textId="77777777" w:rsidR="00052596" w:rsidRDefault="00000000">
                            <w:pPr>
                              <w:spacing w:line="200" w:lineRule="exact"/>
                              <w:jc w:val="center"/>
                              <w:rPr>
                                <w:rFonts w:ascii="新細明體" w:hAnsi="新細明體"/>
                                <w:sz w:val="20"/>
                              </w:rPr>
                            </w:pPr>
                            <w:r>
                              <w:rPr>
                                <w:rFonts w:ascii="新細明體" w:hAnsi="新細明體"/>
                                <w:sz w:val="20"/>
                              </w:rPr>
                              <w:t>9.10</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FAA2CB4" w14:textId="77777777" w:rsidR="00052596" w:rsidRDefault="00000000">
                            <w:pPr>
                              <w:spacing w:line="200" w:lineRule="exact"/>
                              <w:jc w:val="center"/>
                              <w:rPr>
                                <w:rFonts w:ascii="新細明體" w:hAnsi="新細明體"/>
                                <w:sz w:val="20"/>
                              </w:rPr>
                            </w:pPr>
                            <w:r>
                              <w:rPr>
                                <w:rFonts w:ascii="新細明體" w:hAnsi="新細明體"/>
                                <w:sz w:val="20"/>
                              </w:rPr>
                              <w:t>0.81</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E81CCFC" w14:textId="77777777" w:rsidR="00052596" w:rsidRDefault="00000000">
                            <w:pPr>
                              <w:spacing w:line="200" w:lineRule="exact"/>
                              <w:jc w:val="center"/>
                              <w:rPr>
                                <w:rFonts w:ascii="新細明體" w:hAnsi="新細明體"/>
                                <w:sz w:val="20"/>
                              </w:rPr>
                            </w:pPr>
                            <w:r>
                              <w:rPr>
                                <w:rFonts w:ascii="新細明體" w:hAnsi="新細明體"/>
                                <w:sz w:val="20"/>
                              </w:rPr>
                              <w:t>30.34</w:t>
                            </w:r>
                          </w:p>
                        </w:tc>
                        <w:tc>
                          <w:tcPr>
                            <w:tcW w:w="647" w:type="dxa"/>
                            <w:gridSpan w:val="2"/>
                            <w:tcBorders>
                              <w:left w:val="single" w:sz="6" w:space="0" w:color="000000"/>
                            </w:tcBorders>
                            <w:shd w:val="clear" w:color="auto" w:fill="FFF0E1"/>
                            <w:tcMar>
                              <w:top w:w="0" w:type="dxa"/>
                              <w:left w:w="28" w:type="dxa"/>
                              <w:bottom w:w="0" w:type="dxa"/>
                              <w:right w:w="28" w:type="dxa"/>
                            </w:tcMar>
                            <w:vAlign w:val="center"/>
                          </w:tcPr>
                          <w:p w14:paraId="44A19FFC" w14:textId="77777777" w:rsidR="00052596" w:rsidRDefault="00000000">
                            <w:pPr>
                              <w:spacing w:line="200" w:lineRule="exact"/>
                              <w:jc w:val="center"/>
                              <w:rPr>
                                <w:rFonts w:ascii="新細明體" w:hAnsi="新細明體"/>
                                <w:sz w:val="20"/>
                              </w:rPr>
                            </w:pPr>
                            <w:r>
                              <w:rPr>
                                <w:rFonts w:ascii="新細明體" w:hAnsi="新細明體"/>
                                <w:sz w:val="20"/>
                              </w:rPr>
                              <w:t>10.49</w:t>
                            </w:r>
                          </w:p>
                        </w:tc>
                      </w:tr>
                      <w:tr w:rsidR="00052596" w14:paraId="7D6C6A2A" w14:textId="77777777">
                        <w:tblPrEx>
                          <w:tblCellMar>
                            <w:top w:w="0" w:type="dxa"/>
                            <w:bottom w:w="0" w:type="dxa"/>
                          </w:tblCellMar>
                        </w:tblPrEx>
                        <w:trPr>
                          <w:trHeight w:val="309"/>
                          <w:jc w:val="center"/>
                        </w:trPr>
                        <w:tc>
                          <w:tcPr>
                            <w:tcW w:w="1370"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574BF9AB" w14:textId="77777777" w:rsidR="00052596" w:rsidRDefault="00000000">
                            <w:pPr>
                              <w:spacing w:line="200" w:lineRule="exact"/>
                              <w:rPr>
                                <w:rFonts w:ascii="新細明體" w:hAnsi="新細明體"/>
                                <w:sz w:val="20"/>
                              </w:rPr>
                            </w:pPr>
                            <w:r>
                              <w:rPr>
                                <w:rFonts w:ascii="新細明體" w:hAnsi="新細明體"/>
                                <w:sz w:val="20"/>
                              </w:rPr>
                              <w:t xml:space="preserve">   ICT服務業</w:t>
                            </w:r>
                          </w:p>
                        </w:tc>
                        <w:tc>
                          <w:tcPr>
                            <w:tcW w:w="64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8B5FDCC" w14:textId="77777777" w:rsidR="00052596" w:rsidRDefault="00000000">
                            <w:pPr>
                              <w:spacing w:line="200" w:lineRule="exact"/>
                              <w:ind w:left="72"/>
                              <w:jc w:val="center"/>
                              <w:rPr>
                                <w:rFonts w:ascii="新細明體" w:hAnsi="新細明體"/>
                                <w:sz w:val="20"/>
                              </w:rPr>
                            </w:pPr>
                            <w:r>
                              <w:rPr>
                                <w:rFonts w:ascii="新細明體" w:hAnsi="新細明體"/>
                                <w:sz w:val="20"/>
                              </w:rPr>
                              <w:t>7.60</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8D64B6F" w14:textId="77777777" w:rsidR="00052596" w:rsidRDefault="00000000">
                            <w:pPr>
                              <w:spacing w:line="200" w:lineRule="exact"/>
                              <w:ind w:left="72"/>
                              <w:jc w:val="center"/>
                              <w:rPr>
                                <w:rFonts w:ascii="新細明體" w:hAnsi="新細明體"/>
                                <w:sz w:val="20"/>
                              </w:rPr>
                            </w:pPr>
                            <w:r>
                              <w:rPr>
                                <w:rFonts w:ascii="新細明體" w:hAnsi="新細明體"/>
                                <w:sz w:val="20"/>
                              </w:rPr>
                              <w:t>4.06</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7018B05F" w14:textId="77777777" w:rsidR="00052596" w:rsidRDefault="00000000">
                            <w:pPr>
                              <w:spacing w:line="200" w:lineRule="exact"/>
                              <w:ind w:left="72"/>
                              <w:jc w:val="center"/>
                              <w:rPr>
                                <w:rFonts w:ascii="新細明體" w:hAnsi="新細明體"/>
                                <w:sz w:val="20"/>
                              </w:rPr>
                            </w:pPr>
                            <w:r>
                              <w:rPr>
                                <w:rFonts w:ascii="新細明體" w:hAnsi="新細明體"/>
                                <w:sz w:val="20"/>
                              </w:rPr>
                              <w:t>5.59</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7E331E8D" w14:textId="77777777" w:rsidR="00052596" w:rsidRDefault="00000000">
                            <w:pPr>
                              <w:spacing w:line="200" w:lineRule="exact"/>
                              <w:ind w:left="72"/>
                              <w:jc w:val="center"/>
                              <w:rPr>
                                <w:rFonts w:ascii="新細明體" w:hAnsi="新細明體"/>
                                <w:sz w:val="20"/>
                              </w:rPr>
                            </w:pPr>
                            <w:r>
                              <w:rPr>
                                <w:rFonts w:ascii="新細明體" w:hAnsi="新細明體"/>
                                <w:sz w:val="20"/>
                              </w:rPr>
                              <w:t>2.71</w:t>
                            </w:r>
                          </w:p>
                        </w:tc>
                        <w:tc>
                          <w:tcPr>
                            <w:tcW w:w="647" w:type="dxa"/>
                            <w:gridSpan w:val="3"/>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0A27F2C0" w14:textId="77777777" w:rsidR="00052596" w:rsidRDefault="00000000">
                            <w:pPr>
                              <w:spacing w:line="200" w:lineRule="exact"/>
                              <w:ind w:left="72"/>
                              <w:jc w:val="center"/>
                              <w:rPr>
                                <w:rFonts w:ascii="新細明體" w:hAnsi="新細明體"/>
                                <w:sz w:val="20"/>
                              </w:rPr>
                            </w:pPr>
                            <w:r>
                              <w:rPr>
                                <w:rFonts w:ascii="新細明體" w:hAnsi="新細明體"/>
                                <w:sz w:val="20"/>
                              </w:rPr>
                              <w:t>3.53</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998560A" w14:textId="77777777" w:rsidR="00052596" w:rsidRDefault="00000000">
                            <w:pPr>
                              <w:spacing w:line="200" w:lineRule="exact"/>
                              <w:ind w:left="72"/>
                              <w:jc w:val="center"/>
                              <w:rPr>
                                <w:rFonts w:ascii="新細明體" w:hAnsi="新細明體"/>
                                <w:sz w:val="20"/>
                              </w:rPr>
                            </w:pPr>
                            <w:r>
                              <w:rPr>
                                <w:rFonts w:ascii="新細明體" w:hAnsi="新細明體"/>
                                <w:sz w:val="20"/>
                              </w:rPr>
                              <w:t>2.50</w:t>
                            </w:r>
                          </w:p>
                        </w:tc>
                        <w:tc>
                          <w:tcPr>
                            <w:tcW w:w="647"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4299081" w14:textId="77777777" w:rsidR="00052596" w:rsidRDefault="00000000">
                            <w:pPr>
                              <w:spacing w:line="200" w:lineRule="exact"/>
                              <w:jc w:val="center"/>
                              <w:rPr>
                                <w:rFonts w:ascii="新細明體" w:hAnsi="新細明體"/>
                                <w:sz w:val="20"/>
                              </w:rPr>
                            </w:pPr>
                            <w:r>
                              <w:rPr>
                                <w:rFonts w:ascii="新細明體" w:hAnsi="新細明體"/>
                                <w:sz w:val="20"/>
                              </w:rPr>
                              <w:t>5.97</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69997AA7" w14:textId="77777777" w:rsidR="00052596" w:rsidRDefault="00000000">
                            <w:pPr>
                              <w:spacing w:line="200" w:lineRule="exact"/>
                              <w:jc w:val="center"/>
                              <w:rPr>
                                <w:rFonts w:ascii="新細明體" w:hAnsi="新細明體"/>
                                <w:sz w:val="20"/>
                              </w:rPr>
                            </w:pPr>
                            <w:r>
                              <w:rPr>
                                <w:rFonts w:ascii="新細明體" w:hAnsi="新細明體"/>
                                <w:sz w:val="20"/>
                              </w:rPr>
                              <w:t>4.41</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4003580C" w14:textId="77777777" w:rsidR="00052596" w:rsidRDefault="00000000">
                            <w:pPr>
                              <w:spacing w:line="200" w:lineRule="exact"/>
                              <w:ind w:left="72"/>
                              <w:jc w:val="center"/>
                              <w:rPr>
                                <w:rFonts w:ascii="新細明體" w:hAnsi="新細明體"/>
                                <w:sz w:val="20"/>
                              </w:rPr>
                            </w:pPr>
                            <w:r>
                              <w:rPr>
                                <w:rFonts w:ascii="新細明體" w:hAnsi="新細明體"/>
                                <w:sz w:val="20"/>
                              </w:rPr>
                              <w:t>9.52</w:t>
                            </w:r>
                          </w:p>
                        </w:tc>
                        <w:tc>
                          <w:tcPr>
                            <w:tcW w:w="647" w:type="dxa"/>
                            <w:gridSpan w:val="2"/>
                            <w:tcBorders>
                              <w:left w:val="single" w:sz="6" w:space="0" w:color="000000"/>
                              <w:bottom w:val="single" w:sz="6" w:space="0" w:color="000000"/>
                            </w:tcBorders>
                            <w:shd w:val="clear" w:color="auto" w:fill="FFF0E1"/>
                            <w:tcMar>
                              <w:top w:w="0" w:type="dxa"/>
                              <w:left w:w="28" w:type="dxa"/>
                              <w:bottom w:w="0" w:type="dxa"/>
                              <w:right w:w="28" w:type="dxa"/>
                            </w:tcMar>
                            <w:vAlign w:val="center"/>
                          </w:tcPr>
                          <w:p w14:paraId="5B55961B" w14:textId="77777777" w:rsidR="00052596" w:rsidRDefault="00000000">
                            <w:pPr>
                              <w:spacing w:line="200" w:lineRule="exact"/>
                              <w:ind w:left="72"/>
                              <w:jc w:val="center"/>
                              <w:rPr>
                                <w:rFonts w:ascii="新細明體" w:hAnsi="新細明體"/>
                                <w:sz w:val="20"/>
                              </w:rPr>
                            </w:pPr>
                            <w:r>
                              <w:rPr>
                                <w:rFonts w:ascii="新細明體" w:hAnsi="新細明體"/>
                                <w:sz w:val="20"/>
                              </w:rPr>
                              <w:t>5.55</w:t>
                            </w:r>
                          </w:p>
                        </w:tc>
                      </w:tr>
                      <w:tr w:rsidR="00052596" w14:paraId="38752429" w14:textId="77777777">
                        <w:tblPrEx>
                          <w:tblCellMar>
                            <w:top w:w="0" w:type="dxa"/>
                            <w:bottom w:w="0" w:type="dxa"/>
                          </w:tblCellMar>
                        </w:tblPrEx>
                        <w:trPr>
                          <w:trHeight w:val="309"/>
                          <w:jc w:val="center"/>
                        </w:trPr>
                        <w:tc>
                          <w:tcPr>
                            <w:tcW w:w="2708" w:type="dxa"/>
                            <w:gridSpan w:val="5"/>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331BDBA" w14:textId="77777777" w:rsidR="00052596" w:rsidRDefault="00000000">
                            <w:pPr>
                              <w:spacing w:line="200" w:lineRule="exact"/>
                              <w:rPr>
                                <w:rFonts w:ascii="新細明體" w:hAnsi="新細明體"/>
                                <w:sz w:val="20"/>
                              </w:rPr>
                            </w:pPr>
                            <w:r>
                              <w:rPr>
                                <w:rFonts w:ascii="新細明體" w:hAnsi="新細明體"/>
                                <w:sz w:val="20"/>
                              </w:rPr>
                              <w:t>占實質GDP(生產面)比重(%)</w:t>
                            </w: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664854C5"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FE8FF5A" w14:textId="77777777" w:rsidR="00052596" w:rsidRDefault="00052596">
                            <w:pPr>
                              <w:spacing w:line="200" w:lineRule="exact"/>
                              <w:rPr>
                                <w:rFonts w:ascii="新細明體" w:hAnsi="新細明體"/>
                                <w:sz w:val="20"/>
                              </w:rPr>
                            </w:pPr>
                          </w:p>
                        </w:tc>
                        <w:tc>
                          <w:tcPr>
                            <w:tcW w:w="627" w:type="dxa"/>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28990E37"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12C32AD3" w14:textId="77777777" w:rsidR="00052596" w:rsidRDefault="00052596">
                            <w:pPr>
                              <w:spacing w:line="200" w:lineRule="exact"/>
                              <w:rPr>
                                <w:rFonts w:ascii="新細明體" w:hAnsi="新細明體"/>
                                <w:sz w:val="20"/>
                              </w:rPr>
                            </w:pPr>
                          </w:p>
                        </w:tc>
                        <w:tc>
                          <w:tcPr>
                            <w:tcW w:w="707" w:type="dxa"/>
                            <w:gridSpan w:val="3"/>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644EA822" w14:textId="77777777" w:rsidR="00052596" w:rsidRDefault="00052596">
                            <w:pPr>
                              <w:spacing w:line="200" w:lineRule="exact"/>
                              <w:rPr>
                                <w:rFonts w:ascii="新細明體" w:hAnsi="新細明體"/>
                                <w:sz w:val="20"/>
                              </w:rPr>
                            </w:pPr>
                          </w:p>
                        </w:tc>
                        <w:tc>
                          <w:tcPr>
                            <w:tcW w:w="686"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38950522"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7F2A897" w14:textId="77777777" w:rsidR="00052596" w:rsidRDefault="00052596">
                            <w:pPr>
                              <w:spacing w:line="200" w:lineRule="exact"/>
                              <w:jc w:val="center"/>
                              <w:rPr>
                                <w:rFonts w:ascii="新細明體" w:hAnsi="新細明體"/>
                                <w:sz w:val="20"/>
                              </w:rPr>
                            </w:pPr>
                          </w:p>
                        </w:tc>
                        <w:tc>
                          <w:tcPr>
                            <w:tcW w:w="600" w:type="dxa"/>
                            <w:tcBorders>
                              <w:top w:val="single" w:sz="6" w:space="0" w:color="000000"/>
                              <w:bottom w:val="single" w:sz="6" w:space="0" w:color="000000"/>
                            </w:tcBorders>
                            <w:shd w:val="clear" w:color="auto" w:fill="FFF0E1"/>
                            <w:tcMar>
                              <w:top w:w="0" w:type="dxa"/>
                              <w:left w:w="28" w:type="dxa"/>
                              <w:bottom w:w="0" w:type="dxa"/>
                              <w:right w:w="28" w:type="dxa"/>
                            </w:tcMar>
                            <w:vAlign w:val="center"/>
                          </w:tcPr>
                          <w:p w14:paraId="433A8E62" w14:textId="77777777" w:rsidR="00052596" w:rsidRDefault="00052596">
                            <w:pPr>
                              <w:spacing w:line="200" w:lineRule="exact"/>
                              <w:jc w:val="center"/>
                              <w:rPr>
                                <w:rFonts w:ascii="新細明體" w:hAnsi="新細明體"/>
                                <w:sz w:val="20"/>
                              </w:rPr>
                            </w:pPr>
                          </w:p>
                        </w:tc>
                      </w:tr>
                      <w:tr w:rsidR="00052596" w14:paraId="56DA878C" w14:textId="77777777">
                        <w:tblPrEx>
                          <w:tblCellMar>
                            <w:top w:w="0" w:type="dxa"/>
                            <w:bottom w:w="0" w:type="dxa"/>
                          </w:tblCellMar>
                        </w:tblPrEx>
                        <w:trPr>
                          <w:trHeight w:val="309"/>
                          <w:jc w:val="center"/>
                        </w:trPr>
                        <w:tc>
                          <w:tcPr>
                            <w:tcW w:w="1370"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00F91B94" w14:textId="77777777" w:rsidR="00052596" w:rsidRDefault="00000000">
                            <w:pPr>
                              <w:spacing w:line="200" w:lineRule="exact"/>
                              <w:rPr>
                                <w:rFonts w:ascii="新細明體" w:hAnsi="新細明體"/>
                                <w:sz w:val="20"/>
                              </w:rPr>
                            </w:pPr>
                            <w:r>
                              <w:rPr>
                                <w:rFonts w:ascii="新細明體" w:hAnsi="新細明體"/>
                                <w:sz w:val="20"/>
                              </w:rPr>
                              <w:t>ICT產業</w:t>
                            </w:r>
                          </w:p>
                        </w:tc>
                        <w:tc>
                          <w:tcPr>
                            <w:tcW w:w="64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6FA3B8B5" w14:textId="77777777" w:rsidR="00052596" w:rsidRDefault="00000000">
                            <w:pPr>
                              <w:spacing w:line="200" w:lineRule="exact"/>
                              <w:jc w:val="center"/>
                              <w:rPr>
                                <w:rFonts w:ascii="新細明體" w:hAnsi="新細明體"/>
                                <w:sz w:val="20"/>
                              </w:rPr>
                            </w:pPr>
                            <w:r>
                              <w:rPr>
                                <w:rFonts w:ascii="新細明體" w:hAnsi="新細明體"/>
                                <w:sz w:val="20"/>
                              </w:rPr>
                              <w:t>8.92</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76F1DD94" w14:textId="77777777" w:rsidR="00052596" w:rsidRDefault="00000000">
                            <w:pPr>
                              <w:spacing w:line="200" w:lineRule="exact"/>
                              <w:jc w:val="center"/>
                              <w:rPr>
                                <w:rFonts w:ascii="新細明體" w:hAnsi="新細明體"/>
                                <w:sz w:val="20"/>
                              </w:rPr>
                            </w:pPr>
                            <w:r>
                              <w:rPr>
                                <w:rFonts w:ascii="新細明體" w:hAnsi="新細明體"/>
                                <w:sz w:val="20"/>
                              </w:rPr>
                              <w:t>10.23</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7CE7CD0" w14:textId="77777777" w:rsidR="00052596" w:rsidRDefault="00000000">
                            <w:pPr>
                              <w:spacing w:line="200" w:lineRule="exact"/>
                              <w:jc w:val="center"/>
                              <w:rPr>
                                <w:rFonts w:ascii="新細明體" w:hAnsi="新細明體"/>
                                <w:sz w:val="20"/>
                              </w:rPr>
                            </w:pPr>
                            <w:r>
                              <w:rPr>
                                <w:rFonts w:ascii="新細明體" w:hAnsi="新細明體"/>
                                <w:sz w:val="20"/>
                              </w:rPr>
                              <w:t>11.00</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7970FC2" w14:textId="77777777" w:rsidR="00052596" w:rsidRDefault="00000000">
                            <w:pPr>
                              <w:spacing w:line="200" w:lineRule="exact"/>
                              <w:jc w:val="center"/>
                              <w:rPr>
                                <w:rFonts w:ascii="新細明體" w:hAnsi="新細明體"/>
                                <w:sz w:val="20"/>
                              </w:rPr>
                            </w:pPr>
                            <w:r>
                              <w:rPr>
                                <w:rFonts w:ascii="新細明體" w:hAnsi="新細明體"/>
                                <w:sz w:val="20"/>
                              </w:rPr>
                              <w:t>12.28</w:t>
                            </w:r>
                          </w:p>
                        </w:tc>
                        <w:tc>
                          <w:tcPr>
                            <w:tcW w:w="647" w:type="dxa"/>
                            <w:gridSpan w:val="3"/>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494430EF" w14:textId="77777777" w:rsidR="00052596" w:rsidRDefault="00000000">
                            <w:pPr>
                              <w:spacing w:line="200" w:lineRule="exact"/>
                              <w:jc w:val="center"/>
                              <w:rPr>
                                <w:rFonts w:ascii="新細明體" w:hAnsi="新細明體"/>
                                <w:sz w:val="20"/>
                              </w:rPr>
                            </w:pPr>
                            <w:r>
                              <w:rPr>
                                <w:rFonts w:ascii="新細明體" w:hAnsi="新細明體"/>
                                <w:sz w:val="20"/>
                              </w:rPr>
                              <w:t>13.84</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8162826" w14:textId="77777777" w:rsidR="00052596" w:rsidRDefault="00000000">
                            <w:pPr>
                              <w:spacing w:line="200" w:lineRule="exact"/>
                              <w:jc w:val="center"/>
                              <w:rPr>
                                <w:rFonts w:ascii="新細明體" w:hAnsi="新細明體"/>
                                <w:sz w:val="20"/>
                              </w:rPr>
                            </w:pPr>
                            <w:r>
                              <w:rPr>
                                <w:rFonts w:ascii="新細明體" w:hAnsi="新細明體"/>
                                <w:sz w:val="20"/>
                              </w:rPr>
                              <w:t>15.15</w:t>
                            </w:r>
                          </w:p>
                        </w:tc>
                        <w:tc>
                          <w:tcPr>
                            <w:tcW w:w="647"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650F2626" w14:textId="77777777" w:rsidR="00052596" w:rsidRDefault="00000000">
                            <w:pPr>
                              <w:spacing w:line="200" w:lineRule="exact"/>
                              <w:jc w:val="center"/>
                              <w:rPr>
                                <w:rFonts w:ascii="新細明體" w:hAnsi="新細明體"/>
                                <w:sz w:val="20"/>
                              </w:rPr>
                            </w:pPr>
                            <w:r>
                              <w:rPr>
                                <w:rFonts w:ascii="新細明體" w:hAnsi="新細明體"/>
                                <w:sz w:val="20"/>
                              </w:rPr>
                              <w:t>16.33</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13772AC" w14:textId="77777777" w:rsidR="00052596" w:rsidRDefault="00000000">
                            <w:pPr>
                              <w:spacing w:line="200" w:lineRule="exact"/>
                              <w:jc w:val="center"/>
                              <w:rPr>
                                <w:rFonts w:ascii="新細明體" w:hAnsi="新細明體"/>
                                <w:sz w:val="20"/>
                              </w:rPr>
                            </w:pPr>
                            <w:r>
                              <w:rPr>
                                <w:rFonts w:ascii="新細明體" w:hAnsi="新細明體"/>
                                <w:sz w:val="20"/>
                              </w:rPr>
                              <w:t>16.85</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736F56C" w14:textId="77777777" w:rsidR="00052596" w:rsidRDefault="00000000">
                            <w:pPr>
                              <w:spacing w:line="200" w:lineRule="exact"/>
                              <w:jc w:val="center"/>
                              <w:rPr>
                                <w:rFonts w:ascii="新細明體" w:hAnsi="新細明體"/>
                                <w:sz w:val="20"/>
                              </w:rPr>
                            </w:pPr>
                            <w:r>
                              <w:rPr>
                                <w:rFonts w:ascii="新細明體" w:hAnsi="新細明體"/>
                                <w:sz w:val="20"/>
                              </w:rPr>
                              <w:t>19.26</w:t>
                            </w:r>
                          </w:p>
                        </w:tc>
                        <w:tc>
                          <w:tcPr>
                            <w:tcW w:w="647" w:type="dxa"/>
                            <w:gridSpan w:val="2"/>
                            <w:tcBorders>
                              <w:top w:val="single" w:sz="6" w:space="0" w:color="000000"/>
                              <w:left w:val="single" w:sz="6" w:space="0" w:color="000000"/>
                            </w:tcBorders>
                            <w:shd w:val="clear" w:color="auto" w:fill="FFF0E1"/>
                            <w:tcMar>
                              <w:top w:w="0" w:type="dxa"/>
                              <w:left w:w="28" w:type="dxa"/>
                              <w:bottom w:w="0" w:type="dxa"/>
                              <w:right w:w="28" w:type="dxa"/>
                            </w:tcMar>
                            <w:vAlign w:val="center"/>
                          </w:tcPr>
                          <w:p w14:paraId="3271E7E8" w14:textId="77777777" w:rsidR="00052596" w:rsidRDefault="00000000">
                            <w:pPr>
                              <w:spacing w:line="200" w:lineRule="exact"/>
                              <w:jc w:val="center"/>
                              <w:rPr>
                                <w:rFonts w:ascii="新細明體" w:hAnsi="新細明體"/>
                                <w:sz w:val="20"/>
                              </w:rPr>
                            </w:pPr>
                            <w:r>
                              <w:rPr>
                                <w:rFonts w:ascii="新細明體" w:hAnsi="新細明體"/>
                                <w:sz w:val="20"/>
                              </w:rPr>
                              <w:t>20.33</w:t>
                            </w:r>
                          </w:p>
                        </w:tc>
                      </w:tr>
                      <w:tr w:rsidR="00052596" w14:paraId="1737A8A1" w14:textId="77777777">
                        <w:tblPrEx>
                          <w:tblCellMar>
                            <w:top w:w="0" w:type="dxa"/>
                            <w:bottom w:w="0" w:type="dxa"/>
                          </w:tblCellMar>
                        </w:tblPrEx>
                        <w:trPr>
                          <w:trHeight w:val="309"/>
                          <w:jc w:val="center"/>
                        </w:trPr>
                        <w:tc>
                          <w:tcPr>
                            <w:tcW w:w="1370" w:type="dxa"/>
                            <w:tcBorders>
                              <w:right w:val="single" w:sz="6" w:space="0" w:color="000000"/>
                            </w:tcBorders>
                            <w:shd w:val="clear" w:color="auto" w:fill="FFF0E1"/>
                            <w:noWrap/>
                            <w:tcMar>
                              <w:top w:w="0" w:type="dxa"/>
                              <w:left w:w="28" w:type="dxa"/>
                              <w:bottom w:w="0" w:type="dxa"/>
                              <w:right w:w="28" w:type="dxa"/>
                            </w:tcMar>
                            <w:vAlign w:val="center"/>
                          </w:tcPr>
                          <w:p w14:paraId="188EDEA7" w14:textId="77777777" w:rsidR="00052596" w:rsidRDefault="00000000">
                            <w:pPr>
                              <w:spacing w:line="200" w:lineRule="exact"/>
                              <w:rPr>
                                <w:rFonts w:ascii="新細明體" w:hAnsi="新細明體"/>
                                <w:sz w:val="20"/>
                              </w:rPr>
                            </w:pPr>
                            <w:r>
                              <w:rPr>
                                <w:rFonts w:ascii="新細明體" w:hAnsi="新細明體"/>
                                <w:sz w:val="20"/>
                              </w:rPr>
                              <w:t xml:space="preserve">   ICT製造業</w:t>
                            </w:r>
                          </w:p>
                        </w:tc>
                        <w:tc>
                          <w:tcPr>
                            <w:tcW w:w="64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C006983" w14:textId="77777777" w:rsidR="00052596" w:rsidRDefault="00000000">
                            <w:pPr>
                              <w:spacing w:line="200" w:lineRule="exact"/>
                              <w:jc w:val="center"/>
                              <w:rPr>
                                <w:rFonts w:ascii="新細明體" w:hAnsi="新細明體"/>
                                <w:sz w:val="20"/>
                              </w:rPr>
                            </w:pPr>
                            <w:r>
                              <w:rPr>
                                <w:rFonts w:ascii="新細明體" w:hAnsi="新細明體"/>
                                <w:sz w:val="20"/>
                              </w:rPr>
                              <w:t>6.20</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6DC8CF2" w14:textId="77777777" w:rsidR="00052596" w:rsidRDefault="00000000">
                            <w:pPr>
                              <w:spacing w:line="200" w:lineRule="exact"/>
                              <w:ind w:left="72"/>
                              <w:jc w:val="center"/>
                              <w:rPr>
                                <w:rFonts w:ascii="新細明體" w:hAnsi="新細明體"/>
                                <w:sz w:val="20"/>
                              </w:rPr>
                            </w:pPr>
                            <w:r>
                              <w:rPr>
                                <w:rFonts w:ascii="新細明體" w:hAnsi="新細明體"/>
                                <w:sz w:val="20"/>
                              </w:rPr>
                              <w:t>7.50</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6180F43" w14:textId="77777777" w:rsidR="00052596" w:rsidRDefault="00000000">
                            <w:pPr>
                              <w:spacing w:line="200" w:lineRule="exact"/>
                              <w:ind w:left="72"/>
                              <w:jc w:val="center"/>
                              <w:rPr>
                                <w:rFonts w:ascii="新細明體" w:hAnsi="新細明體"/>
                                <w:sz w:val="20"/>
                              </w:rPr>
                            </w:pPr>
                            <w:r>
                              <w:rPr>
                                <w:rFonts w:ascii="新細明體" w:hAnsi="新細明體"/>
                                <w:sz w:val="20"/>
                              </w:rPr>
                              <w:t>8.29</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40E2DD1" w14:textId="77777777" w:rsidR="00052596" w:rsidRDefault="00000000">
                            <w:pPr>
                              <w:spacing w:line="200" w:lineRule="exact"/>
                              <w:ind w:left="72"/>
                              <w:jc w:val="center"/>
                              <w:rPr>
                                <w:rFonts w:ascii="新細明體" w:hAnsi="新細明體"/>
                                <w:sz w:val="20"/>
                              </w:rPr>
                            </w:pPr>
                            <w:r>
                              <w:rPr>
                                <w:rFonts w:ascii="新細明體" w:hAnsi="新細明體"/>
                                <w:sz w:val="20"/>
                              </w:rPr>
                              <w:t>9.62</w:t>
                            </w:r>
                          </w:p>
                        </w:tc>
                        <w:tc>
                          <w:tcPr>
                            <w:tcW w:w="647" w:type="dxa"/>
                            <w:gridSpan w:val="3"/>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F0098C6" w14:textId="77777777" w:rsidR="00052596" w:rsidRDefault="00000000">
                            <w:pPr>
                              <w:spacing w:line="200" w:lineRule="exact"/>
                              <w:jc w:val="center"/>
                              <w:rPr>
                                <w:rFonts w:ascii="新細明體" w:hAnsi="新細明體"/>
                                <w:sz w:val="20"/>
                              </w:rPr>
                            </w:pPr>
                            <w:r>
                              <w:rPr>
                                <w:rFonts w:ascii="新細明體" w:hAnsi="新細明體"/>
                                <w:sz w:val="20"/>
                              </w:rPr>
                              <w:t>11.23</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4F1A259" w14:textId="77777777" w:rsidR="00052596" w:rsidRDefault="00000000">
                            <w:pPr>
                              <w:spacing w:line="200" w:lineRule="exact"/>
                              <w:jc w:val="center"/>
                              <w:rPr>
                                <w:rFonts w:ascii="新細明體" w:hAnsi="新細明體"/>
                                <w:sz w:val="20"/>
                              </w:rPr>
                            </w:pPr>
                            <w:r>
                              <w:rPr>
                                <w:rFonts w:ascii="新細明體" w:hAnsi="新細明體"/>
                                <w:sz w:val="20"/>
                              </w:rPr>
                              <w:t>12.63</w:t>
                            </w:r>
                          </w:p>
                        </w:tc>
                        <w:tc>
                          <w:tcPr>
                            <w:tcW w:w="64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4EDEF92" w14:textId="77777777" w:rsidR="00052596" w:rsidRDefault="00000000">
                            <w:pPr>
                              <w:spacing w:line="200" w:lineRule="exact"/>
                              <w:jc w:val="center"/>
                              <w:rPr>
                                <w:rFonts w:ascii="新細明體" w:hAnsi="新細明體"/>
                                <w:sz w:val="20"/>
                              </w:rPr>
                            </w:pPr>
                            <w:r>
                              <w:rPr>
                                <w:rFonts w:ascii="新細明體" w:hAnsi="新細明體"/>
                                <w:sz w:val="20"/>
                              </w:rPr>
                              <w:t>13.67</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70C9992" w14:textId="77777777" w:rsidR="00052596" w:rsidRDefault="00000000">
                            <w:pPr>
                              <w:spacing w:line="200" w:lineRule="exact"/>
                              <w:jc w:val="center"/>
                              <w:rPr>
                                <w:rFonts w:ascii="新細明體" w:hAnsi="新細明體"/>
                                <w:sz w:val="20"/>
                              </w:rPr>
                            </w:pPr>
                            <w:r>
                              <w:rPr>
                                <w:rFonts w:ascii="新細明體" w:hAnsi="新細明體"/>
                                <w:sz w:val="20"/>
                              </w:rPr>
                              <w:t>14.02</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96C2E3C" w14:textId="77777777" w:rsidR="00052596" w:rsidRDefault="00000000">
                            <w:pPr>
                              <w:spacing w:line="200" w:lineRule="exact"/>
                              <w:jc w:val="center"/>
                              <w:rPr>
                                <w:rFonts w:ascii="新細明體" w:hAnsi="新細明體"/>
                                <w:sz w:val="20"/>
                              </w:rPr>
                            </w:pPr>
                            <w:r>
                              <w:rPr>
                                <w:rFonts w:ascii="新細明體" w:hAnsi="新細明體"/>
                                <w:sz w:val="20"/>
                              </w:rPr>
                              <w:t>16.47</w:t>
                            </w:r>
                          </w:p>
                        </w:tc>
                        <w:tc>
                          <w:tcPr>
                            <w:tcW w:w="647" w:type="dxa"/>
                            <w:gridSpan w:val="2"/>
                            <w:tcBorders>
                              <w:left w:val="single" w:sz="6" w:space="0" w:color="000000"/>
                            </w:tcBorders>
                            <w:shd w:val="clear" w:color="auto" w:fill="FFF0E1"/>
                            <w:tcMar>
                              <w:top w:w="0" w:type="dxa"/>
                              <w:left w:w="28" w:type="dxa"/>
                              <w:bottom w:w="0" w:type="dxa"/>
                              <w:right w:w="28" w:type="dxa"/>
                            </w:tcMar>
                            <w:vAlign w:val="center"/>
                          </w:tcPr>
                          <w:p w14:paraId="2636967B" w14:textId="77777777" w:rsidR="00052596" w:rsidRDefault="00000000">
                            <w:pPr>
                              <w:spacing w:line="200" w:lineRule="exact"/>
                              <w:jc w:val="center"/>
                              <w:rPr>
                                <w:rFonts w:ascii="新細明體" w:hAnsi="新細明體"/>
                                <w:sz w:val="20"/>
                              </w:rPr>
                            </w:pPr>
                            <w:r>
                              <w:rPr>
                                <w:rFonts w:ascii="新細明體" w:hAnsi="新細明體"/>
                                <w:sz w:val="20"/>
                              </w:rPr>
                              <w:t>17.50</w:t>
                            </w:r>
                          </w:p>
                        </w:tc>
                      </w:tr>
                      <w:tr w:rsidR="00052596" w14:paraId="092FDBB4" w14:textId="77777777">
                        <w:tblPrEx>
                          <w:tblCellMar>
                            <w:top w:w="0" w:type="dxa"/>
                            <w:bottom w:w="0" w:type="dxa"/>
                          </w:tblCellMar>
                        </w:tblPrEx>
                        <w:trPr>
                          <w:trHeight w:val="309"/>
                          <w:jc w:val="center"/>
                        </w:trPr>
                        <w:tc>
                          <w:tcPr>
                            <w:tcW w:w="1370"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4D4CE7F4" w14:textId="77777777" w:rsidR="00052596" w:rsidRDefault="00000000">
                            <w:pPr>
                              <w:spacing w:line="200" w:lineRule="exact"/>
                              <w:rPr>
                                <w:rFonts w:ascii="新細明體" w:hAnsi="新細明體"/>
                                <w:sz w:val="20"/>
                              </w:rPr>
                            </w:pPr>
                            <w:r>
                              <w:rPr>
                                <w:rFonts w:ascii="新細明體" w:hAnsi="新細明體"/>
                                <w:sz w:val="20"/>
                              </w:rPr>
                              <w:t xml:space="preserve">   ICT服務業</w:t>
                            </w:r>
                          </w:p>
                        </w:tc>
                        <w:tc>
                          <w:tcPr>
                            <w:tcW w:w="64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A6B4FB6" w14:textId="77777777" w:rsidR="00052596" w:rsidRDefault="00000000">
                            <w:pPr>
                              <w:spacing w:line="200" w:lineRule="exact"/>
                              <w:jc w:val="center"/>
                              <w:rPr>
                                <w:rFonts w:ascii="新細明體" w:hAnsi="新細明體"/>
                                <w:sz w:val="20"/>
                              </w:rPr>
                            </w:pPr>
                            <w:r>
                              <w:rPr>
                                <w:rFonts w:ascii="新細明體" w:hAnsi="新細明體"/>
                                <w:sz w:val="20"/>
                              </w:rPr>
                              <w:t>2.72</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1DDCB51" w14:textId="77777777" w:rsidR="00052596" w:rsidRDefault="00000000">
                            <w:pPr>
                              <w:spacing w:line="200" w:lineRule="exact"/>
                              <w:ind w:left="72"/>
                              <w:jc w:val="center"/>
                              <w:rPr>
                                <w:rFonts w:ascii="新細明體" w:hAnsi="新細明體"/>
                                <w:sz w:val="20"/>
                              </w:rPr>
                            </w:pPr>
                            <w:r>
                              <w:rPr>
                                <w:rFonts w:ascii="新細明體" w:hAnsi="新細明體"/>
                                <w:sz w:val="20"/>
                              </w:rPr>
                              <w:t>2.73</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4CD9FDE" w14:textId="77777777" w:rsidR="00052596" w:rsidRDefault="00000000">
                            <w:pPr>
                              <w:spacing w:line="200" w:lineRule="exact"/>
                              <w:ind w:left="72"/>
                              <w:jc w:val="center"/>
                              <w:rPr>
                                <w:rFonts w:ascii="新細明體" w:hAnsi="新細明體"/>
                                <w:sz w:val="20"/>
                              </w:rPr>
                            </w:pPr>
                            <w:r>
                              <w:rPr>
                                <w:rFonts w:ascii="新細明體" w:hAnsi="新細明體"/>
                                <w:sz w:val="20"/>
                              </w:rPr>
                              <w:t>2.71</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6F7ADF63" w14:textId="77777777" w:rsidR="00052596" w:rsidRDefault="00000000">
                            <w:pPr>
                              <w:spacing w:line="200" w:lineRule="exact"/>
                              <w:ind w:left="72"/>
                              <w:jc w:val="center"/>
                              <w:rPr>
                                <w:rFonts w:ascii="新細明體" w:hAnsi="新細明體"/>
                                <w:sz w:val="20"/>
                              </w:rPr>
                            </w:pPr>
                            <w:r>
                              <w:rPr>
                                <w:rFonts w:ascii="新細明體" w:hAnsi="新細明體"/>
                                <w:sz w:val="20"/>
                              </w:rPr>
                              <w:t>2.66</w:t>
                            </w:r>
                          </w:p>
                        </w:tc>
                        <w:tc>
                          <w:tcPr>
                            <w:tcW w:w="647" w:type="dxa"/>
                            <w:gridSpan w:val="3"/>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7D8CDB4" w14:textId="77777777" w:rsidR="00052596" w:rsidRDefault="00000000">
                            <w:pPr>
                              <w:spacing w:line="200" w:lineRule="exact"/>
                              <w:ind w:left="72"/>
                              <w:jc w:val="center"/>
                              <w:rPr>
                                <w:rFonts w:ascii="新細明體" w:hAnsi="新細明體"/>
                                <w:sz w:val="20"/>
                              </w:rPr>
                            </w:pPr>
                            <w:r>
                              <w:rPr>
                                <w:rFonts w:ascii="新細明體" w:hAnsi="新細明體"/>
                                <w:sz w:val="20"/>
                              </w:rPr>
                              <w:t>2.61</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3584C3B" w14:textId="77777777" w:rsidR="00052596" w:rsidRDefault="00000000">
                            <w:pPr>
                              <w:spacing w:line="200" w:lineRule="exact"/>
                              <w:ind w:left="72"/>
                              <w:jc w:val="center"/>
                              <w:rPr>
                                <w:rFonts w:ascii="新細明體" w:hAnsi="新細明體"/>
                                <w:sz w:val="20"/>
                              </w:rPr>
                            </w:pPr>
                            <w:r>
                              <w:rPr>
                                <w:rFonts w:ascii="新細明體" w:hAnsi="新細明體"/>
                                <w:sz w:val="20"/>
                              </w:rPr>
                              <w:t>2.53</w:t>
                            </w:r>
                          </w:p>
                        </w:tc>
                        <w:tc>
                          <w:tcPr>
                            <w:tcW w:w="647"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D71451B" w14:textId="77777777" w:rsidR="00052596" w:rsidRDefault="00000000">
                            <w:pPr>
                              <w:spacing w:line="200" w:lineRule="exact"/>
                              <w:ind w:left="72"/>
                              <w:jc w:val="center"/>
                              <w:rPr>
                                <w:rFonts w:ascii="新細明體" w:hAnsi="新細明體"/>
                                <w:sz w:val="20"/>
                              </w:rPr>
                            </w:pPr>
                            <w:r>
                              <w:rPr>
                                <w:rFonts w:ascii="新細明體" w:hAnsi="新細明體"/>
                                <w:sz w:val="20"/>
                              </w:rPr>
                              <w:t>2.66</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D74F632" w14:textId="77777777" w:rsidR="00052596" w:rsidRDefault="00000000">
                            <w:pPr>
                              <w:spacing w:line="200" w:lineRule="exact"/>
                              <w:ind w:left="72"/>
                              <w:jc w:val="center"/>
                              <w:rPr>
                                <w:rFonts w:ascii="新細明體" w:hAnsi="新細明體"/>
                                <w:sz w:val="20"/>
                              </w:rPr>
                            </w:pPr>
                            <w:r>
                              <w:rPr>
                                <w:rFonts w:ascii="新細明體" w:hAnsi="新細明體"/>
                                <w:sz w:val="20"/>
                              </w:rPr>
                              <w:t>2.83</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6B15D0C0" w14:textId="77777777" w:rsidR="00052596" w:rsidRDefault="00000000">
                            <w:pPr>
                              <w:spacing w:line="200" w:lineRule="exact"/>
                              <w:ind w:left="72"/>
                              <w:jc w:val="center"/>
                              <w:rPr>
                                <w:rFonts w:ascii="新細明體" w:hAnsi="新細明體"/>
                                <w:sz w:val="20"/>
                              </w:rPr>
                            </w:pPr>
                            <w:r>
                              <w:rPr>
                                <w:rFonts w:ascii="新細明體" w:hAnsi="新細明體"/>
                                <w:sz w:val="20"/>
                              </w:rPr>
                              <w:t>2.79</w:t>
                            </w:r>
                          </w:p>
                        </w:tc>
                        <w:tc>
                          <w:tcPr>
                            <w:tcW w:w="647" w:type="dxa"/>
                            <w:gridSpan w:val="2"/>
                            <w:tcBorders>
                              <w:left w:val="single" w:sz="6" w:space="0" w:color="000000"/>
                              <w:bottom w:val="single" w:sz="6" w:space="0" w:color="000000"/>
                            </w:tcBorders>
                            <w:shd w:val="clear" w:color="auto" w:fill="FFF0E1"/>
                            <w:tcMar>
                              <w:top w:w="0" w:type="dxa"/>
                              <w:left w:w="28" w:type="dxa"/>
                              <w:bottom w:w="0" w:type="dxa"/>
                              <w:right w:w="28" w:type="dxa"/>
                            </w:tcMar>
                            <w:vAlign w:val="center"/>
                          </w:tcPr>
                          <w:p w14:paraId="3EF647DE" w14:textId="77777777" w:rsidR="00052596" w:rsidRDefault="00000000">
                            <w:pPr>
                              <w:spacing w:line="200" w:lineRule="exact"/>
                              <w:ind w:left="72"/>
                              <w:jc w:val="center"/>
                              <w:rPr>
                                <w:rFonts w:ascii="新細明體" w:hAnsi="新細明體"/>
                                <w:sz w:val="20"/>
                              </w:rPr>
                            </w:pPr>
                            <w:r>
                              <w:rPr>
                                <w:rFonts w:ascii="新細明體" w:hAnsi="新細明體"/>
                                <w:sz w:val="20"/>
                              </w:rPr>
                              <w:t>2.83</w:t>
                            </w:r>
                          </w:p>
                        </w:tc>
                      </w:tr>
                      <w:tr w:rsidR="00052596" w14:paraId="5DCE7711" w14:textId="77777777">
                        <w:tblPrEx>
                          <w:tblCellMar>
                            <w:top w:w="0" w:type="dxa"/>
                            <w:bottom w:w="0" w:type="dxa"/>
                          </w:tblCellMar>
                        </w:tblPrEx>
                        <w:trPr>
                          <w:trHeight w:val="309"/>
                          <w:jc w:val="center"/>
                        </w:trPr>
                        <w:tc>
                          <w:tcPr>
                            <w:tcW w:w="2708" w:type="dxa"/>
                            <w:gridSpan w:val="5"/>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0C0C49E2" w14:textId="77777777" w:rsidR="00052596" w:rsidRDefault="00000000">
                            <w:pPr>
                              <w:spacing w:line="200" w:lineRule="exact"/>
                              <w:rPr>
                                <w:rFonts w:ascii="新細明體" w:hAnsi="新細明體"/>
                                <w:sz w:val="20"/>
                              </w:rPr>
                            </w:pPr>
                            <w:r>
                              <w:rPr>
                                <w:rFonts w:ascii="新細明體" w:hAnsi="新細明體"/>
                                <w:sz w:val="20"/>
                              </w:rPr>
                              <w:t>對經濟成長之貢獻率(%)</w:t>
                            </w: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E7B0D23"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61B3CDBB" w14:textId="77777777" w:rsidR="00052596" w:rsidRDefault="00052596">
                            <w:pPr>
                              <w:spacing w:line="200" w:lineRule="exact"/>
                              <w:rPr>
                                <w:rFonts w:ascii="新細明體" w:hAnsi="新細明體"/>
                                <w:sz w:val="20"/>
                              </w:rPr>
                            </w:pPr>
                          </w:p>
                        </w:tc>
                        <w:tc>
                          <w:tcPr>
                            <w:tcW w:w="627" w:type="dxa"/>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49E86CDA"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4A4D2F0" w14:textId="77777777" w:rsidR="00052596" w:rsidRDefault="00052596">
                            <w:pPr>
                              <w:spacing w:line="200" w:lineRule="exact"/>
                              <w:rPr>
                                <w:rFonts w:ascii="新細明體" w:hAnsi="新細明體"/>
                                <w:sz w:val="20"/>
                              </w:rPr>
                            </w:pPr>
                          </w:p>
                        </w:tc>
                        <w:tc>
                          <w:tcPr>
                            <w:tcW w:w="707" w:type="dxa"/>
                            <w:gridSpan w:val="3"/>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723D4908" w14:textId="77777777" w:rsidR="00052596" w:rsidRDefault="00052596">
                            <w:pPr>
                              <w:spacing w:line="200" w:lineRule="exact"/>
                              <w:rPr>
                                <w:rFonts w:ascii="新細明體" w:hAnsi="新細明體"/>
                                <w:sz w:val="20"/>
                              </w:rPr>
                            </w:pPr>
                          </w:p>
                        </w:tc>
                        <w:tc>
                          <w:tcPr>
                            <w:tcW w:w="686"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34279DE2" w14:textId="77777777" w:rsidR="00052596" w:rsidRDefault="00052596">
                            <w:pPr>
                              <w:spacing w:line="200" w:lineRule="exact"/>
                              <w:rPr>
                                <w:rFonts w:ascii="新細明體" w:hAnsi="新細明體"/>
                                <w:sz w:val="20"/>
                              </w:rPr>
                            </w:pPr>
                          </w:p>
                        </w:tc>
                        <w:tc>
                          <w:tcPr>
                            <w:tcW w:w="627" w:type="dxa"/>
                            <w:gridSpan w:val="2"/>
                            <w:tcBorders>
                              <w:top w:val="single" w:sz="6" w:space="0" w:color="000000"/>
                              <w:bottom w:val="single" w:sz="6" w:space="0" w:color="000000"/>
                            </w:tcBorders>
                            <w:shd w:val="clear" w:color="auto" w:fill="FFF0E1"/>
                            <w:noWrap/>
                            <w:tcMar>
                              <w:top w:w="0" w:type="dxa"/>
                              <w:left w:w="28" w:type="dxa"/>
                              <w:bottom w:w="0" w:type="dxa"/>
                              <w:right w:w="28" w:type="dxa"/>
                            </w:tcMar>
                            <w:vAlign w:val="center"/>
                          </w:tcPr>
                          <w:p w14:paraId="6EE0C92E" w14:textId="77777777" w:rsidR="00052596" w:rsidRDefault="00052596">
                            <w:pPr>
                              <w:spacing w:line="200" w:lineRule="exact"/>
                              <w:jc w:val="center"/>
                              <w:rPr>
                                <w:rFonts w:ascii="新細明體" w:hAnsi="新細明體"/>
                                <w:sz w:val="20"/>
                              </w:rPr>
                            </w:pPr>
                          </w:p>
                        </w:tc>
                        <w:tc>
                          <w:tcPr>
                            <w:tcW w:w="600" w:type="dxa"/>
                            <w:tcBorders>
                              <w:top w:val="single" w:sz="6" w:space="0" w:color="000000"/>
                              <w:bottom w:val="single" w:sz="6" w:space="0" w:color="000000"/>
                            </w:tcBorders>
                            <w:shd w:val="clear" w:color="auto" w:fill="FFF0E1"/>
                            <w:tcMar>
                              <w:top w:w="0" w:type="dxa"/>
                              <w:left w:w="28" w:type="dxa"/>
                              <w:bottom w:w="0" w:type="dxa"/>
                              <w:right w:w="28" w:type="dxa"/>
                            </w:tcMar>
                            <w:vAlign w:val="center"/>
                          </w:tcPr>
                          <w:p w14:paraId="4092E0FF" w14:textId="77777777" w:rsidR="00052596" w:rsidRDefault="00052596">
                            <w:pPr>
                              <w:spacing w:line="200" w:lineRule="exact"/>
                              <w:jc w:val="center"/>
                              <w:rPr>
                                <w:rFonts w:ascii="新細明體" w:hAnsi="新細明體"/>
                                <w:sz w:val="20"/>
                              </w:rPr>
                            </w:pPr>
                          </w:p>
                        </w:tc>
                      </w:tr>
                      <w:tr w:rsidR="00052596" w14:paraId="5EE0CCAB" w14:textId="77777777">
                        <w:tblPrEx>
                          <w:tblCellMar>
                            <w:top w:w="0" w:type="dxa"/>
                            <w:bottom w:w="0" w:type="dxa"/>
                          </w:tblCellMar>
                        </w:tblPrEx>
                        <w:trPr>
                          <w:trHeight w:val="309"/>
                          <w:jc w:val="center"/>
                        </w:trPr>
                        <w:tc>
                          <w:tcPr>
                            <w:tcW w:w="1370"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54BABE9C" w14:textId="77777777" w:rsidR="00052596" w:rsidRDefault="00000000">
                            <w:pPr>
                              <w:spacing w:line="200" w:lineRule="exact"/>
                              <w:rPr>
                                <w:rFonts w:ascii="新細明體" w:hAnsi="新細明體"/>
                                <w:sz w:val="20"/>
                              </w:rPr>
                            </w:pPr>
                            <w:r>
                              <w:rPr>
                                <w:rFonts w:ascii="新細明體" w:hAnsi="新細明體"/>
                                <w:sz w:val="20"/>
                              </w:rPr>
                              <w:t>ICT產業</w:t>
                            </w:r>
                          </w:p>
                        </w:tc>
                        <w:tc>
                          <w:tcPr>
                            <w:tcW w:w="64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B2F550B" w14:textId="77777777" w:rsidR="00052596" w:rsidRDefault="00000000">
                            <w:pPr>
                              <w:spacing w:line="200" w:lineRule="exact"/>
                              <w:jc w:val="center"/>
                              <w:rPr>
                                <w:rFonts w:ascii="新細明體" w:hAnsi="新細明體"/>
                                <w:sz w:val="20"/>
                              </w:rPr>
                            </w:pPr>
                            <w:r>
                              <w:rPr>
                                <w:rFonts w:ascii="新細明體" w:hAnsi="新細明體"/>
                                <w:sz w:val="20"/>
                              </w:rPr>
                              <w:t>26.43</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1DE4FD5" w14:textId="77777777" w:rsidR="00052596" w:rsidRDefault="00000000">
                            <w:pPr>
                              <w:spacing w:line="200" w:lineRule="exact"/>
                              <w:jc w:val="center"/>
                              <w:rPr>
                                <w:rFonts w:ascii="新細明體" w:hAnsi="新細明體"/>
                                <w:sz w:val="20"/>
                              </w:rPr>
                            </w:pPr>
                            <w:r>
                              <w:rPr>
                                <w:rFonts w:ascii="新細明體" w:hAnsi="新細明體"/>
                                <w:sz w:val="20"/>
                              </w:rPr>
                              <w:t>46.59</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48A940C5" w14:textId="77777777" w:rsidR="00052596" w:rsidRDefault="00000000">
                            <w:pPr>
                              <w:spacing w:line="200" w:lineRule="exact"/>
                              <w:jc w:val="center"/>
                              <w:rPr>
                                <w:rFonts w:ascii="新細明體" w:hAnsi="新細明體"/>
                                <w:sz w:val="20"/>
                              </w:rPr>
                            </w:pPr>
                            <w:r>
                              <w:rPr>
                                <w:rFonts w:ascii="新細明體" w:hAnsi="新細明體"/>
                                <w:sz w:val="20"/>
                              </w:rPr>
                              <w:t>23.59</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2026ADB9" w14:textId="77777777" w:rsidR="00052596" w:rsidRDefault="00000000">
                            <w:pPr>
                              <w:spacing w:line="200" w:lineRule="exact"/>
                              <w:jc w:val="center"/>
                              <w:rPr>
                                <w:rFonts w:ascii="新細明體" w:hAnsi="新細明體"/>
                                <w:sz w:val="20"/>
                              </w:rPr>
                            </w:pPr>
                            <w:r>
                              <w:rPr>
                                <w:rFonts w:ascii="新細明體" w:hAnsi="新細明體"/>
                                <w:sz w:val="20"/>
                              </w:rPr>
                              <w:t>39.36</w:t>
                            </w:r>
                          </w:p>
                        </w:tc>
                        <w:tc>
                          <w:tcPr>
                            <w:tcW w:w="647" w:type="dxa"/>
                            <w:gridSpan w:val="3"/>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6E348C2" w14:textId="77777777" w:rsidR="00052596" w:rsidRDefault="00000000">
                            <w:pPr>
                              <w:spacing w:line="200" w:lineRule="exact"/>
                              <w:jc w:val="center"/>
                              <w:rPr>
                                <w:rFonts w:ascii="新細明體" w:hAnsi="新細明體"/>
                                <w:sz w:val="20"/>
                              </w:rPr>
                            </w:pPr>
                            <w:r>
                              <w:rPr>
                                <w:rFonts w:ascii="新細明體" w:hAnsi="新細明體"/>
                                <w:sz w:val="20"/>
                              </w:rPr>
                              <w:t>42.46</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86AF6F1" w14:textId="77777777" w:rsidR="00052596" w:rsidRDefault="00000000">
                            <w:pPr>
                              <w:spacing w:line="200" w:lineRule="exact"/>
                              <w:jc w:val="center"/>
                              <w:rPr>
                                <w:rFonts w:ascii="新細明體" w:hAnsi="新細明體"/>
                                <w:sz w:val="20"/>
                              </w:rPr>
                            </w:pPr>
                            <w:r>
                              <w:rPr>
                                <w:rFonts w:ascii="新細明體" w:hAnsi="新細明體"/>
                                <w:sz w:val="20"/>
                              </w:rPr>
                              <w:t>36.62</w:t>
                            </w:r>
                          </w:p>
                        </w:tc>
                        <w:tc>
                          <w:tcPr>
                            <w:tcW w:w="647"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1A906BCC" w14:textId="77777777" w:rsidR="00052596" w:rsidRDefault="00000000">
                            <w:pPr>
                              <w:spacing w:line="200" w:lineRule="exact"/>
                              <w:jc w:val="center"/>
                              <w:rPr>
                                <w:rFonts w:ascii="新細明體" w:hAnsi="新細明體"/>
                                <w:sz w:val="20"/>
                              </w:rPr>
                            </w:pPr>
                            <w:r>
                              <w:rPr>
                                <w:rFonts w:ascii="新細明體" w:hAnsi="新細明體"/>
                                <w:sz w:val="20"/>
                              </w:rPr>
                              <w:t>178.08</w:t>
                            </w:r>
                          </w:p>
                        </w:tc>
                        <w:tc>
                          <w:tcPr>
                            <w:tcW w:w="646"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1842855" w14:textId="77777777" w:rsidR="00052596" w:rsidRDefault="00000000">
                            <w:pPr>
                              <w:spacing w:line="200" w:lineRule="exact"/>
                              <w:jc w:val="center"/>
                              <w:rPr>
                                <w:rFonts w:ascii="新細明體" w:hAnsi="新細明體"/>
                                <w:sz w:val="20"/>
                              </w:rPr>
                            </w:pPr>
                            <w:r>
                              <w:rPr>
                                <w:rFonts w:ascii="新細明體" w:hAnsi="新細明體"/>
                                <w:sz w:val="20"/>
                              </w:rPr>
                              <w:t>－</w:t>
                            </w:r>
                          </w:p>
                        </w:tc>
                        <w:tc>
                          <w:tcPr>
                            <w:tcW w:w="647" w:type="dxa"/>
                            <w:gridSpan w:val="2"/>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60C19B3" w14:textId="77777777" w:rsidR="00052596" w:rsidRDefault="00000000">
                            <w:pPr>
                              <w:spacing w:line="200" w:lineRule="exact"/>
                              <w:jc w:val="center"/>
                              <w:rPr>
                                <w:rFonts w:ascii="新細明體" w:hAnsi="新細明體"/>
                                <w:sz w:val="20"/>
                              </w:rPr>
                            </w:pPr>
                            <w:r>
                              <w:rPr>
                                <w:rFonts w:ascii="新細明體" w:hAnsi="新細明體"/>
                                <w:sz w:val="20"/>
                              </w:rPr>
                              <w:t>42.01</w:t>
                            </w:r>
                          </w:p>
                        </w:tc>
                        <w:tc>
                          <w:tcPr>
                            <w:tcW w:w="647" w:type="dxa"/>
                            <w:gridSpan w:val="2"/>
                            <w:tcBorders>
                              <w:top w:val="single" w:sz="6" w:space="0" w:color="000000"/>
                              <w:left w:val="single" w:sz="6" w:space="0" w:color="000000"/>
                            </w:tcBorders>
                            <w:shd w:val="clear" w:color="auto" w:fill="FFF0E1"/>
                            <w:tcMar>
                              <w:top w:w="0" w:type="dxa"/>
                              <w:left w:w="28" w:type="dxa"/>
                              <w:bottom w:w="0" w:type="dxa"/>
                              <w:right w:w="28" w:type="dxa"/>
                            </w:tcMar>
                            <w:vAlign w:val="center"/>
                          </w:tcPr>
                          <w:p w14:paraId="0942B32F" w14:textId="77777777" w:rsidR="00052596" w:rsidRDefault="00000000">
                            <w:pPr>
                              <w:spacing w:line="200" w:lineRule="exact"/>
                              <w:jc w:val="center"/>
                              <w:rPr>
                                <w:rFonts w:ascii="新細明體" w:hAnsi="新細明體"/>
                                <w:sz w:val="20"/>
                              </w:rPr>
                            </w:pPr>
                            <w:r>
                              <w:rPr>
                                <w:rFonts w:ascii="新細明體" w:hAnsi="新細明體"/>
                                <w:sz w:val="20"/>
                              </w:rPr>
                              <w:t>46.19</w:t>
                            </w:r>
                          </w:p>
                        </w:tc>
                      </w:tr>
                      <w:tr w:rsidR="00052596" w14:paraId="7C0038BA" w14:textId="77777777">
                        <w:tblPrEx>
                          <w:tblCellMar>
                            <w:top w:w="0" w:type="dxa"/>
                            <w:bottom w:w="0" w:type="dxa"/>
                          </w:tblCellMar>
                        </w:tblPrEx>
                        <w:trPr>
                          <w:trHeight w:val="309"/>
                          <w:jc w:val="center"/>
                        </w:trPr>
                        <w:tc>
                          <w:tcPr>
                            <w:tcW w:w="1370" w:type="dxa"/>
                            <w:tcBorders>
                              <w:right w:val="single" w:sz="6" w:space="0" w:color="000000"/>
                            </w:tcBorders>
                            <w:shd w:val="clear" w:color="auto" w:fill="FFF0E1"/>
                            <w:noWrap/>
                            <w:tcMar>
                              <w:top w:w="0" w:type="dxa"/>
                              <w:left w:w="28" w:type="dxa"/>
                              <w:bottom w:w="0" w:type="dxa"/>
                              <w:right w:w="28" w:type="dxa"/>
                            </w:tcMar>
                            <w:vAlign w:val="center"/>
                          </w:tcPr>
                          <w:p w14:paraId="7118979B" w14:textId="77777777" w:rsidR="00052596" w:rsidRDefault="00000000">
                            <w:pPr>
                              <w:spacing w:line="200" w:lineRule="exact"/>
                              <w:rPr>
                                <w:rFonts w:ascii="新細明體" w:hAnsi="新細明體"/>
                                <w:sz w:val="20"/>
                              </w:rPr>
                            </w:pPr>
                            <w:r>
                              <w:rPr>
                                <w:rFonts w:ascii="新細明體" w:hAnsi="新細明體"/>
                                <w:sz w:val="20"/>
                              </w:rPr>
                              <w:t xml:space="preserve">   ICT製造業</w:t>
                            </w:r>
                          </w:p>
                        </w:tc>
                        <w:tc>
                          <w:tcPr>
                            <w:tcW w:w="64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77D0D31" w14:textId="77777777" w:rsidR="00052596" w:rsidRDefault="00000000">
                            <w:pPr>
                              <w:spacing w:line="200" w:lineRule="exact"/>
                              <w:jc w:val="center"/>
                              <w:rPr>
                                <w:rFonts w:ascii="新細明體" w:hAnsi="新細明體"/>
                                <w:sz w:val="20"/>
                              </w:rPr>
                            </w:pPr>
                            <w:r>
                              <w:rPr>
                                <w:rFonts w:ascii="新細明體" w:hAnsi="新細明體"/>
                                <w:sz w:val="20"/>
                              </w:rPr>
                              <w:t>22.62</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370029D" w14:textId="77777777" w:rsidR="00052596" w:rsidRDefault="00000000">
                            <w:pPr>
                              <w:spacing w:line="200" w:lineRule="exact"/>
                              <w:jc w:val="center"/>
                              <w:rPr>
                                <w:rFonts w:ascii="新細明體" w:hAnsi="新細明體"/>
                                <w:sz w:val="20"/>
                              </w:rPr>
                            </w:pPr>
                            <w:r>
                              <w:rPr>
                                <w:rFonts w:ascii="新細明體" w:hAnsi="新細明體"/>
                                <w:sz w:val="20"/>
                              </w:rPr>
                              <w:t>43.60</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B213DDE" w14:textId="77777777" w:rsidR="00052596" w:rsidRDefault="00000000">
                            <w:pPr>
                              <w:spacing w:line="200" w:lineRule="exact"/>
                              <w:jc w:val="center"/>
                              <w:rPr>
                                <w:rFonts w:ascii="新細明體" w:hAnsi="新細明體"/>
                                <w:sz w:val="20"/>
                              </w:rPr>
                            </w:pPr>
                            <w:r>
                              <w:rPr>
                                <w:rFonts w:ascii="新細明體" w:hAnsi="新細明體"/>
                                <w:sz w:val="20"/>
                              </w:rPr>
                              <w:t>21.00</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54F38CD" w14:textId="77777777" w:rsidR="00052596" w:rsidRDefault="00000000">
                            <w:pPr>
                              <w:spacing w:line="200" w:lineRule="exact"/>
                              <w:jc w:val="center"/>
                              <w:rPr>
                                <w:rFonts w:ascii="新細明體" w:hAnsi="新細明體"/>
                                <w:sz w:val="20"/>
                              </w:rPr>
                            </w:pPr>
                            <w:r>
                              <w:rPr>
                                <w:rFonts w:ascii="新細明體" w:hAnsi="新細明體"/>
                                <w:sz w:val="20"/>
                              </w:rPr>
                              <w:t>37.87</w:t>
                            </w:r>
                          </w:p>
                        </w:tc>
                        <w:tc>
                          <w:tcPr>
                            <w:tcW w:w="647" w:type="dxa"/>
                            <w:gridSpan w:val="3"/>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B42F16E" w14:textId="77777777" w:rsidR="00052596" w:rsidRDefault="00000000">
                            <w:pPr>
                              <w:spacing w:line="200" w:lineRule="exact"/>
                              <w:jc w:val="center"/>
                              <w:rPr>
                                <w:rFonts w:ascii="新細明體" w:hAnsi="新細明體"/>
                                <w:sz w:val="20"/>
                              </w:rPr>
                            </w:pPr>
                            <w:r>
                              <w:rPr>
                                <w:rFonts w:ascii="新細明體" w:hAnsi="新細明體"/>
                                <w:sz w:val="20"/>
                              </w:rPr>
                              <w:t>40.81</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234E474" w14:textId="77777777" w:rsidR="00052596" w:rsidRDefault="00000000">
                            <w:pPr>
                              <w:spacing w:line="200" w:lineRule="exact"/>
                              <w:jc w:val="center"/>
                              <w:rPr>
                                <w:rFonts w:ascii="新細明體" w:hAnsi="新細明體"/>
                                <w:sz w:val="20"/>
                              </w:rPr>
                            </w:pPr>
                            <w:r>
                              <w:rPr>
                                <w:rFonts w:ascii="新細明體" w:hAnsi="新細明體"/>
                                <w:sz w:val="20"/>
                              </w:rPr>
                              <w:t>35.62</w:t>
                            </w:r>
                          </w:p>
                        </w:tc>
                        <w:tc>
                          <w:tcPr>
                            <w:tcW w:w="64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22CE14D" w14:textId="77777777" w:rsidR="00052596" w:rsidRDefault="00000000">
                            <w:pPr>
                              <w:spacing w:line="200" w:lineRule="exact"/>
                              <w:jc w:val="center"/>
                              <w:rPr>
                                <w:rFonts w:ascii="新細明體" w:hAnsi="新細明體"/>
                                <w:sz w:val="20"/>
                              </w:rPr>
                            </w:pPr>
                            <w:r>
                              <w:rPr>
                                <w:rFonts w:ascii="新細明體" w:hAnsi="新細明體"/>
                                <w:sz w:val="20"/>
                              </w:rPr>
                              <w:t>157.53</w:t>
                            </w:r>
                          </w:p>
                        </w:tc>
                        <w:tc>
                          <w:tcPr>
                            <w:tcW w:w="646"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ECC126D" w14:textId="77777777" w:rsidR="00052596" w:rsidRDefault="00000000">
                            <w:pPr>
                              <w:spacing w:line="200" w:lineRule="exact"/>
                              <w:jc w:val="center"/>
                              <w:rPr>
                                <w:rFonts w:ascii="新細明體" w:hAnsi="新細明體"/>
                                <w:sz w:val="20"/>
                              </w:rPr>
                            </w:pPr>
                            <w:r>
                              <w:rPr>
                                <w:rFonts w:ascii="新細明體" w:hAnsi="新細明體"/>
                                <w:sz w:val="20"/>
                              </w:rPr>
                              <w:t>－</w:t>
                            </w:r>
                          </w:p>
                        </w:tc>
                        <w:tc>
                          <w:tcPr>
                            <w:tcW w:w="647" w:type="dxa"/>
                            <w:gridSpan w:val="2"/>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5EBB610" w14:textId="77777777" w:rsidR="00052596" w:rsidRDefault="00000000">
                            <w:pPr>
                              <w:spacing w:line="200" w:lineRule="exact"/>
                              <w:jc w:val="center"/>
                              <w:rPr>
                                <w:rFonts w:ascii="新細明體" w:hAnsi="新細明體"/>
                                <w:sz w:val="20"/>
                              </w:rPr>
                            </w:pPr>
                            <w:r>
                              <w:rPr>
                                <w:rFonts w:ascii="新細明體" w:hAnsi="新細明體"/>
                                <w:sz w:val="20"/>
                              </w:rPr>
                              <w:t>39.50</w:t>
                            </w:r>
                          </w:p>
                        </w:tc>
                        <w:tc>
                          <w:tcPr>
                            <w:tcW w:w="647" w:type="dxa"/>
                            <w:gridSpan w:val="2"/>
                            <w:tcBorders>
                              <w:left w:val="single" w:sz="6" w:space="0" w:color="000000"/>
                            </w:tcBorders>
                            <w:shd w:val="clear" w:color="auto" w:fill="FFF0E1"/>
                            <w:tcMar>
                              <w:top w:w="0" w:type="dxa"/>
                              <w:left w:w="28" w:type="dxa"/>
                              <w:bottom w:w="0" w:type="dxa"/>
                              <w:right w:w="28" w:type="dxa"/>
                            </w:tcMar>
                            <w:vAlign w:val="center"/>
                          </w:tcPr>
                          <w:p w14:paraId="4EB4752E" w14:textId="77777777" w:rsidR="00052596" w:rsidRDefault="00000000">
                            <w:pPr>
                              <w:spacing w:line="200" w:lineRule="exact"/>
                              <w:jc w:val="center"/>
                              <w:rPr>
                                <w:rFonts w:ascii="新細明體" w:hAnsi="新細明體"/>
                                <w:sz w:val="20"/>
                              </w:rPr>
                            </w:pPr>
                            <w:r>
                              <w:rPr>
                                <w:rFonts w:ascii="新細明體" w:hAnsi="新細明體"/>
                                <w:sz w:val="20"/>
                              </w:rPr>
                              <w:t>42.51</w:t>
                            </w:r>
                          </w:p>
                        </w:tc>
                      </w:tr>
                      <w:tr w:rsidR="00052596" w14:paraId="3BA97BDB" w14:textId="77777777">
                        <w:tblPrEx>
                          <w:tblCellMar>
                            <w:top w:w="0" w:type="dxa"/>
                            <w:bottom w:w="0" w:type="dxa"/>
                          </w:tblCellMar>
                        </w:tblPrEx>
                        <w:trPr>
                          <w:trHeight w:val="309"/>
                          <w:jc w:val="center"/>
                        </w:trPr>
                        <w:tc>
                          <w:tcPr>
                            <w:tcW w:w="1370"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2F8D41AA" w14:textId="77777777" w:rsidR="00052596" w:rsidRDefault="00000000">
                            <w:pPr>
                              <w:spacing w:line="200" w:lineRule="exact"/>
                              <w:rPr>
                                <w:rFonts w:ascii="新細明體" w:hAnsi="新細明體"/>
                                <w:sz w:val="20"/>
                              </w:rPr>
                            </w:pPr>
                            <w:r>
                              <w:rPr>
                                <w:rFonts w:ascii="新細明體" w:hAnsi="新細明體"/>
                                <w:sz w:val="20"/>
                              </w:rPr>
                              <w:t xml:space="preserve">   ICT服務業</w:t>
                            </w:r>
                          </w:p>
                        </w:tc>
                        <w:tc>
                          <w:tcPr>
                            <w:tcW w:w="64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91CE79B" w14:textId="77777777" w:rsidR="00052596" w:rsidRDefault="00000000">
                            <w:pPr>
                              <w:spacing w:line="200" w:lineRule="exact"/>
                              <w:ind w:left="72"/>
                              <w:jc w:val="center"/>
                              <w:rPr>
                                <w:rFonts w:ascii="新細明體" w:hAnsi="新細明體"/>
                                <w:sz w:val="20"/>
                              </w:rPr>
                            </w:pPr>
                            <w:r>
                              <w:rPr>
                                <w:rFonts w:ascii="新細明體" w:hAnsi="新細明體"/>
                                <w:sz w:val="20"/>
                              </w:rPr>
                              <w:t>3.80</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44EDFEC6" w14:textId="77777777" w:rsidR="00052596" w:rsidRDefault="00000000">
                            <w:pPr>
                              <w:spacing w:line="200" w:lineRule="exact"/>
                              <w:ind w:left="72"/>
                              <w:jc w:val="center"/>
                              <w:rPr>
                                <w:rFonts w:ascii="新細明體" w:hAnsi="新細明體"/>
                                <w:sz w:val="20"/>
                              </w:rPr>
                            </w:pPr>
                            <w:r>
                              <w:rPr>
                                <w:rFonts w:ascii="新細明體" w:hAnsi="新細明體"/>
                                <w:sz w:val="20"/>
                              </w:rPr>
                              <w:t>3.00</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7953C71F" w14:textId="77777777" w:rsidR="00052596" w:rsidRDefault="00000000">
                            <w:pPr>
                              <w:spacing w:line="200" w:lineRule="exact"/>
                              <w:ind w:left="72"/>
                              <w:jc w:val="center"/>
                              <w:rPr>
                                <w:rFonts w:ascii="新細明體" w:hAnsi="新細明體"/>
                                <w:sz w:val="20"/>
                              </w:rPr>
                            </w:pPr>
                            <w:r>
                              <w:rPr>
                                <w:rFonts w:ascii="新細明體" w:hAnsi="新細明體"/>
                                <w:sz w:val="20"/>
                              </w:rPr>
                              <w:t>2.42</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E0ADE42" w14:textId="77777777" w:rsidR="00052596" w:rsidRDefault="00000000">
                            <w:pPr>
                              <w:spacing w:line="200" w:lineRule="exact"/>
                              <w:ind w:left="72"/>
                              <w:jc w:val="center"/>
                              <w:rPr>
                                <w:rFonts w:ascii="新細明體" w:hAnsi="新細明體"/>
                                <w:sz w:val="20"/>
                              </w:rPr>
                            </w:pPr>
                            <w:r>
                              <w:rPr>
                                <w:rFonts w:ascii="新細明體" w:hAnsi="新細明體"/>
                                <w:sz w:val="20"/>
                              </w:rPr>
                              <w:t>1.49</w:t>
                            </w:r>
                          </w:p>
                        </w:tc>
                        <w:tc>
                          <w:tcPr>
                            <w:tcW w:w="647" w:type="dxa"/>
                            <w:gridSpan w:val="3"/>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1FD5655" w14:textId="77777777" w:rsidR="00052596" w:rsidRDefault="00000000">
                            <w:pPr>
                              <w:spacing w:line="200" w:lineRule="exact"/>
                              <w:ind w:left="72"/>
                              <w:jc w:val="center"/>
                              <w:rPr>
                                <w:rFonts w:ascii="新細明體" w:hAnsi="新細明體"/>
                                <w:sz w:val="20"/>
                              </w:rPr>
                            </w:pPr>
                            <w:r>
                              <w:rPr>
                                <w:rFonts w:ascii="新細明體" w:hAnsi="新細明體"/>
                                <w:sz w:val="20"/>
                              </w:rPr>
                              <w:t>1.65</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0EE5B1E1" w14:textId="77777777" w:rsidR="00052596" w:rsidRDefault="00000000">
                            <w:pPr>
                              <w:spacing w:line="200" w:lineRule="exact"/>
                              <w:ind w:left="72"/>
                              <w:jc w:val="center"/>
                              <w:rPr>
                                <w:rFonts w:ascii="新細明體" w:hAnsi="新細明體"/>
                                <w:sz w:val="20"/>
                              </w:rPr>
                            </w:pPr>
                            <w:r>
                              <w:rPr>
                                <w:rFonts w:ascii="新細明體" w:hAnsi="新細明體"/>
                                <w:sz w:val="20"/>
                              </w:rPr>
                              <w:t>1.17</w:t>
                            </w:r>
                          </w:p>
                        </w:tc>
                        <w:tc>
                          <w:tcPr>
                            <w:tcW w:w="647"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CE5C4A8" w14:textId="77777777" w:rsidR="00052596" w:rsidRDefault="00000000">
                            <w:pPr>
                              <w:spacing w:line="200" w:lineRule="exact"/>
                              <w:jc w:val="center"/>
                              <w:rPr>
                                <w:rFonts w:ascii="新細明體" w:hAnsi="新細明體"/>
                                <w:sz w:val="20"/>
                              </w:rPr>
                            </w:pPr>
                            <w:r>
                              <w:rPr>
                                <w:rFonts w:ascii="新細明體" w:hAnsi="新細明體"/>
                                <w:sz w:val="20"/>
                              </w:rPr>
                              <w:t>20.55</w:t>
                            </w:r>
                          </w:p>
                        </w:tc>
                        <w:tc>
                          <w:tcPr>
                            <w:tcW w:w="646"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5B6122F" w14:textId="77777777" w:rsidR="00052596" w:rsidRDefault="00000000">
                            <w:pPr>
                              <w:spacing w:line="200" w:lineRule="exact"/>
                              <w:jc w:val="center"/>
                              <w:rPr>
                                <w:rFonts w:ascii="新細明體" w:hAnsi="新細明體"/>
                                <w:sz w:val="20"/>
                              </w:rPr>
                            </w:pPr>
                            <w:r>
                              <w:rPr>
                                <w:rFonts w:ascii="新細明體" w:hAnsi="新細明體"/>
                                <w:sz w:val="20"/>
                              </w:rPr>
                              <w:t>－</w:t>
                            </w:r>
                          </w:p>
                        </w:tc>
                        <w:tc>
                          <w:tcPr>
                            <w:tcW w:w="647" w:type="dxa"/>
                            <w:gridSpan w:val="2"/>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4E474E9" w14:textId="77777777" w:rsidR="00052596" w:rsidRDefault="00000000">
                            <w:pPr>
                              <w:spacing w:line="200" w:lineRule="exact"/>
                              <w:ind w:left="72"/>
                              <w:jc w:val="center"/>
                              <w:rPr>
                                <w:rFonts w:ascii="新細明體" w:hAnsi="新細明體"/>
                                <w:sz w:val="20"/>
                              </w:rPr>
                            </w:pPr>
                            <w:r>
                              <w:rPr>
                                <w:rFonts w:ascii="新細明體" w:hAnsi="新細明體"/>
                                <w:sz w:val="20"/>
                              </w:rPr>
                              <w:t>2.51</w:t>
                            </w:r>
                          </w:p>
                        </w:tc>
                        <w:tc>
                          <w:tcPr>
                            <w:tcW w:w="647" w:type="dxa"/>
                            <w:gridSpan w:val="2"/>
                            <w:tcBorders>
                              <w:left w:val="single" w:sz="6" w:space="0" w:color="000000"/>
                              <w:bottom w:val="single" w:sz="6" w:space="0" w:color="000000"/>
                            </w:tcBorders>
                            <w:shd w:val="clear" w:color="auto" w:fill="FFF0E1"/>
                            <w:tcMar>
                              <w:top w:w="0" w:type="dxa"/>
                              <w:left w:w="28" w:type="dxa"/>
                              <w:bottom w:w="0" w:type="dxa"/>
                              <w:right w:w="28" w:type="dxa"/>
                            </w:tcMar>
                            <w:vAlign w:val="center"/>
                          </w:tcPr>
                          <w:p w14:paraId="6B65CE55" w14:textId="77777777" w:rsidR="00052596" w:rsidRDefault="00000000">
                            <w:pPr>
                              <w:spacing w:line="200" w:lineRule="exact"/>
                              <w:ind w:left="72"/>
                              <w:jc w:val="center"/>
                              <w:rPr>
                                <w:rFonts w:ascii="新細明體" w:hAnsi="新細明體"/>
                                <w:sz w:val="20"/>
                              </w:rPr>
                            </w:pPr>
                            <w:r>
                              <w:rPr>
                                <w:rFonts w:ascii="新細明體" w:hAnsi="新細明體"/>
                                <w:sz w:val="20"/>
                              </w:rPr>
                              <w:t>3.69</w:t>
                            </w:r>
                          </w:p>
                        </w:tc>
                      </w:tr>
                    </w:tbl>
                    <w:p w14:paraId="70014677" w14:textId="77777777" w:rsidR="00052596" w:rsidRDefault="00000000">
                      <w:pPr>
                        <w:pStyle w:val="t11"/>
                        <w:spacing w:line="280" w:lineRule="exact"/>
                        <w:ind w:left="1392" w:right="72" w:hanging="432"/>
                        <w:jc w:val="left"/>
                        <w:rPr>
                          <w:sz w:val="20"/>
                          <w:szCs w:val="20"/>
                        </w:rPr>
                      </w:pPr>
                      <w:r>
                        <w:rPr>
                          <w:sz w:val="20"/>
                          <w:szCs w:val="20"/>
                        </w:rPr>
                        <w:t>註：ICT製造業包括電子零組件製造業、電腦、電子產品及光學製品製造業；ICT服務業包括電信業、資訊業。</w:t>
                      </w:r>
                    </w:p>
                    <w:p w14:paraId="7BF92F20" w14:textId="77777777" w:rsidR="00052596" w:rsidRDefault="00000000">
                      <w:pPr>
                        <w:spacing w:line="280" w:lineRule="exact"/>
                        <w:ind w:left="360"/>
                      </w:pPr>
                      <w:r>
                        <w:rPr>
                          <w:rFonts w:ascii="新細明體" w:hAnsi="新細明體"/>
                          <w:sz w:val="20"/>
                        </w:rPr>
                        <w:t>資料來源：行政院主計總處。</w:t>
                      </w:r>
                    </w:p>
                  </w:txbxContent>
                </v:textbox>
              </v:shape>
            </w:pict>
          </mc:Fallback>
        </mc:AlternateContent>
      </w:r>
    </w:p>
    <w:p w14:paraId="5DDB0CC8"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378634A4"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329E4534"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7CD1BC9F"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153E0CB6"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087A59CB"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58D372A6"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42E22318"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786932EC"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76D37474"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29277590"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69D5CCAF"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4A1A3854"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6AEFD7CA"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0E364218"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529240CD"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4FCCC726"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7E00CC00"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7F9F1BF9"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160128F4" w14:textId="77777777" w:rsidR="00052596" w:rsidRDefault="00052596">
      <w:pPr>
        <w:tabs>
          <w:tab w:val="left" w:pos="960"/>
          <w:tab w:val="left" w:pos="1920"/>
          <w:tab w:val="left" w:pos="2880"/>
          <w:tab w:val="left" w:pos="3840"/>
          <w:tab w:val="left" w:pos="4800"/>
          <w:tab w:val="left" w:pos="5760"/>
        </w:tabs>
        <w:overflowPunct w:val="0"/>
        <w:autoSpaceDE w:val="0"/>
        <w:spacing w:after="240" w:line="300" w:lineRule="exact"/>
        <w:jc w:val="both"/>
        <w:textAlignment w:val="center"/>
        <w:rPr>
          <w:rFonts w:eastAsia="標楷體"/>
          <w:spacing w:val="4"/>
          <w:kern w:val="0"/>
          <w:sz w:val="26"/>
          <w:szCs w:val="26"/>
        </w:rPr>
      </w:pPr>
    </w:p>
    <w:p w14:paraId="458CD81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r>
        <w:rPr>
          <w:rFonts w:eastAsia="標楷體"/>
          <w:spacing w:val="4"/>
          <w:kern w:val="0"/>
          <w:sz w:val="28"/>
          <w:szCs w:val="26"/>
        </w:rPr>
        <w:t xml:space="preserve">  </w:t>
      </w:r>
    </w:p>
    <w:p w14:paraId="474B57E1"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p>
    <w:p w14:paraId="307724F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r>
        <w:rPr>
          <w:rFonts w:eastAsia="標楷體"/>
          <w:spacing w:val="4"/>
          <w:kern w:val="0"/>
          <w:sz w:val="28"/>
          <w:szCs w:val="26"/>
        </w:rPr>
        <w:t xml:space="preserve">　</w:t>
      </w:r>
    </w:p>
    <w:p w14:paraId="65D0C8A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r>
        <w:rPr>
          <w:rFonts w:eastAsia="標楷體"/>
          <w:spacing w:val="4"/>
          <w:kern w:val="0"/>
          <w:sz w:val="28"/>
          <w:szCs w:val="26"/>
        </w:rPr>
        <w:t xml:space="preserve">  </w:t>
      </w:r>
      <w:r>
        <w:rPr>
          <w:rFonts w:eastAsia="標楷體"/>
          <w:spacing w:val="4"/>
          <w:kern w:val="0"/>
          <w:sz w:val="28"/>
          <w:szCs w:val="26"/>
        </w:rPr>
        <w:t>會外，亦降低出口與國內產業的關聯效果，導致與國內產業分工逐漸弱化。</w:t>
      </w:r>
    </w:p>
    <w:p w14:paraId="15ADA0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pPr>
      <w:r>
        <w:rPr>
          <w:rFonts w:eastAsia="標楷體"/>
          <w:spacing w:val="4"/>
          <w:kern w:val="0"/>
          <w:sz w:val="28"/>
          <w:szCs w:val="26"/>
        </w:rPr>
        <w:t>－外移生產的各項產品中，以資訊通信產品的外移速度最快，</w:t>
      </w:r>
      <w:r>
        <w:rPr>
          <w:rFonts w:eastAsia="標楷體"/>
          <w:spacing w:val="4"/>
          <w:kern w:val="0"/>
          <w:sz w:val="28"/>
          <w:szCs w:val="26"/>
        </w:rPr>
        <w:t>96</w:t>
      </w:r>
      <w:r>
        <w:rPr>
          <w:rFonts w:eastAsia="標楷體"/>
          <w:spacing w:val="4"/>
          <w:kern w:val="0"/>
          <w:sz w:val="28"/>
          <w:szCs w:val="26"/>
        </w:rPr>
        <w:t>年以後，資訊通信產品海外生產比重皆超過</w:t>
      </w:r>
      <w:r>
        <w:rPr>
          <w:rFonts w:eastAsia="標楷體"/>
          <w:spacing w:val="4"/>
          <w:kern w:val="0"/>
          <w:sz w:val="28"/>
          <w:szCs w:val="26"/>
        </w:rPr>
        <w:t>8</w:t>
      </w:r>
      <w:r>
        <w:rPr>
          <w:rFonts w:eastAsia="標楷體"/>
          <w:spacing w:val="4"/>
          <w:kern w:val="0"/>
          <w:sz w:val="28"/>
          <w:szCs w:val="26"/>
        </w:rPr>
        <w:t>成</w:t>
      </w:r>
      <w:r>
        <w:rPr>
          <w:rFonts w:ascii="標楷體" w:eastAsia="標楷體" w:hAnsi="標楷體"/>
          <w:spacing w:val="4"/>
          <w:kern w:val="0"/>
          <w:sz w:val="28"/>
          <w:szCs w:val="26"/>
        </w:rPr>
        <w:t>(</w:t>
      </w:r>
      <w:r>
        <w:rPr>
          <w:rFonts w:eastAsia="標楷體"/>
          <w:spacing w:val="4"/>
          <w:kern w:val="0"/>
          <w:sz w:val="28"/>
          <w:szCs w:val="26"/>
        </w:rPr>
        <w:t>100</w:t>
      </w:r>
      <w:r>
        <w:rPr>
          <w:rFonts w:eastAsia="標楷體"/>
          <w:spacing w:val="4"/>
          <w:kern w:val="0"/>
          <w:sz w:val="28"/>
          <w:szCs w:val="26"/>
        </w:rPr>
        <w:t>年為</w:t>
      </w:r>
      <w:r>
        <w:rPr>
          <w:rFonts w:eastAsia="標楷體"/>
          <w:spacing w:val="4"/>
          <w:kern w:val="0"/>
          <w:sz w:val="28"/>
          <w:szCs w:val="26"/>
        </w:rPr>
        <w:t>83.57%</w:t>
      </w:r>
      <w:r>
        <w:rPr>
          <w:rFonts w:ascii="標楷體" w:eastAsia="標楷體" w:hAnsi="標楷體"/>
          <w:spacing w:val="4"/>
          <w:kern w:val="0"/>
          <w:sz w:val="28"/>
          <w:szCs w:val="26"/>
        </w:rPr>
        <w:t>)</w:t>
      </w:r>
      <w:r>
        <w:rPr>
          <w:rFonts w:eastAsia="標楷體"/>
          <w:spacing w:val="4"/>
          <w:kern w:val="0"/>
          <w:sz w:val="28"/>
          <w:szCs w:val="26"/>
        </w:rPr>
        <w:t>，其次為電機產品、電子產品</w:t>
      </w:r>
      <w:r>
        <w:rPr>
          <w:rFonts w:ascii="標楷體" w:eastAsia="標楷體" w:hAnsi="標楷體"/>
          <w:spacing w:val="4"/>
          <w:kern w:val="0"/>
          <w:sz w:val="28"/>
          <w:szCs w:val="26"/>
        </w:rPr>
        <w:t>(</w:t>
      </w:r>
      <w:r>
        <w:rPr>
          <w:rFonts w:eastAsia="標楷體"/>
          <w:spacing w:val="4"/>
          <w:kern w:val="0"/>
          <w:sz w:val="28"/>
          <w:szCs w:val="26"/>
        </w:rPr>
        <w:t>100</w:t>
      </w:r>
      <w:r>
        <w:rPr>
          <w:rFonts w:eastAsia="標楷體"/>
          <w:spacing w:val="4"/>
          <w:kern w:val="0"/>
          <w:sz w:val="28"/>
          <w:szCs w:val="26"/>
        </w:rPr>
        <w:t>年分別為</w:t>
      </w:r>
      <w:r>
        <w:rPr>
          <w:rFonts w:eastAsia="標楷體"/>
          <w:spacing w:val="4"/>
          <w:kern w:val="0"/>
          <w:sz w:val="28"/>
          <w:szCs w:val="26"/>
        </w:rPr>
        <w:t>62.36%</w:t>
      </w:r>
      <w:r>
        <w:rPr>
          <w:rFonts w:eastAsia="標楷體"/>
          <w:spacing w:val="4"/>
          <w:kern w:val="0"/>
          <w:sz w:val="28"/>
          <w:szCs w:val="26"/>
        </w:rPr>
        <w:t>、</w:t>
      </w:r>
      <w:r>
        <w:rPr>
          <w:rFonts w:eastAsia="標楷體"/>
          <w:spacing w:val="4"/>
          <w:kern w:val="0"/>
          <w:sz w:val="28"/>
          <w:szCs w:val="26"/>
        </w:rPr>
        <w:t>52.27%</w:t>
      </w:r>
      <w:r>
        <w:rPr>
          <w:rFonts w:ascii="標楷體" w:eastAsia="標楷體" w:hAnsi="標楷體"/>
          <w:spacing w:val="4"/>
          <w:kern w:val="0"/>
          <w:sz w:val="28"/>
          <w:szCs w:val="26"/>
        </w:rPr>
        <w:t>)</w:t>
      </w:r>
      <w:r>
        <w:rPr>
          <w:rFonts w:eastAsia="標楷體"/>
          <w:spacing w:val="4"/>
          <w:kern w:val="0"/>
          <w:sz w:val="28"/>
          <w:szCs w:val="26"/>
        </w:rPr>
        <w:t>。</w:t>
      </w:r>
    </w:p>
    <w:p w14:paraId="40E8C5CF"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288" w:hanging="288"/>
        <w:jc w:val="both"/>
        <w:textAlignment w:val="center"/>
        <w:rPr>
          <w:rFonts w:eastAsia="標楷體"/>
          <w:b/>
          <w:color w:val="0000FF"/>
          <w:spacing w:val="4"/>
          <w:kern w:val="0"/>
          <w:sz w:val="28"/>
          <w:szCs w:val="22"/>
        </w:rPr>
      </w:pPr>
      <w:r>
        <w:rPr>
          <w:rFonts w:eastAsia="標楷體"/>
          <w:b/>
          <w:color w:val="0000FF"/>
          <w:spacing w:val="4"/>
          <w:kern w:val="0"/>
          <w:sz w:val="28"/>
          <w:szCs w:val="22"/>
        </w:rPr>
        <w:t>三、服務業</w:t>
      </w:r>
    </w:p>
    <w:p w14:paraId="3CF96FE4"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100</w:t>
      </w:r>
      <w:r>
        <w:rPr>
          <w:rFonts w:eastAsia="標楷體"/>
          <w:spacing w:val="4"/>
          <w:kern w:val="0"/>
          <w:sz w:val="28"/>
          <w:szCs w:val="26"/>
        </w:rPr>
        <w:t>年服務業占</w:t>
      </w:r>
      <w:r>
        <w:rPr>
          <w:rFonts w:eastAsia="標楷體"/>
          <w:spacing w:val="4"/>
          <w:kern w:val="0"/>
          <w:sz w:val="28"/>
          <w:szCs w:val="26"/>
        </w:rPr>
        <w:t>GDP</w:t>
      </w:r>
      <w:r>
        <w:rPr>
          <w:rFonts w:eastAsia="標楷體"/>
          <w:spacing w:val="4"/>
          <w:kern w:val="0"/>
          <w:sz w:val="28"/>
          <w:szCs w:val="26"/>
        </w:rPr>
        <w:t>比重達</w:t>
      </w:r>
      <w:r>
        <w:rPr>
          <w:rFonts w:eastAsia="標楷體"/>
          <w:spacing w:val="4"/>
          <w:kern w:val="0"/>
          <w:sz w:val="28"/>
          <w:szCs w:val="26"/>
        </w:rPr>
        <w:t>68.43%</w:t>
      </w:r>
      <w:r>
        <w:rPr>
          <w:rFonts w:eastAsia="標楷體"/>
          <w:spacing w:val="4"/>
          <w:kern w:val="0"/>
          <w:sz w:val="28"/>
          <w:szCs w:val="26"/>
        </w:rPr>
        <w:t>，服務業就業人數占總就業人數</w:t>
      </w:r>
      <w:r>
        <w:rPr>
          <w:rFonts w:eastAsia="標楷體"/>
          <w:spacing w:val="4"/>
          <w:kern w:val="0"/>
          <w:sz w:val="28"/>
          <w:szCs w:val="26"/>
        </w:rPr>
        <w:t>58.60%</w:t>
      </w:r>
      <w:r>
        <w:rPr>
          <w:rFonts w:eastAsia="標楷體"/>
          <w:spacing w:val="4"/>
          <w:kern w:val="0"/>
          <w:sz w:val="28"/>
          <w:szCs w:val="26"/>
        </w:rPr>
        <w:t>，續為推動經濟成長與提供就業機會主力。近十年我國服務業生產、就業與薪資、研發、及出口等相關發展說明如次：</w:t>
      </w:r>
    </w:p>
    <w:p w14:paraId="4846419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)生產</w:t>
      </w:r>
      <w:r>
        <w:rPr>
          <w:rFonts w:eastAsia="標楷體"/>
          <w:spacing w:val="4"/>
          <w:kern w:val="0"/>
          <w:sz w:val="28"/>
          <w:szCs w:val="22"/>
        </w:rPr>
        <w:t>與結構變化</w:t>
      </w:r>
    </w:p>
    <w:p w14:paraId="4A4E12F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rPr>
          <w:rFonts w:eastAsia="標楷體"/>
          <w:spacing w:val="4"/>
          <w:kern w:val="0"/>
          <w:sz w:val="28"/>
          <w:szCs w:val="26"/>
        </w:rPr>
      </w:pPr>
      <w:r>
        <w:rPr>
          <w:rFonts w:eastAsia="標楷體"/>
          <w:spacing w:val="4"/>
          <w:kern w:val="0"/>
          <w:sz w:val="28"/>
          <w:szCs w:val="26"/>
        </w:rPr>
        <w:t>－批發及零售業為傳統服務業主體，</w:t>
      </w:r>
      <w:r>
        <w:rPr>
          <w:rFonts w:eastAsia="標楷體"/>
          <w:spacing w:val="4"/>
          <w:kern w:val="0"/>
          <w:sz w:val="28"/>
          <w:szCs w:val="26"/>
        </w:rPr>
        <w:t>100</w:t>
      </w:r>
      <w:r>
        <w:rPr>
          <w:rFonts w:eastAsia="標楷體"/>
          <w:spacing w:val="4"/>
          <w:kern w:val="0"/>
          <w:sz w:val="28"/>
          <w:szCs w:val="26"/>
        </w:rPr>
        <w:t>年占服務業名目</w:t>
      </w:r>
      <w:r>
        <w:rPr>
          <w:rFonts w:eastAsia="標楷體"/>
          <w:spacing w:val="4"/>
          <w:kern w:val="0"/>
          <w:sz w:val="28"/>
          <w:szCs w:val="26"/>
        </w:rPr>
        <w:t>GDP</w:t>
      </w:r>
      <w:r>
        <w:rPr>
          <w:rFonts w:eastAsia="標楷體"/>
          <w:spacing w:val="4"/>
          <w:kern w:val="0"/>
          <w:sz w:val="28"/>
          <w:szCs w:val="26"/>
        </w:rPr>
        <w:t>比重由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24.80%</w:t>
      </w:r>
      <w:r>
        <w:rPr>
          <w:rFonts w:eastAsia="標楷體"/>
          <w:spacing w:val="4"/>
          <w:kern w:val="0"/>
          <w:sz w:val="28"/>
          <w:szCs w:val="26"/>
        </w:rPr>
        <w:t>，提高至</w:t>
      </w:r>
      <w:r>
        <w:rPr>
          <w:rFonts w:eastAsia="標楷體"/>
          <w:spacing w:val="4"/>
          <w:kern w:val="0"/>
          <w:sz w:val="28"/>
          <w:szCs w:val="26"/>
        </w:rPr>
        <w:t>27.56%</w:t>
      </w:r>
      <w:r>
        <w:rPr>
          <w:rFonts w:eastAsia="標楷體"/>
          <w:spacing w:val="4"/>
          <w:kern w:val="0"/>
          <w:sz w:val="28"/>
          <w:szCs w:val="26"/>
        </w:rPr>
        <w:t>，增幅</w:t>
      </w:r>
      <w:r>
        <w:rPr>
          <w:rFonts w:eastAsia="標楷體"/>
          <w:spacing w:val="4"/>
          <w:kern w:val="0"/>
          <w:sz w:val="28"/>
          <w:szCs w:val="26"/>
        </w:rPr>
        <w:t>2.76</w:t>
      </w:r>
      <w:r>
        <w:rPr>
          <w:rFonts w:eastAsia="標楷體"/>
          <w:spacing w:val="4"/>
          <w:kern w:val="0"/>
          <w:sz w:val="28"/>
          <w:szCs w:val="26"/>
        </w:rPr>
        <w:t>個百分點；</w:t>
      </w:r>
      <w:r>
        <w:rPr>
          <w:rFonts w:eastAsia="標楷體"/>
          <w:spacing w:val="4"/>
          <w:kern w:val="0"/>
          <w:sz w:val="28"/>
          <w:szCs w:val="26"/>
        </w:rPr>
        <w:t>10</w:t>
      </w:r>
      <w:r>
        <w:rPr>
          <w:rFonts w:eastAsia="標楷體"/>
          <w:spacing w:val="4"/>
          <w:kern w:val="0"/>
          <w:sz w:val="28"/>
          <w:szCs w:val="26"/>
        </w:rPr>
        <w:t>年間平均成長率</w:t>
      </w:r>
      <w:r>
        <w:rPr>
          <w:rFonts w:eastAsia="標楷體"/>
          <w:spacing w:val="4"/>
          <w:kern w:val="0"/>
          <w:sz w:val="28"/>
          <w:szCs w:val="26"/>
        </w:rPr>
        <w:t>3.85%</w:t>
      </w:r>
      <w:r>
        <w:rPr>
          <w:rFonts w:eastAsia="標楷體"/>
          <w:spacing w:val="4"/>
          <w:kern w:val="0"/>
          <w:sz w:val="28"/>
          <w:szCs w:val="26"/>
        </w:rPr>
        <w:t>，高於整體服務業成長的</w:t>
      </w:r>
      <w:r>
        <w:rPr>
          <w:rFonts w:eastAsia="標楷體"/>
          <w:spacing w:val="4"/>
          <w:kern w:val="0"/>
          <w:sz w:val="28"/>
          <w:szCs w:val="26"/>
        </w:rPr>
        <w:t>3.20%</w:t>
      </w:r>
      <w:r>
        <w:rPr>
          <w:rFonts w:eastAsia="標楷體"/>
          <w:spacing w:val="4"/>
          <w:kern w:val="0"/>
          <w:sz w:val="28"/>
          <w:szCs w:val="26"/>
        </w:rPr>
        <w:t>。住宿及餐飲業占服務業名目</w:t>
      </w:r>
      <w:r>
        <w:rPr>
          <w:rFonts w:eastAsia="標楷體"/>
          <w:spacing w:val="4"/>
          <w:kern w:val="0"/>
          <w:sz w:val="28"/>
          <w:szCs w:val="26"/>
        </w:rPr>
        <w:t>GDP</w:t>
      </w:r>
      <w:r>
        <w:rPr>
          <w:rFonts w:eastAsia="標楷體"/>
          <w:spacing w:val="4"/>
          <w:kern w:val="0"/>
          <w:sz w:val="28"/>
          <w:szCs w:val="26"/>
        </w:rPr>
        <w:t>比重則由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2.95%</w:t>
      </w:r>
      <w:r>
        <w:rPr>
          <w:rFonts w:eastAsia="標楷體"/>
          <w:spacing w:val="4"/>
          <w:kern w:val="0"/>
          <w:sz w:val="28"/>
          <w:szCs w:val="26"/>
        </w:rPr>
        <w:t>，微增至</w:t>
      </w:r>
      <w:r>
        <w:rPr>
          <w:rFonts w:eastAsia="標楷體"/>
          <w:spacing w:val="4"/>
          <w:kern w:val="0"/>
          <w:sz w:val="28"/>
          <w:szCs w:val="26"/>
        </w:rPr>
        <w:t>100</w:t>
      </w:r>
      <w:r>
        <w:rPr>
          <w:rFonts w:eastAsia="標楷體"/>
          <w:spacing w:val="4"/>
          <w:kern w:val="0"/>
          <w:sz w:val="28"/>
          <w:szCs w:val="26"/>
        </w:rPr>
        <w:t>年的</w:t>
      </w:r>
      <w:r>
        <w:rPr>
          <w:rFonts w:eastAsia="標楷體"/>
          <w:spacing w:val="4"/>
          <w:kern w:val="0"/>
          <w:sz w:val="28"/>
          <w:szCs w:val="26"/>
        </w:rPr>
        <w:t>3.16%</w:t>
      </w:r>
      <w:r>
        <w:rPr>
          <w:rFonts w:eastAsia="標楷體"/>
          <w:spacing w:val="4"/>
          <w:kern w:val="0"/>
          <w:sz w:val="28"/>
          <w:szCs w:val="26"/>
        </w:rPr>
        <w:t>。</w:t>
      </w:r>
    </w:p>
    <w:p w14:paraId="30399B6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pPr>
      <w:r>
        <w:rPr>
          <w:rFonts w:eastAsia="標楷體"/>
          <w:spacing w:val="4"/>
          <w:kern w:val="0"/>
          <w:sz w:val="28"/>
          <w:szCs w:val="26"/>
        </w:rPr>
        <w:t>－知識密集型服務業中，支援服務業與專業、科學及技術服務業占服務業比重雖不高</w:t>
      </w:r>
      <w:r>
        <w:rPr>
          <w:rFonts w:ascii="標楷體" w:eastAsia="標楷體" w:hAnsi="標楷體"/>
          <w:spacing w:val="4"/>
          <w:kern w:val="0"/>
          <w:sz w:val="28"/>
          <w:szCs w:val="26"/>
        </w:rPr>
        <w:t>(</w:t>
      </w:r>
      <w:r>
        <w:rPr>
          <w:rFonts w:eastAsia="標楷體"/>
          <w:spacing w:val="4"/>
          <w:kern w:val="0"/>
          <w:sz w:val="28"/>
          <w:szCs w:val="26"/>
        </w:rPr>
        <w:t>100</w:t>
      </w:r>
      <w:r>
        <w:rPr>
          <w:rFonts w:eastAsia="標楷體"/>
          <w:spacing w:val="4"/>
          <w:kern w:val="0"/>
          <w:sz w:val="28"/>
          <w:szCs w:val="26"/>
        </w:rPr>
        <w:t>年分別為</w:t>
      </w:r>
      <w:r>
        <w:rPr>
          <w:rFonts w:eastAsia="標楷體"/>
          <w:spacing w:val="4"/>
          <w:kern w:val="0"/>
          <w:sz w:val="28"/>
          <w:szCs w:val="26"/>
        </w:rPr>
        <w:t>2.20%</w:t>
      </w:r>
      <w:r>
        <w:rPr>
          <w:rFonts w:eastAsia="標楷體"/>
          <w:spacing w:val="4"/>
          <w:kern w:val="0"/>
          <w:sz w:val="28"/>
          <w:szCs w:val="26"/>
        </w:rPr>
        <w:t>、</w:t>
      </w:r>
      <w:r>
        <w:rPr>
          <w:rFonts w:eastAsia="標楷體"/>
          <w:spacing w:val="4"/>
          <w:kern w:val="0"/>
          <w:sz w:val="28"/>
          <w:szCs w:val="26"/>
        </w:rPr>
        <w:t>3.32%</w:t>
      </w:r>
      <w:r>
        <w:rPr>
          <w:rFonts w:ascii="標楷體" w:eastAsia="標楷體" w:hAnsi="標楷體"/>
          <w:spacing w:val="4"/>
          <w:kern w:val="0"/>
          <w:sz w:val="28"/>
          <w:szCs w:val="26"/>
        </w:rPr>
        <w:t>)</w:t>
      </w:r>
      <w:r>
        <w:rPr>
          <w:rFonts w:eastAsia="標楷體"/>
          <w:spacing w:val="4"/>
          <w:kern w:val="0"/>
          <w:sz w:val="28"/>
          <w:szCs w:val="26"/>
        </w:rPr>
        <w:t>，但</w:t>
      </w:r>
      <w:r>
        <w:rPr>
          <w:rFonts w:eastAsia="標楷體"/>
          <w:spacing w:val="4"/>
          <w:kern w:val="0"/>
          <w:sz w:val="28"/>
          <w:szCs w:val="26"/>
        </w:rPr>
        <w:t>91</w:t>
      </w:r>
      <w:r>
        <w:rPr>
          <w:rFonts w:eastAsia="標楷體"/>
          <w:spacing w:val="4"/>
          <w:kern w:val="0"/>
          <w:sz w:val="28"/>
          <w:szCs w:val="26"/>
        </w:rPr>
        <w:t>至</w:t>
      </w:r>
      <w:r>
        <w:rPr>
          <w:rFonts w:eastAsia="標楷體"/>
          <w:spacing w:val="4"/>
          <w:kern w:val="0"/>
          <w:sz w:val="28"/>
          <w:szCs w:val="26"/>
        </w:rPr>
        <w:t>100</w:t>
      </w:r>
      <w:r>
        <w:rPr>
          <w:rFonts w:eastAsia="標楷體"/>
          <w:spacing w:val="4"/>
          <w:kern w:val="0"/>
          <w:sz w:val="28"/>
          <w:szCs w:val="26"/>
        </w:rPr>
        <w:t>年平均成長率分別達</w:t>
      </w:r>
      <w:r>
        <w:rPr>
          <w:rFonts w:eastAsia="標楷體"/>
          <w:spacing w:val="4"/>
          <w:kern w:val="0"/>
          <w:sz w:val="28"/>
          <w:szCs w:val="26"/>
        </w:rPr>
        <w:t>7.57%</w:t>
      </w:r>
      <w:r>
        <w:rPr>
          <w:rFonts w:eastAsia="標楷體"/>
          <w:spacing w:val="4"/>
          <w:kern w:val="0"/>
          <w:sz w:val="28"/>
          <w:szCs w:val="26"/>
        </w:rPr>
        <w:t>與</w:t>
      </w:r>
      <w:r>
        <w:rPr>
          <w:rFonts w:eastAsia="標楷體"/>
          <w:spacing w:val="4"/>
          <w:kern w:val="0"/>
          <w:sz w:val="28"/>
          <w:szCs w:val="26"/>
        </w:rPr>
        <w:t>5.10%</w:t>
      </w:r>
      <w:r>
        <w:rPr>
          <w:rFonts w:eastAsia="標楷體"/>
          <w:spacing w:val="4"/>
          <w:kern w:val="0"/>
          <w:sz w:val="28"/>
          <w:szCs w:val="26"/>
        </w:rPr>
        <w:t>，顯示發展潛力大。金融及保險業雖為比重較高的服務業，但占服務業比重則由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11.83%</w:t>
      </w:r>
      <w:r>
        <w:rPr>
          <w:rFonts w:eastAsia="標楷體"/>
          <w:spacing w:val="4"/>
          <w:kern w:val="0"/>
          <w:sz w:val="28"/>
          <w:szCs w:val="26"/>
        </w:rPr>
        <w:t>降至</w:t>
      </w:r>
      <w:r>
        <w:rPr>
          <w:rFonts w:eastAsia="標楷體"/>
          <w:spacing w:val="4"/>
          <w:kern w:val="0"/>
          <w:sz w:val="28"/>
          <w:szCs w:val="26"/>
        </w:rPr>
        <w:t>100</w:t>
      </w:r>
      <w:r>
        <w:rPr>
          <w:rFonts w:eastAsia="標楷體"/>
          <w:spacing w:val="4"/>
          <w:kern w:val="0"/>
          <w:sz w:val="28"/>
          <w:szCs w:val="26"/>
        </w:rPr>
        <w:t>年的</w:t>
      </w:r>
      <w:r>
        <w:rPr>
          <w:rFonts w:eastAsia="標楷體"/>
          <w:spacing w:val="4"/>
          <w:kern w:val="0"/>
          <w:sz w:val="28"/>
          <w:szCs w:val="26"/>
        </w:rPr>
        <w:t>9.51%</w:t>
      </w:r>
      <w:r>
        <w:rPr>
          <w:rFonts w:eastAsia="標楷體"/>
          <w:spacing w:val="4"/>
          <w:kern w:val="0"/>
          <w:sz w:val="28"/>
          <w:szCs w:val="26"/>
        </w:rPr>
        <w:t>，平均成長率</w:t>
      </w:r>
      <w:r>
        <w:rPr>
          <w:rFonts w:eastAsia="標楷體"/>
          <w:spacing w:val="4"/>
          <w:kern w:val="0"/>
          <w:sz w:val="28"/>
          <w:szCs w:val="26"/>
        </w:rPr>
        <w:t>2.29%</w:t>
      </w:r>
      <w:r>
        <w:rPr>
          <w:rFonts w:eastAsia="標楷體"/>
          <w:spacing w:val="4"/>
          <w:kern w:val="0"/>
          <w:sz w:val="28"/>
          <w:szCs w:val="26"/>
        </w:rPr>
        <w:t>，在服務業各業中成長相對偏低，顯示金融及保險業轉型升級空間仍大。</w:t>
      </w:r>
    </w:p>
    <w:p w14:paraId="2D0B1E2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就業人口與薪資</w:t>
      </w:r>
    </w:p>
    <w:p w14:paraId="1E8F807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pPr>
      <w:r>
        <w:rPr>
          <w:rFonts w:eastAsia="標楷體"/>
          <w:spacing w:val="4"/>
          <w:kern w:val="0"/>
          <w:sz w:val="28"/>
          <w:szCs w:val="26"/>
        </w:rPr>
        <w:t>－</w:t>
      </w:r>
      <w:r>
        <w:rPr>
          <w:rFonts w:eastAsia="標楷體"/>
          <w:spacing w:val="4"/>
          <w:kern w:val="0"/>
          <w:sz w:val="28"/>
          <w:szCs w:val="26"/>
        </w:rPr>
        <w:t>91</w:t>
      </w:r>
      <w:r>
        <w:rPr>
          <w:rFonts w:eastAsia="標楷體"/>
          <w:spacing w:val="4"/>
          <w:kern w:val="0"/>
          <w:sz w:val="28"/>
          <w:szCs w:val="26"/>
        </w:rPr>
        <w:t>至</w:t>
      </w:r>
      <w:r>
        <w:rPr>
          <w:rFonts w:eastAsia="標楷體"/>
          <w:spacing w:val="4"/>
          <w:kern w:val="0"/>
          <w:sz w:val="28"/>
          <w:szCs w:val="26"/>
        </w:rPr>
        <w:t>100</w:t>
      </w:r>
      <w:r>
        <w:rPr>
          <w:rFonts w:eastAsia="標楷體"/>
          <w:spacing w:val="4"/>
          <w:kern w:val="0"/>
          <w:sz w:val="28"/>
          <w:szCs w:val="26"/>
        </w:rPr>
        <w:t>年間，服務業就業人口增加</w:t>
      </w:r>
      <w:r>
        <w:rPr>
          <w:rFonts w:eastAsia="標楷體"/>
          <w:spacing w:val="4"/>
          <w:kern w:val="0"/>
          <w:sz w:val="28"/>
          <w:szCs w:val="26"/>
        </w:rPr>
        <w:t>91.9</w:t>
      </w:r>
      <w:r>
        <w:rPr>
          <w:rFonts w:eastAsia="標楷體"/>
          <w:spacing w:val="4"/>
          <w:kern w:val="0"/>
          <w:sz w:val="28"/>
          <w:szCs w:val="26"/>
        </w:rPr>
        <w:t>萬人，其中以住宿</w:t>
      </w:r>
      <w:r>
        <w:rPr>
          <w:rFonts w:eastAsia="標楷體"/>
          <w:spacing w:val="4"/>
          <w:kern w:val="0"/>
          <w:sz w:val="28"/>
          <w:szCs w:val="26"/>
        </w:rPr>
        <w:lastRenderedPageBreak/>
        <w:t>餐飲業增加</w:t>
      </w:r>
      <w:r>
        <w:rPr>
          <w:rFonts w:eastAsia="標楷體"/>
          <w:spacing w:val="4"/>
          <w:kern w:val="0"/>
          <w:sz w:val="28"/>
          <w:szCs w:val="26"/>
        </w:rPr>
        <w:t>14.9</w:t>
      </w:r>
      <w:r>
        <w:rPr>
          <w:rFonts w:eastAsia="標楷體"/>
          <w:spacing w:val="4"/>
          <w:kern w:val="0"/>
          <w:sz w:val="28"/>
          <w:szCs w:val="26"/>
        </w:rPr>
        <w:t>萬人最多，教育服務業與醫療保健及社會工作服務業，分別增加</w:t>
      </w:r>
      <w:r>
        <w:rPr>
          <w:rFonts w:eastAsia="標楷體"/>
          <w:spacing w:val="4"/>
          <w:kern w:val="0"/>
          <w:sz w:val="28"/>
          <w:szCs w:val="26"/>
        </w:rPr>
        <w:t>14.1</w:t>
      </w:r>
      <w:r>
        <w:rPr>
          <w:rFonts w:eastAsia="標楷體"/>
          <w:spacing w:val="4"/>
          <w:kern w:val="0"/>
          <w:sz w:val="28"/>
          <w:szCs w:val="26"/>
        </w:rPr>
        <w:t>萬人及</w:t>
      </w:r>
      <w:r>
        <w:rPr>
          <w:rFonts w:eastAsia="標楷體"/>
          <w:spacing w:val="4"/>
          <w:kern w:val="0"/>
          <w:sz w:val="28"/>
          <w:szCs w:val="26"/>
        </w:rPr>
        <w:t>12.7</w:t>
      </w:r>
      <w:r>
        <w:rPr>
          <w:rFonts w:eastAsia="標楷體"/>
          <w:spacing w:val="4"/>
          <w:kern w:val="0"/>
          <w:sz w:val="28"/>
          <w:szCs w:val="26"/>
        </w:rPr>
        <w:t>萬人次之。服務業平均薪</w:t>
      </w:r>
      <w:r>
        <w:rPr>
          <w:rFonts w:eastAsia="標楷體"/>
          <w:spacing w:val="6"/>
          <w:kern w:val="0"/>
          <w:sz w:val="28"/>
          <w:szCs w:val="26"/>
        </w:rPr>
        <w:t>資</w:t>
      </w:r>
      <w:r>
        <w:rPr>
          <w:rFonts w:eastAsia="標楷體"/>
          <w:spacing w:val="6"/>
          <w:kern w:val="0"/>
          <w:sz w:val="28"/>
          <w:szCs w:val="26"/>
        </w:rPr>
        <w:t>4</w:t>
      </w:r>
      <w:r>
        <w:rPr>
          <w:rFonts w:eastAsia="標楷體"/>
          <w:spacing w:val="6"/>
          <w:kern w:val="0"/>
          <w:sz w:val="28"/>
          <w:szCs w:val="26"/>
        </w:rPr>
        <w:t>萬</w:t>
      </w:r>
      <w:r>
        <w:rPr>
          <w:rFonts w:eastAsia="標楷體"/>
          <w:spacing w:val="6"/>
          <w:kern w:val="0"/>
          <w:sz w:val="28"/>
          <w:szCs w:val="26"/>
        </w:rPr>
        <w:t>4,945</w:t>
      </w:r>
      <w:r>
        <w:rPr>
          <w:rFonts w:eastAsia="標楷體"/>
          <w:spacing w:val="6"/>
          <w:kern w:val="0"/>
          <w:sz w:val="28"/>
          <w:szCs w:val="26"/>
        </w:rPr>
        <w:t>元，惟各業薪資落差甚大；其中以金融及保險業薪資</w:t>
      </w:r>
      <w:r>
        <w:rPr>
          <w:rFonts w:ascii="標楷體" w:eastAsia="標楷體" w:hAnsi="標楷體"/>
          <w:spacing w:val="6"/>
          <w:kern w:val="0"/>
          <w:sz w:val="28"/>
          <w:szCs w:val="26"/>
        </w:rPr>
        <w:t>(</w:t>
      </w:r>
      <w:r>
        <w:rPr>
          <w:rFonts w:eastAsia="標楷體"/>
          <w:spacing w:val="6"/>
          <w:kern w:val="0"/>
          <w:sz w:val="28"/>
          <w:szCs w:val="26"/>
        </w:rPr>
        <w:t>6</w:t>
      </w:r>
      <w:r>
        <w:rPr>
          <w:rFonts w:eastAsia="標楷體"/>
          <w:spacing w:val="6"/>
          <w:kern w:val="0"/>
          <w:sz w:val="28"/>
          <w:szCs w:val="26"/>
        </w:rPr>
        <w:t>萬</w:t>
      </w:r>
      <w:r>
        <w:rPr>
          <w:rFonts w:eastAsia="標楷體"/>
          <w:spacing w:val="6"/>
          <w:kern w:val="0"/>
          <w:sz w:val="28"/>
          <w:szCs w:val="26"/>
        </w:rPr>
        <w:t>9,540</w:t>
      </w:r>
      <w:r>
        <w:rPr>
          <w:rFonts w:eastAsia="標楷體"/>
          <w:spacing w:val="6"/>
          <w:kern w:val="0"/>
          <w:sz w:val="28"/>
          <w:szCs w:val="26"/>
        </w:rPr>
        <w:t>元</w:t>
      </w:r>
      <w:r>
        <w:rPr>
          <w:rFonts w:ascii="標楷體" w:eastAsia="標楷體" w:hAnsi="標楷體"/>
          <w:spacing w:val="6"/>
          <w:kern w:val="0"/>
          <w:sz w:val="28"/>
          <w:szCs w:val="26"/>
        </w:rPr>
        <w:t>)</w:t>
      </w:r>
      <w:r>
        <w:rPr>
          <w:rFonts w:eastAsia="標楷體"/>
          <w:spacing w:val="6"/>
          <w:kern w:val="0"/>
          <w:sz w:val="28"/>
          <w:szCs w:val="26"/>
        </w:rPr>
        <w:t>最高，醫療保健服務業</w:t>
      </w:r>
      <w:r>
        <w:rPr>
          <w:rFonts w:ascii="標楷體" w:eastAsia="標楷體" w:hAnsi="標楷體"/>
          <w:spacing w:val="6"/>
          <w:kern w:val="0"/>
          <w:sz w:val="28"/>
          <w:szCs w:val="26"/>
        </w:rPr>
        <w:t>(</w:t>
      </w:r>
      <w:r>
        <w:rPr>
          <w:rFonts w:eastAsia="標楷體"/>
          <w:spacing w:val="6"/>
          <w:kern w:val="0"/>
          <w:sz w:val="28"/>
          <w:szCs w:val="26"/>
        </w:rPr>
        <w:t>5</w:t>
      </w:r>
      <w:r>
        <w:rPr>
          <w:rFonts w:eastAsia="標楷體"/>
          <w:spacing w:val="6"/>
          <w:kern w:val="0"/>
          <w:sz w:val="28"/>
          <w:szCs w:val="26"/>
        </w:rPr>
        <w:t>萬</w:t>
      </w:r>
      <w:r>
        <w:rPr>
          <w:rFonts w:eastAsia="標楷體"/>
          <w:spacing w:val="6"/>
          <w:kern w:val="0"/>
          <w:sz w:val="28"/>
          <w:szCs w:val="26"/>
        </w:rPr>
        <w:t>6,626</w:t>
      </w:r>
      <w:r>
        <w:rPr>
          <w:rFonts w:eastAsia="標楷體"/>
          <w:spacing w:val="6"/>
          <w:kern w:val="0"/>
          <w:sz w:val="28"/>
          <w:szCs w:val="26"/>
        </w:rPr>
        <w:t>元</w:t>
      </w:r>
      <w:r>
        <w:rPr>
          <w:rFonts w:ascii="標楷體" w:eastAsia="標楷體" w:hAnsi="標楷體"/>
          <w:spacing w:val="6"/>
          <w:kern w:val="0"/>
          <w:sz w:val="28"/>
          <w:szCs w:val="26"/>
        </w:rPr>
        <w:t>)</w:t>
      </w:r>
      <w:r>
        <w:rPr>
          <w:rFonts w:eastAsia="標楷體"/>
          <w:spacing w:val="6"/>
          <w:kern w:val="0"/>
          <w:sz w:val="28"/>
          <w:szCs w:val="26"/>
        </w:rPr>
        <w:t>居</w:t>
      </w:r>
      <w:r>
        <w:rPr>
          <w:rFonts w:eastAsia="標楷體"/>
          <w:spacing w:val="4"/>
          <w:kern w:val="0"/>
          <w:sz w:val="28"/>
          <w:szCs w:val="26"/>
        </w:rPr>
        <w:t>次。</w:t>
      </w:r>
    </w:p>
    <w:p w14:paraId="023F98E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研發</w:t>
      </w:r>
    </w:p>
    <w:p w14:paraId="5CDA1A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pPr>
      <w:r>
        <w:rPr>
          <w:rFonts w:eastAsia="標楷體"/>
          <w:spacing w:val="4"/>
          <w:kern w:val="0"/>
          <w:sz w:val="28"/>
          <w:szCs w:val="26"/>
        </w:rPr>
        <w:t>－</w:t>
      </w:r>
      <w:r>
        <w:rPr>
          <w:rFonts w:eastAsia="標楷體"/>
          <w:spacing w:val="4"/>
          <w:kern w:val="0"/>
          <w:sz w:val="28"/>
          <w:szCs w:val="26"/>
        </w:rPr>
        <w:t>92</w:t>
      </w:r>
      <w:r>
        <w:rPr>
          <w:rFonts w:eastAsia="標楷體"/>
          <w:spacing w:val="4"/>
          <w:kern w:val="0"/>
          <w:sz w:val="28"/>
          <w:szCs w:val="26"/>
        </w:rPr>
        <w:t>至</w:t>
      </w:r>
      <w:r>
        <w:rPr>
          <w:rFonts w:eastAsia="標楷體"/>
          <w:spacing w:val="4"/>
          <w:kern w:val="0"/>
          <w:sz w:val="28"/>
          <w:szCs w:val="26"/>
        </w:rPr>
        <w:t>99</w:t>
      </w:r>
      <w:r>
        <w:rPr>
          <w:rFonts w:eastAsia="標楷體"/>
          <w:spacing w:val="4"/>
          <w:kern w:val="0"/>
          <w:sz w:val="28"/>
          <w:szCs w:val="26"/>
        </w:rPr>
        <w:t>年間，製造業研發占企業部門研發經費比重達</w:t>
      </w:r>
      <w:r>
        <w:rPr>
          <w:rFonts w:eastAsia="標楷體"/>
          <w:spacing w:val="4"/>
          <w:kern w:val="0"/>
          <w:sz w:val="28"/>
          <w:szCs w:val="26"/>
        </w:rPr>
        <w:t>9</w:t>
      </w:r>
      <w:r>
        <w:rPr>
          <w:rFonts w:eastAsia="標楷體"/>
          <w:spacing w:val="4"/>
          <w:kern w:val="0"/>
          <w:sz w:val="28"/>
          <w:szCs w:val="26"/>
        </w:rPr>
        <w:t>成，服務業研發比重僅占約</w:t>
      </w:r>
      <w:r>
        <w:rPr>
          <w:rFonts w:eastAsia="標楷體"/>
          <w:spacing w:val="4"/>
          <w:kern w:val="0"/>
          <w:sz w:val="28"/>
          <w:szCs w:val="26"/>
        </w:rPr>
        <w:t>7%</w:t>
      </w:r>
      <w:r>
        <w:rPr>
          <w:rFonts w:eastAsia="標楷體"/>
          <w:spacing w:val="4"/>
          <w:kern w:val="0"/>
          <w:sz w:val="28"/>
          <w:szCs w:val="26"/>
        </w:rPr>
        <w:t>。</w:t>
      </w:r>
      <w:r>
        <w:rPr>
          <w:rFonts w:eastAsia="標楷體"/>
          <w:spacing w:val="4"/>
          <w:kern w:val="0"/>
          <w:sz w:val="28"/>
          <w:szCs w:val="26"/>
        </w:rPr>
        <w:t>98</w:t>
      </w:r>
      <w:r>
        <w:rPr>
          <w:rFonts w:eastAsia="標楷體"/>
          <w:spacing w:val="4"/>
          <w:kern w:val="0"/>
          <w:sz w:val="28"/>
          <w:szCs w:val="26"/>
        </w:rPr>
        <w:t>年我國服務業研發經費占服務業</w:t>
      </w:r>
      <w:r>
        <w:rPr>
          <w:rFonts w:eastAsia="標楷體"/>
          <w:spacing w:val="4"/>
          <w:kern w:val="0"/>
          <w:sz w:val="28"/>
          <w:szCs w:val="26"/>
        </w:rPr>
        <w:t>GDP</w:t>
      </w:r>
      <w:r>
        <w:rPr>
          <w:rFonts w:eastAsia="標楷體"/>
          <w:spacing w:val="4"/>
          <w:kern w:val="0"/>
          <w:sz w:val="28"/>
          <w:szCs w:val="26"/>
        </w:rPr>
        <w:t>比重</w:t>
      </w:r>
      <w:r>
        <w:rPr>
          <w:rFonts w:eastAsia="標楷體"/>
          <w:spacing w:val="4"/>
          <w:kern w:val="0"/>
          <w:sz w:val="28"/>
          <w:szCs w:val="26"/>
        </w:rPr>
        <w:t>0.23%</w:t>
      </w:r>
      <w:r>
        <w:rPr>
          <w:rFonts w:eastAsia="標楷體"/>
          <w:spacing w:val="4"/>
          <w:kern w:val="0"/>
          <w:sz w:val="28"/>
          <w:szCs w:val="26"/>
        </w:rPr>
        <w:t>，低於同期的日本</w:t>
      </w:r>
      <w:r>
        <w:rPr>
          <w:rFonts w:ascii="標楷體" w:eastAsia="標楷體" w:hAnsi="標楷體"/>
          <w:spacing w:val="4"/>
          <w:kern w:val="0"/>
          <w:sz w:val="28"/>
          <w:szCs w:val="26"/>
        </w:rPr>
        <w:t>(</w:t>
      </w:r>
      <w:r>
        <w:rPr>
          <w:rFonts w:eastAsia="標楷體"/>
          <w:spacing w:val="4"/>
          <w:kern w:val="0"/>
          <w:sz w:val="28"/>
          <w:szCs w:val="26"/>
        </w:rPr>
        <w:t>0.39%</w:t>
      </w:r>
      <w:r>
        <w:rPr>
          <w:rFonts w:ascii="標楷體" w:eastAsia="標楷體" w:hAnsi="標楷體"/>
          <w:spacing w:val="4"/>
          <w:kern w:val="0"/>
          <w:sz w:val="28"/>
          <w:szCs w:val="26"/>
        </w:rPr>
        <w:t>)</w:t>
      </w:r>
      <w:r>
        <w:rPr>
          <w:rFonts w:eastAsia="標楷體"/>
          <w:spacing w:val="4"/>
          <w:kern w:val="0"/>
          <w:sz w:val="28"/>
          <w:szCs w:val="26"/>
        </w:rPr>
        <w:t>、南韓</w:t>
      </w:r>
      <w:r>
        <w:rPr>
          <w:rFonts w:ascii="標楷體" w:eastAsia="標楷體" w:hAnsi="標楷體"/>
          <w:spacing w:val="4"/>
          <w:kern w:val="0"/>
          <w:sz w:val="28"/>
          <w:szCs w:val="26"/>
        </w:rPr>
        <w:t>(</w:t>
      </w:r>
      <w:r>
        <w:rPr>
          <w:rFonts w:eastAsia="標楷體"/>
          <w:spacing w:val="4"/>
          <w:kern w:val="0"/>
          <w:sz w:val="28"/>
          <w:szCs w:val="26"/>
        </w:rPr>
        <w:t>0.40%</w:t>
      </w:r>
      <w:r>
        <w:rPr>
          <w:rFonts w:ascii="標楷體" w:eastAsia="標楷體" w:hAnsi="標楷體"/>
          <w:spacing w:val="4"/>
          <w:kern w:val="0"/>
          <w:sz w:val="28"/>
          <w:szCs w:val="26"/>
        </w:rPr>
        <w:t>)</w:t>
      </w:r>
      <w:r>
        <w:rPr>
          <w:rFonts w:eastAsia="標楷體"/>
          <w:spacing w:val="4"/>
          <w:kern w:val="0"/>
          <w:sz w:val="28"/>
          <w:szCs w:val="26"/>
        </w:rPr>
        <w:t>，以及新加坡</w:t>
      </w:r>
      <w:r>
        <w:rPr>
          <w:rFonts w:ascii="標楷體" w:eastAsia="標楷體" w:hAnsi="標楷體"/>
          <w:spacing w:val="4"/>
          <w:kern w:val="0"/>
          <w:sz w:val="28"/>
          <w:szCs w:val="26"/>
        </w:rPr>
        <w:t>(</w:t>
      </w:r>
      <w:r>
        <w:rPr>
          <w:rFonts w:eastAsia="標楷體"/>
          <w:spacing w:val="4"/>
          <w:kern w:val="0"/>
          <w:sz w:val="28"/>
          <w:szCs w:val="26"/>
        </w:rPr>
        <w:t>0.64%</w:t>
      </w:r>
      <w:r>
        <w:rPr>
          <w:rFonts w:ascii="標楷體" w:eastAsia="標楷體" w:hAnsi="標楷體"/>
          <w:spacing w:val="4"/>
          <w:kern w:val="0"/>
          <w:sz w:val="28"/>
          <w:szCs w:val="26"/>
        </w:rPr>
        <w:t>)</w:t>
      </w:r>
      <w:r>
        <w:rPr>
          <w:rFonts w:eastAsia="標楷體"/>
          <w:spacing w:val="4"/>
          <w:kern w:val="0"/>
          <w:sz w:val="28"/>
          <w:szCs w:val="26"/>
          <w:vertAlign w:val="superscript"/>
        </w:rPr>
        <w:footnoteReference w:customMarkFollows="1" w:id="14"/>
        <w:t>14</w:t>
      </w:r>
      <w:r>
        <w:rPr>
          <w:rFonts w:eastAsia="標楷體"/>
          <w:spacing w:val="4"/>
          <w:kern w:val="0"/>
          <w:sz w:val="28"/>
          <w:szCs w:val="26"/>
        </w:rPr>
        <w:t>，顯示我國服務業研發創新亟需提升。</w:t>
      </w:r>
    </w:p>
    <w:p w14:paraId="3632DF1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服務業出口</w:t>
      </w:r>
    </w:p>
    <w:p w14:paraId="58A6779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128" w:hanging="288"/>
        <w:jc w:val="both"/>
        <w:textAlignment w:val="center"/>
      </w:pPr>
      <w:r>
        <w:rPr>
          <w:rFonts w:eastAsia="標楷體"/>
          <w:spacing w:val="4"/>
          <w:kern w:val="0"/>
          <w:sz w:val="28"/>
          <w:szCs w:val="26"/>
        </w:rPr>
        <w:t>－我國服務業多屬內需型產業，企業規模多為中、小型，國際競爭力有待提升。為因應全球服務貿易快速發展趨勢，政府將加速發展品牌及人才培育，並結合我國科技優勢，協助產業掌握崛起中的新興市場，擴大服務出口。根據世界貿易組織</w:t>
      </w:r>
      <w:r>
        <w:rPr>
          <w:rFonts w:ascii="標楷體" w:eastAsia="標楷體" w:hAnsi="標楷體"/>
          <w:spacing w:val="4"/>
          <w:kern w:val="0"/>
          <w:sz w:val="28"/>
          <w:szCs w:val="26"/>
        </w:rPr>
        <w:t>(</w:t>
      </w:r>
      <w:r>
        <w:rPr>
          <w:rFonts w:eastAsia="標楷體"/>
          <w:spacing w:val="4"/>
          <w:kern w:val="0"/>
          <w:sz w:val="28"/>
          <w:szCs w:val="26"/>
        </w:rPr>
        <w:t>WTO</w:t>
      </w:r>
      <w:r>
        <w:rPr>
          <w:rFonts w:ascii="標楷體" w:eastAsia="標楷體" w:hAnsi="標楷體"/>
          <w:spacing w:val="4"/>
          <w:kern w:val="0"/>
          <w:sz w:val="28"/>
          <w:szCs w:val="26"/>
        </w:rPr>
        <w:t>)</w:t>
      </w:r>
      <w:r>
        <w:rPr>
          <w:rFonts w:eastAsia="標楷體"/>
          <w:spacing w:val="4"/>
          <w:kern w:val="0"/>
          <w:sz w:val="28"/>
          <w:szCs w:val="26"/>
        </w:rPr>
        <w:t>資料，</w:t>
      </w:r>
      <w:r>
        <w:rPr>
          <w:rFonts w:eastAsia="標楷體"/>
          <w:spacing w:val="4"/>
          <w:kern w:val="0"/>
          <w:sz w:val="28"/>
          <w:szCs w:val="26"/>
        </w:rPr>
        <w:t>100</w:t>
      </w:r>
      <w:r>
        <w:rPr>
          <w:rFonts w:eastAsia="標楷體"/>
          <w:spacing w:val="4"/>
          <w:kern w:val="0"/>
          <w:sz w:val="28"/>
          <w:szCs w:val="26"/>
        </w:rPr>
        <w:t>年臺灣貿易服務出口</w:t>
      </w:r>
      <w:r>
        <w:rPr>
          <w:rFonts w:eastAsia="標楷體"/>
          <w:spacing w:val="4"/>
          <w:kern w:val="0"/>
          <w:sz w:val="28"/>
          <w:szCs w:val="26"/>
        </w:rPr>
        <w:t>460</w:t>
      </w:r>
      <w:r>
        <w:rPr>
          <w:rFonts w:eastAsia="標楷體"/>
          <w:spacing w:val="4"/>
          <w:kern w:val="0"/>
          <w:sz w:val="28"/>
          <w:szCs w:val="26"/>
        </w:rPr>
        <w:t>億美元，全球排名第</w:t>
      </w:r>
      <w:r>
        <w:rPr>
          <w:rFonts w:eastAsia="標楷體"/>
          <w:spacing w:val="4"/>
          <w:kern w:val="0"/>
          <w:sz w:val="28"/>
          <w:szCs w:val="26"/>
        </w:rPr>
        <w:t>24</w:t>
      </w:r>
      <w:r>
        <w:rPr>
          <w:rFonts w:eastAsia="標楷體"/>
          <w:spacing w:val="4"/>
          <w:kern w:val="0"/>
          <w:sz w:val="28"/>
          <w:szCs w:val="26"/>
        </w:rPr>
        <w:t>名，占全球比重僅</w:t>
      </w:r>
      <w:r>
        <w:rPr>
          <w:rFonts w:eastAsia="標楷體"/>
          <w:spacing w:val="4"/>
          <w:kern w:val="0"/>
          <w:sz w:val="28"/>
          <w:szCs w:val="26"/>
        </w:rPr>
        <w:t>1.1%</w:t>
      </w:r>
      <w:r>
        <w:rPr>
          <w:rFonts w:eastAsia="標楷體"/>
          <w:spacing w:val="4"/>
          <w:kern w:val="0"/>
          <w:sz w:val="28"/>
          <w:szCs w:val="26"/>
        </w:rPr>
        <w:t>。</w:t>
      </w:r>
    </w:p>
    <w:p w14:paraId="0547833A" w14:textId="77777777" w:rsidR="00052596" w:rsidRDefault="00000000">
      <w:pPr>
        <w:overflowPunct w:val="0"/>
        <w:autoSpaceDE w:val="0"/>
        <w:snapToGrid w:val="0"/>
        <w:spacing w:before="120" w:after="120" w:line="280" w:lineRule="exact"/>
        <w:jc w:val="center"/>
        <w:textAlignment w:val="center"/>
        <w:rPr>
          <w:rFonts w:eastAsia="標楷體"/>
          <w:b/>
          <w:color w:val="0000FF"/>
          <w:kern w:val="0"/>
          <w:sz w:val="25"/>
          <w:szCs w:val="22"/>
        </w:rPr>
      </w:pPr>
      <w:r>
        <w:rPr>
          <w:rFonts w:eastAsia="標楷體"/>
          <w:b/>
          <w:color w:val="0000FF"/>
          <w:kern w:val="0"/>
          <w:sz w:val="25"/>
          <w:szCs w:val="22"/>
        </w:rPr>
        <w:t>表</w:t>
      </w:r>
      <w:r>
        <w:rPr>
          <w:rFonts w:eastAsia="標楷體"/>
          <w:b/>
          <w:color w:val="0000FF"/>
          <w:kern w:val="0"/>
          <w:sz w:val="25"/>
          <w:szCs w:val="22"/>
        </w:rPr>
        <w:t>1.2.7</w:t>
      </w:r>
      <w:r>
        <w:rPr>
          <w:rFonts w:eastAsia="標楷體"/>
          <w:b/>
          <w:color w:val="0000FF"/>
          <w:kern w:val="0"/>
          <w:sz w:val="25"/>
          <w:szCs w:val="22"/>
        </w:rPr>
        <w:t xml:space="preserve">　服務業生產與結構變化</w:t>
      </w:r>
    </w:p>
    <w:tbl>
      <w:tblPr>
        <w:tblW w:w="8967" w:type="dxa"/>
        <w:jc w:val="center"/>
        <w:tblLayout w:type="fixed"/>
        <w:tblCellMar>
          <w:left w:w="10" w:type="dxa"/>
          <w:right w:w="10" w:type="dxa"/>
        </w:tblCellMar>
        <w:tblLook w:val="04A0" w:firstRow="1" w:lastRow="0" w:firstColumn="1" w:lastColumn="0" w:noHBand="0" w:noVBand="1"/>
      </w:tblPr>
      <w:tblGrid>
        <w:gridCol w:w="2573"/>
        <w:gridCol w:w="917"/>
        <w:gridCol w:w="917"/>
        <w:gridCol w:w="1196"/>
        <w:gridCol w:w="1011"/>
        <w:gridCol w:w="1011"/>
        <w:gridCol w:w="1342"/>
      </w:tblGrid>
      <w:tr w:rsidR="00052596" w14:paraId="26CCE82D" w14:textId="77777777">
        <w:tblPrEx>
          <w:tblCellMar>
            <w:top w:w="0" w:type="dxa"/>
            <w:bottom w:w="0" w:type="dxa"/>
          </w:tblCellMar>
        </w:tblPrEx>
        <w:trPr>
          <w:trHeight w:val="361"/>
          <w:jc w:val="center"/>
        </w:trPr>
        <w:tc>
          <w:tcPr>
            <w:tcW w:w="2573" w:type="dxa"/>
            <w:vMerge w:val="restart"/>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2381FC99" w14:textId="77777777" w:rsidR="00052596" w:rsidRDefault="00000000">
            <w:pPr>
              <w:widowControl/>
              <w:autoSpaceDE w:val="0"/>
              <w:spacing w:line="240" w:lineRule="exact"/>
              <w:jc w:val="center"/>
              <w:rPr>
                <w:rFonts w:eastAsia="標楷體"/>
                <w:kern w:val="0"/>
                <w:szCs w:val="24"/>
              </w:rPr>
            </w:pPr>
            <w:r>
              <w:rPr>
                <w:rFonts w:eastAsia="標楷體"/>
                <w:kern w:val="0"/>
                <w:szCs w:val="24"/>
              </w:rPr>
              <w:t>業別</w:t>
            </w:r>
          </w:p>
        </w:tc>
        <w:tc>
          <w:tcPr>
            <w:tcW w:w="3030" w:type="dxa"/>
            <w:gridSpan w:val="3"/>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CC439B8" w14:textId="77777777" w:rsidR="00052596" w:rsidRDefault="00000000">
            <w:pPr>
              <w:widowControl/>
              <w:autoSpaceDE w:val="0"/>
              <w:spacing w:line="240" w:lineRule="exact"/>
              <w:jc w:val="center"/>
            </w:pPr>
            <w:r>
              <w:rPr>
                <w:rFonts w:eastAsia="標楷體"/>
                <w:kern w:val="0"/>
                <w:szCs w:val="24"/>
              </w:rPr>
              <w:t>占服務業名目</w:t>
            </w:r>
            <w:r>
              <w:rPr>
                <w:rFonts w:eastAsia="標楷體"/>
                <w:kern w:val="0"/>
                <w:szCs w:val="24"/>
              </w:rPr>
              <w:t>GDP</w:t>
            </w:r>
            <w:r>
              <w:rPr>
                <w:rFonts w:eastAsia="標楷體"/>
                <w:kern w:val="0"/>
                <w:szCs w:val="24"/>
              </w:rPr>
              <w:t>比重</w:t>
            </w:r>
            <w:r>
              <w:rPr>
                <w:rFonts w:ascii="標楷體" w:eastAsia="標楷體" w:hAnsi="標楷體"/>
                <w:kern w:val="0"/>
                <w:szCs w:val="24"/>
              </w:rPr>
              <w:t>(</w:t>
            </w:r>
            <w:r>
              <w:rPr>
                <w:rFonts w:eastAsia="標楷體"/>
                <w:kern w:val="0"/>
                <w:szCs w:val="24"/>
              </w:rPr>
              <w:t>%</w:t>
            </w:r>
            <w:r>
              <w:rPr>
                <w:rFonts w:ascii="標楷體" w:eastAsia="標楷體" w:hAnsi="標楷體"/>
                <w:kern w:val="0"/>
                <w:szCs w:val="24"/>
              </w:rPr>
              <w:t>)</w:t>
            </w:r>
          </w:p>
        </w:tc>
        <w:tc>
          <w:tcPr>
            <w:tcW w:w="3364" w:type="dxa"/>
            <w:gridSpan w:val="3"/>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1EE73444" w14:textId="77777777" w:rsidR="00052596" w:rsidRDefault="00000000">
            <w:pPr>
              <w:widowControl/>
              <w:autoSpaceDE w:val="0"/>
              <w:spacing w:line="240" w:lineRule="exact"/>
              <w:jc w:val="center"/>
            </w:pPr>
            <w:r>
              <w:rPr>
                <w:rFonts w:eastAsia="標楷體"/>
                <w:kern w:val="0"/>
                <w:szCs w:val="24"/>
              </w:rPr>
              <w:t>實質</w:t>
            </w:r>
            <w:r>
              <w:rPr>
                <w:rFonts w:eastAsia="標楷體"/>
                <w:kern w:val="0"/>
                <w:szCs w:val="24"/>
              </w:rPr>
              <w:t>GDP</w:t>
            </w:r>
            <w:r>
              <w:rPr>
                <w:rFonts w:ascii="標楷體" w:eastAsia="標楷體" w:hAnsi="標楷體"/>
                <w:kern w:val="0"/>
                <w:szCs w:val="24"/>
              </w:rPr>
              <w:t>(</w:t>
            </w:r>
            <w:r>
              <w:rPr>
                <w:rFonts w:eastAsia="標楷體"/>
                <w:kern w:val="0"/>
                <w:szCs w:val="24"/>
              </w:rPr>
              <w:t>億元</w:t>
            </w:r>
            <w:r>
              <w:rPr>
                <w:rFonts w:ascii="標楷體" w:eastAsia="標楷體" w:hAnsi="標楷體"/>
                <w:kern w:val="0"/>
                <w:szCs w:val="24"/>
              </w:rPr>
              <w:t>)</w:t>
            </w:r>
          </w:p>
        </w:tc>
      </w:tr>
      <w:tr w:rsidR="00052596" w14:paraId="489A8553" w14:textId="77777777">
        <w:tblPrEx>
          <w:tblCellMar>
            <w:top w:w="0" w:type="dxa"/>
            <w:bottom w:w="0" w:type="dxa"/>
          </w:tblCellMar>
        </w:tblPrEx>
        <w:trPr>
          <w:trHeight w:val="830"/>
          <w:jc w:val="center"/>
        </w:trPr>
        <w:tc>
          <w:tcPr>
            <w:tcW w:w="2573" w:type="dxa"/>
            <w:vMerge/>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1DF3C72A" w14:textId="77777777" w:rsidR="00052596" w:rsidRDefault="00052596">
            <w:pPr>
              <w:widowControl/>
              <w:autoSpaceDE w:val="0"/>
              <w:spacing w:line="240" w:lineRule="exact"/>
              <w:rPr>
                <w:rFonts w:eastAsia="標楷體"/>
                <w:kern w:val="0"/>
                <w:sz w:val="22"/>
                <w:szCs w:val="22"/>
              </w:rPr>
            </w:pPr>
          </w:p>
        </w:tc>
        <w:tc>
          <w:tcPr>
            <w:tcW w:w="917"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2C2C4E4E" w14:textId="77777777" w:rsidR="00052596" w:rsidRDefault="00000000">
            <w:pPr>
              <w:widowControl/>
              <w:autoSpaceDE w:val="0"/>
              <w:spacing w:line="240" w:lineRule="exact"/>
              <w:jc w:val="center"/>
              <w:rPr>
                <w:rFonts w:eastAsia="標楷體"/>
                <w:kern w:val="0"/>
                <w:szCs w:val="24"/>
              </w:rPr>
            </w:pPr>
            <w:r>
              <w:rPr>
                <w:rFonts w:eastAsia="標楷體"/>
                <w:kern w:val="0"/>
                <w:szCs w:val="24"/>
              </w:rPr>
              <w:t>91</w:t>
            </w:r>
            <w:r>
              <w:rPr>
                <w:rFonts w:eastAsia="標楷體"/>
                <w:kern w:val="0"/>
                <w:szCs w:val="24"/>
              </w:rPr>
              <w:t>年</w:t>
            </w:r>
          </w:p>
        </w:tc>
        <w:tc>
          <w:tcPr>
            <w:tcW w:w="917"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AC4DB15" w14:textId="77777777" w:rsidR="00052596" w:rsidRDefault="00000000">
            <w:pPr>
              <w:widowControl/>
              <w:autoSpaceDE w:val="0"/>
              <w:spacing w:line="240" w:lineRule="exact"/>
              <w:jc w:val="center"/>
              <w:rPr>
                <w:rFonts w:eastAsia="標楷體"/>
                <w:kern w:val="0"/>
                <w:szCs w:val="24"/>
              </w:rPr>
            </w:pPr>
            <w:r>
              <w:rPr>
                <w:rFonts w:eastAsia="標楷體"/>
                <w:kern w:val="0"/>
                <w:szCs w:val="24"/>
              </w:rPr>
              <w:t>100</w:t>
            </w:r>
            <w:r>
              <w:rPr>
                <w:rFonts w:eastAsia="標楷體"/>
                <w:kern w:val="0"/>
                <w:szCs w:val="24"/>
              </w:rPr>
              <w:t>年</w:t>
            </w:r>
          </w:p>
        </w:tc>
        <w:tc>
          <w:tcPr>
            <w:tcW w:w="1196" w:type="dxa"/>
            <w:tcBorders>
              <w:top w:val="single" w:sz="6" w:space="0" w:color="000000"/>
              <w:left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2D1578D1" w14:textId="77777777" w:rsidR="00052596" w:rsidRDefault="00000000">
            <w:pPr>
              <w:widowControl/>
              <w:autoSpaceDE w:val="0"/>
              <w:spacing w:line="260" w:lineRule="exact"/>
              <w:jc w:val="center"/>
              <w:rPr>
                <w:rFonts w:eastAsia="標楷體"/>
                <w:kern w:val="0"/>
                <w:szCs w:val="24"/>
              </w:rPr>
            </w:pPr>
            <w:r>
              <w:rPr>
                <w:rFonts w:eastAsia="標楷體"/>
                <w:kern w:val="0"/>
                <w:szCs w:val="24"/>
              </w:rPr>
              <w:t>100</w:t>
            </w:r>
            <w:r>
              <w:rPr>
                <w:rFonts w:eastAsia="標楷體"/>
                <w:kern w:val="0"/>
                <w:szCs w:val="24"/>
              </w:rPr>
              <w:t>與</w:t>
            </w:r>
            <w:r>
              <w:rPr>
                <w:rFonts w:eastAsia="標楷體"/>
                <w:kern w:val="0"/>
                <w:szCs w:val="24"/>
              </w:rPr>
              <w:t>91</w:t>
            </w:r>
            <w:r>
              <w:rPr>
                <w:rFonts w:eastAsia="標楷體"/>
                <w:kern w:val="0"/>
                <w:szCs w:val="24"/>
              </w:rPr>
              <w:t>年比較</w:t>
            </w:r>
          </w:p>
          <w:p w14:paraId="2BC8A8A4" w14:textId="77777777" w:rsidR="00052596" w:rsidRDefault="00000000">
            <w:pPr>
              <w:widowControl/>
              <w:autoSpaceDE w:val="0"/>
              <w:spacing w:line="260" w:lineRule="exact"/>
              <w:jc w:val="center"/>
            </w:pPr>
            <w:r>
              <w:rPr>
                <w:rFonts w:ascii="標楷體" w:eastAsia="標楷體" w:hAnsi="標楷體"/>
                <w:spacing w:val="4"/>
                <w:kern w:val="0"/>
                <w:szCs w:val="24"/>
              </w:rPr>
              <w:t>(百分點)</w:t>
            </w:r>
          </w:p>
        </w:tc>
        <w:tc>
          <w:tcPr>
            <w:tcW w:w="1011"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BFA76B1" w14:textId="77777777" w:rsidR="00052596" w:rsidRDefault="00000000">
            <w:pPr>
              <w:widowControl/>
              <w:autoSpaceDE w:val="0"/>
              <w:spacing w:line="240" w:lineRule="exact"/>
              <w:jc w:val="center"/>
              <w:rPr>
                <w:rFonts w:eastAsia="標楷體"/>
                <w:kern w:val="0"/>
                <w:szCs w:val="24"/>
              </w:rPr>
            </w:pPr>
            <w:r>
              <w:rPr>
                <w:rFonts w:eastAsia="標楷體"/>
                <w:kern w:val="0"/>
                <w:szCs w:val="24"/>
              </w:rPr>
              <w:t>91</w:t>
            </w:r>
            <w:r>
              <w:rPr>
                <w:rFonts w:eastAsia="標楷體"/>
                <w:kern w:val="0"/>
                <w:szCs w:val="24"/>
              </w:rPr>
              <w:t>年</w:t>
            </w:r>
          </w:p>
        </w:tc>
        <w:tc>
          <w:tcPr>
            <w:tcW w:w="1011" w:type="dxa"/>
            <w:tcBorders>
              <w:top w:val="single" w:sz="6" w:space="0" w:color="000000"/>
              <w:left w:val="single" w:sz="6" w:space="0" w:color="000000"/>
              <w:bottom w:val="single" w:sz="6" w:space="0" w:color="000000"/>
              <w:right w:val="single" w:sz="6" w:space="0" w:color="000000"/>
            </w:tcBorders>
            <w:shd w:val="clear" w:color="auto" w:fill="EFFFEF"/>
            <w:tcMar>
              <w:top w:w="0" w:type="dxa"/>
              <w:left w:w="28" w:type="dxa"/>
              <w:bottom w:w="0" w:type="dxa"/>
              <w:right w:w="28" w:type="dxa"/>
            </w:tcMar>
            <w:vAlign w:val="center"/>
          </w:tcPr>
          <w:p w14:paraId="62A83958" w14:textId="77777777" w:rsidR="00052596" w:rsidRDefault="00000000">
            <w:pPr>
              <w:widowControl/>
              <w:autoSpaceDE w:val="0"/>
              <w:spacing w:line="240" w:lineRule="exact"/>
              <w:jc w:val="center"/>
              <w:rPr>
                <w:rFonts w:eastAsia="標楷體"/>
                <w:kern w:val="0"/>
                <w:szCs w:val="24"/>
              </w:rPr>
            </w:pPr>
            <w:r>
              <w:rPr>
                <w:rFonts w:eastAsia="標楷體"/>
                <w:kern w:val="0"/>
                <w:szCs w:val="24"/>
              </w:rPr>
              <w:t>100</w:t>
            </w:r>
            <w:r>
              <w:rPr>
                <w:rFonts w:eastAsia="標楷體"/>
                <w:kern w:val="0"/>
                <w:szCs w:val="24"/>
              </w:rPr>
              <w:t>年</w:t>
            </w:r>
          </w:p>
        </w:tc>
        <w:tc>
          <w:tcPr>
            <w:tcW w:w="1342" w:type="dxa"/>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6AACC506" w14:textId="77777777" w:rsidR="00052596" w:rsidRDefault="00000000">
            <w:pPr>
              <w:widowControl/>
              <w:autoSpaceDE w:val="0"/>
              <w:spacing w:line="260" w:lineRule="exact"/>
              <w:jc w:val="center"/>
              <w:rPr>
                <w:rFonts w:eastAsia="標楷體"/>
                <w:kern w:val="0"/>
                <w:szCs w:val="24"/>
              </w:rPr>
            </w:pPr>
            <w:r>
              <w:rPr>
                <w:rFonts w:eastAsia="標楷體"/>
                <w:kern w:val="0"/>
                <w:szCs w:val="24"/>
              </w:rPr>
              <w:t>91</w:t>
            </w:r>
            <w:r>
              <w:rPr>
                <w:rFonts w:eastAsia="標楷體"/>
                <w:kern w:val="0"/>
                <w:szCs w:val="24"/>
              </w:rPr>
              <w:t>至</w:t>
            </w:r>
            <w:r>
              <w:rPr>
                <w:rFonts w:eastAsia="標楷體"/>
                <w:kern w:val="0"/>
                <w:szCs w:val="24"/>
              </w:rPr>
              <w:t>100</w:t>
            </w:r>
            <w:r>
              <w:rPr>
                <w:rFonts w:eastAsia="標楷體"/>
                <w:kern w:val="0"/>
                <w:szCs w:val="24"/>
              </w:rPr>
              <w:t>年</w:t>
            </w:r>
            <w:r>
              <w:rPr>
                <w:rFonts w:eastAsia="標楷體"/>
                <w:kern w:val="0"/>
                <w:szCs w:val="24"/>
              </w:rPr>
              <w:br/>
            </w:r>
            <w:r>
              <w:rPr>
                <w:rFonts w:eastAsia="標楷體"/>
                <w:kern w:val="0"/>
                <w:szCs w:val="24"/>
              </w:rPr>
              <w:t>平均成長率</w:t>
            </w:r>
          </w:p>
          <w:p w14:paraId="010F7224" w14:textId="77777777" w:rsidR="00052596" w:rsidRDefault="00000000">
            <w:pPr>
              <w:widowControl/>
              <w:autoSpaceDE w:val="0"/>
              <w:spacing w:line="260" w:lineRule="exact"/>
              <w:jc w:val="center"/>
            </w:pPr>
            <w:r>
              <w:rPr>
                <w:rFonts w:ascii="標楷體" w:eastAsia="標楷體" w:hAnsi="標楷體"/>
                <w:kern w:val="0"/>
                <w:szCs w:val="24"/>
              </w:rPr>
              <w:t>(</w:t>
            </w:r>
            <w:r>
              <w:rPr>
                <w:rFonts w:eastAsia="標楷體"/>
                <w:kern w:val="0"/>
                <w:szCs w:val="24"/>
              </w:rPr>
              <w:t>%</w:t>
            </w:r>
            <w:r>
              <w:rPr>
                <w:rFonts w:ascii="標楷體" w:eastAsia="標楷體" w:hAnsi="標楷體"/>
                <w:kern w:val="0"/>
                <w:szCs w:val="24"/>
              </w:rPr>
              <w:t>)</w:t>
            </w:r>
          </w:p>
        </w:tc>
      </w:tr>
      <w:tr w:rsidR="00052596" w14:paraId="67F700C9" w14:textId="77777777">
        <w:tblPrEx>
          <w:tblCellMar>
            <w:top w:w="0" w:type="dxa"/>
            <w:bottom w:w="0" w:type="dxa"/>
          </w:tblCellMar>
        </w:tblPrEx>
        <w:trPr>
          <w:trHeight w:val="324"/>
          <w:jc w:val="center"/>
        </w:trPr>
        <w:tc>
          <w:tcPr>
            <w:tcW w:w="2573"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6AF9AE79" w14:textId="77777777" w:rsidR="00052596" w:rsidRDefault="00000000">
            <w:pPr>
              <w:widowControl/>
              <w:autoSpaceDE w:val="0"/>
              <w:spacing w:line="240" w:lineRule="exact"/>
              <w:rPr>
                <w:rFonts w:eastAsia="標楷體"/>
                <w:kern w:val="0"/>
                <w:szCs w:val="24"/>
              </w:rPr>
            </w:pPr>
            <w:r>
              <w:rPr>
                <w:rFonts w:eastAsia="標楷體"/>
                <w:kern w:val="0"/>
                <w:szCs w:val="24"/>
              </w:rPr>
              <w:t>服務業</w:t>
            </w:r>
          </w:p>
        </w:tc>
        <w:tc>
          <w:tcPr>
            <w:tcW w:w="917"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7A73DCA" w14:textId="77777777" w:rsidR="00052596" w:rsidRDefault="00000000">
            <w:pPr>
              <w:widowControl/>
              <w:spacing w:line="240" w:lineRule="exact"/>
              <w:ind w:right="120"/>
              <w:jc w:val="right"/>
              <w:rPr>
                <w:rFonts w:eastAsia="標楷體"/>
                <w:kern w:val="0"/>
                <w:szCs w:val="24"/>
              </w:rPr>
            </w:pPr>
            <w:r>
              <w:rPr>
                <w:rFonts w:eastAsia="標楷體"/>
                <w:kern w:val="0"/>
                <w:szCs w:val="24"/>
              </w:rPr>
              <w:t>100.00</w:t>
            </w:r>
          </w:p>
        </w:tc>
        <w:tc>
          <w:tcPr>
            <w:tcW w:w="917"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5FA1C2A" w14:textId="77777777" w:rsidR="00052596" w:rsidRDefault="00000000">
            <w:pPr>
              <w:widowControl/>
              <w:spacing w:line="240" w:lineRule="exact"/>
              <w:ind w:right="120"/>
              <w:jc w:val="right"/>
              <w:rPr>
                <w:rFonts w:eastAsia="標楷體"/>
                <w:kern w:val="0"/>
                <w:szCs w:val="24"/>
              </w:rPr>
            </w:pPr>
            <w:r>
              <w:rPr>
                <w:rFonts w:eastAsia="標楷體"/>
                <w:kern w:val="0"/>
                <w:szCs w:val="24"/>
              </w:rPr>
              <w:t>100.00</w:t>
            </w:r>
          </w:p>
        </w:tc>
        <w:tc>
          <w:tcPr>
            <w:tcW w:w="119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717506C" w14:textId="77777777" w:rsidR="00052596" w:rsidRDefault="00000000">
            <w:pPr>
              <w:widowControl/>
              <w:spacing w:line="240" w:lineRule="exact"/>
              <w:jc w:val="center"/>
              <w:rPr>
                <w:rFonts w:eastAsia="標楷體"/>
                <w:kern w:val="0"/>
                <w:szCs w:val="24"/>
              </w:rPr>
            </w:pPr>
            <w:r>
              <w:rPr>
                <w:rFonts w:eastAsia="標楷體"/>
                <w:kern w:val="0"/>
                <w:szCs w:val="24"/>
              </w:rPr>
              <w:t>－</w:t>
            </w:r>
          </w:p>
        </w:tc>
        <w:tc>
          <w:tcPr>
            <w:tcW w:w="1011"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4751EEB" w14:textId="77777777" w:rsidR="00052596" w:rsidRDefault="00000000">
            <w:pPr>
              <w:widowControl/>
              <w:spacing w:line="240" w:lineRule="exact"/>
              <w:ind w:right="144"/>
              <w:jc w:val="right"/>
              <w:rPr>
                <w:rFonts w:eastAsia="標楷體"/>
                <w:kern w:val="0"/>
                <w:szCs w:val="24"/>
              </w:rPr>
            </w:pPr>
            <w:r>
              <w:rPr>
                <w:rFonts w:eastAsia="標楷體"/>
                <w:kern w:val="0"/>
                <w:szCs w:val="24"/>
              </w:rPr>
              <w:t>70,305</w:t>
            </w:r>
          </w:p>
        </w:tc>
        <w:tc>
          <w:tcPr>
            <w:tcW w:w="1011"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C2FF57E" w14:textId="77777777" w:rsidR="00052596" w:rsidRDefault="00000000">
            <w:pPr>
              <w:widowControl/>
              <w:spacing w:line="240" w:lineRule="exact"/>
              <w:ind w:right="144"/>
              <w:jc w:val="right"/>
              <w:rPr>
                <w:rFonts w:eastAsia="標楷體"/>
                <w:kern w:val="0"/>
                <w:szCs w:val="24"/>
              </w:rPr>
            </w:pPr>
            <w:r>
              <w:rPr>
                <w:rFonts w:eastAsia="標楷體"/>
                <w:kern w:val="0"/>
                <w:szCs w:val="24"/>
              </w:rPr>
              <w:t>93,654</w:t>
            </w:r>
          </w:p>
        </w:tc>
        <w:tc>
          <w:tcPr>
            <w:tcW w:w="1342" w:type="dxa"/>
            <w:tcBorders>
              <w:top w:val="single" w:sz="6" w:space="0" w:color="000000"/>
              <w:left w:val="single" w:sz="6" w:space="0" w:color="000000"/>
            </w:tcBorders>
            <w:shd w:val="clear" w:color="auto" w:fill="FFF0E1"/>
            <w:noWrap/>
            <w:tcMar>
              <w:top w:w="0" w:type="dxa"/>
              <w:left w:w="28" w:type="dxa"/>
              <w:bottom w:w="0" w:type="dxa"/>
              <w:right w:w="28" w:type="dxa"/>
            </w:tcMar>
            <w:vAlign w:val="center"/>
          </w:tcPr>
          <w:p w14:paraId="26E98744" w14:textId="77777777" w:rsidR="00052596" w:rsidRDefault="00000000">
            <w:pPr>
              <w:widowControl/>
              <w:spacing w:line="240" w:lineRule="exact"/>
              <w:jc w:val="center"/>
              <w:rPr>
                <w:rFonts w:eastAsia="標楷體"/>
                <w:kern w:val="0"/>
                <w:szCs w:val="24"/>
              </w:rPr>
            </w:pPr>
            <w:r>
              <w:rPr>
                <w:rFonts w:eastAsia="標楷體"/>
                <w:kern w:val="0"/>
                <w:szCs w:val="24"/>
              </w:rPr>
              <w:t>3.20</w:t>
            </w:r>
          </w:p>
        </w:tc>
      </w:tr>
      <w:tr w:rsidR="00052596" w14:paraId="406AF2D8"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09E60AFF" w14:textId="77777777" w:rsidR="00052596" w:rsidRDefault="00000000">
            <w:pPr>
              <w:widowControl/>
              <w:autoSpaceDE w:val="0"/>
              <w:spacing w:line="240" w:lineRule="exact"/>
              <w:rPr>
                <w:rFonts w:eastAsia="標楷體"/>
                <w:kern w:val="0"/>
                <w:szCs w:val="24"/>
              </w:rPr>
            </w:pPr>
            <w:r>
              <w:rPr>
                <w:rFonts w:eastAsia="標楷體"/>
                <w:kern w:val="0"/>
                <w:szCs w:val="24"/>
              </w:rPr>
              <w:t xml:space="preserve">  </w:t>
            </w:r>
            <w:r>
              <w:rPr>
                <w:rFonts w:eastAsia="標楷體"/>
                <w:kern w:val="0"/>
                <w:szCs w:val="24"/>
              </w:rPr>
              <w:t>批發及零售業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940824C" w14:textId="77777777" w:rsidR="00052596" w:rsidRDefault="00000000">
            <w:pPr>
              <w:widowControl/>
              <w:spacing w:line="240" w:lineRule="exact"/>
              <w:ind w:right="120"/>
              <w:jc w:val="right"/>
              <w:rPr>
                <w:rFonts w:eastAsia="標楷體"/>
                <w:kern w:val="0"/>
                <w:szCs w:val="24"/>
              </w:rPr>
            </w:pPr>
            <w:r>
              <w:rPr>
                <w:rFonts w:eastAsia="標楷體"/>
                <w:kern w:val="0"/>
                <w:szCs w:val="24"/>
              </w:rPr>
              <w:t>24.80</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AD37727" w14:textId="77777777" w:rsidR="00052596" w:rsidRDefault="00000000">
            <w:pPr>
              <w:widowControl/>
              <w:spacing w:line="240" w:lineRule="exact"/>
              <w:ind w:right="120"/>
              <w:jc w:val="right"/>
              <w:rPr>
                <w:rFonts w:eastAsia="標楷體"/>
                <w:kern w:val="0"/>
                <w:szCs w:val="24"/>
              </w:rPr>
            </w:pPr>
            <w:r>
              <w:rPr>
                <w:rFonts w:eastAsia="標楷體"/>
                <w:kern w:val="0"/>
                <w:szCs w:val="24"/>
              </w:rPr>
              <w:t>27.56</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D8EC8F8" w14:textId="77777777" w:rsidR="00052596" w:rsidRDefault="00000000">
            <w:pPr>
              <w:widowControl/>
              <w:spacing w:line="240" w:lineRule="exact"/>
              <w:ind w:right="360"/>
              <w:jc w:val="right"/>
              <w:rPr>
                <w:rFonts w:eastAsia="標楷體"/>
                <w:kern w:val="0"/>
                <w:szCs w:val="24"/>
              </w:rPr>
            </w:pPr>
            <w:r>
              <w:rPr>
                <w:rFonts w:eastAsia="標楷體"/>
                <w:kern w:val="0"/>
                <w:szCs w:val="24"/>
              </w:rPr>
              <w:t>2.76</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9C0959B" w14:textId="77777777" w:rsidR="00052596" w:rsidRDefault="00000000">
            <w:pPr>
              <w:widowControl/>
              <w:spacing w:line="240" w:lineRule="exact"/>
              <w:ind w:right="144"/>
              <w:jc w:val="right"/>
              <w:rPr>
                <w:rFonts w:eastAsia="標楷體"/>
                <w:kern w:val="0"/>
                <w:szCs w:val="24"/>
              </w:rPr>
            </w:pPr>
            <w:r>
              <w:rPr>
                <w:rFonts w:eastAsia="標楷體"/>
                <w:kern w:val="0"/>
                <w:szCs w:val="24"/>
              </w:rPr>
              <w:t>18,080</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C382809" w14:textId="77777777" w:rsidR="00052596" w:rsidRDefault="00000000">
            <w:pPr>
              <w:widowControl/>
              <w:spacing w:line="240" w:lineRule="exact"/>
              <w:ind w:right="144"/>
              <w:jc w:val="right"/>
              <w:rPr>
                <w:rFonts w:eastAsia="標楷體"/>
                <w:kern w:val="0"/>
                <w:szCs w:val="24"/>
              </w:rPr>
            </w:pPr>
            <w:r>
              <w:rPr>
                <w:rFonts w:eastAsia="標楷體"/>
                <w:kern w:val="0"/>
                <w:szCs w:val="24"/>
              </w:rPr>
              <w:t>25,640</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7164BB1B" w14:textId="77777777" w:rsidR="00052596" w:rsidRDefault="00000000">
            <w:pPr>
              <w:widowControl/>
              <w:spacing w:line="240" w:lineRule="exact"/>
              <w:jc w:val="center"/>
              <w:rPr>
                <w:rFonts w:eastAsia="標楷體"/>
                <w:kern w:val="0"/>
                <w:szCs w:val="24"/>
              </w:rPr>
            </w:pPr>
            <w:r>
              <w:rPr>
                <w:rFonts w:eastAsia="標楷體"/>
                <w:kern w:val="0"/>
                <w:szCs w:val="24"/>
              </w:rPr>
              <w:t>3.85</w:t>
            </w:r>
          </w:p>
        </w:tc>
      </w:tr>
      <w:tr w:rsidR="00052596" w14:paraId="0CB9AB33"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61F32202" w14:textId="77777777" w:rsidR="00052596" w:rsidRDefault="00000000">
            <w:pPr>
              <w:widowControl/>
              <w:autoSpaceDE w:val="0"/>
              <w:spacing w:line="240" w:lineRule="exact"/>
              <w:rPr>
                <w:rFonts w:eastAsia="標楷體"/>
                <w:kern w:val="0"/>
                <w:szCs w:val="24"/>
              </w:rPr>
            </w:pPr>
            <w:r>
              <w:rPr>
                <w:rFonts w:eastAsia="標楷體"/>
                <w:kern w:val="0"/>
                <w:szCs w:val="24"/>
              </w:rPr>
              <w:t xml:space="preserve">  </w:t>
            </w:r>
            <w:r>
              <w:rPr>
                <w:rFonts w:eastAsia="標楷體"/>
                <w:kern w:val="0"/>
                <w:szCs w:val="24"/>
              </w:rPr>
              <w:t>運輸及倉儲業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76C82E3" w14:textId="77777777" w:rsidR="00052596" w:rsidRDefault="00000000">
            <w:pPr>
              <w:widowControl/>
              <w:spacing w:line="240" w:lineRule="exact"/>
              <w:ind w:right="120"/>
              <w:jc w:val="right"/>
              <w:rPr>
                <w:rFonts w:eastAsia="標楷體"/>
                <w:kern w:val="0"/>
                <w:szCs w:val="24"/>
              </w:rPr>
            </w:pPr>
            <w:r>
              <w:rPr>
                <w:rFonts w:eastAsia="標楷體"/>
                <w:kern w:val="0"/>
                <w:szCs w:val="24"/>
              </w:rPr>
              <w:t>6.00</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8E62857" w14:textId="77777777" w:rsidR="00052596" w:rsidRDefault="00000000">
            <w:pPr>
              <w:widowControl/>
              <w:spacing w:line="240" w:lineRule="exact"/>
              <w:ind w:right="120"/>
              <w:jc w:val="right"/>
              <w:rPr>
                <w:rFonts w:eastAsia="標楷體"/>
                <w:kern w:val="0"/>
                <w:szCs w:val="24"/>
              </w:rPr>
            </w:pPr>
            <w:r>
              <w:rPr>
                <w:rFonts w:eastAsia="標楷體"/>
                <w:kern w:val="0"/>
                <w:szCs w:val="24"/>
              </w:rPr>
              <w:t>4.37</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0A65E56" w14:textId="77777777" w:rsidR="00052596" w:rsidRDefault="00000000">
            <w:pPr>
              <w:widowControl/>
              <w:spacing w:line="240" w:lineRule="exact"/>
              <w:ind w:right="360"/>
              <w:jc w:val="right"/>
              <w:rPr>
                <w:rFonts w:eastAsia="標楷體"/>
                <w:kern w:val="0"/>
                <w:szCs w:val="24"/>
              </w:rPr>
            </w:pPr>
            <w:r>
              <w:rPr>
                <w:rFonts w:eastAsia="標楷體"/>
                <w:kern w:val="0"/>
                <w:szCs w:val="24"/>
              </w:rPr>
              <w:t>-1.63</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97DBCB8" w14:textId="77777777" w:rsidR="00052596" w:rsidRDefault="00000000">
            <w:pPr>
              <w:widowControl/>
              <w:spacing w:line="240" w:lineRule="exact"/>
              <w:ind w:right="144"/>
              <w:jc w:val="right"/>
              <w:rPr>
                <w:rFonts w:eastAsia="標楷體"/>
                <w:kern w:val="0"/>
                <w:szCs w:val="24"/>
              </w:rPr>
            </w:pPr>
            <w:r>
              <w:rPr>
                <w:rFonts w:eastAsia="標楷體"/>
                <w:kern w:val="0"/>
                <w:szCs w:val="24"/>
              </w:rPr>
              <w:t>3,539</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7BDB084" w14:textId="77777777" w:rsidR="00052596" w:rsidRDefault="00000000">
            <w:pPr>
              <w:widowControl/>
              <w:spacing w:line="240" w:lineRule="exact"/>
              <w:ind w:right="144"/>
              <w:jc w:val="right"/>
              <w:rPr>
                <w:rFonts w:eastAsia="標楷體"/>
                <w:kern w:val="0"/>
                <w:szCs w:val="24"/>
              </w:rPr>
            </w:pPr>
            <w:r>
              <w:rPr>
                <w:rFonts w:eastAsia="標楷體"/>
                <w:kern w:val="0"/>
                <w:szCs w:val="24"/>
              </w:rPr>
              <w:t>4,426</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23299158" w14:textId="77777777" w:rsidR="00052596" w:rsidRDefault="00000000">
            <w:pPr>
              <w:widowControl/>
              <w:spacing w:line="240" w:lineRule="exact"/>
              <w:jc w:val="center"/>
              <w:rPr>
                <w:rFonts w:eastAsia="標楷體"/>
                <w:kern w:val="0"/>
                <w:szCs w:val="24"/>
              </w:rPr>
            </w:pPr>
            <w:r>
              <w:rPr>
                <w:rFonts w:eastAsia="標楷體"/>
                <w:kern w:val="0"/>
                <w:szCs w:val="24"/>
              </w:rPr>
              <w:t>2.55</w:t>
            </w:r>
          </w:p>
        </w:tc>
      </w:tr>
      <w:tr w:rsidR="00052596" w14:paraId="7FCD4D68"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49E968EB" w14:textId="77777777" w:rsidR="00052596" w:rsidRDefault="00000000">
            <w:pPr>
              <w:widowControl/>
              <w:autoSpaceDE w:val="0"/>
              <w:spacing w:line="240" w:lineRule="exact"/>
              <w:rPr>
                <w:rFonts w:eastAsia="標楷體"/>
                <w:kern w:val="0"/>
                <w:szCs w:val="24"/>
              </w:rPr>
            </w:pPr>
            <w:r>
              <w:rPr>
                <w:rFonts w:eastAsia="標楷體"/>
                <w:kern w:val="0"/>
                <w:szCs w:val="24"/>
              </w:rPr>
              <w:t xml:space="preserve">  </w:t>
            </w:r>
            <w:r>
              <w:rPr>
                <w:rFonts w:eastAsia="標楷體"/>
                <w:kern w:val="0"/>
                <w:szCs w:val="24"/>
              </w:rPr>
              <w:t>住宿及餐飲業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A6ACB5A" w14:textId="77777777" w:rsidR="00052596" w:rsidRDefault="00000000">
            <w:pPr>
              <w:widowControl/>
              <w:spacing w:line="240" w:lineRule="exact"/>
              <w:ind w:right="120"/>
              <w:jc w:val="right"/>
              <w:rPr>
                <w:rFonts w:eastAsia="標楷體"/>
                <w:kern w:val="0"/>
                <w:szCs w:val="24"/>
              </w:rPr>
            </w:pPr>
            <w:r>
              <w:rPr>
                <w:rFonts w:eastAsia="標楷體"/>
                <w:kern w:val="0"/>
                <w:szCs w:val="24"/>
              </w:rPr>
              <w:t>2.95</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E07F638" w14:textId="77777777" w:rsidR="00052596" w:rsidRDefault="00000000">
            <w:pPr>
              <w:widowControl/>
              <w:spacing w:line="240" w:lineRule="exact"/>
              <w:ind w:right="120"/>
              <w:jc w:val="right"/>
              <w:rPr>
                <w:rFonts w:eastAsia="標楷體"/>
                <w:kern w:val="0"/>
                <w:szCs w:val="24"/>
              </w:rPr>
            </w:pPr>
            <w:r>
              <w:rPr>
                <w:rFonts w:eastAsia="標楷體"/>
                <w:kern w:val="0"/>
                <w:szCs w:val="24"/>
              </w:rPr>
              <w:t>3.16</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27D707F" w14:textId="77777777" w:rsidR="00052596" w:rsidRDefault="00000000">
            <w:pPr>
              <w:widowControl/>
              <w:spacing w:line="240" w:lineRule="exact"/>
              <w:ind w:right="360"/>
              <w:jc w:val="right"/>
              <w:rPr>
                <w:rFonts w:eastAsia="標楷體"/>
                <w:kern w:val="0"/>
                <w:szCs w:val="24"/>
              </w:rPr>
            </w:pPr>
            <w:r>
              <w:rPr>
                <w:rFonts w:eastAsia="標楷體"/>
                <w:kern w:val="0"/>
                <w:szCs w:val="24"/>
              </w:rPr>
              <w:t>0.21</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151B426" w14:textId="77777777" w:rsidR="00052596" w:rsidRDefault="00000000">
            <w:pPr>
              <w:widowControl/>
              <w:spacing w:line="240" w:lineRule="exact"/>
              <w:ind w:right="144"/>
              <w:jc w:val="right"/>
              <w:rPr>
                <w:rFonts w:eastAsia="標楷體"/>
                <w:kern w:val="0"/>
                <w:szCs w:val="24"/>
              </w:rPr>
            </w:pPr>
            <w:r>
              <w:rPr>
                <w:rFonts w:eastAsia="標楷體"/>
                <w:kern w:val="0"/>
                <w:szCs w:val="24"/>
              </w:rPr>
              <w:t>2,053</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678BA85" w14:textId="77777777" w:rsidR="00052596" w:rsidRDefault="00000000">
            <w:pPr>
              <w:widowControl/>
              <w:spacing w:line="240" w:lineRule="exact"/>
              <w:ind w:right="144"/>
              <w:jc w:val="right"/>
              <w:rPr>
                <w:rFonts w:eastAsia="標楷體"/>
                <w:kern w:val="0"/>
                <w:szCs w:val="24"/>
              </w:rPr>
            </w:pPr>
            <w:r>
              <w:rPr>
                <w:rFonts w:eastAsia="標楷體"/>
                <w:kern w:val="0"/>
                <w:szCs w:val="24"/>
              </w:rPr>
              <w:t>2,840</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50985A4E" w14:textId="77777777" w:rsidR="00052596" w:rsidRDefault="00000000">
            <w:pPr>
              <w:widowControl/>
              <w:spacing w:line="240" w:lineRule="exact"/>
              <w:jc w:val="center"/>
              <w:rPr>
                <w:rFonts w:eastAsia="標楷體"/>
                <w:kern w:val="0"/>
                <w:szCs w:val="24"/>
              </w:rPr>
            </w:pPr>
            <w:r>
              <w:rPr>
                <w:rFonts w:eastAsia="標楷體"/>
                <w:kern w:val="0"/>
                <w:szCs w:val="24"/>
              </w:rPr>
              <w:t>3.35</w:t>
            </w:r>
          </w:p>
        </w:tc>
      </w:tr>
      <w:tr w:rsidR="00052596" w14:paraId="5BD09782"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021F7E47" w14:textId="77777777" w:rsidR="00052596" w:rsidRDefault="00000000">
            <w:pPr>
              <w:widowControl/>
              <w:autoSpaceDE w:val="0"/>
              <w:spacing w:line="240" w:lineRule="exact"/>
              <w:rPr>
                <w:rFonts w:eastAsia="標楷體"/>
                <w:kern w:val="0"/>
                <w:szCs w:val="24"/>
              </w:rPr>
            </w:pPr>
            <w:r>
              <w:rPr>
                <w:rFonts w:eastAsia="標楷體"/>
                <w:kern w:val="0"/>
                <w:szCs w:val="24"/>
              </w:rPr>
              <w:t xml:space="preserve">  </w:t>
            </w:r>
            <w:r>
              <w:rPr>
                <w:rFonts w:eastAsia="標楷體"/>
                <w:kern w:val="0"/>
                <w:szCs w:val="24"/>
              </w:rPr>
              <w:t>資訊及通訊傳播業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D3C2810" w14:textId="77777777" w:rsidR="00052596" w:rsidRDefault="00000000">
            <w:pPr>
              <w:widowControl/>
              <w:spacing w:line="240" w:lineRule="exact"/>
              <w:ind w:right="120"/>
              <w:jc w:val="right"/>
              <w:rPr>
                <w:rFonts w:eastAsia="標楷體"/>
                <w:kern w:val="0"/>
                <w:szCs w:val="24"/>
              </w:rPr>
            </w:pPr>
            <w:r>
              <w:rPr>
                <w:rFonts w:eastAsia="標楷體"/>
                <w:kern w:val="0"/>
                <w:szCs w:val="24"/>
              </w:rPr>
              <w:t>5.60</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7D99F1E" w14:textId="77777777" w:rsidR="00052596" w:rsidRDefault="00000000">
            <w:pPr>
              <w:widowControl/>
              <w:spacing w:line="240" w:lineRule="exact"/>
              <w:ind w:right="120"/>
              <w:jc w:val="right"/>
              <w:rPr>
                <w:rFonts w:eastAsia="標楷體"/>
                <w:kern w:val="0"/>
                <w:szCs w:val="24"/>
              </w:rPr>
            </w:pPr>
            <w:r>
              <w:rPr>
                <w:rFonts w:eastAsia="標楷體"/>
                <w:kern w:val="0"/>
                <w:szCs w:val="24"/>
              </w:rPr>
              <w:t>5.18</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2BA204C" w14:textId="77777777" w:rsidR="00052596" w:rsidRDefault="00000000">
            <w:pPr>
              <w:widowControl/>
              <w:spacing w:line="240" w:lineRule="exact"/>
              <w:ind w:right="360"/>
              <w:jc w:val="right"/>
              <w:rPr>
                <w:rFonts w:eastAsia="標楷體"/>
                <w:kern w:val="0"/>
                <w:szCs w:val="24"/>
              </w:rPr>
            </w:pPr>
            <w:r>
              <w:rPr>
                <w:rFonts w:eastAsia="標楷體"/>
                <w:kern w:val="0"/>
                <w:szCs w:val="24"/>
              </w:rPr>
              <w:t>-0.42</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975EF6E" w14:textId="77777777" w:rsidR="00052596" w:rsidRDefault="00000000">
            <w:pPr>
              <w:widowControl/>
              <w:spacing w:line="240" w:lineRule="exact"/>
              <w:ind w:right="144"/>
              <w:jc w:val="right"/>
              <w:rPr>
                <w:rFonts w:eastAsia="標楷體"/>
                <w:kern w:val="0"/>
                <w:szCs w:val="24"/>
              </w:rPr>
            </w:pPr>
            <w:r>
              <w:rPr>
                <w:rFonts w:eastAsia="標楷體"/>
                <w:kern w:val="0"/>
                <w:szCs w:val="24"/>
              </w:rPr>
              <w:t>3,541</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C6F3769" w14:textId="77777777" w:rsidR="00052596" w:rsidRDefault="00000000">
            <w:pPr>
              <w:widowControl/>
              <w:spacing w:line="240" w:lineRule="exact"/>
              <w:ind w:right="144"/>
              <w:jc w:val="right"/>
              <w:rPr>
                <w:rFonts w:eastAsia="標楷體"/>
                <w:kern w:val="0"/>
                <w:szCs w:val="24"/>
              </w:rPr>
            </w:pPr>
            <w:r>
              <w:rPr>
                <w:rFonts w:eastAsia="標楷體"/>
                <w:kern w:val="0"/>
                <w:szCs w:val="24"/>
              </w:rPr>
              <w:t>5,347</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61AD98ED" w14:textId="77777777" w:rsidR="00052596" w:rsidRDefault="00000000">
            <w:pPr>
              <w:widowControl/>
              <w:spacing w:line="240" w:lineRule="exact"/>
              <w:jc w:val="center"/>
              <w:rPr>
                <w:rFonts w:eastAsia="標楷體"/>
                <w:kern w:val="0"/>
                <w:szCs w:val="24"/>
              </w:rPr>
            </w:pPr>
            <w:r>
              <w:rPr>
                <w:rFonts w:eastAsia="標楷體"/>
                <w:kern w:val="0"/>
                <w:szCs w:val="24"/>
              </w:rPr>
              <w:t>4.95</w:t>
            </w:r>
          </w:p>
        </w:tc>
      </w:tr>
      <w:tr w:rsidR="00052596" w14:paraId="6B96EFED"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6C514724" w14:textId="77777777" w:rsidR="00052596" w:rsidRDefault="00000000">
            <w:pPr>
              <w:widowControl/>
              <w:autoSpaceDE w:val="0"/>
              <w:spacing w:line="240" w:lineRule="exact"/>
              <w:rPr>
                <w:rFonts w:eastAsia="標楷體"/>
                <w:kern w:val="0"/>
                <w:szCs w:val="24"/>
              </w:rPr>
            </w:pPr>
            <w:r>
              <w:rPr>
                <w:rFonts w:eastAsia="標楷體"/>
                <w:kern w:val="0"/>
                <w:szCs w:val="24"/>
              </w:rPr>
              <w:t xml:space="preserve">  </w:t>
            </w:r>
            <w:r>
              <w:rPr>
                <w:rFonts w:eastAsia="標楷體"/>
                <w:kern w:val="0"/>
                <w:szCs w:val="24"/>
              </w:rPr>
              <w:t>金融及保險業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5232605" w14:textId="77777777" w:rsidR="00052596" w:rsidRDefault="00000000">
            <w:pPr>
              <w:widowControl/>
              <w:spacing w:line="240" w:lineRule="exact"/>
              <w:ind w:right="120"/>
              <w:jc w:val="right"/>
              <w:rPr>
                <w:rFonts w:eastAsia="標楷體"/>
                <w:kern w:val="0"/>
                <w:szCs w:val="24"/>
              </w:rPr>
            </w:pPr>
            <w:r>
              <w:rPr>
                <w:rFonts w:eastAsia="標楷體"/>
                <w:kern w:val="0"/>
                <w:szCs w:val="24"/>
              </w:rPr>
              <w:t>11.83</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0763DB2" w14:textId="77777777" w:rsidR="00052596" w:rsidRDefault="00000000">
            <w:pPr>
              <w:widowControl/>
              <w:spacing w:line="240" w:lineRule="exact"/>
              <w:ind w:right="120"/>
              <w:jc w:val="right"/>
              <w:rPr>
                <w:rFonts w:eastAsia="標楷體"/>
                <w:kern w:val="0"/>
                <w:szCs w:val="24"/>
              </w:rPr>
            </w:pPr>
            <w:r>
              <w:rPr>
                <w:rFonts w:eastAsia="標楷體"/>
                <w:kern w:val="0"/>
                <w:szCs w:val="24"/>
              </w:rPr>
              <w:t>9.51</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329B220" w14:textId="77777777" w:rsidR="00052596" w:rsidRDefault="00000000">
            <w:pPr>
              <w:widowControl/>
              <w:spacing w:line="240" w:lineRule="exact"/>
              <w:ind w:right="360"/>
              <w:jc w:val="right"/>
              <w:rPr>
                <w:rFonts w:eastAsia="標楷體"/>
                <w:kern w:val="0"/>
                <w:szCs w:val="24"/>
              </w:rPr>
            </w:pPr>
            <w:r>
              <w:rPr>
                <w:rFonts w:eastAsia="標楷體"/>
                <w:kern w:val="0"/>
                <w:szCs w:val="24"/>
              </w:rPr>
              <w:t>-2.32</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1A35503" w14:textId="77777777" w:rsidR="00052596" w:rsidRDefault="00000000">
            <w:pPr>
              <w:widowControl/>
              <w:spacing w:line="240" w:lineRule="exact"/>
              <w:ind w:right="144"/>
              <w:jc w:val="right"/>
              <w:rPr>
                <w:rFonts w:eastAsia="標楷體"/>
                <w:kern w:val="0"/>
                <w:szCs w:val="24"/>
              </w:rPr>
            </w:pPr>
            <w:r>
              <w:rPr>
                <w:rFonts w:eastAsia="標楷體"/>
                <w:kern w:val="0"/>
                <w:szCs w:val="24"/>
              </w:rPr>
              <w:t>7,694</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2011055" w14:textId="77777777" w:rsidR="00052596" w:rsidRDefault="00000000">
            <w:pPr>
              <w:widowControl/>
              <w:spacing w:line="240" w:lineRule="exact"/>
              <w:ind w:right="144"/>
              <w:jc w:val="right"/>
              <w:rPr>
                <w:rFonts w:eastAsia="標楷體"/>
                <w:kern w:val="0"/>
                <w:szCs w:val="24"/>
              </w:rPr>
            </w:pPr>
            <w:r>
              <w:rPr>
                <w:rFonts w:eastAsia="標楷體"/>
                <w:kern w:val="0"/>
                <w:szCs w:val="24"/>
              </w:rPr>
              <w:t>9,429</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5DDC6837" w14:textId="77777777" w:rsidR="00052596" w:rsidRDefault="00000000">
            <w:pPr>
              <w:widowControl/>
              <w:spacing w:line="240" w:lineRule="exact"/>
              <w:jc w:val="center"/>
              <w:rPr>
                <w:rFonts w:eastAsia="標楷體"/>
                <w:kern w:val="0"/>
                <w:szCs w:val="24"/>
              </w:rPr>
            </w:pPr>
            <w:r>
              <w:rPr>
                <w:rFonts w:eastAsia="標楷體"/>
                <w:kern w:val="0"/>
                <w:szCs w:val="24"/>
              </w:rPr>
              <w:t>2.29</w:t>
            </w:r>
          </w:p>
        </w:tc>
      </w:tr>
      <w:tr w:rsidR="00052596" w14:paraId="13E2762F"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187F5129" w14:textId="77777777" w:rsidR="00052596" w:rsidRDefault="00000000">
            <w:pPr>
              <w:widowControl/>
              <w:autoSpaceDE w:val="0"/>
              <w:spacing w:line="240" w:lineRule="exact"/>
              <w:rPr>
                <w:rFonts w:eastAsia="標楷體"/>
                <w:kern w:val="0"/>
                <w:szCs w:val="24"/>
              </w:rPr>
            </w:pPr>
            <w:r>
              <w:rPr>
                <w:rFonts w:eastAsia="標楷體"/>
                <w:kern w:val="0"/>
                <w:szCs w:val="24"/>
              </w:rPr>
              <w:t xml:space="preserve">  </w:t>
            </w:r>
            <w:r>
              <w:rPr>
                <w:rFonts w:eastAsia="標楷體"/>
                <w:kern w:val="0"/>
                <w:szCs w:val="24"/>
              </w:rPr>
              <w:t>不動產業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7594152" w14:textId="77777777" w:rsidR="00052596" w:rsidRDefault="00000000">
            <w:pPr>
              <w:widowControl/>
              <w:spacing w:line="240" w:lineRule="exact"/>
              <w:ind w:right="120"/>
              <w:jc w:val="right"/>
              <w:rPr>
                <w:rFonts w:eastAsia="標楷體"/>
                <w:kern w:val="0"/>
                <w:szCs w:val="24"/>
              </w:rPr>
            </w:pPr>
            <w:r>
              <w:rPr>
                <w:rFonts w:eastAsia="標楷體"/>
                <w:kern w:val="0"/>
                <w:szCs w:val="24"/>
              </w:rPr>
              <w:t>12.16</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62BE62A" w14:textId="77777777" w:rsidR="00052596" w:rsidRDefault="00000000">
            <w:pPr>
              <w:widowControl/>
              <w:spacing w:line="240" w:lineRule="exact"/>
              <w:ind w:right="120"/>
              <w:jc w:val="right"/>
              <w:rPr>
                <w:rFonts w:eastAsia="標楷體"/>
                <w:kern w:val="0"/>
                <w:szCs w:val="24"/>
              </w:rPr>
            </w:pPr>
            <w:r>
              <w:rPr>
                <w:rFonts w:eastAsia="標楷體"/>
                <w:kern w:val="0"/>
                <w:szCs w:val="24"/>
              </w:rPr>
              <w:t>12.53</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D29D15E" w14:textId="77777777" w:rsidR="00052596" w:rsidRDefault="00000000">
            <w:pPr>
              <w:widowControl/>
              <w:spacing w:line="240" w:lineRule="exact"/>
              <w:ind w:right="360"/>
              <w:jc w:val="right"/>
              <w:rPr>
                <w:rFonts w:eastAsia="標楷體"/>
                <w:kern w:val="0"/>
                <w:szCs w:val="24"/>
              </w:rPr>
            </w:pPr>
            <w:r>
              <w:rPr>
                <w:rFonts w:eastAsia="標楷體"/>
                <w:kern w:val="0"/>
                <w:szCs w:val="24"/>
              </w:rPr>
              <w:t>0.37</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851E383" w14:textId="77777777" w:rsidR="00052596" w:rsidRDefault="00000000">
            <w:pPr>
              <w:widowControl/>
              <w:spacing w:line="240" w:lineRule="exact"/>
              <w:ind w:right="144"/>
              <w:jc w:val="right"/>
              <w:rPr>
                <w:rFonts w:eastAsia="標楷體"/>
                <w:kern w:val="0"/>
                <w:szCs w:val="24"/>
              </w:rPr>
            </w:pPr>
            <w:r>
              <w:rPr>
                <w:rFonts w:eastAsia="標楷體"/>
                <w:kern w:val="0"/>
                <w:szCs w:val="24"/>
              </w:rPr>
              <w:t>8,464</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891BC55" w14:textId="77777777" w:rsidR="00052596" w:rsidRDefault="00000000">
            <w:pPr>
              <w:widowControl/>
              <w:spacing w:line="240" w:lineRule="exact"/>
              <w:ind w:right="144"/>
              <w:jc w:val="right"/>
              <w:rPr>
                <w:rFonts w:eastAsia="標楷體"/>
                <w:kern w:val="0"/>
                <w:szCs w:val="24"/>
              </w:rPr>
            </w:pPr>
            <w:r>
              <w:rPr>
                <w:rFonts w:eastAsia="標楷體"/>
                <w:kern w:val="0"/>
                <w:szCs w:val="24"/>
              </w:rPr>
              <w:t>11,785</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19F2D502" w14:textId="77777777" w:rsidR="00052596" w:rsidRDefault="00000000">
            <w:pPr>
              <w:widowControl/>
              <w:spacing w:line="240" w:lineRule="exact"/>
              <w:jc w:val="center"/>
              <w:rPr>
                <w:rFonts w:eastAsia="標楷體"/>
                <w:kern w:val="0"/>
                <w:szCs w:val="24"/>
              </w:rPr>
            </w:pPr>
            <w:r>
              <w:rPr>
                <w:rFonts w:eastAsia="標楷體"/>
                <w:kern w:val="0"/>
                <w:szCs w:val="24"/>
              </w:rPr>
              <w:t>3.14</w:t>
            </w:r>
          </w:p>
        </w:tc>
      </w:tr>
      <w:tr w:rsidR="00052596" w14:paraId="7683606C"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71DCB559" w14:textId="77777777" w:rsidR="00052596" w:rsidRDefault="00000000">
            <w:pPr>
              <w:widowControl/>
              <w:autoSpaceDE w:val="0"/>
              <w:spacing w:line="240" w:lineRule="exact"/>
              <w:ind w:left="220" w:hanging="220"/>
            </w:pPr>
            <w:r>
              <w:rPr>
                <w:rFonts w:eastAsia="標楷體"/>
                <w:kern w:val="0"/>
                <w:sz w:val="22"/>
                <w:szCs w:val="22"/>
              </w:rPr>
              <w:t xml:space="preserve">  </w:t>
            </w:r>
            <w:r>
              <w:rPr>
                <w:rFonts w:eastAsia="標楷體"/>
                <w:spacing w:val="-10"/>
                <w:kern w:val="0"/>
                <w:sz w:val="22"/>
                <w:szCs w:val="22"/>
              </w:rPr>
              <w:t>專業、科學及技術服務業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B261417" w14:textId="77777777" w:rsidR="00052596" w:rsidRDefault="00000000">
            <w:pPr>
              <w:widowControl/>
              <w:spacing w:line="240" w:lineRule="exact"/>
              <w:ind w:right="120"/>
              <w:jc w:val="right"/>
              <w:rPr>
                <w:rFonts w:eastAsia="標楷體"/>
                <w:kern w:val="0"/>
                <w:szCs w:val="24"/>
              </w:rPr>
            </w:pPr>
            <w:r>
              <w:rPr>
                <w:rFonts w:eastAsia="標楷體"/>
                <w:kern w:val="0"/>
                <w:szCs w:val="24"/>
              </w:rPr>
              <w:t>2.67</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EDD7A77" w14:textId="77777777" w:rsidR="00052596" w:rsidRDefault="00000000">
            <w:pPr>
              <w:widowControl/>
              <w:spacing w:line="240" w:lineRule="exact"/>
              <w:ind w:right="120"/>
              <w:jc w:val="right"/>
              <w:rPr>
                <w:rFonts w:eastAsia="標楷體"/>
                <w:kern w:val="0"/>
                <w:szCs w:val="24"/>
              </w:rPr>
            </w:pPr>
            <w:r>
              <w:rPr>
                <w:rFonts w:eastAsia="標楷體"/>
                <w:kern w:val="0"/>
                <w:szCs w:val="24"/>
              </w:rPr>
              <w:t>3.32</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1B00557" w14:textId="77777777" w:rsidR="00052596" w:rsidRDefault="00000000">
            <w:pPr>
              <w:widowControl/>
              <w:spacing w:line="240" w:lineRule="exact"/>
              <w:ind w:right="360"/>
              <w:jc w:val="right"/>
              <w:rPr>
                <w:rFonts w:eastAsia="標楷體"/>
                <w:kern w:val="0"/>
                <w:szCs w:val="24"/>
              </w:rPr>
            </w:pPr>
            <w:r>
              <w:rPr>
                <w:rFonts w:eastAsia="標楷體"/>
                <w:kern w:val="0"/>
                <w:szCs w:val="24"/>
              </w:rPr>
              <w:t>0.65</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8C9B9D6" w14:textId="77777777" w:rsidR="00052596" w:rsidRDefault="00000000">
            <w:pPr>
              <w:widowControl/>
              <w:spacing w:line="240" w:lineRule="exact"/>
              <w:ind w:right="144"/>
              <w:jc w:val="right"/>
              <w:rPr>
                <w:rFonts w:eastAsia="標楷體"/>
                <w:kern w:val="0"/>
                <w:szCs w:val="24"/>
              </w:rPr>
            </w:pPr>
            <w:r>
              <w:rPr>
                <w:rFonts w:eastAsia="標楷體"/>
                <w:kern w:val="0"/>
                <w:szCs w:val="24"/>
              </w:rPr>
              <w:t>1,975</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DEB41C7" w14:textId="77777777" w:rsidR="00052596" w:rsidRDefault="00000000">
            <w:pPr>
              <w:widowControl/>
              <w:spacing w:line="240" w:lineRule="exact"/>
              <w:ind w:right="144"/>
              <w:jc w:val="right"/>
              <w:rPr>
                <w:rFonts w:eastAsia="標楷體"/>
                <w:kern w:val="0"/>
                <w:szCs w:val="24"/>
              </w:rPr>
            </w:pPr>
            <w:r>
              <w:rPr>
                <w:rFonts w:eastAsia="標楷體"/>
                <w:kern w:val="0"/>
                <w:szCs w:val="24"/>
              </w:rPr>
              <w:t>3,122</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65472C82" w14:textId="77777777" w:rsidR="00052596" w:rsidRDefault="00000000">
            <w:pPr>
              <w:widowControl/>
              <w:spacing w:line="240" w:lineRule="exact"/>
              <w:jc w:val="center"/>
              <w:rPr>
                <w:rFonts w:eastAsia="標楷體"/>
                <w:kern w:val="0"/>
                <w:szCs w:val="24"/>
              </w:rPr>
            </w:pPr>
            <w:r>
              <w:rPr>
                <w:rFonts w:eastAsia="標楷體"/>
                <w:kern w:val="0"/>
                <w:szCs w:val="24"/>
              </w:rPr>
              <w:t>5.10</w:t>
            </w:r>
          </w:p>
        </w:tc>
      </w:tr>
      <w:tr w:rsidR="00052596" w14:paraId="0EFC9B83"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29171056" w14:textId="77777777" w:rsidR="00052596" w:rsidRDefault="00000000">
            <w:pPr>
              <w:widowControl/>
              <w:autoSpaceDE w:val="0"/>
              <w:spacing w:line="240" w:lineRule="exact"/>
              <w:rPr>
                <w:rFonts w:eastAsia="標楷體"/>
                <w:kern w:val="0"/>
                <w:szCs w:val="24"/>
              </w:rPr>
            </w:pPr>
            <w:r>
              <w:rPr>
                <w:rFonts w:eastAsia="標楷體"/>
                <w:kern w:val="0"/>
                <w:szCs w:val="24"/>
              </w:rPr>
              <w:t xml:space="preserve">  </w:t>
            </w:r>
            <w:r>
              <w:rPr>
                <w:rFonts w:eastAsia="標楷體"/>
                <w:kern w:val="0"/>
                <w:szCs w:val="24"/>
              </w:rPr>
              <w:t>支援服務業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4DA8BE1" w14:textId="77777777" w:rsidR="00052596" w:rsidRDefault="00000000">
            <w:pPr>
              <w:widowControl/>
              <w:spacing w:line="240" w:lineRule="exact"/>
              <w:ind w:right="120"/>
              <w:jc w:val="right"/>
              <w:rPr>
                <w:rFonts w:eastAsia="標楷體"/>
                <w:kern w:val="0"/>
                <w:szCs w:val="24"/>
              </w:rPr>
            </w:pPr>
            <w:r>
              <w:rPr>
                <w:rFonts w:eastAsia="標楷體"/>
                <w:kern w:val="0"/>
                <w:szCs w:val="24"/>
              </w:rPr>
              <w:t>1.54</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F35325E" w14:textId="77777777" w:rsidR="00052596" w:rsidRDefault="00000000">
            <w:pPr>
              <w:widowControl/>
              <w:spacing w:line="240" w:lineRule="exact"/>
              <w:ind w:right="120"/>
              <w:jc w:val="right"/>
              <w:rPr>
                <w:rFonts w:eastAsia="標楷體"/>
                <w:kern w:val="0"/>
                <w:szCs w:val="24"/>
              </w:rPr>
            </w:pPr>
            <w:r>
              <w:rPr>
                <w:rFonts w:eastAsia="標楷體"/>
                <w:kern w:val="0"/>
                <w:szCs w:val="24"/>
              </w:rPr>
              <w:t>2.20</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6DA3543" w14:textId="77777777" w:rsidR="00052596" w:rsidRDefault="00000000">
            <w:pPr>
              <w:widowControl/>
              <w:spacing w:line="240" w:lineRule="exact"/>
              <w:ind w:right="360"/>
              <w:jc w:val="right"/>
              <w:rPr>
                <w:rFonts w:eastAsia="標楷體"/>
                <w:kern w:val="0"/>
                <w:szCs w:val="24"/>
              </w:rPr>
            </w:pPr>
            <w:r>
              <w:rPr>
                <w:rFonts w:eastAsia="標楷體"/>
                <w:kern w:val="0"/>
                <w:szCs w:val="24"/>
              </w:rPr>
              <w:t>0.66</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C3A2194" w14:textId="77777777" w:rsidR="00052596" w:rsidRDefault="00000000">
            <w:pPr>
              <w:widowControl/>
              <w:spacing w:line="240" w:lineRule="exact"/>
              <w:ind w:right="144"/>
              <w:jc w:val="right"/>
              <w:rPr>
                <w:rFonts w:eastAsia="標楷體"/>
                <w:kern w:val="0"/>
                <w:szCs w:val="24"/>
              </w:rPr>
            </w:pPr>
            <w:r>
              <w:rPr>
                <w:rFonts w:eastAsia="標楷體"/>
                <w:kern w:val="0"/>
                <w:szCs w:val="24"/>
              </w:rPr>
              <w:t>1,105</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D272D98" w14:textId="77777777" w:rsidR="00052596" w:rsidRDefault="00000000">
            <w:pPr>
              <w:widowControl/>
              <w:spacing w:line="240" w:lineRule="exact"/>
              <w:ind w:right="144"/>
              <w:jc w:val="right"/>
              <w:rPr>
                <w:rFonts w:eastAsia="標楷體"/>
                <w:kern w:val="0"/>
                <w:szCs w:val="24"/>
              </w:rPr>
            </w:pPr>
            <w:r>
              <w:rPr>
                <w:rFonts w:eastAsia="標楷體"/>
                <w:kern w:val="0"/>
                <w:szCs w:val="24"/>
              </w:rPr>
              <w:t>2,076</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330CD964" w14:textId="77777777" w:rsidR="00052596" w:rsidRDefault="00000000">
            <w:pPr>
              <w:widowControl/>
              <w:spacing w:line="240" w:lineRule="exact"/>
              <w:jc w:val="center"/>
              <w:rPr>
                <w:rFonts w:eastAsia="標楷體"/>
                <w:kern w:val="0"/>
                <w:szCs w:val="24"/>
              </w:rPr>
            </w:pPr>
            <w:r>
              <w:rPr>
                <w:rFonts w:eastAsia="標楷體"/>
                <w:kern w:val="0"/>
                <w:szCs w:val="24"/>
              </w:rPr>
              <w:t>7.57</w:t>
            </w:r>
          </w:p>
        </w:tc>
      </w:tr>
      <w:tr w:rsidR="00052596" w14:paraId="651876DE"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0BE69D53" w14:textId="77777777" w:rsidR="00052596" w:rsidRDefault="00000000">
            <w:pPr>
              <w:widowControl/>
              <w:autoSpaceDE w:val="0"/>
              <w:spacing w:line="240" w:lineRule="exact"/>
              <w:rPr>
                <w:rFonts w:eastAsia="標楷體"/>
                <w:kern w:val="0"/>
                <w:szCs w:val="24"/>
              </w:rPr>
            </w:pPr>
            <w:r>
              <w:rPr>
                <w:rFonts w:eastAsia="標楷體"/>
                <w:kern w:val="0"/>
                <w:szCs w:val="24"/>
              </w:rPr>
              <w:lastRenderedPageBreak/>
              <w:t xml:space="preserve">  </w:t>
            </w:r>
            <w:r>
              <w:rPr>
                <w:rFonts w:eastAsia="標楷體"/>
                <w:kern w:val="0"/>
                <w:szCs w:val="24"/>
              </w:rPr>
              <w:t>教育服務業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92E3D7D" w14:textId="77777777" w:rsidR="00052596" w:rsidRDefault="00000000">
            <w:pPr>
              <w:widowControl/>
              <w:spacing w:line="240" w:lineRule="exact"/>
              <w:ind w:right="120"/>
              <w:jc w:val="right"/>
              <w:rPr>
                <w:rFonts w:eastAsia="標楷體"/>
                <w:kern w:val="0"/>
                <w:szCs w:val="24"/>
              </w:rPr>
            </w:pPr>
            <w:r>
              <w:rPr>
                <w:rFonts w:eastAsia="標楷體"/>
                <w:kern w:val="0"/>
                <w:szCs w:val="24"/>
              </w:rPr>
              <w:t>6.94</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DF9B10F" w14:textId="77777777" w:rsidR="00052596" w:rsidRDefault="00000000">
            <w:pPr>
              <w:widowControl/>
              <w:spacing w:line="240" w:lineRule="exact"/>
              <w:ind w:right="120"/>
              <w:jc w:val="right"/>
              <w:rPr>
                <w:rFonts w:eastAsia="標楷體"/>
                <w:kern w:val="0"/>
                <w:szCs w:val="24"/>
              </w:rPr>
            </w:pPr>
            <w:r>
              <w:rPr>
                <w:rFonts w:eastAsia="標楷體"/>
                <w:kern w:val="0"/>
                <w:szCs w:val="24"/>
              </w:rPr>
              <w:t>6.75</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F0A85AF" w14:textId="77777777" w:rsidR="00052596" w:rsidRDefault="00000000">
            <w:pPr>
              <w:widowControl/>
              <w:spacing w:line="240" w:lineRule="exact"/>
              <w:ind w:right="360"/>
              <w:jc w:val="right"/>
              <w:rPr>
                <w:rFonts w:eastAsia="標楷體"/>
                <w:kern w:val="0"/>
                <w:szCs w:val="24"/>
              </w:rPr>
            </w:pPr>
            <w:r>
              <w:rPr>
                <w:rFonts w:eastAsia="標楷體"/>
                <w:kern w:val="0"/>
                <w:szCs w:val="24"/>
              </w:rPr>
              <w:t>-0.19</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1B76084" w14:textId="77777777" w:rsidR="00052596" w:rsidRDefault="00000000">
            <w:pPr>
              <w:widowControl/>
              <w:spacing w:line="240" w:lineRule="exact"/>
              <w:ind w:right="144"/>
              <w:jc w:val="right"/>
              <w:rPr>
                <w:rFonts w:eastAsia="標楷體"/>
                <w:kern w:val="0"/>
                <w:szCs w:val="24"/>
              </w:rPr>
            </w:pPr>
            <w:r>
              <w:rPr>
                <w:rFonts w:eastAsia="標楷體"/>
                <w:kern w:val="0"/>
                <w:szCs w:val="24"/>
              </w:rPr>
              <w:t>5,004</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2FE8EE8" w14:textId="77777777" w:rsidR="00052596" w:rsidRDefault="00000000">
            <w:pPr>
              <w:widowControl/>
              <w:spacing w:line="240" w:lineRule="exact"/>
              <w:ind w:right="144"/>
              <w:jc w:val="right"/>
              <w:rPr>
                <w:rFonts w:eastAsia="標楷體"/>
                <w:kern w:val="0"/>
                <w:szCs w:val="24"/>
              </w:rPr>
            </w:pPr>
            <w:r>
              <w:rPr>
                <w:rFonts w:eastAsia="標楷體"/>
                <w:kern w:val="0"/>
                <w:szCs w:val="24"/>
              </w:rPr>
              <w:t>6,195</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1ABD23F0" w14:textId="77777777" w:rsidR="00052596" w:rsidRDefault="00000000">
            <w:pPr>
              <w:widowControl/>
              <w:spacing w:line="240" w:lineRule="exact"/>
              <w:jc w:val="center"/>
              <w:rPr>
                <w:rFonts w:eastAsia="標楷體"/>
                <w:kern w:val="0"/>
                <w:szCs w:val="24"/>
              </w:rPr>
            </w:pPr>
            <w:r>
              <w:rPr>
                <w:rFonts w:eastAsia="標楷體"/>
                <w:kern w:val="0"/>
                <w:szCs w:val="24"/>
              </w:rPr>
              <w:t>2.85</w:t>
            </w:r>
          </w:p>
        </w:tc>
      </w:tr>
      <w:tr w:rsidR="00052596" w14:paraId="14320946"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769503D4" w14:textId="77777777" w:rsidR="00052596" w:rsidRDefault="00000000">
            <w:pPr>
              <w:widowControl/>
              <w:autoSpaceDE w:val="0"/>
              <w:spacing w:line="240" w:lineRule="exact"/>
              <w:ind w:left="220" w:hanging="220"/>
            </w:pPr>
            <w:r>
              <w:rPr>
                <w:rFonts w:eastAsia="標楷體"/>
                <w:kern w:val="0"/>
                <w:sz w:val="22"/>
                <w:szCs w:val="22"/>
              </w:rPr>
              <w:t xml:space="preserve">  </w:t>
            </w:r>
            <w:r>
              <w:rPr>
                <w:rFonts w:eastAsia="標楷體"/>
                <w:spacing w:val="-14"/>
                <w:kern w:val="0"/>
                <w:sz w:val="21"/>
                <w:szCs w:val="21"/>
              </w:rPr>
              <w:t>醫療保健及社會工作服務業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DC0CC68" w14:textId="77777777" w:rsidR="00052596" w:rsidRDefault="00000000">
            <w:pPr>
              <w:widowControl/>
              <w:spacing w:line="240" w:lineRule="exact"/>
              <w:ind w:right="120"/>
              <w:jc w:val="right"/>
              <w:rPr>
                <w:rFonts w:eastAsia="標楷體"/>
                <w:kern w:val="0"/>
                <w:szCs w:val="24"/>
              </w:rPr>
            </w:pPr>
            <w:r>
              <w:rPr>
                <w:rFonts w:eastAsia="標楷體"/>
                <w:kern w:val="0"/>
                <w:szCs w:val="24"/>
              </w:rPr>
              <w:t>4.17</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86E9D4D" w14:textId="77777777" w:rsidR="00052596" w:rsidRDefault="00000000">
            <w:pPr>
              <w:widowControl/>
              <w:spacing w:line="240" w:lineRule="exact"/>
              <w:ind w:right="120"/>
              <w:jc w:val="right"/>
              <w:rPr>
                <w:rFonts w:eastAsia="標楷體"/>
                <w:kern w:val="0"/>
                <w:szCs w:val="24"/>
              </w:rPr>
            </w:pPr>
            <w:r>
              <w:rPr>
                <w:rFonts w:eastAsia="標楷體"/>
                <w:kern w:val="0"/>
                <w:szCs w:val="24"/>
              </w:rPr>
              <w:t>4.49</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69585EA" w14:textId="77777777" w:rsidR="00052596" w:rsidRDefault="00000000">
            <w:pPr>
              <w:widowControl/>
              <w:spacing w:line="240" w:lineRule="exact"/>
              <w:ind w:right="360"/>
              <w:jc w:val="right"/>
              <w:rPr>
                <w:rFonts w:eastAsia="標楷體"/>
                <w:kern w:val="0"/>
                <w:szCs w:val="24"/>
              </w:rPr>
            </w:pPr>
            <w:r>
              <w:rPr>
                <w:rFonts w:eastAsia="標楷體"/>
                <w:kern w:val="0"/>
                <w:szCs w:val="24"/>
              </w:rPr>
              <w:t>0.32</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13F2E0F" w14:textId="77777777" w:rsidR="00052596" w:rsidRDefault="00000000">
            <w:pPr>
              <w:widowControl/>
              <w:spacing w:line="240" w:lineRule="exact"/>
              <w:ind w:right="144"/>
              <w:jc w:val="right"/>
              <w:rPr>
                <w:rFonts w:eastAsia="標楷體"/>
                <w:kern w:val="0"/>
                <w:szCs w:val="24"/>
              </w:rPr>
            </w:pPr>
            <w:r>
              <w:rPr>
                <w:rFonts w:eastAsia="標楷體"/>
                <w:kern w:val="0"/>
                <w:szCs w:val="24"/>
              </w:rPr>
              <w:t>3,434</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FD6DD4D" w14:textId="77777777" w:rsidR="00052596" w:rsidRDefault="00000000">
            <w:pPr>
              <w:widowControl/>
              <w:spacing w:line="240" w:lineRule="exact"/>
              <w:ind w:right="144"/>
              <w:jc w:val="right"/>
              <w:rPr>
                <w:rFonts w:eastAsia="標楷體"/>
                <w:kern w:val="0"/>
                <w:szCs w:val="24"/>
              </w:rPr>
            </w:pPr>
            <w:r>
              <w:rPr>
                <w:rFonts w:eastAsia="標楷體"/>
                <w:kern w:val="0"/>
                <w:szCs w:val="24"/>
              </w:rPr>
              <w:t>4,104</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10F4A386" w14:textId="77777777" w:rsidR="00052596" w:rsidRDefault="00000000">
            <w:pPr>
              <w:widowControl/>
              <w:spacing w:line="240" w:lineRule="exact"/>
              <w:jc w:val="center"/>
              <w:rPr>
                <w:rFonts w:eastAsia="標楷體"/>
                <w:kern w:val="0"/>
                <w:szCs w:val="24"/>
              </w:rPr>
            </w:pPr>
            <w:r>
              <w:rPr>
                <w:rFonts w:eastAsia="標楷體"/>
                <w:kern w:val="0"/>
                <w:szCs w:val="24"/>
              </w:rPr>
              <w:t>2.38</w:t>
            </w:r>
          </w:p>
        </w:tc>
      </w:tr>
      <w:tr w:rsidR="00052596" w14:paraId="24F1952E"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5E9A81BE" w14:textId="77777777" w:rsidR="00052596" w:rsidRDefault="00000000">
            <w:pPr>
              <w:widowControl/>
              <w:autoSpaceDE w:val="0"/>
              <w:spacing w:line="240" w:lineRule="exact"/>
              <w:ind w:left="220" w:hanging="220"/>
            </w:pPr>
            <w:r>
              <w:rPr>
                <w:rFonts w:eastAsia="標楷體"/>
                <w:kern w:val="0"/>
                <w:sz w:val="22"/>
                <w:szCs w:val="22"/>
              </w:rPr>
              <w:t xml:space="preserve">  </w:t>
            </w:r>
            <w:r>
              <w:rPr>
                <w:rFonts w:eastAsia="標楷體"/>
                <w:spacing w:val="-6"/>
                <w:kern w:val="0"/>
                <w:sz w:val="22"/>
                <w:szCs w:val="22"/>
              </w:rPr>
              <w:t>藝術、娛樂及休閒服務業</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8704284" w14:textId="77777777" w:rsidR="00052596" w:rsidRDefault="00000000">
            <w:pPr>
              <w:widowControl/>
              <w:spacing w:line="240" w:lineRule="exact"/>
              <w:ind w:right="120"/>
              <w:jc w:val="right"/>
              <w:rPr>
                <w:rFonts w:eastAsia="標楷體"/>
                <w:kern w:val="0"/>
                <w:szCs w:val="24"/>
              </w:rPr>
            </w:pPr>
            <w:r>
              <w:rPr>
                <w:rFonts w:eastAsia="標楷體"/>
                <w:kern w:val="0"/>
                <w:szCs w:val="24"/>
              </w:rPr>
              <w:t>1.28</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5B4C2C1" w14:textId="77777777" w:rsidR="00052596" w:rsidRDefault="00000000">
            <w:pPr>
              <w:widowControl/>
              <w:spacing w:line="240" w:lineRule="exact"/>
              <w:ind w:right="120"/>
              <w:jc w:val="right"/>
              <w:rPr>
                <w:rFonts w:eastAsia="標楷體"/>
                <w:kern w:val="0"/>
                <w:szCs w:val="24"/>
              </w:rPr>
            </w:pPr>
            <w:r>
              <w:rPr>
                <w:rFonts w:eastAsia="標楷體"/>
                <w:kern w:val="0"/>
                <w:szCs w:val="24"/>
              </w:rPr>
              <w:t>1.37</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2A0492A" w14:textId="77777777" w:rsidR="00052596" w:rsidRDefault="00000000">
            <w:pPr>
              <w:widowControl/>
              <w:spacing w:line="240" w:lineRule="exact"/>
              <w:ind w:right="360"/>
              <w:jc w:val="right"/>
              <w:rPr>
                <w:rFonts w:eastAsia="標楷體"/>
                <w:kern w:val="0"/>
                <w:szCs w:val="24"/>
              </w:rPr>
            </w:pPr>
            <w:r>
              <w:rPr>
                <w:rFonts w:eastAsia="標楷體"/>
                <w:kern w:val="0"/>
                <w:szCs w:val="24"/>
              </w:rPr>
              <w:t>0.09</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A23D569" w14:textId="77777777" w:rsidR="00052596" w:rsidRDefault="00000000">
            <w:pPr>
              <w:widowControl/>
              <w:spacing w:line="240" w:lineRule="exact"/>
              <w:ind w:right="144"/>
              <w:jc w:val="right"/>
              <w:rPr>
                <w:rFonts w:eastAsia="標楷體"/>
                <w:kern w:val="0"/>
                <w:szCs w:val="24"/>
              </w:rPr>
            </w:pPr>
            <w:r>
              <w:rPr>
                <w:rFonts w:eastAsia="標楷體"/>
                <w:kern w:val="0"/>
                <w:szCs w:val="24"/>
              </w:rPr>
              <w:t>874</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BBEC815" w14:textId="77777777" w:rsidR="00052596" w:rsidRDefault="00000000">
            <w:pPr>
              <w:widowControl/>
              <w:spacing w:line="240" w:lineRule="exact"/>
              <w:ind w:right="144"/>
              <w:jc w:val="right"/>
              <w:rPr>
                <w:rFonts w:eastAsia="標楷體"/>
                <w:kern w:val="0"/>
                <w:szCs w:val="24"/>
              </w:rPr>
            </w:pPr>
            <w:r>
              <w:rPr>
                <w:rFonts w:eastAsia="標楷體"/>
                <w:kern w:val="0"/>
                <w:szCs w:val="24"/>
              </w:rPr>
              <w:t>1,221</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010E842E" w14:textId="77777777" w:rsidR="00052596" w:rsidRDefault="00000000">
            <w:pPr>
              <w:widowControl/>
              <w:spacing w:line="240" w:lineRule="exact"/>
              <w:jc w:val="center"/>
              <w:rPr>
                <w:rFonts w:eastAsia="標楷體"/>
                <w:kern w:val="0"/>
                <w:szCs w:val="24"/>
              </w:rPr>
            </w:pPr>
            <w:r>
              <w:rPr>
                <w:rFonts w:eastAsia="標楷體"/>
                <w:kern w:val="0"/>
                <w:szCs w:val="24"/>
              </w:rPr>
              <w:t>4.15</w:t>
            </w:r>
          </w:p>
        </w:tc>
      </w:tr>
      <w:tr w:rsidR="00052596" w14:paraId="619C7F83" w14:textId="77777777">
        <w:tblPrEx>
          <w:tblCellMar>
            <w:top w:w="0" w:type="dxa"/>
            <w:bottom w:w="0" w:type="dxa"/>
          </w:tblCellMar>
        </w:tblPrEx>
        <w:trPr>
          <w:trHeight w:val="324"/>
          <w:jc w:val="center"/>
        </w:trPr>
        <w:tc>
          <w:tcPr>
            <w:tcW w:w="2573" w:type="dxa"/>
            <w:tcBorders>
              <w:right w:val="single" w:sz="6" w:space="0" w:color="000000"/>
            </w:tcBorders>
            <w:shd w:val="clear" w:color="auto" w:fill="FFF0E1"/>
            <w:noWrap/>
            <w:tcMar>
              <w:top w:w="0" w:type="dxa"/>
              <w:left w:w="28" w:type="dxa"/>
              <w:bottom w:w="0" w:type="dxa"/>
              <w:right w:w="28" w:type="dxa"/>
            </w:tcMar>
            <w:vAlign w:val="center"/>
          </w:tcPr>
          <w:p w14:paraId="62F4CF97" w14:textId="77777777" w:rsidR="00052596" w:rsidRDefault="00000000">
            <w:pPr>
              <w:widowControl/>
              <w:autoSpaceDE w:val="0"/>
              <w:spacing w:line="240" w:lineRule="exact"/>
              <w:rPr>
                <w:rFonts w:eastAsia="標楷體"/>
                <w:kern w:val="0"/>
                <w:szCs w:val="24"/>
              </w:rPr>
            </w:pPr>
            <w:r>
              <w:rPr>
                <w:rFonts w:eastAsia="標楷體"/>
                <w:kern w:val="0"/>
                <w:szCs w:val="24"/>
              </w:rPr>
              <w:t xml:space="preserve">  </w:t>
            </w:r>
            <w:r>
              <w:rPr>
                <w:rFonts w:eastAsia="標楷體"/>
                <w:kern w:val="0"/>
                <w:szCs w:val="24"/>
              </w:rPr>
              <w:t>公共行政及國防</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4CCBCF1" w14:textId="77777777" w:rsidR="00052596" w:rsidRDefault="00000000">
            <w:pPr>
              <w:widowControl/>
              <w:spacing w:line="240" w:lineRule="exact"/>
              <w:ind w:right="120"/>
              <w:jc w:val="right"/>
              <w:rPr>
                <w:rFonts w:eastAsia="標楷體"/>
                <w:kern w:val="0"/>
                <w:szCs w:val="24"/>
              </w:rPr>
            </w:pPr>
            <w:r>
              <w:rPr>
                <w:rFonts w:eastAsia="標楷體"/>
                <w:kern w:val="0"/>
                <w:szCs w:val="24"/>
              </w:rPr>
              <w:t>11.49</w:t>
            </w:r>
          </w:p>
        </w:tc>
        <w:tc>
          <w:tcPr>
            <w:tcW w:w="917"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D794D0F" w14:textId="77777777" w:rsidR="00052596" w:rsidRDefault="00000000">
            <w:pPr>
              <w:widowControl/>
              <w:spacing w:line="240" w:lineRule="exact"/>
              <w:ind w:right="120"/>
              <w:jc w:val="right"/>
              <w:rPr>
                <w:rFonts w:eastAsia="標楷體"/>
                <w:kern w:val="0"/>
                <w:szCs w:val="24"/>
              </w:rPr>
            </w:pPr>
            <w:r>
              <w:rPr>
                <w:rFonts w:eastAsia="標楷體"/>
                <w:kern w:val="0"/>
                <w:szCs w:val="24"/>
              </w:rPr>
              <w:t>10.61</w:t>
            </w:r>
          </w:p>
        </w:tc>
        <w:tc>
          <w:tcPr>
            <w:tcW w:w="11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18DF451" w14:textId="77777777" w:rsidR="00052596" w:rsidRDefault="00000000">
            <w:pPr>
              <w:widowControl/>
              <w:spacing w:line="240" w:lineRule="exact"/>
              <w:ind w:right="360"/>
              <w:jc w:val="right"/>
              <w:rPr>
                <w:rFonts w:eastAsia="標楷體"/>
                <w:kern w:val="0"/>
                <w:szCs w:val="24"/>
              </w:rPr>
            </w:pPr>
            <w:r>
              <w:rPr>
                <w:rFonts w:eastAsia="標楷體"/>
                <w:kern w:val="0"/>
                <w:szCs w:val="24"/>
              </w:rPr>
              <w:t>-0.88</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DE2A649" w14:textId="77777777" w:rsidR="00052596" w:rsidRDefault="00000000">
            <w:pPr>
              <w:widowControl/>
              <w:spacing w:line="240" w:lineRule="exact"/>
              <w:ind w:right="144"/>
              <w:jc w:val="right"/>
              <w:rPr>
                <w:rFonts w:eastAsia="標楷體"/>
                <w:kern w:val="0"/>
                <w:szCs w:val="24"/>
              </w:rPr>
            </w:pPr>
            <w:r>
              <w:rPr>
                <w:rFonts w:eastAsia="標楷體"/>
                <w:kern w:val="0"/>
                <w:szCs w:val="24"/>
              </w:rPr>
              <w:t>8,677</w:t>
            </w:r>
          </w:p>
        </w:tc>
        <w:tc>
          <w:tcPr>
            <w:tcW w:w="1011"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B1216B7" w14:textId="77777777" w:rsidR="00052596" w:rsidRDefault="00000000">
            <w:pPr>
              <w:widowControl/>
              <w:spacing w:line="240" w:lineRule="exact"/>
              <w:ind w:right="144"/>
              <w:jc w:val="right"/>
              <w:rPr>
                <w:rFonts w:eastAsia="標楷體"/>
                <w:kern w:val="0"/>
                <w:szCs w:val="24"/>
              </w:rPr>
            </w:pPr>
            <w:r>
              <w:rPr>
                <w:rFonts w:eastAsia="標楷體"/>
                <w:kern w:val="0"/>
                <w:szCs w:val="24"/>
              </w:rPr>
              <w:t>9,453</w:t>
            </w:r>
          </w:p>
        </w:tc>
        <w:tc>
          <w:tcPr>
            <w:tcW w:w="1342" w:type="dxa"/>
            <w:tcBorders>
              <w:left w:val="single" w:sz="6" w:space="0" w:color="000000"/>
            </w:tcBorders>
            <w:shd w:val="clear" w:color="auto" w:fill="FFF0E1"/>
            <w:noWrap/>
            <w:tcMar>
              <w:top w:w="0" w:type="dxa"/>
              <w:left w:w="28" w:type="dxa"/>
              <w:bottom w:w="0" w:type="dxa"/>
              <w:right w:w="28" w:type="dxa"/>
            </w:tcMar>
            <w:vAlign w:val="center"/>
          </w:tcPr>
          <w:p w14:paraId="4FFE15F0" w14:textId="77777777" w:rsidR="00052596" w:rsidRDefault="00000000">
            <w:pPr>
              <w:widowControl/>
              <w:spacing w:line="240" w:lineRule="exact"/>
              <w:jc w:val="center"/>
              <w:rPr>
                <w:rFonts w:eastAsia="標楷體"/>
                <w:kern w:val="0"/>
                <w:szCs w:val="24"/>
              </w:rPr>
            </w:pPr>
            <w:r>
              <w:rPr>
                <w:rFonts w:eastAsia="標楷體"/>
                <w:kern w:val="0"/>
                <w:szCs w:val="24"/>
              </w:rPr>
              <w:t>0.84</w:t>
            </w:r>
          </w:p>
        </w:tc>
      </w:tr>
      <w:tr w:rsidR="00052596" w14:paraId="7064F66F" w14:textId="77777777">
        <w:tblPrEx>
          <w:tblCellMar>
            <w:top w:w="0" w:type="dxa"/>
            <w:bottom w:w="0" w:type="dxa"/>
          </w:tblCellMar>
        </w:tblPrEx>
        <w:trPr>
          <w:trHeight w:val="324"/>
          <w:jc w:val="center"/>
        </w:trPr>
        <w:tc>
          <w:tcPr>
            <w:tcW w:w="2573"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4BD4B0F0" w14:textId="77777777" w:rsidR="00052596" w:rsidRDefault="00000000">
            <w:pPr>
              <w:widowControl/>
              <w:autoSpaceDE w:val="0"/>
              <w:spacing w:line="240" w:lineRule="exact"/>
              <w:rPr>
                <w:rFonts w:eastAsia="標楷體"/>
                <w:kern w:val="0"/>
                <w:szCs w:val="24"/>
              </w:rPr>
            </w:pPr>
            <w:r>
              <w:rPr>
                <w:rFonts w:eastAsia="標楷體"/>
                <w:kern w:val="0"/>
                <w:szCs w:val="24"/>
              </w:rPr>
              <w:t xml:space="preserve">  </w:t>
            </w:r>
            <w:r>
              <w:rPr>
                <w:rFonts w:eastAsia="標楷體"/>
                <w:kern w:val="0"/>
                <w:szCs w:val="24"/>
              </w:rPr>
              <w:t>其他</w:t>
            </w:r>
          </w:p>
        </w:tc>
        <w:tc>
          <w:tcPr>
            <w:tcW w:w="917"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994B3B1" w14:textId="77777777" w:rsidR="00052596" w:rsidRDefault="00000000">
            <w:pPr>
              <w:widowControl/>
              <w:spacing w:line="240" w:lineRule="exact"/>
              <w:ind w:right="120"/>
              <w:jc w:val="right"/>
              <w:rPr>
                <w:rFonts w:eastAsia="標楷體"/>
                <w:kern w:val="0"/>
                <w:szCs w:val="24"/>
              </w:rPr>
            </w:pPr>
            <w:r>
              <w:rPr>
                <w:rFonts w:eastAsia="標楷體"/>
                <w:kern w:val="0"/>
                <w:szCs w:val="24"/>
              </w:rPr>
              <w:t>8.56</w:t>
            </w:r>
          </w:p>
        </w:tc>
        <w:tc>
          <w:tcPr>
            <w:tcW w:w="917"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8BE523D" w14:textId="77777777" w:rsidR="00052596" w:rsidRDefault="00000000">
            <w:pPr>
              <w:widowControl/>
              <w:spacing w:line="240" w:lineRule="exact"/>
              <w:ind w:right="120"/>
              <w:jc w:val="right"/>
              <w:rPr>
                <w:rFonts w:eastAsia="標楷體"/>
                <w:kern w:val="0"/>
                <w:szCs w:val="24"/>
              </w:rPr>
            </w:pPr>
            <w:r>
              <w:rPr>
                <w:rFonts w:eastAsia="標楷體"/>
                <w:kern w:val="0"/>
                <w:szCs w:val="24"/>
              </w:rPr>
              <w:t>8.96</w:t>
            </w:r>
          </w:p>
        </w:tc>
        <w:tc>
          <w:tcPr>
            <w:tcW w:w="119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865A5D5" w14:textId="77777777" w:rsidR="00052596" w:rsidRDefault="00000000">
            <w:pPr>
              <w:widowControl/>
              <w:spacing w:line="240" w:lineRule="exact"/>
              <w:ind w:right="360"/>
              <w:jc w:val="right"/>
              <w:rPr>
                <w:rFonts w:eastAsia="標楷體"/>
                <w:kern w:val="0"/>
                <w:szCs w:val="24"/>
              </w:rPr>
            </w:pPr>
            <w:r>
              <w:rPr>
                <w:rFonts w:eastAsia="標楷體"/>
                <w:kern w:val="0"/>
                <w:szCs w:val="24"/>
              </w:rPr>
              <w:t>0.40</w:t>
            </w:r>
          </w:p>
        </w:tc>
        <w:tc>
          <w:tcPr>
            <w:tcW w:w="1011"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4E97B4A5" w14:textId="77777777" w:rsidR="00052596" w:rsidRDefault="00000000">
            <w:pPr>
              <w:widowControl/>
              <w:spacing w:line="240" w:lineRule="exact"/>
              <w:ind w:right="144"/>
              <w:jc w:val="right"/>
              <w:rPr>
                <w:rFonts w:eastAsia="標楷體"/>
                <w:kern w:val="0"/>
                <w:szCs w:val="24"/>
              </w:rPr>
            </w:pPr>
            <w:r>
              <w:rPr>
                <w:rFonts w:eastAsia="標楷體"/>
                <w:kern w:val="0"/>
                <w:szCs w:val="24"/>
              </w:rPr>
              <w:t>5,867</w:t>
            </w:r>
          </w:p>
        </w:tc>
        <w:tc>
          <w:tcPr>
            <w:tcW w:w="1011"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CF9F6BC" w14:textId="77777777" w:rsidR="00052596" w:rsidRDefault="00000000">
            <w:pPr>
              <w:widowControl/>
              <w:spacing w:line="240" w:lineRule="exact"/>
              <w:ind w:right="144"/>
              <w:jc w:val="right"/>
              <w:rPr>
                <w:rFonts w:eastAsia="標楷體"/>
                <w:kern w:val="0"/>
                <w:szCs w:val="24"/>
              </w:rPr>
            </w:pPr>
            <w:r>
              <w:rPr>
                <w:rFonts w:eastAsia="標楷體"/>
                <w:kern w:val="0"/>
                <w:szCs w:val="24"/>
              </w:rPr>
              <w:t>8,017</w:t>
            </w:r>
          </w:p>
        </w:tc>
        <w:tc>
          <w:tcPr>
            <w:tcW w:w="1342" w:type="dxa"/>
            <w:tcBorders>
              <w:left w:val="single" w:sz="6" w:space="0" w:color="000000"/>
              <w:bottom w:val="single" w:sz="6" w:space="0" w:color="000000"/>
            </w:tcBorders>
            <w:shd w:val="clear" w:color="auto" w:fill="FFF0E1"/>
            <w:noWrap/>
            <w:tcMar>
              <w:top w:w="0" w:type="dxa"/>
              <w:left w:w="28" w:type="dxa"/>
              <w:bottom w:w="0" w:type="dxa"/>
              <w:right w:w="28" w:type="dxa"/>
            </w:tcMar>
            <w:vAlign w:val="center"/>
          </w:tcPr>
          <w:p w14:paraId="0C7B4724" w14:textId="77777777" w:rsidR="00052596" w:rsidRDefault="00000000">
            <w:pPr>
              <w:widowControl/>
              <w:spacing w:line="240" w:lineRule="exact"/>
              <w:jc w:val="center"/>
              <w:rPr>
                <w:rFonts w:eastAsia="標楷體"/>
                <w:kern w:val="0"/>
                <w:szCs w:val="24"/>
              </w:rPr>
            </w:pPr>
            <w:r>
              <w:rPr>
                <w:rFonts w:eastAsia="標楷體"/>
                <w:kern w:val="0"/>
                <w:szCs w:val="24"/>
              </w:rPr>
              <w:t>3.90</w:t>
            </w:r>
          </w:p>
        </w:tc>
      </w:tr>
    </w:tbl>
    <w:p w14:paraId="6C4EEFAA" w14:textId="77777777" w:rsidR="00052596" w:rsidRDefault="00000000">
      <w:pPr>
        <w:overflowPunct w:val="0"/>
        <w:autoSpaceDE w:val="0"/>
        <w:spacing w:before="24" w:line="240" w:lineRule="exact"/>
        <w:ind w:left="1160" w:hanging="440"/>
        <w:jc w:val="both"/>
        <w:textAlignment w:val="center"/>
        <w:rPr>
          <w:rFonts w:eastAsia="標楷體"/>
          <w:kern w:val="0"/>
          <w:sz w:val="22"/>
          <w:szCs w:val="22"/>
        </w:rPr>
      </w:pPr>
      <w:r>
        <w:rPr>
          <w:rFonts w:eastAsia="標楷體"/>
          <w:kern w:val="0"/>
          <w:sz w:val="22"/>
          <w:szCs w:val="22"/>
        </w:rPr>
        <w:t>註：其他包含其他服務業、進口稅、加值型營業稅。</w:t>
      </w:r>
    </w:p>
    <w:p w14:paraId="2B4D49F7" w14:textId="77777777" w:rsidR="00052596" w:rsidRDefault="00000000">
      <w:pPr>
        <w:overflowPunct w:val="0"/>
        <w:autoSpaceDE w:val="0"/>
        <w:spacing w:line="280" w:lineRule="exact"/>
        <w:ind w:left="1128" w:hanging="1080"/>
        <w:jc w:val="both"/>
        <w:textAlignment w:val="center"/>
      </w:pPr>
      <w:r>
        <w:rPr>
          <w:rFonts w:eastAsia="標楷體"/>
          <w:spacing w:val="-2"/>
          <w:kern w:val="0"/>
          <w:sz w:val="22"/>
          <w:szCs w:val="22"/>
        </w:rPr>
        <w:t>資料來源：行政院主計總處。</w:t>
      </w:r>
    </w:p>
    <w:p w14:paraId="4F1B504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00" w:hanging="240"/>
        <w:jc w:val="both"/>
        <w:textAlignment w:val="center"/>
      </w:pPr>
      <w:r>
        <w:rPr>
          <w:noProof/>
        </w:rPr>
        <mc:AlternateContent>
          <mc:Choice Requires="wps">
            <w:drawing>
              <wp:anchor distT="0" distB="0" distL="114300" distR="114300" simplePos="0" relativeHeight="251640320" behindDoc="0" locked="0" layoutInCell="1" allowOverlap="1" wp14:anchorId="7F82C4BD" wp14:editId="56C28D61">
                <wp:simplePos x="0" y="0"/>
                <wp:positionH relativeFrom="column">
                  <wp:posOffset>8887</wp:posOffset>
                </wp:positionH>
                <wp:positionV relativeFrom="paragraph">
                  <wp:posOffset>-1271</wp:posOffset>
                </wp:positionV>
                <wp:extent cx="5391146" cy="8166104"/>
                <wp:effectExtent l="0" t="0" r="19054" b="25396"/>
                <wp:wrapNone/>
                <wp:docPr id="109" name="文字方塊 17479"/>
                <wp:cNvGraphicFramePr/>
                <a:graphic xmlns:a="http://schemas.openxmlformats.org/drawingml/2006/main">
                  <a:graphicData uri="http://schemas.microsoft.com/office/word/2010/wordprocessingShape">
                    <wps:wsp>
                      <wps:cNvSpPr txBox="1"/>
                      <wps:spPr>
                        <a:xfrm>
                          <a:off x="0" y="0"/>
                          <a:ext cx="5391146" cy="8166104"/>
                        </a:xfrm>
                        <a:prstGeom prst="rect">
                          <a:avLst/>
                        </a:prstGeom>
                        <a:solidFill>
                          <a:srgbClr val="EFF5FF"/>
                        </a:solidFill>
                        <a:ln w="9528">
                          <a:solidFill>
                            <a:srgbClr val="000000"/>
                          </a:solidFill>
                          <a:prstDash val="solid"/>
                        </a:ln>
                      </wps:spPr>
                      <wps:txbx>
                        <w:txbxContent>
                          <w:p w14:paraId="719A59BB" w14:textId="77777777" w:rsidR="00052596" w:rsidRDefault="00000000">
                            <w:pPr>
                              <w:pStyle w:val="t12"/>
                              <w:tabs>
                                <w:tab w:val="left" w:pos="5954"/>
                              </w:tabs>
                              <w:spacing w:before="240" w:after="120"/>
                              <w:rPr>
                                <w:color w:val="0000FF"/>
                              </w:rPr>
                            </w:pPr>
                            <w:r>
                              <w:rPr>
                                <w:color w:val="0000FF"/>
                              </w:rPr>
                              <w:t>培育中堅企業，創造產業成長新動能</w:t>
                            </w:r>
                          </w:p>
                          <w:p w14:paraId="49713DB0" w14:textId="77777777" w:rsidR="00052596" w:rsidRDefault="00000000">
                            <w:pPr>
                              <w:pStyle w:val="t11"/>
                              <w:tabs>
                                <w:tab w:val="left" w:pos="5954"/>
                              </w:tabs>
                              <w:spacing w:line="360" w:lineRule="exact"/>
                              <w:ind w:left="72" w:right="72" w:firstLine="472"/>
                            </w:pPr>
                            <w:r>
                              <w:t>不同於日本、韓國以大企業為產業發展主體，臺灣一向以中小企業為主。91至100年間，中小企業占企業總家數比率皆維持在97%以上。另方面，中小企業雖然占總銷售額比重僅約3成，但卻提供超過75%的就業機會，顯示中小企業在創造國內就業機會一直扮演重要角色。惟面對全球化的激烈競爭，如何提升中小企業的國際競爭力，使其專注本業、深耕技術，在產品與服務上具有獨特性，持續創造產業成長新動能，係當前施政重要課題。</w:t>
                            </w:r>
                          </w:p>
                          <w:p w14:paraId="1858725D" w14:textId="77777777" w:rsidR="00052596" w:rsidRDefault="00000000">
                            <w:pPr>
                              <w:pStyle w:val="t11"/>
                              <w:tabs>
                                <w:tab w:val="left" w:pos="5954"/>
                              </w:tabs>
                              <w:spacing w:line="360" w:lineRule="exact"/>
                              <w:ind w:left="308" w:right="72" w:hanging="236"/>
                              <w:rPr>
                                <w:szCs w:val="24"/>
                              </w:rPr>
                            </w:pPr>
                            <w:r>
                              <w:rPr>
                                <w:szCs w:val="24"/>
                              </w:rPr>
                              <w:t>－根據IMD「2012年世界競爭力年報」，2012年臺灣中小企業營運管理效能全球排名第5位，而2011年與2010年則分別居全球排名第3位與第5位，連續3年皆居亞洲第一位，顯示我國中小企業在營運管理效能具國際競爭優勢。</w:t>
                            </w:r>
                          </w:p>
                          <w:p w14:paraId="14282311" w14:textId="77777777" w:rsidR="00052596" w:rsidRDefault="00000000">
                            <w:pPr>
                              <w:pStyle w:val="t11"/>
                              <w:tabs>
                                <w:tab w:val="left" w:pos="5954"/>
                              </w:tabs>
                              <w:spacing w:line="360" w:lineRule="exact"/>
                              <w:ind w:left="308" w:right="72" w:hanging="236"/>
                              <w:rPr>
                                <w:szCs w:val="24"/>
                              </w:rPr>
                            </w:pPr>
                            <w:r>
                              <w:rPr>
                                <w:szCs w:val="24"/>
                              </w:rPr>
                              <w:t>－從國際經驗觀察，德國憑藉著多家規模不大，但技術專精之中堅企業支撐其經濟發展。臺灣亦可師法德國，考量個別產業發展特性，選擇具適當規模，基礎紮實，且在特定領域具有技術獨特性及關鍵性，在自有品牌、國際市場與通路等領域具有發展潛力的中小型企業，並以國內為主要經營基地之「中堅企業」重點輔導，提供客製化服務，使之成為技術專精、專注本業等具有國際競爭力的企業。</w:t>
                            </w:r>
                          </w:p>
                          <w:p w14:paraId="62D60F60" w14:textId="77777777" w:rsidR="00052596" w:rsidRDefault="00000000">
                            <w:pPr>
                              <w:pStyle w:val="t11"/>
                              <w:tabs>
                                <w:tab w:val="left" w:pos="5954"/>
                              </w:tabs>
                              <w:spacing w:line="360" w:lineRule="exact"/>
                              <w:ind w:left="308" w:right="72" w:hanging="236"/>
                              <w:rPr>
                                <w:szCs w:val="24"/>
                              </w:rPr>
                            </w:pPr>
                            <w:r>
                              <w:rPr>
                                <w:szCs w:val="24"/>
                              </w:rPr>
                              <w:t>－政府刻正積極執行「推動中堅企業躍升計畫」，預定培養在特定領域技術專精、專注本業且具國際競爭力之中堅企業，從「建基盤」、「助成長」與「選菁英」三個面向策略，推動中堅企業躍升，強化臺灣廠商在全球產業之關鍵地位，創造產業成長新動能。</w:t>
                            </w:r>
                          </w:p>
                          <w:p w14:paraId="4918CBA9" w14:textId="77777777" w:rsidR="00052596" w:rsidRDefault="00000000">
                            <w:pPr>
                              <w:pStyle w:val="t11"/>
                              <w:tabs>
                                <w:tab w:val="left" w:pos="5954"/>
                              </w:tabs>
                              <w:spacing w:line="360" w:lineRule="exact"/>
                              <w:ind w:left="308" w:right="72" w:hanging="236"/>
                              <w:jc w:val="center"/>
                              <w:rPr>
                                <w:rFonts w:cs="新細明體"/>
                                <w:b/>
                                <w:color w:val="0000FF"/>
                              </w:rPr>
                            </w:pPr>
                            <w:r>
                              <w:rPr>
                                <w:rFonts w:cs="新細明體"/>
                                <w:b/>
                                <w:color w:val="0000FF"/>
                              </w:rPr>
                              <w:t>臺灣中小企業重要指標</w:t>
                            </w:r>
                          </w:p>
                          <w:tbl>
                            <w:tblPr>
                              <w:tblW w:w="8066" w:type="dxa"/>
                              <w:jc w:val="center"/>
                              <w:tblLayout w:type="fixed"/>
                              <w:tblCellMar>
                                <w:left w:w="10" w:type="dxa"/>
                                <w:right w:w="10" w:type="dxa"/>
                              </w:tblCellMar>
                              <w:tblLook w:val="04A0" w:firstRow="1" w:lastRow="0" w:firstColumn="1" w:lastColumn="0" w:noHBand="0" w:noVBand="1"/>
                            </w:tblPr>
                            <w:tblGrid>
                              <w:gridCol w:w="8066"/>
                            </w:tblGrid>
                            <w:tr w:rsidR="00052596" w14:paraId="7B1FD2A4" w14:textId="77777777">
                              <w:tblPrEx>
                                <w:tblCellMar>
                                  <w:top w:w="0" w:type="dxa"/>
                                  <w:bottom w:w="0" w:type="dxa"/>
                                </w:tblCellMar>
                              </w:tblPrEx>
                              <w:trPr>
                                <w:trHeight w:val="622"/>
                                <w:jc w:val="center"/>
                              </w:trPr>
                              <w:tc>
                                <w:tcPr>
                                  <w:tcW w:w="8066"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tbl>
                                  <w:tblPr>
                                    <w:tblW w:w="7668" w:type="dxa"/>
                                    <w:jc w:val="center"/>
                                    <w:tblLayout w:type="fixed"/>
                                    <w:tblCellMar>
                                      <w:left w:w="10" w:type="dxa"/>
                                      <w:right w:w="10" w:type="dxa"/>
                                    </w:tblCellMar>
                                    <w:tblLook w:val="04A0" w:firstRow="1" w:lastRow="0" w:firstColumn="1" w:lastColumn="0" w:noHBand="0" w:noVBand="1"/>
                                  </w:tblPr>
                                  <w:tblGrid>
                                    <w:gridCol w:w="515"/>
                                    <w:gridCol w:w="794"/>
                                    <w:gridCol w:w="794"/>
                                    <w:gridCol w:w="796"/>
                                    <w:gridCol w:w="794"/>
                                    <w:gridCol w:w="795"/>
                                    <w:gridCol w:w="795"/>
                                    <w:gridCol w:w="795"/>
                                    <w:gridCol w:w="794"/>
                                    <w:gridCol w:w="796"/>
                                  </w:tblGrid>
                                  <w:tr w:rsidR="00052596" w14:paraId="0CA28187" w14:textId="77777777">
                                    <w:tblPrEx>
                                      <w:tblCellMar>
                                        <w:top w:w="0" w:type="dxa"/>
                                        <w:bottom w:w="0" w:type="dxa"/>
                                      </w:tblCellMar>
                                    </w:tblPrEx>
                                    <w:trPr>
                                      <w:trHeight w:val="354"/>
                                      <w:jc w:val="center"/>
                                    </w:trPr>
                                    <w:tc>
                                      <w:tcPr>
                                        <w:tcW w:w="515" w:type="dxa"/>
                                        <w:vMerge w:val="restart"/>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74A00E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年別</w:t>
                                        </w:r>
                                      </w:p>
                                    </w:tc>
                                    <w:tc>
                                      <w:tcPr>
                                        <w:tcW w:w="2384" w:type="dxa"/>
                                        <w:gridSpan w:val="3"/>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D11E7C6" w14:textId="77777777" w:rsidR="00052596" w:rsidRDefault="00000000">
                                        <w:pPr>
                                          <w:tabs>
                                            <w:tab w:val="left" w:pos="5954"/>
                                          </w:tabs>
                                          <w:spacing w:line="240" w:lineRule="exact"/>
                                          <w:jc w:val="center"/>
                                        </w:pPr>
                                        <w:r>
                                          <w:rPr>
                                            <w:rFonts w:ascii="新細明體" w:hAnsi="新細明體"/>
                                            <w:color w:val="000000"/>
                                            <w:sz w:val="20"/>
                                          </w:rPr>
                                          <w:t>家數(</w:t>
                                        </w:r>
                                        <w:r>
                                          <w:rPr>
                                            <w:rFonts w:ascii="新細明體" w:hAnsi="新細明體"/>
                                            <w:sz w:val="20"/>
                                          </w:rPr>
                                          <w:t>千家)</w:t>
                                        </w:r>
                                      </w:p>
                                    </w:tc>
                                    <w:tc>
                                      <w:tcPr>
                                        <w:tcW w:w="2384" w:type="dxa"/>
                                        <w:gridSpan w:val="3"/>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2F57DCE" w14:textId="77777777" w:rsidR="00052596" w:rsidRDefault="00000000">
                                        <w:pPr>
                                          <w:tabs>
                                            <w:tab w:val="left" w:pos="5954"/>
                                          </w:tabs>
                                          <w:spacing w:line="240" w:lineRule="exact"/>
                                          <w:jc w:val="center"/>
                                        </w:pPr>
                                        <w:r>
                                          <w:rPr>
                                            <w:rFonts w:ascii="新細明體" w:hAnsi="新細明體"/>
                                            <w:color w:val="000000"/>
                                            <w:sz w:val="20"/>
                                          </w:rPr>
                                          <w:t>銷售額(</w:t>
                                        </w:r>
                                        <w:r>
                                          <w:rPr>
                                            <w:rFonts w:ascii="新細明體" w:hAnsi="新細明體"/>
                                            <w:sz w:val="20"/>
                                          </w:rPr>
                                          <w:t>億元</w:t>
                                        </w:r>
                                        <w:r>
                                          <w:rPr>
                                            <w:rFonts w:ascii="新細明體" w:hAnsi="新細明體"/>
                                            <w:color w:val="000000"/>
                                            <w:sz w:val="20"/>
                                          </w:rPr>
                                          <w:t>)</w:t>
                                        </w:r>
                                      </w:p>
                                    </w:tc>
                                    <w:tc>
                                      <w:tcPr>
                                        <w:tcW w:w="2385" w:type="dxa"/>
                                        <w:gridSpan w:val="3"/>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5EE830BC" w14:textId="77777777" w:rsidR="00052596" w:rsidRDefault="00000000">
                                        <w:pPr>
                                          <w:tabs>
                                            <w:tab w:val="left" w:pos="5954"/>
                                          </w:tabs>
                                          <w:spacing w:line="240" w:lineRule="exact"/>
                                          <w:jc w:val="center"/>
                                        </w:pPr>
                                        <w:r>
                                          <w:rPr>
                                            <w:rFonts w:ascii="新細明體" w:hAnsi="新細明體"/>
                                            <w:color w:val="000000"/>
                                            <w:sz w:val="20"/>
                                          </w:rPr>
                                          <w:t>就業人數(</w:t>
                                        </w:r>
                                        <w:r>
                                          <w:rPr>
                                            <w:rFonts w:ascii="新細明體" w:hAnsi="新細明體"/>
                                            <w:sz w:val="20"/>
                                          </w:rPr>
                                          <w:t>千人)</w:t>
                                        </w:r>
                                      </w:p>
                                    </w:tc>
                                  </w:tr>
                                  <w:tr w:rsidR="00052596" w14:paraId="6F5157C9" w14:textId="77777777">
                                    <w:tblPrEx>
                                      <w:tblCellMar>
                                        <w:top w:w="0" w:type="dxa"/>
                                        <w:bottom w:w="0" w:type="dxa"/>
                                      </w:tblCellMar>
                                    </w:tblPrEx>
                                    <w:trPr>
                                      <w:trHeight w:val="199"/>
                                      <w:jc w:val="center"/>
                                    </w:trPr>
                                    <w:tc>
                                      <w:tcPr>
                                        <w:tcW w:w="515" w:type="dxa"/>
                                        <w:vMerge/>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14FDABA" w14:textId="77777777" w:rsidR="00052596" w:rsidRDefault="00052596">
                                        <w:pPr>
                                          <w:tabs>
                                            <w:tab w:val="left" w:pos="5954"/>
                                          </w:tabs>
                                          <w:spacing w:line="240" w:lineRule="exact"/>
                                          <w:rPr>
                                            <w:rFonts w:ascii="新細明體" w:hAnsi="新細明體"/>
                                            <w:color w:val="000000"/>
                                            <w:sz w:val="20"/>
                                          </w:rPr>
                                        </w:pPr>
                                      </w:p>
                                    </w:tc>
                                    <w:tc>
                                      <w:tcPr>
                                        <w:tcW w:w="794"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7F8704B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合計</w:t>
                                        </w:r>
                                      </w:p>
                                    </w:tc>
                                    <w:tc>
                                      <w:tcPr>
                                        <w:tcW w:w="794" w:type="dxa"/>
                                        <w:vMerge w:val="restart"/>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79CD811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中小</w:t>
                                        </w:r>
                                        <w:r>
                                          <w:rPr>
                                            <w:rFonts w:ascii="新細明體" w:hAnsi="新細明體"/>
                                            <w:color w:val="000000"/>
                                            <w:sz w:val="20"/>
                                          </w:rPr>
                                          <w:br/>
                                          <w:t>企業</w:t>
                                        </w:r>
                                      </w:p>
                                    </w:tc>
                                    <w:tc>
                                      <w:tcPr>
                                        <w:tcW w:w="796" w:type="dxa"/>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BDEB65C" w14:textId="77777777" w:rsidR="00052596" w:rsidRDefault="00052596">
                                        <w:pPr>
                                          <w:tabs>
                                            <w:tab w:val="left" w:pos="5954"/>
                                          </w:tabs>
                                          <w:spacing w:line="240" w:lineRule="exact"/>
                                          <w:jc w:val="center"/>
                                          <w:rPr>
                                            <w:rFonts w:ascii="新細明體" w:hAnsi="新細明體"/>
                                            <w:color w:val="000000"/>
                                            <w:sz w:val="20"/>
                                          </w:rPr>
                                        </w:pPr>
                                      </w:p>
                                    </w:tc>
                                    <w:tc>
                                      <w:tcPr>
                                        <w:tcW w:w="794"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A06C14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合計</w:t>
                                        </w:r>
                                      </w:p>
                                    </w:tc>
                                    <w:tc>
                                      <w:tcPr>
                                        <w:tcW w:w="795" w:type="dxa"/>
                                        <w:vMerge w:val="restart"/>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4030F90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中小</w:t>
                                        </w:r>
                                        <w:r>
                                          <w:rPr>
                                            <w:rFonts w:ascii="新細明體" w:hAnsi="新細明體"/>
                                            <w:color w:val="000000"/>
                                            <w:sz w:val="20"/>
                                          </w:rPr>
                                          <w:br/>
                                          <w:t>企業</w:t>
                                        </w:r>
                                      </w:p>
                                    </w:tc>
                                    <w:tc>
                                      <w:tcPr>
                                        <w:tcW w:w="795" w:type="dxa"/>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1CDC17B" w14:textId="77777777" w:rsidR="00052596" w:rsidRDefault="00052596">
                                        <w:pPr>
                                          <w:tabs>
                                            <w:tab w:val="left" w:pos="5954"/>
                                          </w:tabs>
                                          <w:spacing w:line="240" w:lineRule="exact"/>
                                          <w:jc w:val="center"/>
                                          <w:rPr>
                                            <w:rFonts w:ascii="新細明體" w:hAnsi="新細明體"/>
                                            <w:color w:val="000000"/>
                                            <w:sz w:val="20"/>
                                          </w:rPr>
                                        </w:pPr>
                                      </w:p>
                                    </w:tc>
                                    <w:tc>
                                      <w:tcPr>
                                        <w:tcW w:w="795"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D8459E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合計</w:t>
                                        </w:r>
                                      </w:p>
                                    </w:tc>
                                    <w:tc>
                                      <w:tcPr>
                                        <w:tcW w:w="794" w:type="dxa"/>
                                        <w:vMerge w:val="restart"/>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197A0B6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中小</w:t>
                                        </w:r>
                                        <w:r>
                                          <w:rPr>
                                            <w:rFonts w:ascii="新細明體" w:hAnsi="新細明體"/>
                                            <w:color w:val="000000"/>
                                            <w:sz w:val="20"/>
                                          </w:rPr>
                                          <w:br/>
                                          <w:t>企業</w:t>
                                        </w:r>
                                      </w:p>
                                    </w:tc>
                                    <w:tc>
                                      <w:tcPr>
                                        <w:tcW w:w="796" w:type="dxa"/>
                                        <w:tcBorders>
                                          <w:top w:val="single" w:sz="6" w:space="0" w:color="000000"/>
                                          <w:bottom w:val="single" w:sz="6" w:space="0" w:color="000000"/>
                                        </w:tcBorders>
                                        <w:shd w:val="clear" w:color="auto" w:fill="EFFFEF"/>
                                        <w:noWrap/>
                                        <w:tcMar>
                                          <w:top w:w="0" w:type="dxa"/>
                                          <w:left w:w="28" w:type="dxa"/>
                                          <w:bottom w:w="0" w:type="dxa"/>
                                          <w:right w:w="28" w:type="dxa"/>
                                        </w:tcMar>
                                        <w:vAlign w:val="center"/>
                                      </w:tcPr>
                                      <w:p w14:paraId="7A141407" w14:textId="77777777" w:rsidR="00052596" w:rsidRDefault="00052596">
                                        <w:pPr>
                                          <w:tabs>
                                            <w:tab w:val="left" w:pos="5954"/>
                                          </w:tabs>
                                          <w:spacing w:line="240" w:lineRule="exact"/>
                                          <w:jc w:val="center"/>
                                          <w:rPr>
                                            <w:rFonts w:ascii="新細明體" w:hAnsi="新細明體"/>
                                            <w:color w:val="000000"/>
                                            <w:sz w:val="20"/>
                                          </w:rPr>
                                        </w:pPr>
                                      </w:p>
                                    </w:tc>
                                  </w:tr>
                                  <w:tr w:rsidR="00052596" w14:paraId="16A7F32A" w14:textId="77777777">
                                    <w:tblPrEx>
                                      <w:tblCellMar>
                                        <w:top w:w="0" w:type="dxa"/>
                                        <w:bottom w:w="0" w:type="dxa"/>
                                      </w:tblCellMar>
                                    </w:tblPrEx>
                                    <w:trPr>
                                      <w:trHeight w:val="198"/>
                                      <w:jc w:val="center"/>
                                    </w:trPr>
                                    <w:tc>
                                      <w:tcPr>
                                        <w:tcW w:w="515" w:type="dxa"/>
                                        <w:vMerge/>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1EA1B4FB" w14:textId="77777777" w:rsidR="00052596" w:rsidRDefault="00052596">
                                        <w:pPr>
                                          <w:tabs>
                                            <w:tab w:val="left" w:pos="5954"/>
                                          </w:tabs>
                                          <w:spacing w:line="240" w:lineRule="exact"/>
                                          <w:rPr>
                                            <w:rFonts w:ascii="新細明體" w:hAnsi="新細明體"/>
                                            <w:color w:val="000000"/>
                                            <w:sz w:val="20"/>
                                          </w:rPr>
                                        </w:pPr>
                                      </w:p>
                                    </w:tc>
                                    <w:tc>
                                      <w:tcPr>
                                        <w:tcW w:w="794"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CA8B782" w14:textId="77777777" w:rsidR="00052596" w:rsidRDefault="00052596">
                                        <w:pPr>
                                          <w:tabs>
                                            <w:tab w:val="left" w:pos="5954"/>
                                          </w:tabs>
                                          <w:spacing w:line="240" w:lineRule="exact"/>
                                          <w:jc w:val="center"/>
                                          <w:rPr>
                                            <w:rFonts w:ascii="新細明體" w:hAnsi="新細明體"/>
                                            <w:color w:val="000000"/>
                                            <w:sz w:val="20"/>
                                          </w:rPr>
                                        </w:pPr>
                                      </w:p>
                                    </w:tc>
                                    <w:tc>
                                      <w:tcPr>
                                        <w:tcW w:w="794" w:type="dxa"/>
                                        <w:vMerge/>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2F94C427" w14:textId="77777777" w:rsidR="00052596" w:rsidRDefault="00052596">
                                        <w:pPr>
                                          <w:tabs>
                                            <w:tab w:val="left" w:pos="5954"/>
                                          </w:tabs>
                                          <w:spacing w:line="240" w:lineRule="exact"/>
                                          <w:jc w:val="center"/>
                                          <w:rPr>
                                            <w:rFonts w:ascii="新細明體" w:hAnsi="新細明體"/>
                                            <w:color w:val="000000"/>
                                            <w:sz w:val="20"/>
                                          </w:rPr>
                                        </w:pPr>
                                      </w:p>
                                    </w:tc>
                                    <w:tc>
                                      <w:tcPr>
                                        <w:tcW w:w="796"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7935E26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結構比</w:t>
                                        </w:r>
                                      </w:p>
                                      <w:p w14:paraId="233BB29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w:t>
                                        </w:r>
                                      </w:p>
                                    </w:tc>
                                    <w:tc>
                                      <w:tcPr>
                                        <w:tcW w:w="794"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43FC3D8" w14:textId="77777777" w:rsidR="00052596" w:rsidRDefault="00052596">
                                        <w:pPr>
                                          <w:tabs>
                                            <w:tab w:val="left" w:pos="5954"/>
                                          </w:tabs>
                                          <w:spacing w:line="240" w:lineRule="exact"/>
                                          <w:jc w:val="center"/>
                                          <w:rPr>
                                            <w:rFonts w:ascii="新細明體" w:hAnsi="新細明體"/>
                                            <w:color w:val="000000"/>
                                            <w:sz w:val="20"/>
                                          </w:rPr>
                                        </w:pPr>
                                      </w:p>
                                    </w:tc>
                                    <w:tc>
                                      <w:tcPr>
                                        <w:tcW w:w="795" w:type="dxa"/>
                                        <w:vMerge/>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5D48FFA5" w14:textId="77777777" w:rsidR="00052596" w:rsidRDefault="00052596">
                                        <w:pPr>
                                          <w:tabs>
                                            <w:tab w:val="left" w:pos="5954"/>
                                          </w:tabs>
                                          <w:spacing w:line="240" w:lineRule="exact"/>
                                          <w:jc w:val="center"/>
                                          <w:rPr>
                                            <w:rFonts w:ascii="新細明體" w:hAnsi="新細明體"/>
                                            <w:color w:val="000000"/>
                                            <w:sz w:val="20"/>
                                          </w:rPr>
                                        </w:pPr>
                                      </w:p>
                                    </w:tc>
                                    <w:tc>
                                      <w:tcPr>
                                        <w:tcW w:w="795"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484566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結構比</w:t>
                                        </w:r>
                                      </w:p>
                                      <w:p w14:paraId="73F371C0"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w:t>
                                        </w:r>
                                      </w:p>
                                    </w:tc>
                                    <w:tc>
                                      <w:tcPr>
                                        <w:tcW w:w="795"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D5FC5C3" w14:textId="77777777" w:rsidR="00052596" w:rsidRDefault="00052596">
                                        <w:pPr>
                                          <w:tabs>
                                            <w:tab w:val="left" w:pos="5954"/>
                                          </w:tabs>
                                          <w:spacing w:line="240" w:lineRule="exact"/>
                                          <w:jc w:val="center"/>
                                          <w:rPr>
                                            <w:rFonts w:ascii="新細明體" w:hAnsi="新細明體"/>
                                            <w:color w:val="000000"/>
                                            <w:sz w:val="20"/>
                                          </w:rPr>
                                        </w:pPr>
                                      </w:p>
                                    </w:tc>
                                    <w:tc>
                                      <w:tcPr>
                                        <w:tcW w:w="794" w:type="dxa"/>
                                        <w:vMerge/>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3E32C326" w14:textId="77777777" w:rsidR="00052596" w:rsidRDefault="00052596">
                                        <w:pPr>
                                          <w:tabs>
                                            <w:tab w:val="left" w:pos="5954"/>
                                          </w:tabs>
                                          <w:spacing w:line="240" w:lineRule="exact"/>
                                          <w:jc w:val="center"/>
                                          <w:rPr>
                                            <w:rFonts w:ascii="新細明體" w:hAnsi="新細明體"/>
                                            <w:color w:val="000000"/>
                                            <w:sz w:val="20"/>
                                          </w:rPr>
                                        </w:pPr>
                                      </w:p>
                                    </w:tc>
                                    <w:tc>
                                      <w:tcPr>
                                        <w:tcW w:w="796" w:type="dxa"/>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3C75659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結構比</w:t>
                                        </w:r>
                                      </w:p>
                                      <w:p w14:paraId="7EC6409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w:t>
                                        </w:r>
                                      </w:p>
                                    </w:tc>
                                  </w:tr>
                                  <w:tr w:rsidR="00052596" w14:paraId="49A17D78" w14:textId="77777777">
                                    <w:tblPrEx>
                                      <w:tblCellMar>
                                        <w:top w:w="0" w:type="dxa"/>
                                        <w:bottom w:w="0" w:type="dxa"/>
                                      </w:tblCellMar>
                                    </w:tblPrEx>
                                    <w:trPr>
                                      <w:trHeight w:val="326"/>
                                      <w:jc w:val="center"/>
                                    </w:trPr>
                                    <w:tc>
                                      <w:tcPr>
                                        <w:tcW w:w="515"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442848B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91</w:t>
                                        </w:r>
                                      </w:p>
                                    </w:tc>
                                    <w:tc>
                                      <w:tcPr>
                                        <w:tcW w:w="79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87B09C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1,131</w:t>
                                        </w:r>
                                      </w:p>
                                    </w:tc>
                                    <w:tc>
                                      <w:tcPr>
                                        <w:tcW w:w="79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333A51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1,105</w:t>
                                        </w:r>
                                      </w:p>
                                    </w:tc>
                                    <w:tc>
                                      <w:tcPr>
                                        <w:tcW w:w="79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6F52006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97.72</w:t>
                                        </w:r>
                                      </w:p>
                                    </w:tc>
                                    <w:tc>
                                      <w:tcPr>
                                        <w:tcW w:w="79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7E587F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253,956</w:t>
                                        </w:r>
                                      </w:p>
                                    </w:tc>
                                    <w:tc>
                                      <w:tcPr>
                                        <w:tcW w:w="795"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7B9D1F4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74,953</w:t>
                                        </w:r>
                                      </w:p>
                                    </w:tc>
                                    <w:tc>
                                      <w:tcPr>
                                        <w:tcW w:w="795"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5C7161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29.51</w:t>
                                        </w:r>
                                      </w:p>
                                    </w:tc>
                                    <w:tc>
                                      <w:tcPr>
                                        <w:tcW w:w="795" w:type="dxa"/>
                                        <w:tcBorders>
                                          <w:top w:val="single" w:sz="6" w:space="0" w:color="000000"/>
                                          <w:left w:val="single" w:sz="6" w:space="0" w:color="000000"/>
                                          <w:right w:val="single" w:sz="6" w:space="0" w:color="000000"/>
                                        </w:tcBorders>
                                        <w:shd w:val="clear" w:color="auto" w:fill="FFF0E1"/>
                                        <w:tcMar>
                                          <w:top w:w="0" w:type="dxa"/>
                                          <w:left w:w="28" w:type="dxa"/>
                                          <w:bottom w:w="0" w:type="dxa"/>
                                          <w:right w:w="28" w:type="dxa"/>
                                        </w:tcMar>
                                        <w:vAlign w:val="center"/>
                                      </w:tcPr>
                                      <w:p w14:paraId="51A6EB2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9,454</w:t>
                                        </w:r>
                                      </w:p>
                                    </w:tc>
                                    <w:tc>
                                      <w:tcPr>
                                        <w:tcW w:w="79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B9955D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7,361</w:t>
                                        </w:r>
                                      </w:p>
                                    </w:tc>
                                    <w:tc>
                                      <w:tcPr>
                                        <w:tcW w:w="796" w:type="dxa"/>
                                        <w:tcBorders>
                                          <w:top w:val="single" w:sz="6" w:space="0" w:color="000000"/>
                                          <w:left w:val="single" w:sz="6" w:space="0" w:color="000000"/>
                                        </w:tcBorders>
                                        <w:shd w:val="clear" w:color="auto" w:fill="FFF0E1"/>
                                        <w:noWrap/>
                                        <w:tcMar>
                                          <w:top w:w="0" w:type="dxa"/>
                                          <w:left w:w="28" w:type="dxa"/>
                                          <w:bottom w:w="0" w:type="dxa"/>
                                          <w:right w:w="28" w:type="dxa"/>
                                        </w:tcMar>
                                        <w:vAlign w:val="center"/>
                                      </w:tcPr>
                                      <w:p w14:paraId="147E3AC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77.86</w:t>
                                        </w:r>
                                      </w:p>
                                    </w:tc>
                                  </w:tr>
                                  <w:tr w:rsidR="00052596" w14:paraId="0233165F"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53573FA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92</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530F7E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1,173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2A42347"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1,147</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DEA2F0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97.83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C1A663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276,735</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BD0745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87,089</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70C336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31.47</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3A1DC62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9,573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3485D3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7,425</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2A2C57D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77.56</w:t>
                                        </w:r>
                                      </w:p>
                                    </w:tc>
                                  </w:tr>
                                  <w:tr w:rsidR="00052596" w14:paraId="40C84FC4"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7CEDFB9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0DAFD0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1,204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C2A90B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1,177</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7FDE69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97.73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284E8E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317,553</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FE6E36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97,267</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7AE637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30.63</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082BD5C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9,786</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4B4260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7,553</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5E24B1D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77.18</w:t>
                                        </w:r>
                                      </w:p>
                                    </w:tc>
                                  </w:tr>
                                  <w:tr w:rsidR="00052596" w14:paraId="2F4EABB0"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5FA8DBE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C0A2F7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1,254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DCC120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1,226</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8DC145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97.80</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E06501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339,419</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33B323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100,002</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103044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29.46</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7BC7375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9,942</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4A3A70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7,648</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354B92E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76.93</w:t>
                                        </w:r>
                                      </w:p>
                                    </w:tc>
                                  </w:tr>
                                  <w:tr w:rsidR="00052596" w14:paraId="64A9F6D3"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781D52A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95</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7F7E69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1,273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C554117"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1,244</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DAEBED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97.77</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3DCDDE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343,261</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B39DAE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102,412</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58FD70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29.84</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7A387B0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10,111</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3D4E627"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7,751</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798E56E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76.66</w:t>
                                        </w:r>
                                      </w:p>
                                    </w:tc>
                                  </w:tr>
                                  <w:tr w:rsidR="00052596" w14:paraId="1B8BBAE3"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676EDAF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96</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2D3E9B0"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1,267</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6B8CD3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1,237</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AA6A83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97.68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69097B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358,862</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418BE0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104,819</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43F63D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29.21</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0EE52F2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10,294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94DD58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7,939</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0A05CCB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77.12</w:t>
                                        </w:r>
                                      </w:p>
                                    </w:tc>
                                  </w:tr>
                                  <w:tr w:rsidR="00052596" w14:paraId="13BBD3E0"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5A8D5C9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C26340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1,264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0A686D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1,235</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F90F7F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97.70</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784DE1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352,391</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F484CC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104,627</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3B5576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29.69</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EE6518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10,403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4D346D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7,966</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785298C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76.58</w:t>
                                        </w:r>
                                      </w:p>
                                    </w:tc>
                                  </w:tr>
                                  <w:tr w:rsidR="00052596" w14:paraId="0D7BA9A3"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27BBFA3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17BC30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1,258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3F6180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1,232</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3054DD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97.91</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D88F86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299,818</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AADFDC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91,895</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FECB56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30.65</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46F7CD3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10,279</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B87A10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8,066</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0D3A37C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78.47</w:t>
                                        </w:r>
                                      </w:p>
                                    </w:tc>
                                  </w:tr>
                                  <w:tr w:rsidR="00052596" w14:paraId="4CB2A180"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5C2796D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99</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5D2EB5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1,278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79BEAC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1,248</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38BDEA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97.68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7E9127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362,396</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3756360"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107,090</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9722A0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29.55</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5BC3F5D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10,493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7BAE6A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8,191</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282FCC0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78.06</w:t>
                                        </w:r>
                                      </w:p>
                                    </w:tc>
                                  </w:tr>
                                  <w:tr w:rsidR="00052596" w14:paraId="334A8D06" w14:textId="77777777">
                                    <w:tblPrEx>
                                      <w:tblCellMar>
                                        <w:top w:w="0" w:type="dxa"/>
                                        <w:bottom w:w="0" w:type="dxa"/>
                                      </w:tblCellMar>
                                    </w:tblPrEx>
                                    <w:trPr>
                                      <w:trHeight w:val="338"/>
                                      <w:jc w:val="center"/>
                                    </w:trPr>
                                    <w:tc>
                                      <w:tcPr>
                                        <w:tcW w:w="515"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7BEA827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100</w:t>
                                        </w:r>
                                      </w:p>
                                    </w:tc>
                                    <w:tc>
                                      <w:tcPr>
                                        <w:tcW w:w="79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6E9CF130"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1,311</w:t>
                                        </w:r>
                                      </w:p>
                                    </w:tc>
                                    <w:tc>
                                      <w:tcPr>
                                        <w:tcW w:w="79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5DDC157"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1,280</w:t>
                                        </w:r>
                                      </w:p>
                                    </w:tc>
                                    <w:tc>
                                      <w:tcPr>
                                        <w:tcW w:w="79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774EE6A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97.63</w:t>
                                        </w:r>
                                      </w:p>
                                    </w:tc>
                                    <w:tc>
                                      <w:tcPr>
                                        <w:tcW w:w="79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8F4139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378,817</w:t>
                                        </w:r>
                                      </w:p>
                                    </w:tc>
                                    <w:tc>
                                      <w:tcPr>
                                        <w:tcW w:w="795"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69FC62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112,269</w:t>
                                        </w:r>
                                      </w:p>
                                    </w:tc>
                                    <w:tc>
                                      <w:tcPr>
                                        <w:tcW w:w="795"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A8147D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29.64</w:t>
                                        </w:r>
                                      </w:p>
                                    </w:tc>
                                    <w:tc>
                                      <w:tcPr>
                                        <w:tcW w:w="795"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CACF69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10,709</w:t>
                                        </w:r>
                                      </w:p>
                                    </w:tc>
                                    <w:tc>
                                      <w:tcPr>
                                        <w:tcW w:w="79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27DCF2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8,337</w:t>
                                        </w:r>
                                      </w:p>
                                    </w:tc>
                                    <w:tc>
                                      <w:tcPr>
                                        <w:tcW w:w="796" w:type="dxa"/>
                                        <w:tcBorders>
                                          <w:left w:val="single" w:sz="6" w:space="0" w:color="000000"/>
                                          <w:bottom w:val="single" w:sz="6" w:space="0" w:color="000000"/>
                                        </w:tcBorders>
                                        <w:shd w:val="clear" w:color="auto" w:fill="FFF0E1"/>
                                        <w:noWrap/>
                                        <w:tcMar>
                                          <w:top w:w="0" w:type="dxa"/>
                                          <w:left w:w="28" w:type="dxa"/>
                                          <w:bottom w:w="0" w:type="dxa"/>
                                          <w:right w:w="28" w:type="dxa"/>
                                        </w:tcMar>
                                        <w:vAlign w:val="center"/>
                                      </w:tcPr>
                                      <w:p w14:paraId="3F802CF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77.85</w:t>
                                        </w:r>
                                      </w:p>
                                    </w:tc>
                                  </w:tr>
                                </w:tbl>
                                <w:p w14:paraId="4E10F1FA" w14:textId="77777777" w:rsidR="00052596" w:rsidRDefault="00052596">
                                  <w:pPr>
                                    <w:tabs>
                                      <w:tab w:val="left" w:pos="5954"/>
                                    </w:tabs>
                                    <w:autoSpaceDE w:val="0"/>
                                    <w:rPr>
                                      <w:rFonts w:ascii="新細明體" w:hAnsi="新細明體" w:cs="新細明體"/>
                                      <w:color w:val="000000"/>
                                      <w:sz w:val="28"/>
                                      <w:szCs w:val="28"/>
                                    </w:rPr>
                                  </w:pPr>
                                </w:p>
                              </w:tc>
                            </w:tr>
                          </w:tbl>
                          <w:p w14:paraId="0EE0E115" w14:textId="77777777" w:rsidR="00052596" w:rsidRDefault="00000000">
                            <w:pPr>
                              <w:tabs>
                                <w:tab w:val="left" w:pos="5954"/>
                                <w:tab w:val="right" w:pos="8505"/>
                              </w:tabs>
                              <w:overflowPunct w:val="0"/>
                              <w:autoSpaceDE w:val="0"/>
                              <w:spacing w:before="72" w:line="260" w:lineRule="exact"/>
                              <w:ind w:left="480"/>
                              <w:textAlignment w:val="center"/>
                            </w:pPr>
                            <w:r>
                              <w:rPr>
                                <w:rFonts w:ascii="新細明體" w:hAnsi="新細明體"/>
                                <w:spacing w:val="-2"/>
                                <w:sz w:val="20"/>
                              </w:rPr>
                              <w:t>資料來源</w:t>
                            </w:r>
                            <w:r>
                              <w:rPr>
                                <w:rFonts w:ascii="新細明體" w:hAnsi="新細明體"/>
                                <w:spacing w:val="-2"/>
                                <w:sz w:val="22"/>
                                <w:szCs w:val="22"/>
                              </w:rPr>
                              <w:t>：</w:t>
                            </w:r>
                            <w:r>
                              <w:rPr>
                                <w:rFonts w:ascii="新細明體" w:hAnsi="新細明體"/>
                                <w:spacing w:val="-2"/>
                                <w:sz w:val="20"/>
                              </w:rPr>
                              <w:t>經濟部</w:t>
                            </w:r>
                            <w:r>
                              <w:rPr>
                                <w:rFonts w:ascii="新細明體" w:hAnsi="新細明體"/>
                                <w:spacing w:val="-2"/>
                                <w:sz w:val="22"/>
                                <w:szCs w:val="22"/>
                              </w:rPr>
                              <w:t>，</w:t>
                            </w:r>
                            <w:r>
                              <w:rPr>
                                <w:rFonts w:ascii="新細明體" w:hAnsi="新細明體"/>
                                <w:spacing w:val="-2"/>
                                <w:sz w:val="20"/>
                              </w:rPr>
                              <w:t>中小企業白皮書</w:t>
                            </w:r>
                            <w:r>
                              <w:rPr>
                                <w:rFonts w:ascii="新細明體" w:hAnsi="新細明體"/>
                                <w:spacing w:val="-2"/>
                                <w:sz w:val="22"/>
                                <w:szCs w:val="22"/>
                              </w:rPr>
                              <w:t>。</w:t>
                            </w:r>
                          </w:p>
                        </w:txbxContent>
                      </wps:txbx>
                      <wps:bodyPr wrap="square" lIns="91440" tIns="45720" rIns="91440" bIns="45720" anchor="t">
                        <a:noAutofit/>
                      </wps:bodyPr>
                    </wps:wsp>
                  </a:graphicData>
                </a:graphic>
              </wp:anchor>
            </w:drawing>
          </mc:Choice>
          <mc:Fallback>
            <w:pict>
              <v:shape w14:anchorId="7F82C4BD" id="文字方塊 17479" o:spid="_x0000_s1047" type="#_x0000_t202" style="position:absolute;left:0;text-align:left;margin-left:.7pt;margin-top:-.1pt;width:424.5pt;height:643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" fillcolor="#eff5ff" strokeweight=".26467mm">
                <v:textbox>
                  <w:txbxContent>
                    <w:p w14:paraId="719A59BB" w14:textId="77777777" w:rsidR="00052596" w:rsidRDefault="00000000">
                      <w:pPr>
                        <w:pStyle w:val="t12"/>
                        <w:tabs>
                          <w:tab w:val="left" w:pos="5954"/>
                        </w:tabs>
                        <w:spacing w:before="240" w:after="120"/>
                        <w:rPr>
                          <w:color w:val="0000FF"/>
                        </w:rPr>
                      </w:pPr>
                      <w:r>
                        <w:rPr>
                          <w:color w:val="0000FF"/>
                        </w:rPr>
                        <w:t>培育中堅企業，創造產業成長新動能</w:t>
                      </w:r>
                    </w:p>
                    <w:p w14:paraId="49713DB0" w14:textId="77777777" w:rsidR="00052596" w:rsidRDefault="00000000">
                      <w:pPr>
                        <w:pStyle w:val="t11"/>
                        <w:tabs>
                          <w:tab w:val="left" w:pos="5954"/>
                        </w:tabs>
                        <w:spacing w:line="360" w:lineRule="exact"/>
                        <w:ind w:left="72" w:right="72" w:firstLine="472"/>
                      </w:pPr>
                      <w:r>
                        <w:t>不同於日本、韓國以大企業為產業發展主體，臺灣一向以中小企業為主。91至100年間，中小企業占企業總家數比率皆維持在97%以上。另方面，中小企業雖然占總銷售額比重僅約3成，但卻提供超過75%的就業機會，顯示中小企業在創造國內就業機會一直扮演重要角色。惟面對全球化的激烈競爭，如何提升中小企業的國際競爭力，使其專注本業、深耕技術，在產品與服務上具有獨特性，持續創造產業成長新動能，係當前施政重要課題。</w:t>
                      </w:r>
                    </w:p>
                    <w:p w14:paraId="1858725D" w14:textId="77777777" w:rsidR="00052596" w:rsidRDefault="00000000">
                      <w:pPr>
                        <w:pStyle w:val="t11"/>
                        <w:tabs>
                          <w:tab w:val="left" w:pos="5954"/>
                        </w:tabs>
                        <w:spacing w:line="360" w:lineRule="exact"/>
                        <w:ind w:left="308" w:right="72" w:hanging="236"/>
                        <w:rPr>
                          <w:szCs w:val="24"/>
                        </w:rPr>
                      </w:pPr>
                      <w:r>
                        <w:rPr>
                          <w:szCs w:val="24"/>
                        </w:rPr>
                        <w:t>－根據IMD「2012年世界競爭力年報」，2012年臺灣中小企業營運管理效能全球排名第5位，而2011年與2010年則分別居全球排名第3位與第5位，連續3年皆居亞洲第一位，顯示我國中小企業在營運管理效能具國際競爭優勢。</w:t>
                      </w:r>
                    </w:p>
                    <w:p w14:paraId="14282311" w14:textId="77777777" w:rsidR="00052596" w:rsidRDefault="00000000">
                      <w:pPr>
                        <w:pStyle w:val="t11"/>
                        <w:tabs>
                          <w:tab w:val="left" w:pos="5954"/>
                        </w:tabs>
                        <w:spacing w:line="360" w:lineRule="exact"/>
                        <w:ind w:left="308" w:right="72" w:hanging="236"/>
                        <w:rPr>
                          <w:szCs w:val="24"/>
                        </w:rPr>
                      </w:pPr>
                      <w:r>
                        <w:rPr>
                          <w:szCs w:val="24"/>
                        </w:rPr>
                        <w:t>－從國際經驗觀察，德國憑藉著多家規模不大，但技術專精之中堅企業支撐其經濟發展。臺灣亦可師法德國，考量個別產業發展特性，選擇具適當規模，基礎紮實，且在特定領域具有技術獨特性及關鍵性，在自有品牌、國際市場與通路等領域具有發展潛力的中小型企業，並以國內為主要經營基地之「中堅企業」重點輔導，提供客製化服務，使之成為技術專精、專注本業等具有國際競爭力的企業。</w:t>
                      </w:r>
                    </w:p>
                    <w:p w14:paraId="62D60F60" w14:textId="77777777" w:rsidR="00052596" w:rsidRDefault="00000000">
                      <w:pPr>
                        <w:pStyle w:val="t11"/>
                        <w:tabs>
                          <w:tab w:val="left" w:pos="5954"/>
                        </w:tabs>
                        <w:spacing w:line="360" w:lineRule="exact"/>
                        <w:ind w:left="308" w:right="72" w:hanging="236"/>
                        <w:rPr>
                          <w:szCs w:val="24"/>
                        </w:rPr>
                      </w:pPr>
                      <w:r>
                        <w:rPr>
                          <w:szCs w:val="24"/>
                        </w:rPr>
                        <w:t>－政府刻正積極執行「推動中堅企業躍升計畫」，預定培養在特定領域技術專精、專注本業且具國際競爭力之中堅企業，從「建基盤」、「助成長」與「選菁英」三個面向策略，推動中堅企業躍升，強化臺灣廠商在全球產業之關鍵地位，創造產業成長新動能。</w:t>
                      </w:r>
                    </w:p>
                    <w:p w14:paraId="4918CBA9" w14:textId="77777777" w:rsidR="00052596" w:rsidRDefault="00000000">
                      <w:pPr>
                        <w:pStyle w:val="t11"/>
                        <w:tabs>
                          <w:tab w:val="left" w:pos="5954"/>
                        </w:tabs>
                        <w:spacing w:line="360" w:lineRule="exact"/>
                        <w:ind w:left="308" w:right="72" w:hanging="236"/>
                        <w:jc w:val="center"/>
                        <w:rPr>
                          <w:rFonts w:cs="新細明體"/>
                          <w:b/>
                          <w:color w:val="0000FF"/>
                        </w:rPr>
                      </w:pPr>
                      <w:r>
                        <w:rPr>
                          <w:rFonts w:cs="新細明體"/>
                          <w:b/>
                          <w:color w:val="0000FF"/>
                        </w:rPr>
                        <w:t>臺灣中小企業重要指標</w:t>
                      </w:r>
                    </w:p>
                    <w:tbl>
                      <w:tblPr>
                        <w:tblW w:w="8066" w:type="dxa"/>
                        <w:jc w:val="center"/>
                        <w:tblLayout w:type="fixed"/>
                        <w:tblCellMar>
                          <w:left w:w="10" w:type="dxa"/>
                          <w:right w:w="10" w:type="dxa"/>
                        </w:tblCellMar>
                        <w:tblLook w:val="04A0" w:firstRow="1" w:lastRow="0" w:firstColumn="1" w:lastColumn="0" w:noHBand="0" w:noVBand="1"/>
                      </w:tblPr>
                      <w:tblGrid>
                        <w:gridCol w:w="8066"/>
                      </w:tblGrid>
                      <w:tr w:rsidR="00052596" w14:paraId="7B1FD2A4" w14:textId="77777777">
                        <w:tblPrEx>
                          <w:tblCellMar>
                            <w:top w:w="0" w:type="dxa"/>
                            <w:bottom w:w="0" w:type="dxa"/>
                          </w:tblCellMar>
                        </w:tblPrEx>
                        <w:trPr>
                          <w:trHeight w:val="622"/>
                          <w:jc w:val="center"/>
                        </w:trPr>
                        <w:tc>
                          <w:tcPr>
                            <w:tcW w:w="8066"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tbl>
                            <w:tblPr>
                              <w:tblW w:w="7668" w:type="dxa"/>
                              <w:jc w:val="center"/>
                              <w:tblLayout w:type="fixed"/>
                              <w:tblCellMar>
                                <w:left w:w="10" w:type="dxa"/>
                                <w:right w:w="10" w:type="dxa"/>
                              </w:tblCellMar>
                              <w:tblLook w:val="04A0" w:firstRow="1" w:lastRow="0" w:firstColumn="1" w:lastColumn="0" w:noHBand="0" w:noVBand="1"/>
                            </w:tblPr>
                            <w:tblGrid>
                              <w:gridCol w:w="515"/>
                              <w:gridCol w:w="794"/>
                              <w:gridCol w:w="794"/>
                              <w:gridCol w:w="796"/>
                              <w:gridCol w:w="794"/>
                              <w:gridCol w:w="795"/>
                              <w:gridCol w:w="795"/>
                              <w:gridCol w:w="795"/>
                              <w:gridCol w:w="794"/>
                              <w:gridCol w:w="796"/>
                            </w:tblGrid>
                            <w:tr w:rsidR="00052596" w14:paraId="0CA28187" w14:textId="77777777">
                              <w:tblPrEx>
                                <w:tblCellMar>
                                  <w:top w:w="0" w:type="dxa"/>
                                  <w:bottom w:w="0" w:type="dxa"/>
                                </w:tblCellMar>
                              </w:tblPrEx>
                              <w:trPr>
                                <w:trHeight w:val="354"/>
                                <w:jc w:val="center"/>
                              </w:trPr>
                              <w:tc>
                                <w:tcPr>
                                  <w:tcW w:w="515" w:type="dxa"/>
                                  <w:vMerge w:val="restart"/>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74A00E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年別</w:t>
                                  </w:r>
                                </w:p>
                              </w:tc>
                              <w:tc>
                                <w:tcPr>
                                  <w:tcW w:w="2384" w:type="dxa"/>
                                  <w:gridSpan w:val="3"/>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D11E7C6" w14:textId="77777777" w:rsidR="00052596" w:rsidRDefault="00000000">
                                  <w:pPr>
                                    <w:tabs>
                                      <w:tab w:val="left" w:pos="5954"/>
                                    </w:tabs>
                                    <w:spacing w:line="240" w:lineRule="exact"/>
                                    <w:jc w:val="center"/>
                                  </w:pPr>
                                  <w:r>
                                    <w:rPr>
                                      <w:rFonts w:ascii="新細明體" w:hAnsi="新細明體"/>
                                      <w:color w:val="000000"/>
                                      <w:sz w:val="20"/>
                                    </w:rPr>
                                    <w:t>家數(</w:t>
                                  </w:r>
                                  <w:r>
                                    <w:rPr>
                                      <w:rFonts w:ascii="新細明體" w:hAnsi="新細明體"/>
                                      <w:sz w:val="20"/>
                                    </w:rPr>
                                    <w:t>千家)</w:t>
                                  </w:r>
                                </w:p>
                              </w:tc>
                              <w:tc>
                                <w:tcPr>
                                  <w:tcW w:w="2384" w:type="dxa"/>
                                  <w:gridSpan w:val="3"/>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2F57DCE" w14:textId="77777777" w:rsidR="00052596" w:rsidRDefault="00000000">
                                  <w:pPr>
                                    <w:tabs>
                                      <w:tab w:val="left" w:pos="5954"/>
                                    </w:tabs>
                                    <w:spacing w:line="240" w:lineRule="exact"/>
                                    <w:jc w:val="center"/>
                                  </w:pPr>
                                  <w:r>
                                    <w:rPr>
                                      <w:rFonts w:ascii="新細明體" w:hAnsi="新細明體"/>
                                      <w:color w:val="000000"/>
                                      <w:sz w:val="20"/>
                                    </w:rPr>
                                    <w:t>銷售額(</w:t>
                                  </w:r>
                                  <w:r>
                                    <w:rPr>
                                      <w:rFonts w:ascii="新細明體" w:hAnsi="新細明體"/>
                                      <w:sz w:val="20"/>
                                    </w:rPr>
                                    <w:t>億元</w:t>
                                  </w:r>
                                  <w:r>
                                    <w:rPr>
                                      <w:rFonts w:ascii="新細明體" w:hAnsi="新細明體"/>
                                      <w:color w:val="000000"/>
                                      <w:sz w:val="20"/>
                                    </w:rPr>
                                    <w:t>)</w:t>
                                  </w:r>
                                </w:p>
                              </w:tc>
                              <w:tc>
                                <w:tcPr>
                                  <w:tcW w:w="2385" w:type="dxa"/>
                                  <w:gridSpan w:val="3"/>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5EE830BC" w14:textId="77777777" w:rsidR="00052596" w:rsidRDefault="00000000">
                                  <w:pPr>
                                    <w:tabs>
                                      <w:tab w:val="left" w:pos="5954"/>
                                    </w:tabs>
                                    <w:spacing w:line="240" w:lineRule="exact"/>
                                    <w:jc w:val="center"/>
                                  </w:pPr>
                                  <w:r>
                                    <w:rPr>
                                      <w:rFonts w:ascii="新細明體" w:hAnsi="新細明體"/>
                                      <w:color w:val="000000"/>
                                      <w:sz w:val="20"/>
                                    </w:rPr>
                                    <w:t>就業人數(</w:t>
                                  </w:r>
                                  <w:r>
                                    <w:rPr>
                                      <w:rFonts w:ascii="新細明體" w:hAnsi="新細明體"/>
                                      <w:sz w:val="20"/>
                                    </w:rPr>
                                    <w:t>千人)</w:t>
                                  </w:r>
                                </w:p>
                              </w:tc>
                            </w:tr>
                            <w:tr w:rsidR="00052596" w14:paraId="6F5157C9" w14:textId="77777777">
                              <w:tblPrEx>
                                <w:tblCellMar>
                                  <w:top w:w="0" w:type="dxa"/>
                                  <w:bottom w:w="0" w:type="dxa"/>
                                </w:tblCellMar>
                              </w:tblPrEx>
                              <w:trPr>
                                <w:trHeight w:val="199"/>
                                <w:jc w:val="center"/>
                              </w:trPr>
                              <w:tc>
                                <w:tcPr>
                                  <w:tcW w:w="515" w:type="dxa"/>
                                  <w:vMerge/>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14FDABA" w14:textId="77777777" w:rsidR="00052596" w:rsidRDefault="00052596">
                                  <w:pPr>
                                    <w:tabs>
                                      <w:tab w:val="left" w:pos="5954"/>
                                    </w:tabs>
                                    <w:spacing w:line="240" w:lineRule="exact"/>
                                    <w:rPr>
                                      <w:rFonts w:ascii="新細明體" w:hAnsi="新細明體"/>
                                      <w:color w:val="000000"/>
                                      <w:sz w:val="20"/>
                                    </w:rPr>
                                  </w:pPr>
                                </w:p>
                              </w:tc>
                              <w:tc>
                                <w:tcPr>
                                  <w:tcW w:w="794"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7F8704B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合計</w:t>
                                  </w:r>
                                </w:p>
                              </w:tc>
                              <w:tc>
                                <w:tcPr>
                                  <w:tcW w:w="794" w:type="dxa"/>
                                  <w:vMerge w:val="restart"/>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79CD811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中小</w:t>
                                  </w:r>
                                  <w:r>
                                    <w:rPr>
                                      <w:rFonts w:ascii="新細明體" w:hAnsi="新細明體"/>
                                      <w:color w:val="000000"/>
                                      <w:sz w:val="20"/>
                                    </w:rPr>
                                    <w:br/>
                                    <w:t>企業</w:t>
                                  </w:r>
                                </w:p>
                              </w:tc>
                              <w:tc>
                                <w:tcPr>
                                  <w:tcW w:w="796" w:type="dxa"/>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BDEB65C" w14:textId="77777777" w:rsidR="00052596" w:rsidRDefault="00052596">
                                  <w:pPr>
                                    <w:tabs>
                                      <w:tab w:val="left" w:pos="5954"/>
                                    </w:tabs>
                                    <w:spacing w:line="240" w:lineRule="exact"/>
                                    <w:jc w:val="center"/>
                                    <w:rPr>
                                      <w:rFonts w:ascii="新細明體" w:hAnsi="新細明體"/>
                                      <w:color w:val="000000"/>
                                      <w:sz w:val="20"/>
                                    </w:rPr>
                                  </w:pPr>
                                </w:p>
                              </w:tc>
                              <w:tc>
                                <w:tcPr>
                                  <w:tcW w:w="794"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0A06C14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合計</w:t>
                                  </w:r>
                                </w:p>
                              </w:tc>
                              <w:tc>
                                <w:tcPr>
                                  <w:tcW w:w="795" w:type="dxa"/>
                                  <w:vMerge w:val="restart"/>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4030F90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中小</w:t>
                                  </w:r>
                                  <w:r>
                                    <w:rPr>
                                      <w:rFonts w:ascii="新細明體" w:hAnsi="新細明體"/>
                                      <w:color w:val="000000"/>
                                      <w:sz w:val="20"/>
                                    </w:rPr>
                                    <w:br/>
                                    <w:t>企業</w:t>
                                  </w:r>
                                </w:p>
                              </w:tc>
                              <w:tc>
                                <w:tcPr>
                                  <w:tcW w:w="795" w:type="dxa"/>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1CDC17B" w14:textId="77777777" w:rsidR="00052596" w:rsidRDefault="00052596">
                                  <w:pPr>
                                    <w:tabs>
                                      <w:tab w:val="left" w:pos="5954"/>
                                    </w:tabs>
                                    <w:spacing w:line="240" w:lineRule="exact"/>
                                    <w:jc w:val="center"/>
                                    <w:rPr>
                                      <w:rFonts w:ascii="新細明體" w:hAnsi="新細明體"/>
                                      <w:color w:val="000000"/>
                                      <w:sz w:val="20"/>
                                    </w:rPr>
                                  </w:pPr>
                                </w:p>
                              </w:tc>
                              <w:tc>
                                <w:tcPr>
                                  <w:tcW w:w="795" w:type="dxa"/>
                                  <w:vMerge w:val="restart"/>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D8459E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合計</w:t>
                                  </w:r>
                                </w:p>
                              </w:tc>
                              <w:tc>
                                <w:tcPr>
                                  <w:tcW w:w="794" w:type="dxa"/>
                                  <w:vMerge w:val="restart"/>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197A0B6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中小</w:t>
                                  </w:r>
                                  <w:r>
                                    <w:rPr>
                                      <w:rFonts w:ascii="新細明體" w:hAnsi="新細明體"/>
                                      <w:color w:val="000000"/>
                                      <w:sz w:val="20"/>
                                    </w:rPr>
                                    <w:br/>
                                    <w:t>企業</w:t>
                                  </w:r>
                                </w:p>
                              </w:tc>
                              <w:tc>
                                <w:tcPr>
                                  <w:tcW w:w="796" w:type="dxa"/>
                                  <w:tcBorders>
                                    <w:top w:val="single" w:sz="6" w:space="0" w:color="000000"/>
                                    <w:bottom w:val="single" w:sz="6" w:space="0" w:color="000000"/>
                                  </w:tcBorders>
                                  <w:shd w:val="clear" w:color="auto" w:fill="EFFFEF"/>
                                  <w:noWrap/>
                                  <w:tcMar>
                                    <w:top w:w="0" w:type="dxa"/>
                                    <w:left w:w="28" w:type="dxa"/>
                                    <w:bottom w:w="0" w:type="dxa"/>
                                    <w:right w:w="28" w:type="dxa"/>
                                  </w:tcMar>
                                  <w:vAlign w:val="center"/>
                                </w:tcPr>
                                <w:p w14:paraId="7A141407" w14:textId="77777777" w:rsidR="00052596" w:rsidRDefault="00052596">
                                  <w:pPr>
                                    <w:tabs>
                                      <w:tab w:val="left" w:pos="5954"/>
                                    </w:tabs>
                                    <w:spacing w:line="240" w:lineRule="exact"/>
                                    <w:jc w:val="center"/>
                                    <w:rPr>
                                      <w:rFonts w:ascii="新細明體" w:hAnsi="新細明體"/>
                                      <w:color w:val="000000"/>
                                      <w:sz w:val="20"/>
                                    </w:rPr>
                                  </w:pPr>
                                </w:p>
                              </w:tc>
                            </w:tr>
                            <w:tr w:rsidR="00052596" w14:paraId="16A7F32A" w14:textId="77777777">
                              <w:tblPrEx>
                                <w:tblCellMar>
                                  <w:top w:w="0" w:type="dxa"/>
                                  <w:bottom w:w="0" w:type="dxa"/>
                                </w:tblCellMar>
                              </w:tblPrEx>
                              <w:trPr>
                                <w:trHeight w:val="198"/>
                                <w:jc w:val="center"/>
                              </w:trPr>
                              <w:tc>
                                <w:tcPr>
                                  <w:tcW w:w="515" w:type="dxa"/>
                                  <w:vMerge/>
                                  <w:tcBorders>
                                    <w:top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1EA1B4FB" w14:textId="77777777" w:rsidR="00052596" w:rsidRDefault="00052596">
                                  <w:pPr>
                                    <w:tabs>
                                      <w:tab w:val="left" w:pos="5954"/>
                                    </w:tabs>
                                    <w:spacing w:line="240" w:lineRule="exact"/>
                                    <w:rPr>
                                      <w:rFonts w:ascii="新細明體" w:hAnsi="新細明體"/>
                                      <w:color w:val="000000"/>
                                      <w:sz w:val="20"/>
                                    </w:rPr>
                                  </w:pPr>
                                </w:p>
                              </w:tc>
                              <w:tc>
                                <w:tcPr>
                                  <w:tcW w:w="794"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3CA8B782" w14:textId="77777777" w:rsidR="00052596" w:rsidRDefault="00052596">
                                  <w:pPr>
                                    <w:tabs>
                                      <w:tab w:val="left" w:pos="5954"/>
                                    </w:tabs>
                                    <w:spacing w:line="240" w:lineRule="exact"/>
                                    <w:jc w:val="center"/>
                                    <w:rPr>
                                      <w:rFonts w:ascii="新細明體" w:hAnsi="新細明體"/>
                                      <w:color w:val="000000"/>
                                      <w:sz w:val="20"/>
                                    </w:rPr>
                                  </w:pPr>
                                </w:p>
                              </w:tc>
                              <w:tc>
                                <w:tcPr>
                                  <w:tcW w:w="794" w:type="dxa"/>
                                  <w:vMerge/>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2F94C427" w14:textId="77777777" w:rsidR="00052596" w:rsidRDefault="00052596">
                                  <w:pPr>
                                    <w:tabs>
                                      <w:tab w:val="left" w:pos="5954"/>
                                    </w:tabs>
                                    <w:spacing w:line="240" w:lineRule="exact"/>
                                    <w:jc w:val="center"/>
                                    <w:rPr>
                                      <w:rFonts w:ascii="新細明體" w:hAnsi="新細明體"/>
                                      <w:color w:val="000000"/>
                                      <w:sz w:val="20"/>
                                    </w:rPr>
                                  </w:pPr>
                                </w:p>
                              </w:tc>
                              <w:tc>
                                <w:tcPr>
                                  <w:tcW w:w="796"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7935E26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結構比</w:t>
                                  </w:r>
                                </w:p>
                                <w:p w14:paraId="233BB29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w:t>
                                  </w:r>
                                </w:p>
                              </w:tc>
                              <w:tc>
                                <w:tcPr>
                                  <w:tcW w:w="794"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443FC3D8" w14:textId="77777777" w:rsidR="00052596" w:rsidRDefault="00052596">
                                  <w:pPr>
                                    <w:tabs>
                                      <w:tab w:val="left" w:pos="5954"/>
                                    </w:tabs>
                                    <w:spacing w:line="240" w:lineRule="exact"/>
                                    <w:jc w:val="center"/>
                                    <w:rPr>
                                      <w:rFonts w:ascii="新細明體" w:hAnsi="新細明體"/>
                                      <w:color w:val="000000"/>
                                      <w:sz w:val="20"/>
                                    </w:rPr>
                                  </w:pPr>
                                </w:p>
                              </w:tc>
                              <w:tc>
                                <w:tcPr>
                                  <w:tcW w:w="795" w:type="dxa"/>
                                  <w:vMerge/>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5D48FFA5" w14:textId="77777777" w:rsidR="00052596" w:rsidRDefault="00052596">
                                  <w:pPr>
                                    <w:tabs>
                                      <w:tab w:val="left" w:pos="5954"/>
                                    </w:tabs>
                                    <w:spacing w:line="240" w:lineRule="exact"/>
                                    <w:jc w:val="center"/>
                                    <w:rPr>
                                      <w:rFonts w:ascii="新細明體" w:hAnsi="新細明體"/>
                                      <w:color w:val="000000"/>
                                      <w:sz w:val="20"/>
                                    </w:rPr>
                                  </w:pPr>
                                </w:p>
                              </w:tc>
                              <w:tc>
                                <w:tcPr>
                                  <w:tcW w:w="795" w:type="dxa"/>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484566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結構比</w:t>
                                  </w:r>
                                </w:p>
                                <w:p w14:paraId="73F371C0"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w:t>
                                  </w:r>
                                </w:p>
                              </w:tc>
                              <w:tc>
                                <w:tcPr>
                                  <w:tcW w:w="795" w:type="dxa"/>
                                  <w:vMerge/>
                                  <w:tcBorders>
                                    <w:top w:val="single" w:sz="6" w:space="0" w:color="000000"/>
                                    <w:left w:val="single" w:sz="6" w:space="0" w:color="000000"/>
                                    <w:bottom w:val="single" w:sz="6" w:space="0" w:color="000000"/>
                                    <w:right w:val="single" w:sz="6" w:space="0" w:color="000000"/>
                                  </w:tcBorders>
                                  <w:shd w:val="clear" w:color="auto" w:fill="EFFFEF"/>
                                  <w:noWrap/>
                                  <w:tcMar>
                                    <w:top w:w="0" w:type="dxa"/>
                                    <w:left w:w="28" w:type="dxa"/>
                                    <w:bottom w:w="0" w:type="dxa"/>
                                    <w:right w:w="28" w:type="dxa"/>
                                  </w:tcMar>
                                  <w:vAlign w:val="center"/>
                                </w:tcPr>
                                <w:p w14:paraId="5D5FC5C3" w14:textId="77777777" w:rsidR="00052596" w:rsidRDefault="00052596">
                                  <w:pPr>
                                    <w:tabs>
                                      <w:tab w:val="left" w:pos="5954"/>
                                    </w:tabs>
                                    <w:spacing w:line="240" w:lineRule="exact"/>
                                    <w:jc w:val="center"/>
                                    <w:rPr>
                                      <w:rFonts w:ascii="新細明體" w:hAnsi="新細明體"/>
                                      <w:color w:val="000000"/>
                                      <w:sz w:val="20"/>
                                    </w:rPr>
                                  </w:pPr>
                                </w:p>
                              </w:tc>
                              <w:tc>
                                <w:tcPr>
                                  <w:tcW w:w="794" w:type="dxa"/>
                                  <w:vMerge/>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3E32C326" w14:textId="77777777" w:rsidR="00052596" w:rsidRDefault="00052596">
                                  <w:pPr>
                                    <w:tabs>
                                      <w:tab w:val="left" w:pos="5954"/>
                                    </w:tabs>
                                    <w:spacing w:line="240" w:lineRule="exact"/>
                                    <w:jc w:val="center"/>
                                    <w:rPr>
                                      <w:rFonts w:ascii="新細明體" w:hAnsi="新細明體"/>
                                      <w:color w:val="000000"/>
                                      <w:sz w:val="20"/>
                                    </w:rPr>
                                  </w:pPr>
                                </w:p>
                              </w:tc>
                              <w:tc>
                                <w:tcPr>
                                  <w:tcW w:w="796" w:type="dxa"/>
                                  <w:tcBorders>
                                    <w:top w:val="single" w:sz="6" w:space="0" w:color="000000"/>
                                    <w:left w:val="single" w:sz="6" w:space="0" w:color="000000"/>
                                    <w:bottom w:val="single" w:sz="6" w:space="0" w:color="000000"/>
                                  </w:tcBorders>
                                  <w:shd w:val="clear" w:color="auto" w:fill="EFFFEF"/>
                                  <w:noWrap/>
                                  <w:tcMar>
                                    <w:top w:w="0" w:type="dxa"/>
                                    <w:left w:w="28" w:type="dxa"/>
                                    <w:bottom w:w="0" w:type="dxa"/>
                                    <w:right w:w="28" w:type="dxa"/>
                                  </w:tcMar>
                                  <w:vAlign w:val="center"/>
                                </w:tcPr>
                                <w:p w14:paraId="3C75659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結構比</w:t>
                                  </w:r>
                                </w:p>
                                <w:p w14:paraId="7EC6409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w:t>
                                  </w:r>
                                </w:p>
                              </w:tc>
                            </w:tr>
                            <w:tr w:rsidR="00052596" w14:paraId="49A17D78" w14:textId="77777777">
                              <w:tblPrEx>
                                <w:tblCellMar>
                                  <w:top w:w="0" w:type="dxa"/>
                                  <w:bottom w:w="0" w:type="dxa"/>
                                </w:tblCellMar>
                              </w:tblPrEx>
                              <w:trPr>
                                <w:trHeight w:val="326"/>
                                <w:jc w:val="center"/>
                              </w:trPr>
                              <w:tc>
                                <w:tcPr>
                                  <w:tcW w:w="515" w:type="dxa"/>
                                  <w:tcBorders>
                                    <w:top w:val="single" w:sz="6" w:space="0" w:color="000000"/>
                                    <w:right w:val="single" w:sz="6" w:space="0" w:color="000000"/>
                                  </w:tcBorders>
                                  <w:shd w:val="clear" w:color="auto" w:fill="FFF0E1"/>
                                  <w:noWrap/>
                                  <w:tcMar>
                                    <w:top w:w="0" w:type="dxa"/>
                                    <w:left w:w="28" w:type="dxa"/>
                                    <w:bottom w:w="0" w:type="dxa"/>
                                    <w:right w:w="28" w:type="dxa"/>
                                  </w:tcMar>
                                  <w:vAlign w:val="center"/>
                                </w:tcPr>
                                <w:p w14:paraId="442848B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91</w:t>
                                  </w:r>
                                </w:p>
                              </w:tc>
                              <w:tc>
                                <w:tcPr>
                                  <w:tcW w:w="79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87B09C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1,131</w:t>
                                  </w:r>
                                </w:p>
                              </w:tc>
                              <w:tc>
                                <w:tcPr>
                                  <w:tcW w:w="79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333A51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1,105</w:t>
                                  </w:r>
                                </w:p>
                              </w:tc>
                              <w:tc>
                                <w:tcPr>
                                  <w:tcW w:w="796"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6F52006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97.72</w:t>
                                  </w:r>
                                </w:p>
                              </w:tc>
                              <w:tc>
                                <w:tcPr>
                                  <w:tcW w:w="79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37E587F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253,956</w:t>
                                  </w:r>
                                </w:p>
                              </w:tc>
                              <w:tc>
                                <w:tcPr>
                                  <w:tcW w:w="795"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7B9D1F4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74,953</w:t>
                                  </w:r>
                                </w:p>
                              </w:tc>
                              <w:tc>
                                <w:tcPr>
                                  <w:tcW w:w="795"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55C7161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29.51</w:t>
                                  </w:r>
                                </w:p>
                              </w:tc>
                              <w:tc>
                                <w:tcPr>
                                  <w:tcW w:w="795" w:type="dxa"/>
                                  <w:tcBorders>
                                    <w:top w:val="single" w:sz="6" w:space="0" w:color="000000"/>
                                    <w:left w:val="single" w:sz="6" w:space="0" w:color="000000"/>
                                    <w:right w:val="single" w:sz="6" w:space="0" w:color="000000"/>
                                  </w:tcBorders>
                                  <w:shd w:val="clear" w:color="auto" w:fill="FFF0E1"/>
                                  <w:tcMar>
                                    <w:top w:w="0" w:type="dxa"/>
                                    <w:left w:w="28" w:type="dxa"/>
                                    <w:bottom w:w="0" w:type="dxa"/>
                                    <w:right w:w="28" w:type="dxa"/>
                                  </w:tcMar>
                                  <w:vAlign w:val="center"/>
                                </w:tcPr>
                                <w:p w14:paraId="51A6EB2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9,454</w:t>
                                  </w:r>
                                </w:p>
                              </w:tc>
                              <w:tc>
                                <w:tcPr>
                                  <w:tcW w:w="794" w:type="dxa"/>
                                  <w:tcBorders>
                                    <w:top w:val="single" w:sz="6" w:space="0" w:color="000000"/>
                                    <w:left w:val="single" w:sz="6" w:space="0" w:color="000000"/>
                                    <w:right w:val="single" w:sz="6" w:space="0" w:color="000000"/>
                                  </w:tcBorders>
                                  <w:shd w:val="clear" w:color="auto" w:fill="FFF0E1"/>
                                  <w:noWrap/>
                                  <w:tcMar>
                                    <w:top w:w="0" w:type="dxa"/>
                                    <w:left w:w="28" w:type="dxa"/>
                                    <w:bottom w:w="0" w:type="dxa"/>
                                    <w:right w:w="28" w:type="dxa"/>
                                  </w:tcMar>
                                  <w:vAlign w:val="center"/>
                                </w:tcPr>
                                <w:p w14:paraId="0B9955D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7,361</w:t>
                                  </w:r>
                                </w:p>
                              </w:tc>
                              <w:tc>
                                <w:tcPr>
                                  <w:tcW w:w="796" w:type="dxa"/>
                                  <w:tcBorders>
                                    <w:top w:val="single" w:sz="6" w:space="0" w:color="000000"/>
                                    <w:left w:val="single" w:sz="6" w:space="0" w:color="000000"/>
                                  </w:tcBorders>
                                  <w:shd w:val="clear" w:color="auto" w:fill="FFF0E1"/>
                                  <w:noWrap/>
                                  <w:tcMar>
                                    <w:top w:w="0" w:type="dxa"/>
                                    <w:left w:w="28" w:type="dxa"/>
                                    <w:bottom w:w="0" w:type="dxa"/>
                                    <w:right w:w="28" w:type="dxa"/>
                                  </w:tcMar>
                                  <w:vAlign w:val="center"/>
                                </w:tcPr>
                                <w:p w14:paraId="147E3AC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77.86</w:t>
                                  </w:r>
                                </w:p>
                              </w:tc>
                            </w:tr>
                            <w:tr w:rsidR="00052596" w14:paraId="0233165F"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53573FA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92</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530F7E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1,173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2A42347"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1,147</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DEA2F0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97.83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C1A663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276,735</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BD0745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87,089</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70C336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31.47</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3A1DC62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9,573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3485D3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7,425</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2A2C57D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77.56</w:t>
                                  </w:r>
                                </w:p>
                              </w:tc>
                            </w:tr>
                            <w:tr w:rsidR="00052596" w14:paraId="40C84FC4"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7CEDFB9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0DAFD0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1,204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C2A90B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1,177</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7FDE69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97.73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284E8E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317,553</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FE6E36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97,267</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7AE637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30.63</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082BD5C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9,786</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4B4260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7,553</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5E24B1D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77.18</w:t>
                                  </w:r>
                                </w:p>
                              </w:tc>
                            </w:tr>
                            <w:tr w:rsidR="00052596" w14:paraId="2F4EABB0"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5FA8DBE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C0A2F7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1,254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DCC120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1,226</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8DC145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97.80</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E06501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339,419</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33B323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100,002</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103044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29.46</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7BC7375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9,942</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4A3A70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7,648</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354B92E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76.93</w:t>
                                  </w:r>
                                </w:p>
                              </w:tc>
                            </w:tr>
                            <w:tr w:rsidR="00052596" w14:paraId="64A9F6D3"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781D52A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95</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7F7E69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1,273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C554117"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1,244</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DAEBED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97.77</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3DCDDE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343,261</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B39DAE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102,412</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58FD70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29.84</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7A387B08"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10,111</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3D4E627"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7,751</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798E56E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76.66</w:t>
                                  </w:r>
                                </w:p>
                              </w:tc>
                            </w:tr>
                            <w:tr w:rsidR="00052596" w14:paraId="1B8BBAE3"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676EDAF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96</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2D3E9B0"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1,267</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6B8CD3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1,237</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AA6A83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97.68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169097B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358,862</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418BE0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104,819</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43F63D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29.21</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0EE52F2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10,294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94DD58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7,939</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0A05CCB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77.12</w:t>
                                  </w:r>
                                </w:p>
                              </w:tc>
                            </w:tr>
                            <w:tr w:rsidR="00052596" w14:paraId="13BBD3E0"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5A8D5C9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C26340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1,264</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0A686D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1,235</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F90F7F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97.70</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784DE1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352,391</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F484CC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104,627</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3B5576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29.69</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EE6518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10,403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4D346D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7,966</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785298C6"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76.58</w:t>
                                  </w:r>
                                </w:p>
                              </w:tc>
                            </w:tr>
                            <w:tr w:rsidR="00052596" w14:paraId="0D7BA9A3"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27BBFA3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17BC30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1,258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3F6180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1,232</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3054DD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97.91</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D88F864"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299,818</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AADFDC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91,895</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4FECB56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30.65</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46F7CD3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10,279</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B87A10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8,066</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0D3A37C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78.47</w:t>
                                  </w:r>
                                </w:p>
                              </w:tc>
                            </w:tr>
                            <w:tr w:rsidR="00052596" w14:paraId="4CB2A180" w14:textId="77777777">
                              <w:tblPrEx>
                                <w:tblCellMar>
                                  <w:top w:w="0" w:type="dxa"/>
                                  <w:bottom w:w="0" w:type="dxa"/>
                                </w:tblCellMar>
                              </w:tblPrEx>
                              <w:trPr>
                                <w:trHeight w:val="326"/>
                                <w:jc w:val="center"/>
                              </w:trPr>
                              <w:tc>
                                <w:tcPr>
                                  <w:tcW w:w="515" w:type="dxa"/>
                                  <w:tcBorders>
                                    <w:right w:val="single" w:sz="6" w:space="0" w:color="000000"/>
                                  </w:tcBorders>
                                  <w:shd w:val="clear" w:color="auto" w:fill="FFF0E1"/>
                                  <w:noWrap/>
                                  <w:tcMar>
                                    <w:top w:w="0" w:type="dxa"/>
                                    <w:left w:w="28" w:type="dxa"/>
                                    <w:bottom w:w="0" w:type="dxa"/>
                                    <w:right w:w="28" w:type="dxa"/>
                                  </w:tcMar>
                                  <w:vAlign w:val="center"/>
                                </w:tcPr>
                                <w:p w14:paraId="5C2796D9"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99</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5D2EB5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1,278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379BEACF"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1,248</w:t>
                                  </w:r>
                                </w:p>
                              </w:tc>
                              <w:tc>
                                <w:tcPr>
                                  <w:tcW w:w="796"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738BDEA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97.68</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57E9127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362,396</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23756360"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107,090</w:t>
                                  </w:r>
                                </w:p>
                              </w:tc>
                              <w:tc>
                                <w:tcPr>
                                  <w:tcW w:w="795"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69722A0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29.55</w:t>
                                  </w:r>
                                </w:p>
                              </w:tc>
                              <w:tc>
                                <w:tcPr>
                                  <w:tcW w:w="795" w:type="dxa"/>
                                  <w:tcBorders>
                                    <w:left w:val="single" w:sz="6" w:space="0" w:color="000000"/>
                                    <w:right w:val="single" w:sz="6" w:space="0" w:color="000000"/>
                                  </w:tcBorders>
                                  <w:shd w:val="clear" w:color="auto" w:fill="FFF0E1"/>
                                  <w:tcMar>
                                    <w:top w:w="0" w:type="dxa"/>
                                    <w:left w:w="28" w:type="dxa"/>
                                    <w:bottom w:w="0" w:type="dxa"/>
                                    <w:right w:w="28" w:type="dxa"/>
                                  </w:tcMar>
                                  <w:vAlign w:val="center"/>
                                </w:tcPr>
                                <w:p w14:paraId="5BC3F5D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10,493</w:t>
                                  </w:r>
                                </w:p>
                              </w:tc>
                              <w:tc>
                                <w:tcPr>
                                  <w:tcW w:w="794" w:type="dxa"/>
                                  <w:tcBorders>
                                    <w:left w:val="single" w:sz="6" w:space="0" w:color="000000"/>
                                    <w:right w:val="single" w:sz="6" w:space="0" w:color="000000"/>
                                  </w:tcBorders>
                                  <w:shd w:val="clear" w:color="auto" w:fill="FFF0E1"/>
                                  <w:noWrap/>
                                  <w:tcMar>
                                    <w:top w:w="0" w:type="dxa"/>
                                    <w:left w:w="28" w:type="dxa"/>
                                    <w:bottom w:w="0" w:type="dxa"/>
                                    <w:right w:w="28" w:type="dxa"/>
                                  </w:tcMar>
                                  <w:vAlign w:val="center"/>
                                </w:tcPr>
                                <w:p w14:paraId="07BAE6AA"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8,191</w:t>
                                  </w:r>
                                </w:p>
                              </w:tc>
                              <w:tc>
                                <w:tcPr>
                                  <w:tcW w:w="796" w:type="dxa"/>
                                  <w:tcBorders>
                                    <w:left w:val="single" w:sz="6" w:space="0" w:color="000000"/>
                                  </w:tcBorders>
                                  <w:shd w:val="clear" w:color="auto" w:fill="FFF0E1"/>
                                  <w:noWrap/>
                                  <w:tcMar>
                                    <w:top w:w="0" w:type="dxa"/>
                                    <w:left w:w="28" w:type="dxa"/>
                                    <w:bottom w:w="0" w:type="dxa"/>
                                    <w:right w:w="28" w:type="dxa"/>
                                  </w:tcMar>
                                  <w:vAlign w:val="center"/>
                                </w:tcPr>
                                <w:p w14:paraId="282FCC0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78.06</w:t>
                                  </w:r>
                                </w:p>
                              </w:tc>
                            </w:tr>
                            <w:tr w:rsidR="00052596" w14:paraId="334A8D06" w14:textId="77777777">
                              <w:tblPrEx>
                                <w:tblCellMar>
                                  <w:top w:w="0" w:type="dxa"/>
                                  <w:bottom w:w="0" w:type="dxa"/>
                                </w:tblCellMar>
                              </w:tblPrEx>
                              <w:trPr>
                                <w:trHeight w:val="338"/>
                                <w:jc w:val="center"/>
                              </w:trPr>
                              <w:tc>
                                <w:tcPr>
                                  <w:tcW w:w="515" w:type="dxa"/>
                                  <w:tcBorders>
                                    <w:bottom w:val="single" w:sz="6" w:space="0" w:color="000000"/>
                                    <w:right w:val="single" w:sz="6" w:space="0" w:color="000000"/>
                                  </w:tcBorders>
                                  <w:shd w:val="clear" w:color="auto" w:fill="FFF0E1"/>
                                  <w:noWrap/>
                                  <w:tcMar>
                                    <w:top w:w="0" w:type="dxa"/>
                                    <w:left w:w="28" w:type="dxa"/>
                                    <w:bottom w:w="0" w:type="dxa"/>
                                    <w:right w:w="28" w:type="dxa"/>
                                  </w:tcMar>
                                  <w:vAlign w:val="center"/>
                                </w:tcPr>
                                <w:p w14:paraId="7BEA827D"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100</w:t>
                                  </w:r>
                                </w:p>
                              </w:tc>
                              <w:tc>
                                <w:tcPr>
                                  <w:tcW w:w="79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6E9CF130"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1,311</w:t>
                                  </w:r>
                                </w:p>
                              </w:tc>
                              <w:tc>
                                <w:tcPr>
                                  <w:tcW w:w="79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15DDC157"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1,280</w:t>
                                  </w:r>
                                </w:p>
                              </w:tc>
                              <w:tc>
                                <w:tcPr>
                                  <w:tcW w:w="796"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774EE6AB"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97.63</w:t>
                                  </w:r>
                                </w:p>
                              </w:tc>
                              <w:tc>
                                <w:tcPr>
                                  <w:tcW w:w="79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8F41393"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378,817</w:t>
                                  </w:r>
                                </w:p>
                              </w:tc>
                              <w:tc>
                                <w:tcPr>
                                  <w:tcW w:w="795"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69FC625"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112,269</w:t>
                                  </w:r>
                                </w:p>
                              </w:tc>
                              <w:tc>
                                <w:tcPr>
                                  <w:tcW w:w="795"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2A8147D1"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29.64</w:t>
                                  </w:r>
                                </w:p>
                              </w:tc>
                              <w:tc>
                                <w:tcPr>
                                  <w:tcW w:w="795"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3CACF69E"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10,709</w:t>
                                  </w:r>
                                </w:p>
                              </w:tc>
                              <w:tc>
                                <w:tcPr>
                                  <w:tcW w:w="794" w:type="dxa"/>
                                  <w:tcBorders>
                                    <w:left w:val="single" w:sz="6" w:space="0" w:color="000000"/>
                                    <w:bottom w:val="single" w:sz="6" w:space="0" w:color="000000"/>
                                    <w:right w:val="single" w:sz="6" w:space="0" w:color="000000"/>
                                  </w:tcBorders>
                                  <w:shd w:val="clear" w:color="auto" w:fill="FFF0E1"/>
                                  <w:noWrap/>
                                  <w:tcMar>
                                    <w:top w:w="0" w:type="dxa"/>
                                    <w:left w:w="28" w:type="dxa"/>
                                    <w:bottom w:w="0" w:type="dxa"/>
                                    <w:right w:w="28" w:type="dxa"/>
                                  </w:tcMar>
                                  <w:vAlign w:val="center"/>
                                </w:tcPr>
                                <w:p w14:paraId="527DCF22"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8,337</w:t>
                                  </w:r>
                                </w:p>
                              </w:tc>
                              <w:tc>
                                <w:tcPr>
                                  <w:tcW w:w="796" w:type="dxa"/>
                                  <w:tcBorders>
                                    <w:left w:val="single" w:sz="6" w:space="0" w:color="000000"/>
                                    <w:bottom w:val="single" w:sz="6" w:space="0" w:color="000000"/>
                                  </w:tcBorders>
                                  <w:shd w:val="clear" w:color="auto" w:fill="FFF0E1"/>
                                  <w:noWrap/>
                                  <w:tcMar>
                                    <w:top w:w="0" w:type="dxa"/>
                                    <w:left w:w="28" w:type="dxa"/>
                                    <w:bottom w:w="0" w:type="dxa"/>
                                    <w:right w:w="28" w:type="dxa"/>
                                  </w:tcMar>
                                  <w:vAlign w:val="center"/>
                                </w:tcPr>
                                <w:p w14:paraId="3F802CFC" w14:textId="77777777" w:rsidR="00052596" w:rsidRDefault="00000000">
                                  <w:pPr>
                                    <w:tabs>
                                      <w:tab w:val="left" w:pos="5954"/>
                                    </w:tabs>
                                    <w:spacing w:line="240" w:lineRule="exact"/>
                                    <w:jc w:val="center"/>
                                    <w:rPr>
                                      <w:rFonts w:ascii="新細明體" w:hAnsi="新細明體"/>
                                      <w:color w:val="000000"/>
                                      <w:sz w:val="20"/>
                                    </w:rPr>
                                  </w:pPr>
                                  <w:r>
                                    <w:rPr>
                                      <w:rFonts w:ascii="新細明體" w:hAnsi="新細明體"/>
                                      <w:color w:val="000000"/>
                                      <w:sz w:val="20"/>
                                    </w:rPr>
                                    <w:t>77.85</w:t>
                                  </w:r>
                                </w:p>
                              </w:tc>
                            </w:tr>
                          </w:tbl>
                          <w:p w14:paraId="4E10F1FA" w14:textId="77777777" w:rsidR="00052596" w:rsidRDefault="00052596">
                            <w:pPr>
                              <w:tabs>
                                <w:tab w:val="left" w:pos="5954"/>
                              </w:tabs>
                              <w:autoSpaceDE w:val="0"/>
                              <w:rPr>
                                <w:rFonts w:ascii="新細明體" w:hAnsi="新細明體" w:cs="新細明體"/>
                                <w:color w:val="000000"/>
                                <w:sz w:val="28"/>
                                <w:szCs w:val="28"/>
                              </w:rPr>
                            </w:pPr>
                          </w:p>
                        </w:tc>
                      </w:tr>
                    </w:tbl>
                    <w:p w14:paraId="0EE0E115" w14:textId="77777777" w:rsidR="00052596" w:rsidRDefault="00000000">
                      <w:pPr>
                        <w:tabs>
                          <w:tab w:val="left" w:pos="5954"/>
                          <w:tab w:val="right" w:pos="8505"/>
                        </w:tabs>
                        <w:overflowPunct w:val="0"/>
                        <w:autoSpaceDE w:val="0"/>
                        <w:spacing w:before="72" w:line="260" w:lineRule="exact"/>
                        <w:ind w:left="480"/>
                        <w:textAlignment w:val="center"/>
                      </w:pPr>
                      <w:r>
                        <w:rPr>
                          <w:rFonts w:ascii="新細明體" w:hAnsi="新細明體"/>
                          <w:spacing w:val="-2"/>
                          <w:sz w:val="20"/>
                        </w:rPr>
                        <w:t>資料來源</w:t>
                      </w:r>
                      <w:r>
                        <w:rPr>
                          <w:rFonts w:ascii="新細明體" w:hAnsi="新細明體"/>
                          <w:spacing w:val="-2"/>
                          <w:sz w:val="22"/>
                          <w:szCs w:val="22"/>
                        </w:rPr>
                        <w:t>：</w:t>
                      </w:r>
                      <w:r>
                        <w:rPr>
                          <w:rFonts w:ascii="新細明體" w:hAnsi="新細明體"/>
                          <w:spacing w:val="-2"/>
                          <w:sz w:val="20"/>
                        </w:rPr>
                        <w:t>經濟部</w:t>
                      </w:r>
                      <w:r>
                        <w:rPr>
                          <w:rFonts w:ascii="新細明體" w:hAnsi="新細明體"/>
                          <w:spacing w:val="-2"/>
                          <w:sz w:val="22"/>
                          <w:szCs w:val="22"/>
                        </w:rPr>
                        <w:t>，</w:t>
                      </w:r>
                      <w:r>
                        <w:rPr>
                          <w:rFonts w:ascii="新細明體" w:hAnsi="新細明體"/>
                          <w:spacing w:val="-2"/>
                          <w:sz w:val="20"/>
                        </w:rPr>
                        <w:t>中小企業白皮書</w:t>
                      </w:r>
                      <w:r>
                        <w:rPr>
                          <w:rFonts w:ascii="新細明體" w:hAnsi="新細明體"/>
                          <w:spacing w:val="-2"/>
                          <w:sz w:val="22"/>
                          <w:szCs w:val="22"/>
                        </w:rPr>
                        <w:t>。</w:t>
                      </w:r>
                    </w:p>
                  </w:txbxContent>
                </v:textbox>
              </v:shape>
            </w:pict>
          </mc:Fallback>
        </mc:AlternateContent>
      </w:r>
    </w:p>
    <w:p w14:paraId="65E3EC44"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73EBCE2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3851C6F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344B3FD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45DDA8F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63A922D0"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6AA98025"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03A5EB94"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0F4B41F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552E793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72ED4709"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13CB217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72D00CE0"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328AD91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13B85BE5"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22AA2DAB"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75A6CBE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1AE9C533"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153EEC4E"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29FC1759"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47186ED9"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0F61598B"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24B4F3C1"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156" w:hanging="196"/>
        <w:jc w:val="both"/>
        <w:textAlignment w:val="center"/>
        <w:rPr>
          <w:rFonts w:eastAsia="標楷體"/>
          <w:spacing w:val="-2"/>
          <w:kern w:val="0"/>
          <w:sz w:val="20"/>
        </w:rPr>
      </w:pPr>
    </w:p>
    <w:p w14:paraId="4CF7E6D0" w14:textId="77777777" w:rsidR="00052596" w:rsidRDefault="00052596">
      <w:pPr>
        <w:widowControl/>
        <w:rPr>
          <w:rFonts w:eastAsia="標楷體"/>
          <w:kern w:val="0"/>
          <w:szCs w:val="24"/>
        </w:rPr>
      </w:pPr>
    </w:p>
    <w:p w14:paraId="5D5EA023" w14:textId="77777777" w:rsidR="00052596" w:rsidRDefault="00052596">
      <w:pPr>
        <w:widowControl/>
        <w:rPr>
          <w:rFonts w:eastAsia="標楷體"/>
          <w:kern w:val="0"/>
          <w:szCs w:val="24"/>
        </w:rPr>
      </w:pPr>
    </w:p>
    <w:p w14:paraId="1232521C" w14:textId="77777777" w:rsidR="00052596" w:rsidRDefault="00052596">
      <w:pPr>
        <w:pageBreakBefore/>
        <w:widowControl/>
      </w:pPr>
    </w:p>
    <w:p w14:paraId="2F84A529"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參、經濟成長與就業創造</w:t>
      </w:r>
    </w:p>
    <w:p w14:paraId="0EC0D71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7081B85"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40" w:lineRule="exact"/>
        <w:ind w:left="-72" w:firstLine="552"/>
        <w:jc w:val="both"/>
        <w:textAlignment w:val="center"/>
      </w:pPr>
      <w:r>
        <w:rPr>
          <w:rFonts w:eastAsia="標楷體"/>
          <w:color w:val="000000"/>
          <w:spacing w:val="-2"/>
          <w:kern w:val="0"/>
          <w:sz w:val="28"/>
          <w:szCs w:val="28"/>
        </w:rPr>
        <w:t>90</w:t>
      </w:r>
      <w:r>
        <w:rPr>
          <w:rFonts w:eastAsia="標楷體"/>
          <w:color w:val="000000"/>
          <w:spacing w:val="-2"/>
          <w:kern w:val="0"/>
          <w:sz w:val="28"/>
          <w:szCs w:val="28"/>
        </w:rPr>
        <w:t>至</w:t>
      </w:r>
      <w:r>
        <w:rPr>
          <w:rFonts w:eastAsia="標楷體"/>
          <w:color w:val="000000"/>
          <w:spacing w:val="-2"/>
          <w:kern w:val="0"/>
          <w:sz w:val="28"/>
          <w:szCs w:val="28"/>
        </w:rPr>
        <w:t>100</w:t>
      </w:r>
      <w:r>
        <w:rPr>
          <w:rFonts w:eastAsia="標楷體"/>
          <w:color w:val="000000"/>
          <w:spacing w:val="-2"/>
          <w:kern w:val="0"/>
          <w:sz w:val="28"/>
          <w:szCs w:val="28"/>
        </w:rPr>
        <w:t>年我國</w:t>
      </w:r>
      <w:r>
        <w:rPr>
          <w:rFonts w:eastAsia="標楷體"/>
          <w:color w:val="000000"/>
          <w:spacing w:val="4"/>
          <w:kern w:val="0"/>
          <w:sz w:val="28"/>
          <w:szCs w:val="28"/>
        </w:rPr>
        <w:t>經濟成長率平均</w:t>
      </w:r>
      <w:r>
        <w:rPr>
          <w:rFonts w:eastAsia="標楷體"/>
          <w:color w:val="000000"/>
          <w:spacing w:val="4"/>
          <w:kern w:val="0"/>
          <w:sz w:val="28"/>
          <w:szCs w:val="28"/>
        </w:rPr>
        <w:t>3.94%</w:t>
      </w:r>
      <w:r>
        <w:rPr>
          <w:rFonts w:eastAsia="標楷體"/>
          <w:color w:val="000000"/>
          <w:spacing w:val="4"/>
          <w:kern w:val="0"/>
          <w:sz w:val="28"/>
          <w:szCs w:val="28"/>
        </w:rPr>
        <w:t>，惟因產業結構集中於資本、技術密集的</w:t>
      </w:r>
      <w:r>
        <w:rPr>
          <w:rFonts w:eastAsia="標楷體"/>
          <w:color w:val="000000"/>
          <w:spacing w:val="4"/>
          <w:kern w:val="0"/>
          <w:sz w:val="28"/>
          <w:szCs w:val="28"/>
        </w:rPr>
        <w:t>ICT</w:t>
      </w:r>
      <w:r>
        <w:rPr>
          <w:rFonts w:eastAsia="標楷體"/>
          <w:color w:val="000000"/>
          <w:spacing w:val="4"/>
          <w:kern w:val="0"/>
          <w:sz w:val="28"/>
          <w:szCs w:val="28"/>
        </w:rPr>
        <w:t>產業，加以在全球化趨勢下，</w:t>
      </w:r>
      <w:r>
        <w:rPr>
          <w:rFonts w:ascii="標楷體" w:eastAsia="標楷體" w:hAnsi="標楷體"/>
          <w:color w:val="000000"/>
          <w:spacing w:val="4"/>
          <w:kern w:val="0"/>
          <w:sz w:val="28"/>
          <w:szCs w:val="28"/>
        </w:rPr>
        <w:t>「</w:t>
      </w:r>
      <w:r>
        <w:rPr>
          <w:rFonts w:eastAsia="標楷體"/>
          <w:color w:val="000000"/>
          <w:spacing w:val="4"/>
          <w:kern w:val="0"/>
          <w:sz w:val="28"/>
          <w:szCs w:val="28"/>
        </w:rPr>
        <w:t>臺灣接單，海外生產</w:t>
      </w:r>
      <w:r>
        <w:rPr>
          <w:rFonts w:ascii="標楷體" w:eastAsia="標楷體" w:hAnsi="標楷體"/>
          <w:color w:val="000000"/>
          <w:spacing w:val="4"/>
          <w:kern w:val="0"/>
          <w:sz w:val="28"/>
          <w:szCs w:val="28"/>
        </w:rPr>
        <w:t>」</w:t>
      </w:r>
      <w:r>
        <w:rPr>
          <w:rFonts w:eastAsia="標楷體"/>
          <w:color w:val="000000"/>
          <w:spacing w:val="4"/>
          <w:kern w:val="0"/>
          <w:sz w:val="28"/>
          <w:szCs w:val="28"/>
        </w:rPr>
        <w:t>的三角貿易比重偏高，致國內就業機會創造相對受限。另國內</w:t>
      </w:r>
      <w:r>
        <w:rPr>
          <w:rFonts w:eastAsia="標楷體"/>
          <w:color w:val="000000"/>
          <w:spacing w:val="-2"/>
          <w:kern w:val="0"/>
          <w:sz w:val="28"/>
          <w:szCs w:val="28"/>
        </w:rPr>
        <w:t>勞動市場在經濟發展過程中亦出現若干失衡現象，例如：非勞動力人口快速成長、高學歷長期失業人口比率攀升、</w:t>
      </w:r>
      <w:r>
        <w:rPr>
          <w:rFonts w:eastAsia="標楷體"/>
          <w:color w:val="000000"/>
          <w:spacing w:val="4"/>
          <w:kern w:val="0"/>
          <w:sz w:val="28"/>
          <w:szCs w:val="28"/>
        </w:rPr>
        <w:t>青年失業率偏高及實質薪資成長趨緩等，亟需調整改善。</w:t>
      </w:r>
    </w:p>
    <w:p w14:paraId="2D147D75"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40" w:lineRule="exact"/>
        <w:ind w:left="-72" w:firstLine="576"/>
        <w:jc w:val="both"/>
        <w:textAlignment w:val="center"/>
      </w:pPr>
      <w:r>
        <w:rPr>
          <w:rFonts w:eastAsia="標楷體"/>
          <w:color w:val="000000"/>
          <w:spacing w:val="4"/>
          <w:kern w:val="0"/>
          <w:sz w:val="28"/>
          <w:szCs w:val="28"/>
        </w:rPr>
        <w:t>就產業別觀察，服務業雖為國內就業創造的主體，惟</w:t>
      </w:r>
      <w:r>
        <w:rPr>
          <w:rFonts w:eastAsia="標楷體"/>
          <w:color w:val="000000"/>
          <w:spacing w:val="4"/>
          <w:kern w:val="0"/>
          <w:sz w:val="28"/>
          <w:szCs w:val="28"/>
        </w:rPr>
        <w:t>90</w:t>
      </w:r>
      <w:r>
        <w:rPr>
          <w:rFonts w:eastAsia="標楷體"/>
          <w:color w:val="000000"/>
          <w:spacing w:val="4"/>
          <w:kern w:val="0"/>
          <w:sz w:val="28"/>
          <w:szCs w:val="28"/>
        </w:rPr>
        <w:t>至</w:t>
      </w:r>
      <w:r>
        <w:rPr>
          <w:rFonts w:eastAsia="標楷體"/>
          <w:color w:val="000000"/>
          <w:spacing w:val="4"/>
          <w:kern w:val="0"/>
          <w:sz w:val="28"/>
          <w:szCs w:val="28"/>
        </w:rPr>
        <w:t>100</w:t>
      </w:r>
      <w:r>
        <w:rPr>
          <w:rFonts w:eastAsia="標楷體"/>
          <w:color w:val="000000"/>
          <w:spacing w:val="4"/>
          <w:kern w:val="0"/>
          <w:sz w:val="28"/>
          <w:szCs w:val="28"/>
        </w:rPr>
        <w:t>年間服務業就業擴張速率趨降，顯示其就業吸納能力仍有增進空間。</w:t>
      </w:r>
      <w:r>
        <w:rPr>
          <w:rFonts w:eastAsia="標楷體"/>
          <w:color w:val="000000"/>
          <w:spacing w:val="-2"/>
          <w:kern w:val="0"/>
          <w:sz w:val="28"/>
          <w:szCs w:val="28"/>
        </w:rPr>
        <w:t>展望未來</w:t>
      </w:r>
      <w:r>
        <w:rPr>
          <w:rFonts w:eastAsia="標楷體"/>
          <w:color w:val="000000"/>
          <w:spacing w:val="4"/>
          <w:kern w:val="0"/>
          <w:sz w:val="28"/>
          <w:szCs w:val="28"/>
        </w:rPr>
        <w:t>，政府將積極推動產業結構調整，擴大創造優質工作機會，並</w:t>
      </w:r>
      <w:r>
        <w:rPr>
          <w:rFonts w:eastAsia="標楷體"/>
          <w:color w:val="000000"/>
          <w:spacing w:val="-2"/>
          <w:kern w:val="0"/>
          <w:sz w:val="28"/>
          <w:szCs w:val="28"/>
        </w:rPr>
        <w:t>推動各項促進就業方案，強化勞動市場媒合機制</w:t>
      </w:r>
      <w:r>
        <w:rPr>
          <w:rFonts w:eastAsia="標楷體"/>
          <w:color w:val="000000"/>
          <w:spacing w:val="4"/>
          <w:kern w:val="0"/>
          <w:sz w:val="28"/>
          <w:szCs w:val="28"/>
        </w:rPr>
        <w:t>，以改善</w:t>
      </w:r>
      <w:r>
        <w:rPr>
          <w:rFonts w:eastAsia="標楷體"/>
          <w:color w:val="000000"/>
          <w:spacing w:val="-2"/>
          <w:kern w:val="0"/>
          <w:sz w:val="28"/>
          <w:szCs w:val="28"/>
        </w:rPr>
        <w:t>勞動市場供需失衡現象</w:t>
      </w:r>
      <w:r>
        <w:rPr>
          <w:rFonts w:eastAsia="標楷體"/>
          <w:color w:val="000000"/>
          <w:spacing w:val="4"/>
          <w:kern w:val="0"/>
          <w:sz w:val="28"/>
          <w:szCs w:val="28"/>
        </w:rPr>
        <w:t>，增進經濟成長與就業創造間的關聯性。</w:t>
      </w:r>
    </w:p>
    <w:p w14:paraId="061DB79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4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一、就業率與長期失業率</w:t>
      </w:r>
    </w:p>
    <w:p w14:paraId="3D17E2C8" w14:textId="77777777" w:rsidR="00052596" w:rsidRDefault="00000000">
      <w:pPr>
        <w:overflowPunct w:val="0"/>
        <w:autoSpaceDE w:val="0"/>
        <w:spacing w:line="440" w:lineRule="exact"/>
        <w:ind w:left="240" w:firstLine="480"/>
        <w:jc w:val="both"/>
        <w:textAlignment w:val="center"/>
      </w:pPr>
      <w:r>
        <w:rPr>
          <w:noProof/>
        </w:rPr>
        <mc:AlternateContent>
          <mc:Choice Requires="wpg">
            <w:drawing>
              <wp:anchor distT="0" distB="0" distL="114300" distR="114300" simplePos="0" relativeHeight="251646464" behindDoc="0" locked="0" layoutInCell="1" allowOverlap="1" wp14:anchorId="00B6B2DC" wp14:editId="7BF8559E">
                <wp:simplePos x="0" y="0"/>
                <wp:positionH relativeFrom="column">
                  <wp:posOffset>-229871</wp:posOffset>
                </wp:positionH>
                <wp:positionV relativeFrom="paragraph">
                  <wp:posOffset>711832</wp:posOffset>
                </wp:positionV>
                <wp:extent cx="5748018" cy="3539497"/>
                <wp:effectExtent l="0" t="0" r="24132" b="0"/>
                <wp:wrapSquare wrapText="bothSides"/>
                <wp:docPr id="110" name="群組 43023"/>
                <wp:cNvGraphicFramePr/>
                <a:graphic xmlns:a="http://schemas.openxmlformats.org/drawingml/2006/main">
                  <a:graphicData uri="http://schemas.microsoft.com/office/word/2010/wordprocessingGroup">
                    <wpg:wgp>
                      <wpg:cNvGrpSpPr/>
                      <wpg:grpSpPr>
                        <a:xfrm>
                          <a:off x="0" y="0"/>
                          <a:ext cx="5748018" cy="3539497"/>
                          <a:chOff x="0" y="0"/>
                          <a:chExt cx="5748018" cy="3539497"/>
                        </a:xfrm>
                      </wpg:grpSpPr>
                      <wps:wsp>
                        <wps:cNvPr id="111" name="Text Box 30"/>
                        <wps:cNvSpPr txBox="1"/>
                        <wps:spPr>
                          <a:xfrm>
                            <a:off x="635005" y="0"/>
                            <a:ext cx="2897505" cy="304796"/>
                          </a:xfrm>
                          <a:prstGeom prst="rect">
                            <a:avLst/>
                          </a:prstGeom>
                        </wps:spPr>
                        <wps:txbx>
                          <w:txbxContent>
                            <w:p w14:paraId="5C7469F7" w14:textId="77777777" w:rsidR="00052596" w:rsidRDefault="00000000">
                              <w:pPr>
                                <w:spacing w:line="320" w:lineRule="exact"/>
                                <w:jc w:val="center"/>
                                <w:rPr>
                                  <w:rFonts w:eastAsia="標楷體"/>
                                  <w:b/>
                                  <w:color w:val="0000FF"/>
                                  <w:sz w:val="25"/>
                                  <w:szCs w:val="25"/>
                                </w:rPr>
                              </w:pPr>
                              <w:r>
                                <w:rPr>
                                  <w:rFonts w:eastAsia="標楷體"/>
                                  <w:b/>
                                  <w:color w:val="0000FF"/>
                                  <w:sz w:val="25"/>
                                  <w:szCs w:val="25"/>
                                </w:rPr>
                                <w:t>圖</w:t>
                              </w:r>
                              <w:r>
                                <w:rPr>
                                  <w:rFonts w:eastAsia="標楷體"/>
                                  <w:b/>
                                  <w:color w:val="0000FF"/>
                                  <w:sz w:val="25"/>
                                  <w:szCs w:val="25"/>
                                </w:rPr>
                                <w:t>1.2.3</w:t>
                              </w:r>
                              <w:r>
                                <w:rPr>
                                  <w:rFonts w:eastAsia="標楷體"/>
                                  <w:b/>
                                  <w:color w:val="0000FF"/>
                                  <w:sz w:val="25"/>
                                  <w:szCs w:val="25"/>
                                </w:rPr>
                                <w:t xml:space="preserve">　我國</w:t>
                              </w:r>
                              <w:r>
                                <w:rPr>
                                  <w:rFonts w:eastAsia="標楷體"/>
                                  <w:b/>
                                  <w:color w:val="0000FF"/>
                                  <w:sz w:val="25"/>
                                  <w:szCs w:val="25"/>
                                </w:rPr>
                                <w:t>15-64</w:t>
                              </w:r>
                              <w:r>
                                <w:rPr>
                                  <w:rFonts w:eastAsia="標楷體"/>
                                  <w:b/>
                                  <w:color w:val="0000FF"/>
                                  <w:sz w:val="25"/>
                                  <w:szCs w:val="25"/>
                                </w:rPr>
                                <w:t>歲就業率變動趨勢</w:t>
                              </w:r>
                            </w:p>
                          </w:txbxContent>
                        </wps:txbx>
                        <wps:bodyPr wrap="square" lIns="91440" tIns="45720" rIns="91440" bIns="45720" anchor="t">
                          <a:noAutofit/>
                        </wps:bodyPr>
                      </wps:wsp>
                      <wps:wsp>
                        <wps:cNvPr id="112" name="Text Box 31"/>
                        <wps:cNvSpPr txBox="1"/>
                        <wps:spPr>
                          <a:xfrm>
                            <a:off x="200025" y="2940053"/>
                            <a:ext cx="5093966" cy="599444"/>
                          </a:xfrm>
                          <a:prstGeom prst="rect">
                            <a:avLst/>
                          </a:prstGeom>
                        </wps:spPr>
                        <wps:txbx>
                          <w:txbxContent>
                            <w:p w14:paraId="43162B6B" w14:textId="77777777" w:rsidR="00052596" w:rsidRDefault="00000000">
                              <w:pPr>
                                <w:spacing w:line="280" w:lineRule="exact"/>
                                <w:ind w:left="24" w:firstLine="648"/>
                                <w:rPr>
                                  <w:rFonts w:eastAsia="標楷體"/>
                                  <w:color w:val="000000"/>
                                  <w:spacing w:val="-2"/>
                                  <w:sz w:val="22"/>
                                  <w:szCs w:val="22"/>
                                </w:rPr>
                              </w:pPr>
                              <w:r>
                                <w:rPr>
                                  <w:rFonts w:eastAsia="標楷體"/>
                                  <w:color w:val="000000"/>
                                  <w:spacing w:val="-2"/>
                                  <w:sz w:val="22"/>
                                  <w:szCs w:val="22"/>
                                </w:rPr>
                                <w:t>註：就業率為該群體就業者占其民間人口比率。</w:t>
                              </w:r>
                            </w:p>
                            <w:p w14:paraId="448C7E6A" w14:textId="77777777" w:rsidR="00052596" w:rsidRDefault="00000000">
                              <w:pPr>
                                <w:spacing w:line="280" w:lineRule="exact"/>
                              </w:pPr>
                              <w:r>
                                <w:rPr>
                                  <w:rFonts w:eastAsia="標楷體"/>
                                  <w:color w:val="000000"/>
                                  <w:spacing w:val="-2"/>
                                  <w:sz w:val="22"/>
                                  <w:szCs w:val="22"/>
                                </w:rPr>
                                <w:t>資料來源：行政院主計總處</w:t>
                              </w:r>
                              <w:r>
                                <w:rPr>
                                  <w:rFonts w:ascii="標楷體" w:eastAsia="標楷體" w:hAnsi="標楷體"/>
                                  <w:color w:val="000000"/>
                                  <w:spacing w:val="-2"/>
                                  <w:sz w:val="22"/>
                                  <w:szCs w:val="22"/>
                                </w:rPr>
                                <w:t>(</w:t>
                              </w:r>
                              <w:r>
                                <w:rPr>
                                  <w:rFonts w:eastAsia="標楷體"/>
                                  <w:color w:val="000000"/>
                                  <w:spacing w:val="-2"/>
                                  <w:sz w:val="22"/>
                                  <w:szCs w:val="22"/>
                                </w:rPr>
                                <w:t>2012</w:t>
                              </w:r>
                              <w:r>
                                <w:rPr>
                                  <w:rFonts w:ascii="標楷體" w:eastAsia="標楷體" w:hAnsi="標楷體"/>
                                  <w:color w:val="000000"/>
                                  <w:spacing w:val="-2"/>
                                  <w:sz w:val="22"/>
                                  <w:szCs w:val="22"/>
                                </w:rPr>
                                <w:t>)</w:t>
                              </w:r>
                              <w:r>
                                <w:rPr>
                                  <w:rFonts w:eastAsia="標楷體"/>
                                  <w:color w:val="000000"/>
                                  <w:spacing w:val="-2"/>
                                  <w:sz w:val="22"/>
                                  <w:szCs w:val="22"/>
                                </w:rPr>
                                <w:t>，社會指標統計年報</w:t>
                              </w:r>
                              <w:r>
                                <w:rPr>
                                  <w:rFonts w:eastAsia="標楷體"/>
                                  <w:color w:val="000000"/>
                                  <w:spacing w:val="-2"/>
                                  <w:sz w:val="22"/>
                                  <w:szCs w:val="22"/>
                                </w:rPr>
                                <w:t>2011</w:t>
                              </w:r>
                              <w:r>
                                <w:rPr>
                                  <w:rFonts w:eastAsia="標楷體"/>
                                  <w:color w:val="000000"/>
                                  <w:spacing w:val="-2"/>
                                  <w:sz w:val="22"/>
                                  <w:szCs w:val="22"/>
                                </w:rPr>
                                <w:t>。</w:t>
                              </w:r>
                            </w:p>
                          </w:txbxContent>
                        </wps:txbx>
                        <wps:bodyPr wrap="square" lIns="91440" tIns="45720" rIns="91440" bIns="45720" anchor="t">
                          <a:noAutofit/>
                        </wps:bodyPr>
                      </wps:wsp>
                      <wps:wsp>
                        <wps:cNvPr id="113" name="矩形 49"/>
                        <wps:cNvSpPr/>
                        <wps:spPr>
                          <a:xfrm>
                            <a:off x="3918588" y="418466"/>
                            <a:ext cx="1829430" cy="2303145"/>
                          </a:xfrm>
                          <a:prstGeom prst="rect">
                            <a:avLst/>
                          </a:prstGeom>
                          <a:solidFill>
                            <a:srgbClr val="FFF0E1"/>
                          </a:solidFill>
                          <a:ln w="19046">
                            <a:solidFill>
                              <a:srgbClr val="7030A0"/>
                            </a:solidFill>
                            <a:prstDash val="solid"/>
                            <a:miter/>
                          </a:ln>
                        </wps:spPr>
                        <wps:txbx>
                          <w:txbxContent>
                            <w:p w14:paraId="44998F95" w14:textId="77777777" w:rsidR="00052596" w:rsidRDefault="00000000">
                              <w:pPr>
                                <w:pStyle w:val="k4a"/>
                                <w:spacing w:line="240" w:lineRule="auto"/>
                                <w:ind w:left="0" w:firstLine="0"/>
                                <w:jc w:val="center"/>
                                <w:outlineLvl w:val="9"/>
                              </w:pPr>
                              <w:r>
                                <w:rPr>
                                  <w:rFonts w:ascii="Times New Roman" w:eastAsia="標楷體" w:hAnsi="Times New Roman"/>
                                  <w:color w:val="0000FF"/>
                                  <w:spacing w:val="-12"/>
                                  <w:sz w:val="22"/>
                                </w:rPr>
                                <w:t>2010</w:t>
                              </w:r>
                              <w:r>
                                <w:rPr>
                                  <w:rFonts w:ascii="Times New Roman" w:eastAsia="標楷體" w:hAnsi="Times New Roman"/>
                                  <w:color w:val="0000FF"/>
                                  <w:spacing w:val="-12"/>
                                  <w:sz w:val="22"/>
                                </w:rPr>
                                <w:t>年</w:t>
                              </w:r>
                              <w:r>
                                <w:rPr>
                                  <w:rFonts w:ascii="Times New Roman" w:eastAsia="標楷體" w:hAnsi="Times New Roman"/>
                                  <w:color w:val="0000FF"/>
                                  <w:spacing w:val="-12"/>
                                  <w:sz w:val="22"/>
                                </w:rPr>
                                <w:t>15</w:t>
                              </w:r>
                              <w:r>
                                <w:rPr>
                                  <w:rFonts w:ascii="Times New Roman" w:eastAsia="標楷體" w:hAnsi="Times New Roman"/>
                                  <w:color w:val="0000FF"/>
                                  <w:spacing w:val="-12"/>
                                  <w:sz w:val="22"/>
                                </w:rPr>
                                <w:t>至</w:t>
                              </w:r>
                              <w:r>
                                <w:rPr>
                                  <w:rFonts w:ascii="Times New Roman" w:eastAsia="標楷體" w:hAnsi="Times New Roman"/>
                                  <w:color w:val="0000FF"/>
                                  <w:spacing w:val="-12"/>
                                  <w:sz w:val="22"/>
                                </w:rPr>
                                <w:t>64</w:t>
                              </w:r>
                              <w:r>
                                <w:rPr>
                                  <w:rFonts w:ascii="Times New Roman" w:eastAsia="標楷體" w:hAnsi="Times New Roman"/>
                                  <w:color w:val="0000FF"/>
                                  <w:spacing w:val="-12"/>
                                  <w:sz w:val="22"/>
                                </w:rPr>
                                <w:t>歲</w:t>
                              </w:r>
                              <w:r>
                                <w:rPr>
                                  <w:rFonts w:ascii="Times New Roman" w:eastAsia="標楷體" w:hAnsi="Times New Roman"/>
                                  <w:color w:val="0000FF"/>
                                  <w:spacing w:val="-8"/>
                                  <w:sz w:val="22"/>
                                </w:rPr>
                                <w:t>就業率</w:t>
                              </w:r>
                            </w:p>
                            <w:p w14:paraId="52262B3B" w14:textId="77777777" w:rsidR="00052596" w:rsidRDefault="00000000">
                              <w:pPr>
                                <w:pStyle w:val="k4a"/>
                                <w:spacing w:after="60" w:line="240" w:lineRule="auto"/>
                                <w:ind w:left="1308" w:hanging="204"/>
                                <w:jc w:val="left"/>
                                <w:outlineLvl w:val="9"/>
                              </w:pPr>
                              <w:r>
                                <w:rPr>
                                  <w:rFonts w:ascii="Times New Roman" w:eastAsia="標楷體" w:hAnsi="Times New Roman"/>
                                  <w:color w:val="0000FF"/>
                                  <w:spacing w:val="-8"/>
                                  <w:sz w:val="22"/>
                                </w:rPr>
                                <w:t>之國際比較</w:t>
                              </w:r>
                            </w:p>
                            <w:p w14:paraId="1D556A0D" w14:textId="77777777" w:rsidR="00052596" w:rsidRDefault="00000000">
                              <w:pPr>
                                <w:tabs>
                                  <w:tab w:val="left" w:pos="960"/>
                                  <w:tab w:val="left" w:pos="1920"/>
                                  <w:tab w:val="left" w:pos="2880"/>
                                  <w:tab w:val="left" w:pos="3840"/>
                                  <w:tab w:val="left" w:pos="4800"/>
                                  <w:tab w:val="left" w:pos="5760"/>
                                </w:tabs>
                                <w:overflowPunct w:val="0"/>
                                <w:autoSpaceDE w:val="0"/>
                                <w:jc w:val="center"/>
                                <w:rPr>
                                  <w:rFonts w:eastAsia="標楷體"/>
                                  <w:color w:val="000000"/>
                                  <w:spacing w:val="-6"/>
                                  <w:sz w:val="20"/>
                                </w:rPr>
                              </w:pPr>
                              <w:r>
                                <w:rPr>
                                  <w:rFonts w:eastAsia="標楷體"/>
                                  <w:color w:val="000000"/>
                                  <w:spacing w:val="-6"/>
                                  <w:sz w:val="20"/>
                                </w:rPr>
                                <w:t>國　別</w:t>
                              </w:r>
                            </w:p>
                            <w:p w14:paraId="70D2329C" w14:textId="77777777" w:rsidR="00052596" w:rsidRDefault="00000000">
                              <w:pPr>
                                <w:tabs>
                                  <w:tab w:val="left" w:pos="1920"/>
                                  <w:tab w:val="left" w:pos="2880"/>
                                  <w:tab w:val="left" w:pos="3840"/>
                                  <w:tab w:val="left" w:pos="4800"/>
                                  <w:tab w:val="left" w:pos="5760"/>
                                </w:tabs>
                                <w:overflowPunct w:val="0"/>
                                <w:autoSpaceDE w:val="0"/>
                                <w:spacing w:line="240" w:lineRule="exact"/>
                                <w:ind w:left="48"/>
                                <w:rPr>
                                  <w:rFonts w:eastAsia="標楷體"/>
                                  <w:color w:val="000000"/>
                                  <w:spacing w:val="-6"/>
                                  <w:sz w:val="20"/>
                                </w:rPr>
                              </w:pPr>
                              <w:r>
                                <w:rPr>
                                  <w:rFonts w:eastAsia="標楷體"/>
                                  <w:color w:val="000000"/>
                                  <w:spacing w:val="-6"/>
                                  <w:sz w:val="20"/>
                                </w:rPr>
                                <w:t>15</w:t>
                              </w:r>
                              <w:r>
                                <w:rPr>
                                  <w:rFonts w:eastAsia="標楷體"/>
                                  <w:color w:val="000000"/>
                                  <w:spacing w:val="-6"/>
                                  <w:sz w:val="20"/>
                                </w:rPr>
                                <w:t>至</w:t>
                              </w:r>
                              <w:r>
                                <w:rPr>
                                  <w:rFonts w:eastAsia="標楷體"/>
                                  <w:color w:val="000000"/>
                                  <w:spacing w:val="-6"/>
                                  <w:sz w:val="20"/>
                                </w:rPr>
                                <w:t>64</w:t>
                              </w:r>
                              <w:r>
                                <w:rPr>
                                  <w:rFonts w:eastAsia="標楷體"/>
                                  <w:color w:val="000000"/>
                                  <w:spacing w:val="-6"/>
                                  <w:sz w:val="20"/>
                                </w:rPr>
                                <w:t>歲</w:t>
                              </w:r>
                            </w:p>
                            <w:p w14:paraId="4AEC8C39" w14:textId="77777777" w:rsidR="00052596" w:rsidRDefault="00000000">
                              <w:pPr>
                                <w:tabs>
                                  <w:tab w:val="left" w:pos="1920"/>
                                  <w:tab w:val="left" w:pos="2880"/>
                                  <w:tab w:val="left" w:pos="3840"/>
                                  <w:tab w:val="left" w:pos="4800"/>
                                  <w:tab w:val="left" w:pos="5760"/>
                                </w:tabs>
                                <w:overflowPunct w:val="0"/>
                                <w:autoSpaceDE w:val="0"/>
                                <w:spacing w:after="24" w:line="200" w:lineRule="exact"/>
                                <w:ind w:left="48"/>
                              </w:pPr>
                              <w:r>
                                <w:rPr>
                                  <w:rFonts w:eastAsia="標楷體"/>
                                  <w:color w:val="000000"/>
                                  <w:spacing w:val="-6"/>
                                  <w:sz w:val="20"/>
                                </w:rPr>
                                <w:t>就業率</w:t>
                              </w:r>
                              <w:r>
                                <w:rPr>
                                  <w:rFonts w:eastAsia="標楷體"/>
                                  <w:color w:val="000000"/>
                                  <w:sz w:val="20"/>
                                </w:rPr>
                                <w:t>(</w:t>
                              </w:r>
                              <w:r>
                                <w:rPr>
                                  <w:color w:val="000000"/>
                                  <w:sz w:val="20"/>
                                </w:rPr>
                                <w:t>%)</w:t>
                              </w:r>
                            </w:p>
                            <w:p w14:paraId="6FCC42CB"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冰</w:t>
                              </w:r>
                              <w:r>
                                <w:rPr>
                                  <w:rFonts w:eastAsia="標楷體"/>
                                  <w:color w:val="000000"/>
                                  <w:sz w:val="20"/>
                                </w:rPr>
                                <w:t xml:space="preserve">  </w:t>
                              </w:r>
                              <w:r>
                                <w:rPr>
                                  <w:rFonts w:eastAsia="標楷體"/>
                                  <w:color w:val="000000"/>
                                  <w:sz w:val="20"/>
                                </w:rPr>
                                <w:t>島</w:t>
                              </w:r>
                            </w:p>
                            <w:p w14:paraId="0A2B48A8"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78.9</w:t>
                              </w:r>
                            </w:p>
                            <w:p w14:paraId="398EFF84"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瑞</w:t>
                              </w:r>
                              <w:r>
                                <w:rPr>
                                  <w:rFonts w:eastAsia="標楷體"/>
                                  <w:color w:val="000000"/>
                                  <w:sz w:val="20"/>
                                </w:rPr>
                                <w:t xml:space="preserve">  </w:t>
                              </w:r>
                              <w:r>
                                <w:rPr>
                                  <w:rFonts w:eastAsia="標楷體"/>
                                  <w:color w:val="000000"/>
                                  <w:sz w:val="20"/>
                                </w:rPr>
                                <w:t>士</w:t>
                              </w:r>
                            </w:p>
                            <w:p w14:paraId="3DED446B"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78.6</w:t>
                              </w:r>
                            </w:p>
                            <w:p w14:paraId="52669210"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日</w:t>
                              </w:r>
                              <w:r>
                                <w:rPr>
                                  <w:rFonts w:eastAsia="標楷體"/>
                                  <w:color w:val="000000"/>
                                  <w:sz w:val="20"/>
                                </w:rPr>
                                <w:t xml:space="preserve">  </w:t>
                              </w:r>
                              <w:r>
                                <w:rPr>
                                  <w:rFonts w:eastAsia="標楷體"/>
                                  <w:color w:val="000000"/>
                                  <w:sz w:val="20"/>
                                </w:rPr>
                                <w:t>本</w:t>
                              </w:r>
                            </w:p>
                            <w:p w14:paraId="43FE5DCF"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70.1</w:t>
                              </w:r>
                            </w:p>
                            <w:p w14:paraId="10619A8E"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美</w:t>
                              </w:r>
                              <w:r>
                                <w:rPr>
                                  <w:rFonts w:eastAsia="標楷體"/>
                                  <w:color w:val="000000"/>
                                  <w:sz w:val="20"/>
                                </w:rPr>
                                <w:t xml:space="preserve">  </w:t>
                              </w:r>
                              <w:r>
                                <w:rPr>
                                  <w:rFonts w:eastAsia="標楷體"/>
                                  <w:color w:val="000000"/>
                                  <w:sz w:val="20"/>
                                </w:rPr>
                                <w:t>國</w:t>
                              </w:r>
                            </w:p>
                            <w:p w14:paraId="0B72F096"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66.7</w:t>
                              </w:r>
                            </w:p>
                            <w:p w14:paraId="53846A68"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pacing w:val="-12"/>
                                  <w:sz w:val="20"/>
                                </w:rPr>
                              </w:pPr>
                              <w:r>
                                <w:rPr>
                                  <w:rFonts w:eastAsia="標楷體"/>
                                  <w:color w:val="000000"/>
                                  <w:spacing w:val="-12"/>
                                  <w:sz w:val="20"/>
                                </w:rPr>
                                <w:t>OECD</w:t>
                              </w:r>
                              <w:r>
                                <w:rPr>
                                  <w:rFonts w:eastAsia="標楷體"/>
                                  <w:color w:val="000000"/>
                                  <w:spacing w:val="-12"/>
                                  <w:sz w:val="20"/>
                                </w:rPr>
                                <w:t>國家中位數</w:t>
                              </w:r>
                            </w:p>
                            <w:p w14:paraId="19F2EF4D"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65.9</w:t>
                              </w:r>
                            </w:p>
                            <w:p w14:paraId="17D31672"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南</w:t>
                              </w:r>
                              <w:r>
                                <w:rPr>
                                  <w:rFonts w:eastAsia="標楷體"/>
                                  <w:color w:val="000000"/>
                                  <w:sz w:val="20"/>
                                </w:rPr>
                                <w:t xml:space="preserve">  </w:t>
                              </w:r>
                              <w:r>
                                <w:rPr>
                                  <w:rFonts w:eastAsia="標楷體"/>
                                  <w:color w:val="000000"/>
                                  <w:sz w:val="20"/>
                                </w:rPr>
                                <w:t>韓</w:t>
                              </w:r>
                            </w:p>
                            <w:p w14:paraId="1810D31B"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63.3</w:t>
                              </w:r>
                            </w:p>
                            <w:p w14:paraId="587F756B"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b/>
                                  <w:color w:val="800000"/>
                                  <w:sz w:val="20"/>
                                </w:rPr>
                              </w:pPr>
                              <w:r>
                                <w:rPr>
                                  <w:rFonts w:eastAsia="標楷體"/>
                                  <w:b/>
                                  <w:color w:val="800000"/>
                                  <w:sz w:val="20"/>
                                </w:rPr>
                                <w:t>臺</w:t>
                              </w:r>
                              <w:r>
                                <w:rPr>
                                  <w:rFonts w:eastAsia="標楷體"/>
                                  <w:b/>
                                  <w:color w:val="800000"/>
                                  <w:sz w:val="20"/>
                                </w:rPr>
                                <w:t xml:space="preserve">  </w:t>
                              </w:r>
                              <w:r>
                                <w:rPr>
                                  <w:rFonts w:eastAsia="標楷體"/>
                                  <w:b/>
                                  <w:color w:val="800000"/>
                                  <w:sz w:val="20"/>
                                </w:rPr>
                                <w:t>灣</w:t>
                              </w:r>
                            </w:p>
                            <w:p w14:paraId="2CC87612" w14:textId="77777777" w:rsidR="00052596" w:rsidRDefault="00000000">
                              <w:pPr>
                                <w:overflowPunct w:val="0"/>
                                <w:autoSpaceDE w:val="0"/>
                                <w:spacing w:line="200" w:lineRule="exact"/>
                                <w:jc w:val="center"/>
                                <w:rPr>
                                  <w:rFonts w:eastAsia="標楷體"/>
                                  <w:b/>
                                  <w:color w:val="800000"/>
                                  <w:sz w:val="20"/>
                                </w:rPr>
                              </w:pPr>
                              <w:r>
                                <w:rPr>
                                  <w:rFonts w:eastAsia="標楷體"/>
                                  <w:b/>
                                  <w:color w:val="800000"/>
                                  <w:sz w:val="20"/>
                                </w:rPr>
                                <w:t>62.0</w:t>
                              </w:r>
                            </w:p>
                            <w:p w14:paraId="21664F1B"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匈牙利</w:t>
                              </w:r>
                            </w:p>
                            <w:p w14:paraId="6CF58BFB"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55.4</w:t>
                              </w:r>
                            </w:p>
                            <w:p w14:paraId="23081FD6"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土耳其</w:t>
                              </w:r>
                            </w:p>
                            <w:p w14:paraId="09BA0DC4"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46.3</w:t>
                              </w:r>
                            </w:p>
                            <w:p w14:paraId="41AED472" w14:textId="77777777" w:rsidR="00052596" w:rsidRDefault="00052596">
                              <w:pPr>
                                <w:pStyle w:val="k4a"/>
                                <w:spacing w:before="120" w:after="120" w:line="240" w:lineRule="auto"/>
                                <w:ind w:left="1352" w:hanging="248"/>
                                <w:jc w:val="center"/>
                                <w:outlineLvl w:val="9"/>
                                <w:rPr>
                                  <w:b/>
                                  <w:sz w:val="24"/>
                                  <w:szCs w:val="24"/>
                                </w:rPr>
                              </w:pPr>
                            </w:p>
                          </w:txbxContent>
                        </wps:txbx>
                        <wps:bodyPr wrap="square" lIns="35999" tIns="18004" rIns="35999" bIns="18004" anchor="t">
                          <a:noAutofit/>
                        </wps:bodyPr>
                      </wps:wsp>
                      <pic:pic xmlns:pic="http://schemas.openxmlformats.org/drawingml/2006/picture">
                        <pic:nvPicPr>
                          <pic:cNvPr id="114" name="圖表 1"/>
                          <pic:cNvPicPr>
                            <a:picLocks noChangeAspect="1"/>
                          </pic:cNvPicPr>
                        </pic:nvPicPr>
                        <pic:blipFill>
                          <a:blip r:embed="rId31"/>
                          <a:srcRect/>
                          <a:stretch>
                            <a:fillRect/>
                          </a:stretch>
                        </pic:blipFill>
                        <pic:spPr>
                          <a:xfrm>
                            <a:off x="0" y="372116"/>
                            <a:ext cx="3883027" cy="2407916"/>
                          </a:xfrm>
                          <a:prstGeom prst="rect">
                            <a:avLst/>
                          </a:prstGeom>
                          <a:noFill/>
                          <a:ln>
                            <a:noFill/>
                            <a:prstDash/>
                          </a:ln>
                        </pic:spPr>
                      </pic:pic>
                    </wpg:wgp>
                  </a:graphicData>
                </a:graphic>
              </wp:anchor>
            </w:drawing>
          </mc:Choice>
          <mc:Fallback>
            <w:pict>
              <v:group w14:anchorId="00B6B2DC" id="群組 43023" o:spid="_x0000_s1048" style="position:absolute;left:0;text-align:left;margin-left:-18.1pt;margin-top:56.05pt;width:452.6pt;height:278.7pt;z-index:251646464" coordsize="57480,3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">
                <v:shape id="Text Box 30" o:spid="_x0000_s1049" type="#_x0000_t202" style="position:absolute;left:6350;width:28975;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C7469F7" w14:textId="77777777" w:rsidR="00052596" w:rsidRDefault="00000000">
                        <w:pPr>
                          <w:spacing w:line="320" w:lineRule="exact"/>
                          <w:jc w:val="center"/>
                          <w:rPr>
                            <w:rFonts w:eastAsia="標楷體"/>
                            <w:b/>
                            <w:color w:val="0000FF"/>
                            <w:sz w:val="25"/>
                            <w:szCs w:val="25"/>
                          </w:rPr>
                        </w:pPr>
                        <w:r>
                          <w:rPr>
                            <w:rFonts w:eastAsia="標楷體"/>
                            <w:b/>
                            <w:color w:val="0000FF"/>
                            <w:sz w:val="25"/>
                            <w:szCs w:val="25"/>
                          </w:rPr>
                          <w:t>圖</w:t>
                        </w:r>
                        <w:r>
                          <w:rPr>
                            <w:rFonts w:eastAsia="標楷體"/>
                            <w:b/>
                            <w:color w:val="0000FF"/>
                            <w:sz w:val="25"/>
                            <w:szCs w:val="25"/>
                          </w:rPr>
                          <w:t>1.2.3</w:t>
                        </w:r>
                        <w:r>
                          <w:rPr>
                            <w:rFonts w:eastAsia="標楷體"/>
                            <w:b/>
                            <w:color w:val="0000FF"/>
                            <w:sz w:val="25"/>
                            <w:szCs w:val="25"/>
                          </w:rPr>
                          <w:t xml:space="preserve">　我國</w:t>
                        </w:r>
                        <w:r>
                          <w:rPr>
                            <w:rFonts w:eastAsia="標楷體"/>
                            <w:b/>
                            <w:color w:val="0000FF"/>
                            <w:sz w:val="25"/>
                            <w:szCs w:val="25"/>
                          </w:rPr>
                          <w:t>15-64</w:t>
                        </w:r>
                        <w:r>
                          <w:rPr>
                            <w:rFonts w:eastAsia="標楷體"/>
                            <w:b/>
                            <w:color w:val="0000FF"/>
                            <w:sz w:val="25"/>
                            <w:szCs w:val="25"/>
                          </w:rPr>
                          <w:t>歲就業率變動趨勢</w:t>
                        </w:r>
                      </w:p>
                    </w:txbxContent>
                  </v:textbox>
                </v:shape>
                <v:shape id="Text Box 31" o:spid="_x0000_s1050" type="#_x0000_t202" style="position:absolute;left:2000;top:29400;width:50939;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3162B6B" w14:textId="77777777" w:rsidR="00052596" w:rsidRDefault="00000000">
                        <w:pPr>
                          <w:spacing w:line="280" w:lineRule="exact"/>
                          <w:ind w:left="24" w:firstLine="648"/>
                          <w:rPr>
                            <w:rFonts w:eastAsia="標楷體"/>
                            <w:color w:val="000000"/>
                            <w:spacing w:val="-2"/>
                            <w:sz w:val="22"/>
                            <w:szCs w:val="22"/>
                          </w:rPr>
                        </w:pPr>
                        <w:r>
                          <w:rPr>
                            <w:rFonts w:eastAsia="標楷體"/>
                            <w:color w:val="000000"/>
                            <w:spacing w:val="-2"/>
                            <w:sz w:val="22"/>
                            <w:szCs w:val="22"/>
                          </w:rPr>
                          <w:t>註：就業率為該群體就業者占其民間人口比率。</w:t>
                        </w:r>
                      </w:p>
                      <w:p w14:paraId="448C7E6A" w14:textId="77777777" w:rsidR="00052596" w:rsidRDefault="00000000">
                        <w:pPr>
                          <w:spacing w:line="280" w:lineRule="exact"/>
                        </w:pPr>
                        <w:r>
                          <w:rPr>
                            <w:rFonts w:eastAsia="標楷體"/>
                            <w:color w:val="000000"/>
                            <w:spacing w:val="-2"/>
                            <w:sz w:val="22"/>
                            <w:szCs w:val="22"/>
                          </w:rPr>
                          <w:t>資料來源：行政院主計總處</w:t>
                        </w:r>
                        <w:r>
                          <w:rPr>
                            <w:rFonts w:ascii="標楷體" w:eastAsia="標楷體" w:hAnsi="標楷體"/>
                            <w:color w:val="000000"/>
                            <w:spacing w:val="-2"/>
                            <w:sz w:val="22"/>
                            <w:szCs w:val="22"/>
                          </w:rPr>
                          <w:t>(</w:t>
                        </w:r>
                        <w:r>
                          <w:rPr>
                            <w:rFonts w:eastAsia="標楷體"/>
                            <w:color w:val="000000"/>
                            <w:spacing w:val="-2"/>
                            <w:sz w:val="22"/>
                            <w:szCs w:val="22"/>
                          </w:rPr>
                          <w:t>2012</w:t>
                        </w:r>
                        <w:r>
                          <w:rPr>
                            <w:rFonts w:ascii="標楷體" w:eastAsia="標楷體" w:hAnsi="標楷體"/>
                            <w:color w:val="000000"/>
                            <w:spacing w:val="-2"/>
                            <w:sz w:val="22"/>
                            <w:szCs w:val="22"/>
                          </w:rPr>
                          <w:t>)</w:t>
                        </w:r>
                        <w:r>
                          <w:rPr>
                            <w:rFonts w:eastAsia="標楷體"/>
                            <w:color w:val="000000"/>
                            <w:spacing w:val="-2"/>
                            <w:sz w:val="22"/>
                            <w:szCs w:val="22"/>
                          </w:rPr>
                          <w:t>，社會指標統計年報</w:t>
                        </w:r>
                        <w:r>
                          <w:rPr>
                            <w:rFonts w:eastAsia="標楷體"/>
                            <w:color w:val="000000"/>
                            <w:spacing w:val="-2"/>
                            <w:sz w:val="22"/>
                            <w:szCs w:val="22"/>
                          </w:rPr>
                          <w:t>2011</w:t>
                        </w:r>
                        <w:r>
                          <w:rPr>
                            <w:rFonts w:eastAsia="標楷體"/>
                            <w:color w:val="000000"/>
                            <w:spacing w:val="-2"/>
                            <w:sz w:val="22"/>
                            <w:szCs w:val="22"/>
                          </w:rPr>
                          <w:t>。</w:t>
                        </w:r>
                      </w:p>
                    </w:txbxContent>
                  </v:textbox>
                </v:shape>
                <v:rect id="矩形 49" o:spid="_x0000_s1051" style="position:absolute;left:39185;top:4184;width:18295;height:2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" fillcolor="#fff0e1" strokecolor="#7030a0" strokeweight=".52906mm">
                  <v:textbox inset=".99997mm,.50011mm,.99997mm,.50011mm">
                    <w:txbxContent>
                      <w:p w14:paraId="44998F95" w14:textId="77777777" w:rsidR="00052596" w:rsidRDefault="00000000">
                        <w:pPr>
                          <w:pStyle w:val="k4a"/>
                          <w:spacing w:line="240" w:lineRule="auto"/>
                          <w:ind w:left="0" w:firstLine="0"/>
                          <w:jc w:val="center"/>
                          <w:outlineLvl w:val="9"/>
                        </w:pPr>
                        <w:r>
                          <w:rPr>
                            <w:rFonts w:ascii="Times New Roman" w:eastAsia="標楷體" w:hAnsi="Times New Roman"/>
                            <w:color w:val="0000FF"/>
                            <w:spacing w:val="-12"/>
                            <w:sz w:val="22"/>
                          </w:rPr>
                          <w:t>2010</w:t>
                        </w:r>
                        <w:r>
                          <w:rPr>
                            <w:rFonts w:ascii="Times New Roman" w:eastAsia="標楷體" w:hAnsi="Times New Roman"/>
                            <w:color w:val="0000FF"/>
                            <w:spacing w:val="-12"/>
                            <w:sz w:val="22"/>
                          </w:rPr>
                          <w:t>年</w:t>
                        </w:r>
                        <w:r>
                          <w:rPr>
                            <w:rFonts w:ascii="Times New Roman" w:eastAsia="標楷體" w:hAnsi="Times New Roman"/>
                            <w:color w:val="0000FF"/>
                            <w:spacing w:val="-12"/>
                            <w:sz w:val="22"/>
                          </w:rPr>
                          <w:t>15</w:t>
                        </w:r>
                        <w:r>
                          <w:rPr>
                            <w:rFonts w:ascii="Times New Roman" w:eastAsia="標楷體" w:hAnsi="Times New Roman"/>
                            <w:color w:val="0000FF"/>
                            <w:spacing w:val="-12"/>
                            <w:sz w:val="22"/>
                          </w:rPr>
                          <w:t>至</w:t>
                        </w:r>
                        <w:r>
                          <w:rPr>
                            <w:rFonts w:ascii="Times New Roman" w:eastAsia="標楷體" w:hAnsi="Times New Roman"/>
                            <w:color w:val="0000FF"/>
                            <w:spacing w:val="-12"/>
                            <w:sz w:val="22"/>
                          </w:rPr>
                          <w:t>64</w:t>
                        </w:r>
                        <w:r>
                          <w:rPr>
                            <w:rFonts w:ascii="Times New Roman" w:eastAsia="標楷體" w:hAnsi="Times New Roman"/>
                            <w:color w:val="0000FF"/>
                            <w:spacing w:val="-12"/>
                            <w:sz w:val="22"/>
                          </w:rPr>
                          <w:t>歲</w:t>
                        </w:r>
                        <w:r>
                          <w:rPr>
                            <w:rFonts w:ascii="Times New Roman" w:eastAsia="標楷體" w:hAnsi="Times New Roman"/>
                            <w:color w:val="0000FF"/>
                            <w:spacing w:val="-8"/>
                            <w:sz w:val="22"/>
                          </w:rPr>
                          <w:t>就業率</w:t>
                        </w:r>
                      </w:p>
                      <w:p w14:paraId="52262B3B" w14:textId="77777777" w:rsidR="00052596" w:rsidRDefault="00000000">
                        <w:pPr>
                          <w:pStyle w:val="k4a"/>
                          <w:spacing w:after="60" w:line="240" w:lineRule="auto"/>
                          <w:ind w:left="1308" w:hanging="204"/>
                          <w:jc w:val="left"/>
                          <w:outlineLvl w:val="9"/>
                        </w:pPr>
                        <w:r>
                          <w:rPr>
                            <w:rFonts w:ascii="Times New Roman" w:eastAsia="標楷體" w:hAnsi="Times New Roman"/>
                            <w:color w:val="0000FF"/>
                            <w:spacing w:val="-8"/>
                            <w:sz w:val="22"/>
                          </w:rPr>
                          <w:t>之國際比較</w:t>
                        </w:r>
                      </w:p>
                      <w:p w14:paraId="1D556A0D" w14:textId="77777777" w:rsidR="00052596" w:rsidRDefault="00000000">
                        <w:pPr>
                          <w:tabs>
                            <w:tab w:val="left" w:pos="960"/>
                            <w:tab w:val="left" w:pos="1920"/>
                            <w:tab w:val="left" w:pos="2880"/>
                            <w:tab w:val="left" w:pos="3840"/>
                            <w:tab w:val="left" w:pos="4800"/>
                            <w:tab w:val="left" w:pos="5760"/>
                          </w:tabs>
                          <w:overflowPunct w:val="0"/>
                          <w:autoSpaceDE w:val="0"/>
                          <w:jc w:val="center"/>
                          <w:rPr>
                            <w:rFonts w:eastAsia="標楷體"/>
                            <w:color w:val="000000"/>
                            <w:spacing w:val="-6"/>
                            <w:sz w:val="20"/>
                          </w:rPr>
                        </w:pPr>
                        <w:r>
                          <w:rPr>
                            <w:rFonts w:eastAsia="標楷體"/>
                            <w:color w:val="000000"/>
                            <w:spacing w:val="-6"/>
                            <w:sz w:val="20"/>
                          </w:rPr>
                          <w:t>國　別</w:t>
                        </w:r>
                      </w:p>
                      <w:p w14:paraId="70D2329C" w14:textId="77777777" w:rsidR="00052596" w:rsidRDefault="00000000">
                        <w:pPr>
                          <w:tabs>
                            <w:tab w:val="left" w:pos="1920"/>
                            <w:tab w:val="left" w:pos="2880"/>
                            <w:tab w:val="left" w:pos="3840"/>
                            <w:tab w:val="left" w:pos="4800"/>
                            <w:tab w:val="left" w:pos="5760"/>
                          </w:tabs>
                          <w:overflowPunct w:val="0"/>
                          <w:autoSpaceDE w:val="0"/>
                          <w:spacing w:line="240" w:lineRule="exact"/>
                          <w:ind w:left="48"/>
                          <w:rPr>
                            <w:rFonts w:eastAsia="標楷體"/>
                            <w:color w:val="000000"/>
                            <w:spacing w:val="-6"/>
                            <w:sz w:val="20"/>
                          </w:rPr>
                        </w:pPr>
                        <w:r>
                          <w:rPr>
                            <w:rFonts w:eastAsia="標楷體"/>
                            <w:color w:val="000000"/>
                            <w:spacing w:val="-6"/>
                            <w:sz w:val="20"/>
                          </w:rPr>
                          <w:t>15</w:t>
                        </w:r>
                        <w:r>
                          <w:rPr>
                            <w:rFonts w:eastAsia="標楷體"/>
                            <w:color w:val="000000"/>
                            <w:spacing w:val="-6"/>
                            <w:sz w:val="20"/>
                          </w:rPr>
                          <w:t>至</w:t>
                        </w:r>
                        <w:r>
                          <w:rPr>
                            <w:rFonts w:eastAsia="標楷體"/>
                            <w:color w:val="000000"/>
                            <w:spacing w:val="-6"/>
                            <w:sz w:val="20"/>
                          </w:rPr>
                          <w:t>64</w:t>
                        </w:r>
                        <w:r>
                          <w:rPr>
                            <w:rFonts w:eastAsia="標楷體"/>
                            <w:color w:val="000000"/>
                            <w:spacing w:val="-6"/>
                            <w:sz w:val="20"/>
                          </w:rPr>
                          <w:t>歲</w:t>
                        </w:r>
                      </w:p>
                      <w:p w14:paraId="4AEC8C39" w14:textId="77777777" w:rsidR="00052596" w:rsidRDefault="00000000">
                        <w:pPr>
                          <w:tabs>
                            <w:tab w:val="left" w:pos="1920"/>
                            <w:tab w:val="left" w:pos="2880"/>
                            <w:tab w:val="left" w:pos="3840"/>
                            <w:tab w:val="left" w:pos="4800"/>
                            <w:tab w:val="left" w:pos="5760"/>
                          </w:tabs>
                          <w:overflowPunct w:val="0"/>
                          <w:autoSpaceDE w:val="0"/>
                          <w:spacing w:after="24" w:line="200" w:lineRule="exact"/>
                          <w:ind w:left="48"/>
                        </w:pPr>
                        <w:r>
                          <w:rPr>
                            <w:rFonts w:eastAsia="標楷體"/>
                            <w:color w:val="000000"/>
                            <w:spacing w:val="-6"/>
                            <w:sz w:val="20"/>
                          </w:rPr>
                          <w:t>就業率</w:t>
                        </w:r>
                        <w:r>
                          <w:rPr>
                            <w:rFonts w:eastAsia="標楷體"/>
                            <w:color w:val="000000"/>
                            <w:sz w:val="20"/>
                          </w:rPr>
                          <w:t>(</w:t>
                        </w:r>
                        <w:r>
                          <w:rPr>
                            <w:color w:val="000000"/>
                            <w:sz w:val="20"/>
                          </w:rPr>
                          <w:t>%)</w:t>
                        </w:r>
                      </w:p>
                      <w:p w14:paraId="6FCC42CB"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冰</w:t>
                        </w:r>
                        <w:r>
                          <w:rPr>
                            <w:rFonts w:eastAsia="標楷體"/>
                            <w:color w:val="000000"/>
                            <w:sz w:val="20"/>
                          </w:rPr>
                          <w:t xml:space="preserve">  </w:t>
                        </w:r>
                        <w:r>
                          <w:rPr>
                            <w:rFonts w:eastAsia="標楷體"/>
                            <w:color w:val="000000"/>
                            <w:sz w:val="20"/>
                          </w:rPr>
                          <w:t>島</w:t>
                        </w:r>
                      </w:p>
                      <w:p w14:paraId="0A2B48A8"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78.9</w:t>
                        </w:r>
                      </w:p>
                      <w:p w14:paraId="398EFF84"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瑞</w:t>
                        </w:r>
                        <w:r>
                          <w:rPr>
                            <w:rFonts w:eastAsia="標楷體"/>
                            <w:color w:val="000000"/>
                            <w:sz w:val="20"/>
                          </w:rPr>
                          <w:t xml:space="preserve">  </w:t>
                        </w:r>
                        <w:r>
                          <w:rPr>
                            <w:rFonts w:eastAsia="標楷體"/>
                            <w:color w:val="000000"/>
                            <w:sz w:val="20"/>
                          </w:rPr>
                          <w:t>士</w:t>
                        </w:r>
                      </w:p>
                      <w:p w14:paraId="3DED446B"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78.6</w:t>
                        </w:r>
                      </w:p>
                      <w:p w14:paraId="52669210"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日</w:t>
                        </w:r>
                        <w:r>
                          <w:rPr>
                            <w:rFonts w:eastAsia="標楷體"/>
                            <w:color w:val="000000"/>
                            <w:sz w:val="20"/>
                          </w:rPr>
                          <w:t xml:space="preserve">  </w:t>
                        </w:r>
                        <w:r>
                          <w:rPr>
                            <w:rFonts w:eastAsia="標楷體"/>
                            <w:color w:val="000000"/>
                            <w:sz w:val="20"/>
                          </w:rPr>
                          <w:t>本</w:t>
                        </w:r>
                      </w:p>
                      <w:p w14:paraId="43FE5DCF"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70.1</w:t>
                        </w:r>
                      </w:p>
                      <w:p w14:paraId="10619A8E"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美</w:t>
                        </w:r>
                        <w:r>
                          <w:rPr>
                            <w:rFonts w:eastAsia="標楷體"/>
                            <w:color w:val="000000"/>
                            <w:sz w:val="20"/>
                          </w:rPr>
                          <w:t xml:space="preserve">  </w:t>
                        </w:r>
                        <w:r>
                          <w:rPr>
                            <w:rFonts w:eastAsia="標楷體"/>
                            <w:color w:val="000000"/>
                            <w:sz w:val="20"/>
                          </w:rPr>
                          <w:t>國</w:t>
                        </w:r>
                      </w:p>
                      <w:p w14:paraId="0B72F096"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66.7</w:t>
                        </w:r>
                      </w:p>
                      <w:p w14:paraId="53846A68"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pacing w:val="-12"/>
                            <w:sz w:val="20"/>
                          </w:rPr>
                        </w:pPr>
                        <w:r>
                          <w:rPr>
                            <w:rFonts w:eastAsia="標楷體"/>
                            <w:color w:val="000000"/>
                            <w:spacing w:val="-12"/>
                            <w:sz w:val="20"/>
                          </w:rPr>
                          <w:t>OECD</w:t>
                        </w:r>
                        <w:r>
                          <w:rPr>
                            <w:rFonts w:eastAsia="標楷體"/>
                            <w:color w:val="000000"/>
                            <w:spacing w:val="-12"/>
                            <w:sz w:val="20"/>
                          </w:rPr>
                          <w:t>國家中位數</w:t>
                        </w:r>
                      </w:p>
                      <w:p w14:paraId="19F2EF4D"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65.9</w:t>
                        </w:r>
                      </w:p>
                      <w:p w14:paraId="17D31672"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南</w:t>
                        </w:r>
                        <w:r>
                          <w:rPr>
                            <w:rFonts w:eastAsia="標楷體"/>
                            <w:color w:val="000000"/>
                            <w:sz w:val="20"/>
                          </w:rPr>
                          <w:t xml:space="preserve">  </w:t>
                        </w:r>
                        <w:r>
                          <w:rPr>
                            <w:rFonts w:eastAsia="標楷體"/>
                            <w:color w:val="000000"/>
                            <w:sz w:val="20"/>
                          </w:rPr>
                          <w:t>韓</w:t>
                        </w:r>
                      </w:p>
                      <w:p w14:paraId="1810D31B"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63.3</w:t>
                        </w:r>
                      </w:p>
                      <w:p w14:paraId="587F756B"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b/>
                            <w:color w:val="800000"/>
                            <w:sz w:val="20"/>
                          </w:rPr>
                        </w:pPr>
                        <w:r>
                          <w:rPr>
                            <w:rFonts w:eastAsia="標楷體"/>
                            <w:b/>
                            <w:color w:val="800000"/>
                            <w:sz w:val="20"/>
                          </w:rPr>
                          <w:t>臺</w:t>
                        </w:r>
                        <w:r>
                          <w:rPr>
                            <w:rFonts w:eastAsia="標楷體"/>
                            <w:b/>
                            <w:color w:val="800000"/>
                            <w:sz w:val="20"/>
                          </w:rPr>
                          <w:t xml:space="preserve">  </w:t>
                        </w:r>
                        <w:r>
                          <w:rPr>
                            <w:rFonts w:eastAsia="標楷體"/>
                            <w:b/>
                            <w:color w:val="800000"/>
                            <w:sz w:val="20"/>
                          </w:rPr>
                          <w:t>灣</w:t>
                        </w:r>
                      </w:p>
                      <w:p w14:paraId="2CC87612" w14:textId="77777777" w:rsidR="00052596" w:rsidRDefault="00000000">
                        <w:pPr>
                          <w:overflowPunct w:val="0"/>
                          <w:autoSpaceDE w:val="0"/>
                          <w:spacing w:line="200" w:lineRule="exact"/>
                          <w:jc w:val="center"/>
                          <w:rPr>
                            <w:rFonts w:eastAsia="標楷體"/>
                            <w:b/>
                            <w:color w:val="800000"/>
                            <w:sz w:val="20"/>
                          </w:rPr>
                        </w:pPr>
                        <w:r>
                          <w:rPr>
                            <w:rFonts w:eastAsia="標楷體"/>
                            <w:b/>
                            <w:color w:val="800000"/>
                            <w:sz w:val="20"/>
                          </w:rPr>
                          <w:t>62.0</w:t>
                        </w:r>
                      </w:p>
                      <w:p w14:paraId="21664F1B"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匈牙利</w:t>
                        </w:r>
                      </w:p>
                      <w:p w14:paraId="6CF58BFB"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55.4</w:t>
                        </w:r>
                      </w:p>
                      <w:p w14:paraId="23081FD6"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土耳其</w:t>
                        </w:r>
                      </w:p>
                      <w:p w14:paraId="09BA0DC4"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46.3</w:t>
                        </w:r>
                      </w:p>
                      <w:p w14:paraId="41AED472" w14:textId="77777777" w:rsidR="00052596" w:rsidRDefault="00052596">
                        <w:pPr>
                          <w:pStyle w:val="k4a"/>
                          <w:spacing w:before="120" w:after="120" w:line="240" w:lineRule="auto"/>
                          <w:ind w:left="1352" w:hanging="248"/>
                          <w:jc w:val="center"/>
                          <w:outlineLvl w:val="9"/>
                          <w:rPr>
                            <w:b/>
                            <w:sz w:val="24"/>
                            <w:szCs w:val="24"/>
                          </w:rPr>
                        </w:pPr>
                      </w:p>
                    </w:txbxContent>
                  </v:textbox>
                </v:rect>
                <v:shape id="圖表 1" o:spid="_x0000_s1052" type="#_x0000_t75" style="position:absolute;top:3721;width:38830;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">
                  <v:imagedata r:id="rId32" o:title=""/>
                </v:shape>
                <w10:wrap type="square"/>
              </v:group>
            </w:pict>
          </mc:Fallback>
        </mc:AlternateContent>
      </w:r>
      <w:r>
        <w:rPr>
          <w:rFonts w:eastAsia="標楷體"/>
          <w:spacing w:val="4"/>
          <w:kern w:val="0"/>
          <w:sz w:val="28"/>
          <w:szCs w:val="26"/>
        </w:rPr>
        <w:t>就業率</w:t>
      </w:r>
      <w:r>
        <w:rPr>
          <w:rFonts w:ascii="標楷體" w:eastAsia="標楷體" w:hAnsi="標楷體"/>
          <w:spacing w:val="4"/>
          <w:kern w:val="0"/>
          <w:sz w:val="28"/>
          <w:szCs w:val="26"/>
        </w:rPr>
        <w:t>及長期失業率為國際間常用</w:t>
      </w:r>
      <w:r>
        <w:rPr>
          <w:rFonts w:ascii="標楷體" w:eastAsia="標楷體" w:hAnsi="標楷體"/>
          <w:color w:val="000000"/>
          <w:spacing w:val="4"/>
          <w:kern w:val="0"/>
          <w:sz w:val="28"/>
          <w:szCs w:val="26"/>
        </w:rPr>
        <w:t>來</w:t>
      </w:r>
      <w:r>
        <w:rPr>
          <w:rFonts w:eastAsia="標楷體"/>
          <w:color w:val="000000"/>
          <w:spacing w:val="4"/>
          <w:kern w:val="0"/>
          <w:sz w:val="28"/>
          <w:szCs w:val="26"/>
        </w:rPr>
        <w:t>衡量一國勞動市場發展狀</w:t>
      </w:r>
      <w:r>
        <w:rPr>
          <w:rFonts w:eastAsia="標楷體"/>
          <w:color w:val="000000"/>
          <w:spacing w:val="4"/>
          <w:kern w:val="0"/>
          <w:sz w:val="28"/>
          <w:szCs w:val="26"/>
        </w:rPr>
        <w:lastRenderedPageBreak/>
        <w:t>況的重要統計指標。</w:t>
      </w:r>
      <w:r>
        <w:rPr>
          <w:rFonts w:eastAsia="標楷體"/>
          <w:color w:val="000000"/>
          <w:spacing w:val="4"/>
          <w:kern w:val="0"/>
          <w:sz w:val="28"/>
          <w:szCs w:val="26"/>
        </w:rPr>
        <w:t>90</w:t>
      </w:r>
      <w:r>
        <w:rPr>
          <w:rFonts w:eastAsia="標楷體"/>
          <w:color w:val="000000"/>
          <w:spacing w:val="4"/>
          <w:kern w:val="0"/>
          <w:sz w:val="28"/>
          <w:szCs w:val="26"/>
        </w:rPr>
        <w:t>至</w:t>
      </w:r>
      <w:r>
        <w:rPr>
          <w:rFonts w:eastAsia="標楷體"/>
          <w:color w:val="000000"/>
          <w:spacing w:val="4"/>
          <w:kern w:val="0"/>
          <w:sz w:val="28"/>
          <w:szCs w:val="26"/>
        </w:rPr>
        <w:t>100</w:t>
      </w:r>
      <w:r>
        <w:rPr>
          <w:rFonts w:eastAsia="標楷體"/>
          <w:spacing w:val="4"/>
          <w:kern w:val="0"/>
          <w:sz w:val="28"/>
          <w:szCs w:val="26"/>
        </w:rPr>
        <w:t>年我國</w:t>
      </w:r>
      <w:r>
        <w:rPr>
          <w:rFonts w:eastAsia="標楷體"/>
          <w:spacing w:val="4"/>
          <w:kern w:val="0"/>
          <w:sz w:val="28"/>
          <w:szCs w:val="26"/>
        </w:rPr>
        <w:t>15</w:t>
      </w:r>
      <w:r>
        <w:rPr>
          <w:rFonts w:eastAsia="標楷體"/>
          <w:spacing w:val="4"/>
          <w:kern w:val="0"/>
          <w:sz w:val="28"/>
          <w:szCs w:val="26"/>
        </w:rPr>
        <w:t>至</w:t>
      </w:r>
      <w:r>
        <w:rPr>
          <w:rFonts w:eastAsia="標楷體"/>
          <w:spacing w:val="4"/>
          <w:kern w:val="0"/>
          <w:sz w:val="28"/>
          <w:szCs w:val="26"/>
        </w:rPr>
        <w:t>64</w:t>
      </w:r>
      <w:r>
        <w:rPr>
          <w:rFonts w:eastAsia="標楷體"/>
          <w:spacing w:val="4"/>
          <w:kern w:val="0"/>
          <w:sz w:val="28"/>
          <w:szCs w:val="26"/>
        </w:rPr>
        <w:t>歲就業率維持在</w:t>
      </w:r>
      <w:r>
        <w:rPr>
          <w:rFonts w:eastAsia="標楷體"/>
          <w:spacing w:val="4"/>
          <w:kern w:val="0"/>
          <w:sz w:val="28"/>
          <w:szCs w:val="26"/>
        </w:rPr>
        <w:t>60%</w:t>
      </w:r>
      <w:r>
        <w:rPr>
          <w:rFonts w:eastAsia="標楷體"/>
          <w:spacing w:val="4"/>
          <w:kern w:val="0"/>
          <w:sz w:val="28"/>
          <w:szCs w:val="26"/>
        </w:rPr>
        <w:t>至</w:t>
      </w:r>
      <w:r>
        <w:rPr>
          <w:rFonts w:eastAsia="標楷體"/>
          <w:spacing w:val="4"/>
          <w:kern w:val="0"/>
          <w:sz w:val="28"/>
          <w:szCs w:val="26"/>
        </w:rPr>
        <w:t>63%</w:t>
      </w:r>
      <w:r>
        <w:rPr>
          <w:rFonts w:eastAsia="標楷體"/>
          <w:spacing w:val="4"/>
          <w:kern w:val="0"/>
          <w:sz w:val="28"/>
          <w:szCs w:val="26"/>
        </w:rPr>
        <w:t>之間</w:t>
      </w:r>
      <w:r>
        <w:rPr>
          <w:rFonts w:ascii="標楷體" w:eastAsia="標楷體" w:hAnsi="標楷體"/>
          <w:spacing w:val="4"/>
          <w:kern w:val="0"/>
          <w:sz w:val="28"/>
          <w:szCs w:val="26"/>
        </w:rPr>
        <w:t>(</w:t>
      </w:r>
      <w:r>
        <w:rPr>
          <w:rFonts w:eastAsia="標楷體"/>
          <w:spacing w:val="4"/>
          <w:kern w:val="0"/>
          <w:sz w:val="28"/>
          <w:szCs w:val="26"/>
        </w:rPr>
        <w:t>100</w:t>
      </w:r>
      <w:r>
        <w:rPr>
          <w:rFonts w:eastAsia="標楷體"/>
          <w:spacing w:val="4"/>
          <w:kern w:val="0"/>
          <w:sz w:val="28"/>
          <w:szCs w:val="26"/>
        </w:rPr>
        <w:t>年</w:t>
      </w:r>
      <w:r>
        <w:rPr>
          <w:rFonts w:eastAsia="標楷體"/>
          <w:spacing w:val="4"/>
          <w:kern w:val="0"/>
          <w:sz w:val="28"/>
          <w:szCs w:val="26"/>
        </w:rPr>
        <w:t>62.7%</w:t>
      </w:r>
      <w:r>
        <w:rPr>
          <w:rFonts w:ascii="標楷體" w:eastAsia="標楷體" w:hAnsi="標楷體"/>
          <w:spacing w:val="4"/>
          <w:kern w:val="0"/>
          <w:sz w:val="28"/>
          <w:szCs w:val="26"/>
        </w:rPr>
        <w:t>)，較其他國家相對為低[</w:t>
      </w:r>
      <w:r>
        <w:rPr>
          <w:rFonts w:eastAsia="標楷體"/>
          <w:color w:val="000000"/>
          <w:spacing w:val="4"/>
          <w:kern w:val="0"/>
          <w:sz w:val="28"/>
          <w:szCs w:val="26"/>
        </w:rPr>
        <w:t>99</w:t>
      </w:r>
      <w:r>
        <w:rPr>
          <w:rFonts w:eastAsia="標楷體"/>
          <w:color w:val="000000"/>
          <w:spacing w:val="4"/>
          <w:kern w:val="0"/>
          <w:sz w:val="28"/>
          <w:szCs w:val="26"/>
        </w:rPr>
        <w:t>年我國就業率</w:t>
      </w:r>
      <w:r>
        <w:rPr>
          <w:rFonts w:eastAsia="標楷體"/>
          <w:color w:val="000000"/>
          <w:spacing w:val="4"/>
          <w:kern w:val="0"/>
          <w:sz w:val="28"/>
          <w:szCs w:val="26"/>
        </w:rPr>
        <w:t>62.0%</w:t>
      </w:r>
      <w:r>
        <w:rPr>
          <w:rFonts w:eastAsia="標楷體"/>
          <w:color w:val="000000"/>
          <w:spacing w:val="4"/>
          <w:kern w:val="0"/>
          <w:sz w:val="28"/>
          <w:szCs w:val="26"/>
        </w:rPr>
        <w:t>，不及</w:t>
      </w:r>
      <w:r>
        <w:rPr>
          <w:rFonts w:eastAsia="標楷體"/>
          <w:color w:val="000000"/>
          <w:spacing w:val="4"/>
          <w:kern w:val="0"/>
          <w:sz w:val="28"/>
          <w:szCs w:val="26"/>
        </w:rPr>
        <w:t>OECD</w:t>
      </w:r>
      <w:r>
        <w:rPr>
          <w:rFonts w:eastAsia="標楷體"/>
          <w:color w:val="000000"/>
          <w:spacing w:val="4"/>
          <w:kern w:val="0"/>
          <w:sz w:val="28"/>
          <w:szCs w:val="26"/>
        </w:rPr>
        <w:t>國家中位數</w:t>
      </w:r>
      <w:r>
        <w:rPr>
          <w:rFonts w:eastAsia="標楷體"/>
          <w:color w:val="000000"/>
          <w:spacing w:val="4"/>
          <w:kern w:val="0"/>
          <w:sz w:val="28"/>
          <w:szCs w:val="26"/>
        </w:rPr>
        <w:t>65.9%</w:t>
      </w:r>
      <w:r>
        <w:rPr>
          <w:rFonts w:ascii="標楷體" w:eastAsia="標楷體" w:hAnsi="標楷體"/>
          <w:spacing w:val="4"/>
          <w:kern w:val="0"/>
          <w:sz w:val="28"/>
          <w:szCs w:val="26"/>
        </w:rPr>
        <w:t>(</w:t>
      </w:r>
      <w:r>
        <w:rPr>
          <w:rFonts w:eastAsia="標楷體"/>
          <w:color w:val="000000"/>
          <w:spacing w:val="4"/>
          <w:kern w:val="0"/>
          <w:sz w:val="28"/>
          <w:szCs w:val="26"/>
        </w:rPr>
        <w:t>日本</w:t>
      </w:r>
      <w:r>
        <w:rPr>
          <w:rFonts w:eastAsia="標楷體"/>
          <w:color w:val="000000"/>
          <w:spacing w:val="4"/>
          <w:kern w:val="0"/>
          <w:sz w:val="28"/>
          <w:szCs w:val="26"/>
        </w:rPr>
        <w:t>70.1%</w:t>
      </w:r>
      <w:r>
        <w:rPr>
          <w:rFonts w:eastAsia="標楷體"/>
          <w:color w:val="000000"/>
          <w:spacing w:val="4"/>
          <w:kern w:val="0"/>
          <w:sz w:val="28"/>
          <w:szCs w:val="26"/>
        </w:rPr>
        <w:t>、南韓</w:t>
      </w:r>
      <w:r>
        <w:rPr>
          <w:rFonts w:eastAsia="標楷體"/>
          <w:color w:val="000000"/>
          <w:spacing w:val="4"/>
          <w:kern w:val="0"/>
          <w:sz w:val="28"/>
          <w:szCs w:val="26"/>
        </w:rPr>
        <w:t>63.3%</w:t>
      </w:r>
      <w:r>
        <w:rPr>
          <w:rFonts w:ascii="標楷體" w:eastAsia="標楷體" w:hAnsi="標楷體"/>
          <w:spacing w:val="4"/>
          <w:kern w:val="0"/>
          <w:sz w:val="28"/>
          <w:szCs w:val="26"/>
        </w:rPr>
        <w:t>)]。兩性就業率則呈現此消彼長態勢</w:t>
      </w:r>
      <w:r>
        <w:rPr>
          <w:rFonts w:eastAsia="標楷體"/>
          <w:spacing w:val="4"/>
          <w:kern w:val="0"/>
          <w:sz w:val="28"/>
          <w:szCs w:val="26"/>
        </w:rPr>
        <w:t>，其中，</w:t>
      </w:r>
      <w:r>
        <w:rPr>
          <w:rFonts w:eastAsia="標楷體"/>
          <w:spacing w:val="4"/>
          <w:kern w:val="0"/>
          <w:sz w:val="28"/>
          <w:szCs w:val="26"/>
        </w:rPr>
        <w:t>90</w:t>
      </w:r>
      <w:r>
        <w:rPr>
          <w:rFonts w:eastAsia="標楷體"/>
          <w:spacing w:val="4"/>
          <w:kern w:val="0"/>
          <w:sz w:val="28"/>
          <w:szCs w:val="26"/>
        </w:rPr>
        <w:t>至</w:t>
      </w:r>
      <w:r>
        <w:rPr>
          <w:rFonts w:eastAsia="標楷體"/>
          <w:spacing w:val="4"/>
          <w:kern w:val="0"/>
          <w:sz w:val="28"/>
          <w:szCs w:val="26"/>
        </w:rPr>
        <w:t>100</w:t>
      </w:r>
      <w:r>
        <w:rPr>
          <w:rFonts w:eastAsia="標楷體"/>
          <w:spacing w:val="4"/>
          <w:kern w:val="0"/>
          <w:sz w:val="28"/>
          <w:szCs w:val="26"/>
        </w:rPr>
        <w:t>年間，男性受教育年數延長及退休年齡提前影響，</w:t>
      </w:r>
      <w:r>
        <w:rPr>
          <w:rFonts w:eastAsia="標楷體"/>
          <w:spacing w:val="4"/>
          <w:kern w:val="0"/>
          <w:sz w:val="28"/>
          <w:szCs w:val="26"/>
        </w:rPr>
        <w:t>15</w:t>
      </w:r>
      <w:r>
        <w:rPr>
          <w:rFonts w:eastAsia="標楷體"/>
          <w:spacing w:val="4"/>
          <w:kern w:val="0"/>
          <w:sz w:val="28"/>
          <w:szCs w:val="26"/>
        </w:rPr>
        <w:t>至</w:t>
      </w:r>
      <w:r>
        <w:rPr>
          <w:rFonts w:eastAsia="標楷體"/>
          <w:spacing w:val="4"/>
          <w:kern w:val="0"/>
          <w:sz w:val="28"/>
          <w:szCs w:val="26"/>
        </w:rPr>
        <w:t>64</w:t>
      </w:r>
      <w:r>
        <w:rPr>
          <w:rFonts w:eastAsia="標楷體"/>
          <w:spacing w:val="4"/>
          <w:kern w:val="0"/>
          <w:sz w:val="28"/>
          <w:szCs w:val="26"/>
        </w:rPr>
        <w:t>歲男性就業率由</w:t>
      </w:r>
      <w:r>
        <w:rPr>
          <w:rFonts w:eastAsia="標楷體"/>
          <w:spacing w:val="4"/>
          <w:kern w:val="0"/>
          <w:sz w:val="28"/>
          <w:szCs w:val="26"/>
        </w:rPr>
        <w:t>72.2%</w:t>
      </w:r>
      <w:r>
        <w:rPr>
          <w:rFonts w:eastAsia="標楷體"/>
          <w:spacing w:val="4"/>
          <w:kern w:val="0"/>
          <w:sz w:val="28"/>
          <w:szCs w:val="26"/>
        </w:rPr>
        <w:t>降至</w:t>
      </w:r>
      <w:r>
        <w:rPr>
          <w:rFonts w:eastAsia="標楷體"/>
          <w:spacing w:val="4"/>
          <w:kern w:val="0"/>
          <w:sz w:val="28"/>
          <w:szCs w:val="26"/>
        </w:rPr>
        <w:t>70.9%</w:t>
      </w:r>
      <w:r>
        <w:rPr>
          <w:rFonts w:eastAsia="標楷體"/>
          <w:spacing w:val="4"/>
          <w:kern w:val="0"/>
          <w:sz w:val="28"/>
          <w:szCs w:val="26"/>
        </w:rPr>
        <w:t>；同期間，女性受惠於教育程度提升及服務業工作機會增加，</w:t>
      </w:r>
      <w:r>
        <w:rPr>
          <w:rFonts w:eastAsia="標楷體"/>
          <w:spacing w:val="4"/>
          <w:kern w:val="0"/>
          <w:sz w:val="28"/>
          <w:szCs w:val="26"/>
        </w:rPr>
        <w:t>15</w:t>
      </w:r>
      <w:r>
        <w:rPr>
          <w:rFonts w:eastAsia="標楷體"/>
          <w:spacing w:val="4"/>
          <w:kern w:val="0"/>
          <w:sz w:val="28"/>
          <w:szCs w:val="26"/>
        </w:rPr>
        <w:t>至</w:t>
      </w:r>
      <w:r>
        <w:rPr>
          <w:rFonts w:eastAsia="標楷體"/>
          <w:spacing w:val="4"/>
          <w:kern w:val="0"/>
          <w:sz w:val="28"/>
          <w:szCs w:val="26"/>
        </w:rPr>
        <w:t>64</w:t>
      </w:r>
      <w:r>
        <w:rPr>
          <w:rFonts w:eastAsia="標楷體"/>
          <w:spacing w:val="4"/>
          <w:kern w:val="0"/>
          <w:sz w:val="28"/>
          <w:szCs w:val="26"/>
        </w:rPr>
        <w:t>歲女性就業率由</w:t>
      </w:r>
      <w:r>
        <w:rPr>
          <w:rFonts w:eastAsia="標楷體"/>
          <w:spacing w:val="4"/>
          <w:kern w:val="0"/>
          <w:sz w:val="28"/>
          <w:szCs w:val="26"/>
        </w:rPr>
        <w:t>49.3%</w:t>
      </w:r>
      <w:r>
        <w:rPr>
          <w:rFonts w:eastAsia="標楷體"/>
          <w:spacing w:val="4"/>
          <w:kern w:val="0"/>
          <w:sz w:val="28"/>
          <w:szCs w:val="26"/>
        </w:rPr>
        <w:t>增至</w:t>
      </w:r>
      <w:r>
        <w:rPr>
          <w:rFonts w:eastAsia="標楷體"/>
          <w:spacing w:val="4"/>
          <w:kern w:val="0"/>
          <w:sz w:val="28"/>
          <w:szCs w:val="26"/>
        </w:rPr>
        <w:t>54.7%</w:t>
      </w:r>
      <w:r>
        <w:rPr>
          <w:rFonts w:eastAsia="標楷體"/>
          <w:spacing w:val="4"/>
          <w:kern w:val="0"/>
          <w:sz w:val="28"/>
          <w:szCs w:val="26"/>
        </w:rPr>
        <w:t>。值得關注的是，</w:t>
      </w:r>
      <w:r>
        <w:rPr>
          <w:rFonts w:eastAsia="標楷體"/>
          <w:spacing w:val="4"/>
          <w:kern w:val="0"/>
          <w:sz w:val="28"/>
          <w:szCs w:val="26"/>
        </w:rPr>
        <w:t>100</w:t>
      </w:r>
      <w:r>
        <w:rPr>
          <w:rFonts w:eastAsia="標楷體"/>
          <w:spacing w:val="4"/>
          <w:kern w:val="0"/>
          <w:sz w:val="28"/>
          <w:szCs w:val="26"/>
        </w:rPr>
        <w:t>年</w:t>
      </w:r>
      <w:r>
        <w:rPr>
          <w:rFonts w:eastAsia="標楷體"/>
          <w:spacing w:val="4"/>
          <w:kern w:val="0"/>
          <w:sz w:val="28"/>
          <w:szCs w:val="26"/>
        </w:rPr>
        <w:t>15</w:t>
      </w:r>
      <w:r>
        <w:rPr>
          <w:rFonts w:eastAsia="標楷體"/>
          <w:spacing w:val="4"/>
          <w:kern w:val="0"/>
          <w:sz w:val="28"/>
          <w:szCs w:val="26"/>
        </w:rPr>
        <w:t>至</w:t>
      </w:r>
      <w:r>
        <w:rPr>
          <w:rFonts w:eastAsia="標楷體"/>
          <w:spacing w:val="4"/>
          <w:kern w:val="0"/>
          <w:sz w:val="28"/>
          <w:szCs w:val="26"/>
        </w:rPr>
        <w:t>24</w:t>
      </w:r>
      <w:r>
        <w:rPr>
          <w:rFonts w:eastAsia="標楷體"/>
          <w:spacing w:val="4"/>
          <w:kern w:val="0"/>
          <w:sz w:val="28"/>
          <w:szCs w:val="26"/>
        </w:rPr>
        <w:t>歲青年就業率由</w:t>
      </w:r>
      <w:r>
        <w:rPr>
          <w:rFonts w:eastAsia="標楷體"/>
          <w:spacing w:val="4"/>
          <w:kern w:val="0"/>
          <w:sz w:val="28"/>
          <w:szCs w:val="26"/>
        </w:rPr>
        <w:t>90</w:t>
      </w:r>
      <w:r>
        <w:rPr>
          <w:rFonts w:eastAsia="標楷體"/>
          <w:spacing w:val="4"/>
          <w:kern w:val="0"/>
          <w:sz w:val="28"/>
          <w:szCs w:val="26"/>
        </w:rPr>
        <w:t>年的</w:t>
      </w:r>
      <w:r>
        <w:rPr>
          <w:rFonts w:eastAsia="標楷體"/>
          <w:spacing w:val="4"/>
          <w:kern w:val="0"/>
          <w:sz w:val="28"/>
          <w:szCs w:val="26"/>
        </w:rPr>
        <w:t>31.8%</w:t>
      </w:r>
      <w:r>
        <w:rPr>
          <w:rFonts w:eastAsia="標楷體"/>
          <w:spacing w:val="4"/>
          <w:kern w:val="0"/>
          <w:sz w:val="28"/>
          <w:szCs w:val="26"/>
        </w:rPr>
        <w:t>，大幅降至</w:t>
      </w:r>
      <w:r>
        <w:rPr>
          <w:rFonts w:eastAsia="標楷體"/>
          <w:spacing w:val="4"/>
          <w:kern w:val="0"/>
          <w:sz w:val="28"/>
          <w:szCs w:val="26"/>
        </w:rPr>
        <w:t>25.0%</w:t>
      </w:r>
      <w:r>
        <w:rPr>
          <w:rFonts w:eastAsia="標楷體"/>
          <w:spacing w:val="4"/>
          <w:kern w:val="0"/>
          <w:sz w:val="28"/>
          <w:szCs w:val="26"/>
        </w:rPr>
        <w:t>，減少</w:t>
      </w:r>
      <w:r>
        <w:rPr>
          <w:rFonts w:eastAsia="標楷體"/>
          <w:spacing w:val="4"/>
          <w:kern w:val="0"/>
          <w:sz w:val="28"/>
          <w:szCs w:val="26"/>
        </w:rPr>
        <w:t>6.8</w:t>
      </w:r>
      <w:r>
        <w:rPr>
          <w:rFonts w:eastAsia="標楷體"/>
          <w:spacing w:val="4"/>
          <w:kern w:val="0"/>
          <w:sz w:val="28"/>
          <w:szCs w:val="26"/>
        </w:rPr>
        <w:t>個百分點，突顯青年就業問題日益嚴峻。</w:t>
      </w:r>
    </w:p>
    <w:p w14:paraId="5863F9D5" w14:textId="77777777" w:rsidR="00052596" w:rsidRDefault="00000000">
      <w:pPr>
        <w:overflowPunct w:val="0"/>
        <w:autoSpaceDE w:val="0"/>
        <w:spacing w:line="440" w:lineRule="exact"/>
        <w:ind w:left="240" w:firstLine="552"/>
        <w:jc w:val="both"/>
        <w:textAlignment w:val="center"/>
      </w:pPr>
      <w:r>
        <w:rPr>
          <w:rFonts w:eastAsia="標楷體"/>
          <w:color w:val="000000"/>
          <w:spacing w:val="-2"/>
          <w:kern w:val="0"/>
          <w:sz w:val="28"/>
          <w:szCs w:val="28"/>
        </w:rPr>
        <w:t>90</w:t>
      </w:r>
      <w:r>
        <w:rPr>
          <w:rFonts w:eastAsia="標楷體"/>
          <w:color w:val="000000"/>
          <w:spacing w:val="-2"/>
          <w:kern w:val="0"/>
          <w:sz w:val="28"/>
          <w:szCs w:val="28"/>
        </w:rPr>
        <w:t>至</w:t>
      </w:r>
      <w:r>
        <w:rPr>
          <w:rFonts w:eastAsia="標楷體"/>
          <w:color w:val="000000"/>
          <w:spacing w:val="-2"/>
          <w:kern w:val="0"/>
          <w:sz w:val="28"/>
          <w:szCs w:val="28"/>
        </w:rPr>
        <w:t>100</w:t>
      </w:r>
      <w:r>
        <w:rPr>
          <w:rFonts w:eastAsia="標楷體"/>
          <w:color w:val="000000"/>
          <w:spacing w:val="-2"/>
          <w:kern w:val="0"/>
          <w:sz w:val="28"/>
          <w:szCs w:val="28"/>
        </w:rPr>
        <w:t>年間，國內失業人數由</w:t>
      </w:r>
      <w:r>
        <w:rPr>
          <w:rFonts w:eastAsia="標楷體"/>
          <w:color w:val="000000"/>
          <w:spacing w:val="-2"/>
          <w:kern w:val="0"/>
          <w:sz w:val="28"/>
          <w:szCs w:val="28"/>
        </w:rPr>
        <w:t>45</w:t>
      </w:r>
      <w:r>
        <w:rPr>
          <w:rFonts w:eastAsia="標楷體"/>
          <w:color w:val="000000"/>
          <w:spacing w:val="-2"/>
          <w:kern w:val="0"/>
          <w:sz w:val="28"/>
          <w:szCs w:val="28"/>
        </w:rPr>
        <w:t>萬人增至</w:t>
      </w:r>
      <w:r>
        <w:rPr>
          <w:rFonts w:eastAsia="標楷體"/>
          <w:color w:val="000000"/>
          <w:spacing w:val="-2"/>
          <w:kern w:val="0"/>
          <w:sz w:val="28"/>
          <w:szCs w:val="28"/>
        </w:rPr>
        <w:t>49</w:t>
      </w:r>
      <w:r>
        <w:rPr>
          <w:rFonts w:eastAsia="標楷體"/>
          <w:color w:val="000000"/>
          <w:spacing w:val="-2"/>
          <w:kern w:val="0"/>
          <w:sz w:val="28"/>
          <w:szCs w:val="28"/>
        </w:rPr>
        <w:t>萬</w:t>
      </w:r>
      <w:r>
        <w:rPr>
          <w:rFonts w:eastAsia="標楷體"/>
          <w:color w:val="000000"/>
          <w:spacing w:val="-2"/>
          <w:kern w:val="0"/>
          <w:sz w:val="28"/>
          <w:szCs w:val="28"/>
        </w:rPr>
        <w:t>1</w:t>
      </w:r>
      <w:r>
        <w:rPr>
          <w:rFonts w:eastAsia="標楷體"/>
          <w:color w:val="000000"/>
          <w:spacing w:val="-2"/>
          <w:kern w:val="0"/>
          <w:sz w:val="28"/>
          <w:szCs w:val="28"/>
        </w:rPr>
        <w:t>千人，失業率介於</w:t>
      </w:r>
      <w:r>
        <w:rPr>
          <w:rFonts w:eastAsia="標楷體"/>
          <w:color w:val="000000"/>
          <w:spacing w:val="-2"/>
          <w:kern w:val="0"/>
          <w:sz w:val="28"/>
          <w:szCs w:val="28"/>
        </w:rPr>
        <w:t>3.9%</w:t>
      </w:r>
      <w:r>
        <w:rPr>
          <w:rFonts w:eastAsia="標楷體"/>
          <w:color w:val="000000"/>
          <w:spacing w:val="-2"/>
          <w:kern w:val="0"/>
          <w:sz w:val="28"/>
          <w:szCs w:val="28"/>
        </w:rPr>
        <w:t>至</w:t>
      </w:r>
      <w:r>
        <w:rPr>
          <w:rFonts w:eastAsia="標楷體"/>
          <w:color w:val="000000"/>
          <w:spacing w:val="-2"/>
          <w:kern w:val="0"/>
          <w:sz w:val="28"/>
          <w:szCs w:val="28"/>
        </w:rPr>
        <w:t>5.9%</w:t>
      </w:r>
      <w:r>
        <w:rPr>
          <w:rFonts w:eastAsia="標楷體"/>
          <w:color w:val="000000"/>
          <w:spacing w:val="-2"/>
          <w:kern w:val="0"/>
          <w:sz w:val="28"/>
          <w:szCs w:val="28"/>
        </w:rPr>
        <w:t>之間。其中，</w:t>
      </w:r>
      <w:r>
        <w:rPr>
          <w:rFonts w:eastAsia="標楷體"/>
          <w:color w:val="000000"/>
          <w:spacing w:val="-2"/>
          <w:kern w:val="0"/>
          <w:sz w:val="28"/>
          <w:szCs w:val="28"/>
        </w:rPr>
        <w:t>15</w:t>
      </w:r>
      <w:r>
        <w:rPr>
          <w:rFonts w:eastAsia="標楷體"/>
          <w:color w:val="000000"/>
          <w:spacing w:val="-2"/>
          <w:kern w:val="0"/>
          <w:sz w:val="28"/>
          <w:szCs w:val="28"/>
        </w:rPr>
        <w:t>至</w:t>
      </w:r>
      <w:r>
        <w:rPr>
          <w:rFonts w:eastAsia="標楷體"/>
          <w:color w:val="000000"/>
          <w:spacing w:val="-2"/>
          <w:kern w:val="0"/>
          <w:sz w:val="28"/>
          <w:szCs w:val="28"/>
        </w:rPr>
        <w:t>64</w:t>
      </w:r>
      <w:r>
        <w:rPr>
          <w:rFonts w:eastAsia="標楷體"/>
          <w:color w:val="000000"/>
          <w:spacing w:val="-2"/>
          <w:kern w:val="0"/>
          <w:sz w:val="28"/>
          <w:szCs w:val="28"/>
        </w:rPr>
        <w:t>歲長期失業人數由</w:t>
      </w:r>
      <w:r>
        <w:rPr>
          <w:rFonts w:eastAsia="標楷體"/>
          <w:color w:val="000000"/>
          <w:spacing w:val="-2"/>
          <w:kern w:val="0"/>
          <w:sz w:val="28"/>
          <w:szCs w:val="28"/>
        </w:rPr>
        <w:t>6</w:t>
      </w:r>
      <w:r>
        <w:rPr>
          <w:rFonts w:eastAsia="標楷體"/>
          <w:color w:val="000000"/>
          <w:spacing w:val="-2"/>
          <w:kern w:val="0"/>
          <w:sz w:val="28"/>
          <w:szCs w:val="28"/>
        </w:rPr>
        <w:t>萬</w:t>
      </w:r>
      <w:r>
        <w:rPr>
          <w:rFonts w:eastAsia="標楷體"/>
          <w:color w:val="000000"/>
          <w:spacing w:val="-2"/>
          <w:kern w:val="0"/>
          <w:sz w:val="28"/>
          <w:szCs w:val="28"/>
        </w:rPr>
        <w:t>5</w:t>
      </w:r>
      <w:r>
        <w:rPr>
          <w:rFonts w:eastAsia="標楷體"/>
          <w:color w:val="000000"/>
          <w:spacing w:val="-2"/>
          <w:kern w:val="0"/>
          <w:sz w:val="28"/>
          <w:szCs w:val="28"/>
        </w:rPr>
        <w:t>千人增至</w:t>
      </w:r>
      <w:r>
        <w:rPr>
          <w:rFonts w:eastAsia="標楷體"/>
          <w:color w:val="000000"/>
          <w:spacing w:val="-2"/>
          <w:kern w:val="0"/>
          <w:sz w:val="28"/>
          <w:szCs w:val="28"/>
        </w:rPr>
        <w:t>8</w:t>
      </w:r>
      <w:r>
        <w:rPr>
          <w:rFonts w:eastAsia="標楷體"/>
          <w:color w:val="000000"/>
          <w:spacing w:val="-2"/>
          <w:kern w:val="0"/>
          <w:sz w:val="28"/>
          <w:szCs w:val="28"/>
        </w:rPr>
        <w:t>萬人，</w:t>
      </w:r>
      <w:r>
        <w:rPr>
          <w:rFonts w:eastAsia="標楷體"/>
          <w:color w:val="000000"/>
          <w:spacing w:val="-2"/>
          <w:kern w:val="0"/>
          <w:sz w:val="28"/>
          <w:szCs w:val="28"/>
        </w:rPr>
        <w:t>15</w:t>
      </w:r>
      <w:r>
        <w:rPr>
          <w:rFonts w:eastAsia="標楷體"/>
          <w:color w:val="000000"/>
          <w:spacing w:val="-2"/>
          <w:kern w:val="0"/>
          <w:sz w:val="28"/>
          <w:szCs w:val="28"/>
        </w:rPr>
        <w:t>至</w:t>
      </w:r>
      <w:r>
        <w:rPr>
          <w:rFonts w:eastAsia="標楷體"/>
          <w:color w:val="000000"/>
          <w:spacing w:val="-2"/>
          <w:kern w:val="0"/>
          <w:sz w:val="28"/>
          <w:szCs w:val="28"/>
        </w:rPr>
        <w:t>64</w:t>
      </w:r>
      <w:r>
        <w:rPr>
          <w:rFonts w:eastAsia="標楷體"/>
          <w:color w:val="000000"/>
          <w:spacing w:val="-2"/>
          <w:kern w:val="0"/>
          <w:sz w:val="28"/>
          <w:szCs w:val="28"/>
        </w:rPr>
        <w:t>歲長期失業率介於</w:t>
      </w:r>
      <w:r>
        <w:rPr>
          <w:rFonts w:eastAsia="標楷體"/>
          <w:color w:val="000000"/>
          <w:spacing w:val="-2"/>
          <w:kern w:val="0"/>
          <w:sz w:val="28"/>
          <w:szCs w:val="28"/>
        </w:rPr>
        <w:t>0.5%</w:t>
      </w:r>
      <w:r>
        <w:rPr>
          <w:rFonts w:eastAsia="標楷體"/>
          <w:color w:val="000000"/>
          <w:spacing w:val="-2"/>
          <w:kern w:val="0"/>
          <w:sz w:val="28"/>
          <w:szCs w:val="28"/>
        </w:rPr>
        <w:t>至</w:t>
      </w:r>
      <w:r>
        <w:rPr>
          <w:rFonts w:eastAsia="標楷體"/>
          <w:color w:val="000000"/>
          <w:spacing w:val="-2"/>
          <w:kern w:val="0"/>
          <w:sz w:val="28"/>
          <w:szCs w:val="28"/>
        </w:rPr>
        <w:t>1.1%</w:t>
      </w:r>
      <w:r>
        <w:rPr>
          <w:rFonts w:eastAsia="標楷體"/>
          <w:color w:val="000000"/>
          <w:spacing w:val="-2"/>
          <w:kern w:val="0"/>
          <w:sz w:val="28"/>
          <w:szCs w:val="28"/>
        </w:rPr>
        <w:t>之間。就教育程度別觀察，大專及以上程度失業者占長期失業人口比率由</w:t>
      </w:r>
      <w:r>
        <w:rPr>
          <w:rFonts w:eastAsia="標楷體"/>
          <w:color w:val="000000"/>
          <w:spacing w:val="-2"/>
          <w:kern w:val="0"/>
          <w:sz w:val="28"/>
          <w:szCs w:val="28"/>
        </w:rPr>
        <w:t>90</w:t>
      </w:r>
      <w:r>
        <w:rPr>
          <w:rFonts w:eastAsia="標楷體"/>
          <w:color w:val="000000"/>
          <w:spacing w:val="-2"/>
          <w:kern w:val="0"/>
          <w:sz w:val="28"/>
          <w:szCs w:val="28"/>
        </w:rPr>
        <w:t>年的</w:t>
      </w:r>
      <w:r>
        <w:rPr>
          <w:rFonts w:eastAsia="標楷體"/>
          <w:color w:val="000000"/>
          <w:spacing w:val="-2"/>
          <w:kern w:val="0"/>
          <w:sz w:val="28"/>
          <w:szCs w:val="28"/>
        </w:rPr>
        <w:t>19.7%</w:t>
      </w:r>
      <w:r>
        <w:rPr>
          <w:rFonts w:eastAsia="標楷體"/>
          <w:color w:val="000000"/>
          <w:spacing w:val="-2"/>
          <w:kern w:val="0"/>
          <w:sz w:val="28"/>
          <w:szCs w:val="28"/>
        </w:rPr>
        <w:t>攀升至</w:t>
      </w:r>
      <w:r>
        <w:rPr>
          <w:rFonts w:eastAsia="標楷體"/>
          <w:color w:val="000000"/>
          <w:spacing w:val="-2"/>
          <w:kern w:val="0"/>
          <w:sz w:val="28"/>
          <w:szCs w:val="28"/>
        </w:rPr>
        <w:t>100</w:t>
      </w:r>
      <w:r>
        <w:rPr>
          <w:rFonts w:eastAsia="標楷體"/>
          <w:color w:val="000000"/>
          <w:spacing w:val="-2"/>
          <w:kern w:val="0"/>
          <w:sz w:val="28"/>
          <w:szCs w:val="28"/>
        </w:rPr>
        <w:t>年的</w:t>
      </w:r>
      <w:r>
        <w:rPr>
          <w:rFonts w:eastAsia="標楷體"/>
          <w:color w:val="000000"/>
          <w:spacing w:val="-2"/>
          <w:kern w:val="0"/>
          <w:sz w:val="28"/>
          <w:szCs w:val="28"/>
        </w:rPr>
        <w:t>43.0%</w:t>
      </w:r>
      <w:r>
        <w:rPr>
          <w:rFonts w:eastAsia="標楷體"/>
          <w:color w:val="000000"/>
          <w:spacing w:val="-2"/>
          <w:kern w:val="0"/>
          <w:sz w:val="28"/>
          <w:szCs w:val="28"/>
        </w:rPr>
        <w:t>，此一高學歷化現象，值得重視。惟</w:t>
      </w:r>
      <w:r>
        <w:rPr>
          <w:rFonts w:eastAsia="標楷體"/>
          <w:color w:val="000000"/>
          <w:spacing w:val="4"/>
          <w:kern w:val="0"/>
          <w:sz w:val="28"/>
          <w:szCs w:val="26"/>
        </w:rPr>
        <w:t>從國際比較觀點，</w:t>
      </w:r>
      <w:r>
        <w:rPr>
          <w:rFonts w:eastAsia="標楷體"/>
          <w:color w:val="000000"/>
          <w:spacing w:val="4"/>
          <w:kern w:val="0"/>
          <w:sz w:val="28"/>
          <w:szCs w:val="26"/>
        </w:rPr>
        <w:t>2010</w:t>
      </w:r>
      <w:r>
        <w:rPr>
          <w:rFonts w:eastAsia="標楷體"/>
          <w:color w:val="000000"/>
          <w:spacing w:val="4"/>
          <w:kern w:val="0"/>
          <w:sz w:val="28"/>
          <w:szCs w:val="26"/>
        </w:rPr>
        <w:t>年我國</w:t>
      </w:r>
      <w:r>
        <w:rPr>
          <w:rFonts w:eastAsia="標楷體"/>
          <w:color w:val="000000"/>
          <w:spacing w:val="-2"/>
          <w:kern w:val="0"/>
          <w:sz w:val="28"/>
          <w:szCs w:val="28"/>
        </w:rPr>
        <w:t>15</w:t>
      </w:r>
      <w:r>
        <w:rPr>
          <w:rFonts w:eastAsia="標楷體"/>
          <w:color w:val="000000"/>
          <w:spacing w:val="-2"/>
          <w:kern w:val="0"/>
          <w:sz w:val="28"/>
          <w:szCs w:val="28"/>
        </w:rPr>
        <w:t>至</w:t>
      </w:r>
      <w:r>
        <w:rPr>
          <w:rFonts w:eastAsia="標楷體"/>
          <w:color w:val="000000"/>
          <w:spacing w:val="-2"/>
          <w:kern w:val="0"/>
          <w:sz w:val="28"/>
          <w:szCs w:val="28"/>
        </w:rPr>
        <w:t>64</w:t>
      </w:r>
      <w:r>
        <w:rPr>
          <w:rFonts w:eastAsia="標楷體"/>
          <w:color w:val="000000"/>
          <w:spacing w:val="-2"/>
          <w:kern w:val="0"/>
          <w:sz w:val="28"/>
          <w:szCs w:val="28"/>
        </w:rPr>
        <w:t>歲</w:t>
      </w:r>
      <w:r>
        <w:rPr>
          <w:rFonts w:eastAsia="標楷體"/>
          <w:color w:val="000000"/>
          <w:spacing w:val="4"/>
          <w:kern w:val="0"/>
          <w:sz w:val="28"/>
          <w:szCs w:val="26"/>
        </w:rPr>
        <w:t>長期失業率</w:t>
      </w:r>
      <w:r>
        <w:rPr>
          <w:rFonts w:eastAsia="標楷體"/>
          <w:color w:val="000000"/>
          <w:spacing w:val="4"/>
          <w:kern w:val="0"/>
          <w:sz w:val="28"/>
          <w:szCs w:val="26"/>
        </w:rPr>
        <w:t>1.0%</w:t>
      </w:r>
      <w:r>
        <w:rPr>
          <w:rFonts w:eastAsia="標楷體"/>
          <w:color w:val="000000"/>
          <w:spacing w:val="4"/>
          <w:kern w:val="0"/>
          <w:sz w:val="28"/>
          <w:szCs w:val="26"/>
        </w:rPr>
        <w:t>，仍低於</w:t>
      </w:r>
      <w:r>
        <w:rPr>
          <w:rFonts w:eastAsia="標楷體"/>
          <w:color w:val="000000"/>
          <w:spacing w:val="4"/>
          <w:kern w:val="0"/>
          <w:sz w:val="28"/>
          <w:szCs w:val="26"/>
        </w:rPr>
        <w:t>OECD</w:t>
      </w:r>
      <w:r>
        <w:rPr>
          <w:rFonts w:eastAsia="標楷體"/>
          <w:color w:val="000000"/>
          <w:spacing w:val="4"/>
          <w:kern w:val="0"/>
          <w:sz w:val="28"/>
          <w:szCs w:val="26"/>
        </w:rPr>
        <w:t>國家中位數</w:t>
      </w:r>
      <w:r>
        <w:rPr>
          <w:rFonts w:eastAsia="標楷體"/>
          <w:color w:val="000000"/>
          <w:spacing w:val="4"/>
          <w:kern w:val="0"/>
          <w:sz w:val="28"/>
          <w:szCs w:val="26"/>
        </w:rPr>
        <w:t>2.4%</w:t>
      </w:r>
      <w:r>
        <w:rPr>
          <w:rFonts w:ascii="標楷體" w:eastAsia="標楷體" w:hAnsi="標楷體"/>
          <w:color w:val="000000"/>
          <w:spacing w:val="4"/>
          <w:kern w:val="0"/>
          <w:sz w:val="28"/>
          <w:szCs w:val="26"/>
        </w:rPr>
        <w:t>(</w:t>
      </w:r>
      <w:r>
        <w:rPr>
          <w:rFonts w:eastAsia="標楷體"/>
          <w:color w:val="000000"/>
          <w:spacing w:val="4"/>
          <w:kern w:val="0"/>
          <w:sz w:val="28"/>
          <w:szCs w:val="26"/>
        </w:rPr>
        <w:t>日本</w:t>
      </w:r>
      <w:r>
        <w:rPr>
          <w:rFonts w:eastAsia="標楷體"/>
          <w:color w:val="000000"/>
          <w:spacing w:val="4"/>
          <w:kern w:val="0"/>
          <w:sz w:val="28"/>
          <w:szCs w:val="26"/>
        </w:rPr>
        <w:t>2.0%</w:t>
      </w:r>
      <w:r>
        <w:rPr>
          <w:rFonts w:eastAsia="標楷體"/>
          <w:color w:val="000000"/>
          <w:spacing w:val="4"/>
          <w:kern w:val="0"/>
          <w:sz w:val="28"/>
          <w:szCs w:val="26"/>
        </w:rPr>
        <w:t>、美國</w:t>
      </w:r>
      <w:r>
        <w:rPr>
          <w:rFonts w:eastAsia="標楷體"/>
          <w:color w:val="000000"/>
          <w:spacing w:val="4"/>
          <w:kern w:val="0"/>
          <w:sz w:val="28"/>
          <w:szCs w:val="26"/>
        </w:rPr>
        <w:t>2.8%</w:t>
      </w:r>
      <w:r>
        <w:rPr>
          <w:rFonts w:ascii="標楷體" w:eastAsia="標楷體" w:hAnsi="標楷體"/>
          <w:color w:val="000000"/>
          <w:spacing w:val="4"/>
          <w:kern w:val="0"/>
          <w:sz w:val="28"/>
          <w:szCs w:val="26"/>
        </w:rPr>
        <w:t>)</w:t>
      </w:r>
      <w:r>
        <w:rPr>
          <w:rFonts w:eastAsia="標楷體"/>
          <w:color w:val="000000"/>
          <w:spacing w:val="4"/>
          <w:kern w:val="0"/>
          <w:sz w:val="28"/>
          <w:szCs w:val="26"/>
        </w:rPr>
        <w:t>，尚處於相對較低水準。</w:t>
      </w:r>
    </w:p>
    <w:p w14:paraId="0E743ECB" w14:textId="77777777" w:rsidR="00052596" w:rsidRDefault="00000000">
      <w:pPr>
        <w:widowControl/>
        <w:spacing w:line="240" w:lineRule="atLeast"/>
      </w:pPr>
      <w:r>
        <w:rPr>
          <w:noProof/>
        </w:rPr>
        <mc:AlternateContent>
          <mc:Choice Requires="wps">
            <w:drawing>
              <wp:anchor distT="0" distB="0" distL="114300" distR="114300" simplePos="0" relativeHeight="251649536" behindDoc="1" locked="0" layoutInCell="1" allowOverlap="1" wp14:anchorId="00F99B58" wp14:editId="02C93140">
                <wp:simplePos x="0" y="0"/>
                <wp:positionH relativeFrom="column">
                  <wp:posOffset>91440</wp:posOffset>
                </wp:positionH>
                <wp:positionV relativeFrom="paragraph">
                  <wp:posOffset>3418200</wp:posOffset>
                </wp:positionV>
                <wp:extent cx="5495928" cy="571500"/>
                <wp:effectExtent l="0" t="0" r="0" b="0"/>
                <wp:wrapNone/>
                <wp:docPr id="115" name="文字方塊 43022"/>
                <wp:cNvGraphicFramePr/>
                <a:graphic xmlns:a="http://schemas.openxmlformats.org/drawingml/2006/main">
                  <a:graphicData uri="http://schemas.microsoft.com/office/word/2010/wordprocessingShape">
                    <wps:wsp>
                      <wps:cNvSpPr txBox="1"/>
                      <wps:spPr>
                        <a:xfrm>
                          <a:off x="0" y="0"/>
                          <a:ext cx="5495928" cy="571500"/>
                        </a:xfrm>
                        <a:prstGeom prst="rect">
                          <a:avLst/>
                        </a:prstGeom>
                        <a:noFill/>
                        <a:ln>
                          <a:noFill/>
                          <a:prstDash/>
                        </a:ln>
                      </wps:spPr>
                      <wps:txbx>
                        <w:txbxContent>
                          <w:p w14:paraId="377253B3" w14:textId="77777777" w:rsidR="00052596" w:rsidRDefault="00000000">
                            <w:pPr>
                              <w:overflowPunct w:val="0"/>
                              <w:autoSpaceDE w:val="0"/>
                              <w:spacing w:line="280" w:lineRule="exact"/>
                              <w:ind w:firstLine="659"/>
                              <w:rPr>
                                <w:rFonts w:eastAsia="標楷體"/>
                                <w:color w:val="000000"/>
                                <w:spacing w:val="-2"/>
                                <w:sz w:val="22"/>
                                <w:szCs w:val="22"/>
                              </w:rPr>
                            </w:pPr>
                            <w:r>
                              <w:rPr>
                                <w:rFonts w:eastAsia="標楷體"/>
                                <w:color w:val="000000"/>
                                <w:spacing w:val="-2"/>
                                <w:sz w:val="22"/>
                                <w:szCs w:val="22"/>
                              </w:rPr>
                              <w:t>註：</w:t>
                            </w:r>
                            <w:r>
                              <w:rPr>
                                <w:rFonts w:eastAsia="標楷體"/>
                                <w:color w:val="000000"/>
                                <w:spacing w:val="-2"/>
                                <w:sz w:val="22"/>
                                <w:szCs w:val="22"/>
                              </w:rPr>
                              <w:t>15</w:t>
                            </w:r>
                            <w:r>
                              <w:rPr>
                                <w:rFonts w:eastAsia="標楷體"/>
                                <w:color w:val="000000"/>
                                <w:spacing w:val="-2"/>
                                <w:sz w:val="22"/>
                                <w:szCs w:val="22"/>
                              </w:rPr>
                              <w:t>至</w:t>
                            </w:r>
                            <w:r>
                              <w:rPr>
                                <w:rFonts w:eastAsia="標楷體"/>
                                <w:color w:val="000000"/>
                                <w:spacing w:val="-2"/>
                                <w:sz w:val="22"/>
                                <w:szCs w:val="22"/>
                              </w:rPr>
                              <w:t>64</w:t>
                            </w:r>
                            <w:r>
                              <w:rPr>
                                <w:rFonts w:eastAsia="標楷體"/>
                                <w:color w:val="000000"/>
                                <w:spacing w:val="-2"/>
                                <w:sz w:val="22"/>
                                <w:szCs w:val="22"/>
                              </w:rPr>
                              <w:t>歲長期失業率為該群體勞動力中失業</w:t>
                            </w:r>
                            <w:r>
                              <w:rPr>
                                <w:rFonts w:eastAsia="標楷體"/>
                                <w:color w:val="000000"/>
                                <w:spacing w:val="-2"/>
                                <w:sz w:val="22"/>
                                <w:szCs w:val="22"/>
                              </w:rPr>
                              <w:t>1</w:t>
                            </w:r>
                            <w:r>
                              <w:rPr>
                                <w:rFonts w:eastAsia="標楷體"/>
                                <w:color w:val="000000"/>
                                <w:spacing w:val="-2"/>
                                <w:sz w:val="22"/>
                                <w:szCs w:val="22"/>
                              </w:rPr>
                              <w:t>年以上者所占比率。</w:t>
                            </w:r>
                          </w:p>
                          <w:p w14:paraId="3801CDDF" w14:textId="77777777" w:rsidR="00052596" w:rsidRDefault="00000000">
                            <w:pPr>
                              <w:overflowPunct w:val="0"/>
                              <w:autoSpaceDE w:val="0"/>
                              <w:spacing w:line="280" w:lineRule="exact"/>
                            </w:pPr>
                            <w:r>
                              <w:rPr>
                                <w:rFonts w:eastAsia="標楷體"/>
                                <w:color w:val="000000"/>
                                <w:spacing w:val="-2"/>
                                <w:sz w:val="22"/>
                                <w:szCs w:val="22"/>
                              </w:rPr>
                              <w:t>資料來源：行政院主計總處、同圖</w:t>
                            </w:r>
                            <w:r>
                              <w:rPr>
                                <w:rFonts w:eastAsia="標楷體"/>
                                <w:color w:val="000000"/>
                                <w:spacing w:val="-2"/>
                                <w:sz w:val="22"/>
                                <w:szCs w:val="22"/>
                              </w:rPr>
                              <w:t>1.2.3</w:t>
                            </w:r>
                            <w:r>
                              <w:rPr>
                                <w:rFonts w:eastAsia="標楷體"/>
                                <w:color w:val="000000"/>
                                <w:spacing w:val="-2"/>
                                <w:sz w:val="22"/>
                                <w:szCs w:val="22"/>
                              </w:rPr>
                              <w:t>。</w:t>
                            </w:r>
                          </w:p>
                        </w:txbxContent>
                      </wps:txbx>
                      <wps:bodyPr wrap="square" lIns="91440" tIns="45720" rIns="91440" bIns="45720" anchor="t">
                        <a:noAutofit/>
                      </wps:bodyPr>
                    </wps:wsp>
                  </a:graphicData>
                </a:graphic>
              </wp:anchor>
            </w:drawing>
          </mc:Choice>
          <mc:Fallback>
            <w:pict>
              <v:shape w14:anchorId="00F99B58" id="文字方塊 43022" o:spid="_x0000_s1053" type="#_x0000_t202" style="position:absolute;margin-left:7.2pt;margin-top:269.15pt;width:432.75pt;height:4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" filled="f" stroked="f">
                <v:textbox>
                  <w:txbxContent>
                    <w:p w14:paraId="377253B3" w14:textId="77777777" w:rsidR="00052596" w:rsidRDefault="00000000">
                      <w:pPr>
                        <w:overflowPunct w:val="0"/>
                        <w:autoSpaceDE w:val="0"/>
                        <w:spacing w:line="280" w:lineRule="exact"/>
                        <w:ind w:firstLine="659"/>
                        <w:rPr>
                          <w:rFonts w:eastAsia="標楷體"/>
                          <w:color w:val="000000"/>
                          <w:spacing w:val="-2"/>
                          <w:sz w:val="22"/>
                          <w:szCs w:val="22"/>
                        </w:rPr>
                      </w:pPr>
                      <w:r>
                        <w:rPr>
                          <w:rFonts w:eastAsia="標楷體"/>
                          <w:color w:val="000000"/>
                          <w:spacing w:val="-2"/>
                          <w:sz w:val="22"/>
                          <w:szCs w:val="22"/>
                        </w:rPr>
                        <w:t>註：</w:t>
                      </w:r>
                      <w:r>
                        <w:rPr>
                          <w:rFonts w:eastAsia="標楷體"/>
                          <w:color w:val="000000"/>
                          <w:spacing w:val="-2"/>
                          <w:sz w:val="22"/>
                          <w:szCs w:val="22"/>
                        </w:rPr>
                        <w:t>15</w:t>
                      </w:r>
                      <w:r>
                        <w:rPr>
                          <w:rFonts w:eastAsia="標楷體"/>
                          <w:color w:val="000000"/>
                          <w:spacing w:val="-2"/>
                          <w:sz w:val="22"/>
                          <w:szCs w:val="22"/>
                        </w:rPr>
                        <w:t>至</w:t>
                      </w:r>
                      <w:r>
                        <w:rPr>
                          <w:rFonts w:eastAsia="標楷體"/>
                          <w:color w:val="000000"/>
                          <w:spacing w:val="-2"/>
                          <w:sz w:val="22"/>
                          <w:szCs w:val="22"/>
                        </w:rPr>
                        <w:t>64</w:t>
                      </w:r>
                      <w:r>
                        <w:rPr>
                          <w:rFonts w:eastAsia="標楷體"/>
                          <w:color w:val="000000"/>
                          <w:spacing w:val="-2"/>
                          <w:sz w:val="22"/>
                          <w:szCs w:val="22"/>
                        </w:rPr>
                        <w:t>歲長期失業率為該群體勞動力中失業</w:t>
                      </w:r>
                      <w:r>
                        <w:rPr>
                          <w:rFonts w:eastAsia="標楷體"/>
                          <w:color w:val="000000"/>
                          <w:spacing w:val="-2"/>
                          <w:sz w:val="22"/>
                          <w:szCs w:val="22"/>
                        </w:rPr>
                        <w:t>1</w:t>
                      </w:r>
                      <w:r>
                        <w:rPr>
                          <w:rFonts w:eastAsia="標楷體"/>
                          <w:color w:val="000000"/>
                          <w:spacing w:val="-2"/>
                          <w:sz w:val="22"/>
                          <w:szCs w:val="22"/>
                        </w:rPr>
                        <w:t>年以上者所占比率。</w:t>
                      </w:r>
                    </w:p>
                    <w:p w14:paraId="3801CDDF" w14:textId="77777777" w:rsidR="00052596" w:rsidRDefault="00000000">
                      <w:pPr>
                        <w:overflowPunct w:val="0"/>
                        <w:autoSpaceDE w:val="0"/>
                        <w:spacing w:line="280" w:lineRule="exact"/>
                      </w:pPr>
                      <w:r>
                        <w:rPr>
                          <w:rFonts w:eastAsia="標楷體"/>
                          <w:color w:val="000000"/>
                          <w:spacing w:val="-2"/>
                          <w:sz w:val="22"/>
                          <w:szCs w:val="22"/>
                        </w:rPr>
                        <w:t>資料來源：行政院主計總處、同圖</w:t>
                      </w:r>
                      <w:r>
                        <w:rPr>
                          <w:rFonts w:eastAsia="標楷體"/>
                          <w:color w:val="000000"/>
                          <w:spacing w:val="-2"/>
                          <w:sz w:val="22"/>
                          <w:szCs w:val="22"/>
                        </w:rPr>
                        <w:t>1.2.3</w:t>
                      </w:r>
                      <w:r>
                        <w:rPr>
                          <w:rFonts w:eastAsia="標楷體"/>
                          <w:color w:val="000000"/>
                          <w:spacing w:val="-2"/>
                          <w:sz w:val="22"/>
                          <w:szCs w:val="22"/>
                        </w:rPr>
                        <w:t>。</w:t>
                      </w:r>
                    </w:p>
                  </w:txbxContent>
                </v:textbox>
              </v:shape>
            </w:pict>
          </mc:Fallback>
        </mc:AlternateContent>
      </w:r>
      <w:r>
        <w:rPr>
          <w:noProof/>
        </w:rPr>
        <mc:AlternateContent>
          <mc:Choice Requires="wps">
            <w:drawing>
              <wp:anchor distT="0" distB="0" distL="114300" distR="114300" simplePos="0" relativeHeight="251648512" behindDoc="1" locked="0" layoutInCell="1" allowOverlap="1" wp14:anchorId="7B731327" wp14:editId="08B2BFA2">
                <wp:simplePos x="0" y="0"/>
                <wp:positionH relativeFrom="column">
                  <wp:posOffset>139061</wp:posOffset>
                </wp:positionH>
                <wp:positionV relativeFrom="paragraph">
                  <wp:posOffset>172721</wp:posOffset>
                </wp:positionV>
                <wp:extent cx="3343274" cy="400050"/>
                <wp:effectExtent l="0" t="0" r="0" b="0"/>
                <wp:wrapNone/>
                <wp:docPr id="116" name="文字方塊 43021"/>
                <wp:cNvGraphicFramePr/>
                <a:graphic xmlns:a="http://schemas.openxmlformats.org/drawingml/2006/main">
                  <a:graphicData uri="http://schemas.microsoft.com/office/word/2010/wordprocessingShape">
                    <wps:wsp>
                      <wps:cNvSpPr txBox="1"/>
                      <wps:spPr>
                        <a:xfrm>
                          <a:off x="0" y="0"/>
                          <a:ext cx="3343274" cy="400050"/>
                        </a:xfrm>
                        <a:prstGeom prst="rect">
                          <a:avLst/>
                        </a:prstGeom>
                        <a:noFill/>
                        <a:ln>
                          <a:noFill/>
                          <a:prstDash/>
                        </a:ln>
                      </wps:spPr>
                      <wps:txbx>
                        <w:txbxContent>
                          <w:p w14:paraId="1B4FB4EE" w14:textId="77777777" w:rsidR="00052596" w:rsidRDefault="00000000">
                            <w:pPr>
                              <w:jc w:val="center"/>
                            </w:pPr>
                            <w:r>
                              <w:rPr>
                                <w:rFonts w:eastAsia="標楷體"/>
                                <w:b/>
                                <w:color w:val="0000FF"/>
                                <w:sz w:val="25"/>
                                <w:szCs w:val="25"/>
                              </w:rPr>
                              <w:t>圖</w:t>
                            </w:r>
                            <w:r>
                              <w:rPr>
                                <w:rFonts w:eastAsia="標楷體"/>
                                <w:b/>
                                <w:color w:val="0000FF"/>
                                <w:sz w:val="25"/>
                                <w:szCs w:val="25"/>
                              </w:rPr>
                              <w:t>1.2.4</w:t>
                            </w:r>
                            <w:r>
                              <w:rPr>
                                <w:rFonts w:eastAsia="標楷體"/>
                                <w:b/>
                                <w:color w:val="0000FF"/>
                                <w:sz w:val="25"/>
                                <w:szCs w:val="25"/>
                              </w:rPr>
                              <w:t xml:space="preserve">　我國</w:t>
                            </w:r>
                            <w:r>
                              <w:rPr>
                                <w:rFonts w:eastAsia="標楷體"/>
                                <w:b/>
                                <w:color w:val="0000FF"/>
                                <w:sz w:val="25"/>
                                <w:szCs w:val="25"/>
                              </w:rPr>
                              <w:t>15-64</w:t>
                            </w:r>
                            <w:r>
                              <w:rPr>
                                <w:rFonts w:eastAsia="標楷體"/>
                                <w:b/>
                                <w:color w:val="0000FF"/>
                                <w:sz w:val="25"/>
                                <w:szCs w:val="25"/>
                              </w:rPr>
                              <w:t>歲長期失業率變動趨勢</w:t>
                            </w:r>
                          </w:p>
                        </w:txbxContent>
                      </wps:txbx>
                      <wps:bodyPr wrap="square" lIns="91440" tIns="45720" rIns="91440" bIns="45720" anchor="t">
                        <a:noAutofit/>
                      </wps:bodyPr>
                    </wps:wsp>
                  </a:graphicData>
                </a:graphic>
              </wp:anchor>
            </w:drawing>
          </mc:Choice>
          <mc:Fallback>
            <w:pict>
              <v:shape w14:anchorId="7B731327" id="文字方塊 43021" o:spid="_x0000_s1054" type="#_x0000_t202" style="position:absolute;margin-left:10.95pt;margin-top:13.6pt;width:263.25pt;height:3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" filled="f" stroked="f">
                <v:textbox>
                  <w:txbxContent>
                    <w:p w14:paraId="1B4FB4EE" w14:textId="77777777" w:rsidR="00052596" w:rsidRDefault="00000000">
                      <w:pPr>
                        <w:jc w:val="center"/>
                      </w:pPr>
                      <w:r>
                        <w:rPr>
                          <w:rFonts w:eastAsia="標楷體"/>
                          <w:b/>
                          <w:color w:val="0000FF"/>
                          <w:sz w:val="25"/>
                          <w:szCs w:val="25"/>
                        </w:rPr>
                        <w:t>圖</w:t>
                      </w:r>
                      <w:r>
                        <w:rPr>
                          <w:rFonts w:eastAsia="標楷體"/>
                          <w:b/>
                          <w:color w:val="0000FF"/>
                          <w:sz w:val="25"/>
                          <w:szCs w:val="25"/>
                        </w:rPr>
                        <w:t>1.2.4</w:t>
                      </w:r>
                      <w:r>
                        <w:rPr>
                          <w:rFonts w:eastAsia="標楷體"/>
                          <w:b/>
                          <w:color w:val="0000FF"/>
                          <w:sz w:val="25"/>
                          <w:szCs w:val="25"/>
                        </w:rPr>
                        <w:t xml:space="preserve">　我國</w:t>
                      </w:r>
                      <w:r>
                        <w:rPr>
                          <w:rFonts w:eastAsia="標楷體"/>
                          <w:b/>
                          <w:color w:val="0000FF"/>
                          <w:sz w:val="25"/>
                          <w:szCs w:val="25"/>
                        </w:rPr>
                        <w:t>15-64</w:t>
                      </w:r>
                      <w:r>
                        <w:rPr>
                          <w:rFonts w:eastAsia="標楷體"/>
                          <w:b/>
                          <w:color w:val="0000FF"/>
                          <w:sz w:val="25"/>
                          <w:szCs w:val="25"/>
                        </w:rPr>
                        <w:t>歲長期失業率變動趨勢</w:t>
                      </w:r>
                    </w:p>
                  </w:txbxContent>
                </v:textbox>
              </v:shape>
            </w:pict>
          </mc:Fallback>
        </mc:AlternateContent>
      </w:r>
      <w:r>
        <w:rPr>
          <w:noProof/>
        </w:rPr>
        <mc:AlternateContent>
          <mc:Choice Requires="wpg">
            <w:drawing>
              <wp:anchor distT="0" distB="0" distL="114300" distR="114300" simplePos="0" relativeHeight="251650560" behindDoc="1" locked="0" layoutInCell="1" allowOverlap="1" wp14:anchorId="4C6E69C4" wp14:editId="42DC5BB8">
                <wp:simplePos x="0" y="0"/>
                <wp:positionH relativeFrom="column">
                  <wp:posOffset>-90809</wp:posOffset>
                </wp:positionH>
                <wp:positionV relativeFrom="paragraph">
                  <wp:posOffset>677542</wp:posOffset>
                </wp:positionV>
                <wp:extent cx="5801995" cy="2614927"/>
                <wp:effectExtent l="0" t="0" r="27305" b="0"/>
                <wp:wrapNone/>
                <wp:docPr id="117" name="群組 43015"/>
                <wp:cNvGraphicFramePr/>
                <a:graphic xmlns:a="http://schemas.openxmlformats.org/drawingml/2006/main">
                  <a:graphicData uri="http://schemas.microsoft.com/office/word/2010/wordprocessingGroup">
                    <wpg:wgp>
                      <wpg:cNvGrpSpPr/>
                      <wpg:grpSpPr>
                        <a:xfrm>
                          <a:off x="0" y="0"/>
                          <a:ext cx="5801995" cy="2614927"/>
                          <a:chOff x="0" y="0"/>
                          <a:chExt cx="5801995" cy="2614927"/>
                        </a:xfrm>
                      </wpg:grpSpPr>
                      <wps:wsp>
                        <wps:cNvPr id="118" name="矩形 49"/>
                        <wps:cNvSpPr/>
                        <wps:spPr>
                          <a:xfrm>
                            <a:off x="3916045" y="0"/>
                            <a:ext cx="1885950" cy="2409828"/>
                          </a:xfrm>
                          <a:prstGeom prst="rect">
                            <a:avLst/>
                          </a:prstGeom>
                          <a:noFill/>
                          <a:ln w="19046">
                            <a:solidFill>
                              <a:srgbClr val="7030A0"/>
                            </a:solidFill>
                            <a:prstDash val="solid"/>
                            <a:miter/>
                          </a:ln>
                        </wps:spPr>
                        <wps:txbx>
                          <w:txbxContent>
                            <w:p w14:paraId="3E8D4B6C" w14:textId="77777777" w:rsidR="00052596" w:rsidRDefault="00000000">
                              <w:pPr>
                                <w:pStyle w:val="k4a"/>
                                <w:spacing w:before="120" w:line="240" w:lineRule="exact"/>
                                <w:ind w:left="0" w:firstLine="0"/>
                                <w:jc w:val="center"/>
                                <w:outlineLvl w:val="9"/>
                              </w:pPr>
                              <w:r>
                                <w:rPr>
                                  <w:color w:val="000000"/>
                                  <w:spacing w:val="-12"/>
                                  <w:sz w:val="22"/>
                                </w:rPr>
                                <w:t>2</w:t>
                              </w:r>
                              <w:r>
                                <w:rPr>
                                  <w:color w:val="0000FF"/>
                                  <w:spacing w:val="-12"/>
                                  <w:sz w:val="22"/>
                                </w:rPr>
                                <w:t>010</w:t>
                              </w:r>
                              <w:r>
                                <w:rPr>
                                  <w:color w:val="0000FF"/>
                                  <w:spacing w:val="-12"/>
                                  <w:sz w:val="22"/>
                                </w:rPr>
                                <w:t>年</w:t>
                              </w:r>
                              <w:r>
                                <w:rPr>
                                  <w:color w:val="0000FF"/>
                                  <w:spacing w:val="-12"/>
                                  <w:sz w:val="22"/>
                                </w:rPr>
                                <w:t>15</w:t>
                              </w:r>
                              <w:r>
                                <w:rPr>
                                  <w:color w:val="0000FF"/>
                                  <w:spacing w:val="-12"/>
                                  <w:sz w:val="22"/>
                                </w:rPr>
                                <w:t>至</w:t>
                              </w:r>
                              <w:r>
                                <w:rPr>
                                  <w:color w:val="0000FF"/>
                                  <w:spacing w:val="-12"/>
                                  <w:sz w:val="22"/>
                                </w:rPr>
                                <w:t>64</w:t>
                              </w:r>
                              <w:r>
                                <w:rPr>
                                  <w:color w:val="0000FF"/>
                                  <w:spacing w:val="-12"/>
                                  <w:sz w:val="22"/>
                                </w:rPr>
                                <w:t>歲長期失業率</w:t>
                              </w:r>
                            </w:p>
                            <w:p w14:paraId="4D933903" w14:textId="77777777" w:rsidR="00052596" w:rsidRDefault="00000000">
                              <w:pPr>
                                <w:pStyle w:val="k4a"/>
                                <w:spacing w:after="60" w:line="240" w:lineRule="auto"/>
                                <w:ind w:left="1308" w:hanging="204"/>
                                <w:jc w:val="left"/>
                                <w:outlineLvl w:val="9"/>
                              </w:pPr>
                              <w:r>
                                <w:rPr>
                                  <w:color w:val="0000FF"/>
                                  <w:spacing w:val="-8"/>
                                  <w:sz w:val="22"/>
                                </w:rPr>
                                <w:t>之國際比較</w:t>
                              </w:r>
                            </w:p>
                            <w:p w14:paraId="23FF0C92" w14:textId="77777777" w:rsidR="00052596" w:rsidRDefault="00000000">
                              <w:pPr>
                                <w:tabs>
                                  <w:tab w:val="left" w:pos="960"/>
                                  <w:tab w:val="left" w:pos="1920"/>
                                  <w:tab w:val="left" w:pos="2880"/>
                                  <w:tab w:val="left" w:pos="3840"/>
                                  <w:tab w:val="left" w:pos="4800"/>
                                  <w:tab w:val="left" w:pos="5760"/>
                                </w:tabs>
                                <w:overflowPunct w:val="0"/>
                                <w:autoSpaceDE w:val="0"/>
                                <w:jc w:val="center"/>
                                <w:rPr>
                                  <w:rFonts w:eastAsia="標楷體"/>
                                  <w:color w:val="000000"/>
                                  <w:spacing w:val="-6"/>
                                  <w:sz w:val="20"/>
                                </w:rPr>
                              </w:pPr>
                              <w:r>
                                <w:rPr>
                                  <w:rFonts w:eastAsia="標楷體"/>
                                  <w:color w:val="000000"/>
                                  <w:spacing w:val="-6"/>
                                  <w:sz w:val="20"/>
                                </w:rPr>
                                <w:t>年　別</w:t>
                              </w:r>
                            </w:p>
                            <w:p w14:paraId="0A9206C6" w14:textId="77777777" w:rsidR="00052596" w:rsidRDefault="00000000">
                              <w:pPr>
                                <w:tabs>
                                  <w:tab w:val="left" w:pos="1920"/>
                                  <w:tab w:val="left" w:pos="2880"/>
                                  <w:tab w:val="left" w:pos="3840"/>
                                  <w:tab w:val="left" w:pos="4800"/>
                                  <w:tab w:val="left" w:pos="5760"/>
                                </w:tabs>
                                <w:overflowPunct w:val="0"/>
                                <w:autoSpaceDE w:val="0"/>
                                <w:spacing w:line="240" w:lineRule="exact"/>
                                <w:ind w:left="48"/>
                              </w:pPr>
                              <w:r>
                                <w:rPr>
                                  <w:rFonts w:eastAsia="標楷體"/>
                                  <w:color w:val="000000"/>
                                  <w:spacing w:val="-12"/>
                                  <w:sz w:val="20"/>
                                </w:rPr>
                                <w:t>15</w:t>
                              </w:r>
                              <w:r>
                                <w:rPr>
                                  <w:rFonts w:eastAsia="標楷體"/>
                                  <w:color w:val="000000"/>
                                  <w:spacing w:val="-12"/>
                                  <w:sz w:val="20"/>
                                </w:rPr>
                                <w:t>至</w:t>
                              </w:r>
                              <w:r>
                                <w:rPr>
                                  <w:rFonts w:eastAsia="標楷體"/>
                                  <w:color w:val="000000"/>
                                  <w:spacing w:val="-12"/>
                                  <w:sz w:val="20"/>
                                </w:rPr>
                                <w:t>64</w:t>
                              </w:r>
                              <w:r>
                                <w:rPr>
                                  <w:rFonts w:eastAsia="標楷體"/>
                                  <w:color w:val="000000"/>
                                  <w:spacing w:val="-12"/>
                                  <w:sz w:val="20"/>
                                </w:rPr>
                                <w:t>歲長期失業率</w:t>
                              </w:r>
                              <w:r>
                                <w:rPr>
                                  <w:rFonts w:eastAsia="標楷體"/>
                                  <w:color w:val="000000"/>
                                  <w:spacing w:val="-12"/>
                                  <w:sz w:val="20"/>
                                </w:rPr>
                                <w:t>(</w:t>
                              </w:r>
                              <w:r>
                                <w:rPr>
                                  <w:color w:val="000000"/>
                                  <w:spacing w:val="-12"/>
                                  <w:sz w:val="20"/>
                                </w:rPr>
                                <w:t>%)</w:t>
                              </w:r>
                            </w:p>
                            <w:p w14:paraId="1F1A8338"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挪</w:t>
                              </w:r>
                              <w:r>
                                <w:rPr>
                                  <w:rFonts w:eastAsia="標楷體"/>
                                  <w:color w:val="000000"/>
                                  <w:sz w:val="20"/>
                                </w:rPr>
                                <w:t xml:space="preserve">  </w:t>
                              </w:r>
                              <w:r>
                                <w:rPr>
                                  <w:rFonts w:eastAsia="標楷體"/>
                                  <w:color w:val="000000"/>
                                  <w:sz w:val="20"/>
                                </w:rPr>
                                <w:t>威</w:t>
                              </w:r>
                            </w:p>
                            <w:p w14:paraId="5728B20A"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0.3</w:t>
                              </w:r>
                            </w:p>
                            <w:p w14:paraId="4F431A66"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紐西蘭</w:t>
                              </w:r>
                            </w:p>
                            <w:p w14:paraId="5C58A30E"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0.6</w:t>
                              </w:r>
                            </w:p>
                            <w:p w14:paraId="4F742E6C"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b/>
                                  <w:color w:val="800000"/>
                                  <w:sz w:val="20"/>
                                </w:rPr>
                              </w:pPr>
                              <w:r>
                                <w:rPr>
                                  <w:rFonts w:eastAsia="標楷體"/>
                                  <w:b/>
                                  <w:color w:val="800000"/>
                                  <w:sz w:val="20"/>
                                </w:rPr>
                                <w:t>臺</w:t>
                              </w:r>
                              <w:r>
                                <w:rPr>
                                  <w:rFonts w:eastAsia="標楷體"/>
                                  <w:b/>
                                  <w:color w:val="800000"/>
                                  <w:sz w:val="20"/>
                                </w:rPr>
                                <w:t xml:space="preserve">  </w:t>
                              </w:r>
                              <w:r>
                                <w:rPr>
                                  <w:rFonts w:eastAsia="標楷體"/>
                                  <w:b/>
                                  <w:color w:val="800000"/>
                                  <w:sz w:val="20"/>
                                </w:rPr>
                                <w:t>灣</w:t>
                              </w:r>
                            </w:p>
                            <w:p w14:paraId="3725B303" w14:textId="77777777" w:rsidR="00052596" w:rsidRDefault="00000000">
                              <w:pPr>
                                <w:overflowPunct w:val="0"/>
                                <w:autoSpaceDE w:val="0"/>
                                <w:spacing w:line="200" w:lineRule="exact"/>
                                <w:jc w:val="center"/>
                                <w:rPr>
                                  <w:rFonts w:eastAsia="標楷體"/>
                                  <w:b/>
                                  <w:color w:val="800000"/>
                                  <w:sz w:val="20"/>
                                </w:rPr>
                              </w:pPr>
                              <w:r>
                                <w:rPr>
                                  <w:rFonts w:eastAsia="標楷體"/>
                                  <w:b/>
                                  <w:color w:val="800000"/>
                                  <w:sz w:val="20"/>
                                </w:rPr>
                                <w:t>1.0</w:t>
                              </w:r>
                            </w:p>
                            <w:p w14:paraId="3C514265"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日</w:t>
                              </w:r>
                              <w:r>
                                <w:rPr>
                                  <w:rFonts w:eastAsia="標楷體"/>
                                  <w:color w:val="000000"/>
                                  <w:sz w:val="20"/>
                                </w:rPr>
                                <w:t xml:space="preserve">  </w:t>
                              </w:r>
                              <w:r>
                                <w:rPr>
                                  <w:rFonts w:eastAsia="標楷體"/>
                                  <w:color w:val="000000"/>
                                  <w:sz w:val="20"/>
                                </w:rPr>
                                <w:t>本</w:t>
                              </w:r>
                            </w:p>
                            <w:p w14:paraId="146D0166"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2.0</w:t>
                              </w:r>
                            </w:p>
                            <w:p w14:paraId="34DB5E54"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pacing w:val="-12"/>
                                  <w:sz w:val="20"/>
                                </w:rPr>
                              </w:pPr>
                              <w:r>
                                <w:rPr>
                                  <w:rFonts w:eastAsia="標楷體"/>
                                  <w:color w:val="000000"/>
                                  <w:spacing w:val="-12"/>
                                  <w:sz w:val="20"/>
                                </w:rPr>
                                <w:t>OECD</w:t>
                              </w:r>
                              <w:r>
                                <w:rPr>
                                  <w:rFonts w:eastAsia="標楷體"/>
                                  <w:color w:val="000000"/>
                                  <w:spacing w:val="-12"/>
                                  <w:sz w:val="20"/>
                                </w:rPr>
                                <w:t>國家中位數</w:t>
                              </w:r>
                            </w:p>
                            <w:p w14:paraId="5EBE7FCD"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2.4</w:t>
                              </w:r>
                            </w:p>
                            <w:p w14:paraId="4D39B9A8"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pacing w:val="-12"/>
                                  <w:sz w:val="20"/>
                                </w:rPr>
                              </w:pPr>
                              <w:r>
                                <w:rPr>
                                  <w:rFonts w:eastAsia="標楷體"/>
                                  <w:color w:val="000000"/>
                                  <w:spacing w:val="-12"/>
                                  <w:sz w:val="20"/>
                                </w:rPr>
                                <w:t>英</w:t>
                              </w:r>
                              <w:r>
                                <w:rPr>
                                  <w:rFonts w:eastAsia="標楷體"/>
                                  <w:color w:val="000000"/>
                                  <w:spacing w:val="-12"/>
                                  <w:sz w:val="20"/>
                                </w:rPr>
                                <w:t xml:space="preserve">   </w:t>
                              </w:r>
                              <w:r>
                                <w:rPr>
                                  <w:rFonts w:eastAsia="標楷體"/>
                                  <w:color w:val="000000"/>
                                  <w:spacing w:val="-12"/>
                                  <w:sz w:val="20"/>
                                </w:rPr>
                                <w:t>國</w:t>
                              </w:r>
                            </w:p>
                            <w:p w14:paraId="3A94483C"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2.6</w:t>
                              </w:r>
                            </w:p>
                            <w:p w14:paraId="65A3F658"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美</w:t>
                              </w:r>
                              <w:r>
                                <w:rPr>
                                  <w:rFonts w:eastAsia="標楷體"/>
                                  <w:color w:val="000000"/>
                                  <w:sz w:val="20"/>
                                </w:rPr>
                                <w:t xml:space="preserve">  </w:t>
                              </w:r>
                              <w:r>
                                <w:rPr>
                                  <w:rFonts w:eastAsia="標楷體"/>
                                  <w:color w:val="000000"/>
                                  <w:sz w:val="20"/>
                                </w:rPr>
                                <w:t>國</w:t>
                              </w:r>
                            </w:p>
                            <w:p w14:paraId="5E2E71EC"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2.8</w:t>
                              </w:r>
                            </w:p>
                            <w:p w14:paraId="36D5506A"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希</w:t>
                              </w:r>
                              <w:r>
                                <w:rPr>
                                  <w:rFonts w:eastAsia="標楷體"/>
                                  <w:color w:val="000000"/>
                                  <w:sz w:val="20"/>
                                </w:rPr>
                                <w:t xml:space="preserve">  </w:t>
                              </w:r>
                              <w:r>
                                <w:rPr>
                                  <w:rFonts w:eastAsia="標楷體"/>
                                  <w:color w:val="000000"/>
                                  <w:sz w:val="20"/>
                                </w:rPr>
                                <w:t>臘</w:t>
                              </w:r>
                            </w:p>
                            <w:p w14:paraId="307AB8A4"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5.7</w:t>
                              </w:r>
                            </w:p>
                            <w:p w14:paraId="6F0A4604"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西班牙</w:t>
                              </w:r>
                            </w:p>
                            <w:p w14:paraId="782CEA81"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9.1</w:t>
                              </w:r>
                            </w:p>
                            <w:p w14:paraId="6E2D5C29" w14:textId="77777777" w:rsidR="00052596" w:rsidRDefault="00052596">
                              <w:pPr>
                                <w:pStyle w:val="k4a"/>
                                <w:spacing w:before="120" w:after="120" w:line="240" w:lineRule="auto"/>
                                <w:ind w:left="1352" w:hanging="248"/>
                                <w:jc w:val="center"/>
                                <w:outlineLvl w:val="9"/>
                                <w:rPr>
                                  <w:b/>
                                  <w:sz w:val="24"/>
                                  <w:szCs w:val="24"/>
                                </w:rPr>
                              </w:pPr>
                            </w:p>
                          </w:txbxContent>
                        </wps:txbx>
                        <wps:bodyPr wrap="square" lIns="35999" tIns="18004" rIns="35999" bIns="18004" anchor="t">
                          <a:noAutofit/>
                        </wps:bodyPr>
                      </wps:wsp>
                      <pic:pic xmlns:pic="http://schemas.openxmlformats.org/drawingml/2006/picture">
                        <pic:nvPicPr>
                          <pic:cNvPr id="119" name="圖表 12"/>
                          <pic:cNvPicPr>
                            <a:picLocks noChangeAspect="1"/>
                          </pic:cNvPicPr>
                        </pic:nvPicPr>
                        <pic:blipFill>
                          <a:blip r:embed="rId33"/>
                          <a:srcRect/>
                          <a:stretch>
                            <a:fillRect/>
                          </a:stretch>
                        </pic:blipFill>
                        <pic:spPr>
                          <a:xfrm>
                            <a:off x="0" y="91440"/>
                            <a:ext cx="3883027" cy="2523487"/>
                          </a:xfrm>
                          <a:prstGeom prst="rect">
                            <a:avLst/>
                          </a:prstGeom>
                          <a:noFill/>
                          <a:ln>
                            <a:noFill/>
                            <a:prstDash/>
                          </a:ln>
                        </pic:spPr>
                      </pic:pic>
                    </wpg:wgp>
                  </a:graphicData>
                </a:graphic>
              </wp:anchor>
            </w:drawing>
          </mc:Choice>
          <mc:Fallback>
            <w:pict>
              <v:group w14:anchorId="4C6E69C4" id="群組 43015" o:spid="_x0000_s1055" style="position:absolute;margin-left:-7.15pt;margin-top:53.35pt;width:456.85pt;height:205.9pt;z-index:-251665920" coordsize="58019,2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">
                <v:rect id="矩形 49" o:spid="_x0000_s1056" style="position:absolute;left:39160;width:18859;height:2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" filled="f" strokecolor="#7030a0" strokeweight=".52906mm">
                  <v:textbox inset=".99997mm,.50011mm,.99997mm,.50011mm">
                    <w:txbxContent>
                      <w:p w14:paraId="3E8D4B6C" w14:textId="77777777" w:rsidR="00052596" w:rsidRDefault="00000000">
                        <w:pPr>
                          <w:pStyle w:val="k4a"/>
                          <w:spacing w:before="120" w:line="240" w:lineRule="exact"/>
                          <w:ind w:left="0" w:firstLine="0"/>
                          <w:jc w:val="center"/>
                          <w:outlineLvl w:val="9"/>
                        </w:pPr>
                        <w:r>
                          <w:rPr>
                            <w:color w:val="000000"/>
                            <w:spacing w:val="-12"/>
                            <w:sz w:val="22"/>
                          </w:rPr>
                          <w:t>2</w:t>
                        </w:r>
                        <w:r>
                          <w:rPr>
                            <w:color w:val="0000FF"/>
                            <w:spacing w:val="-12"/>
                            <w:sz w:val="22"/>
                          </w:rPr>
                          <w:t>010</w:t>
                        </w:r>
                        <w:r>
                          <w:rPr>
                            <w:color w:val="0000FF"/>
                            <w:spacing w:val="-12"/>
                            <w:sz w:val="22"/>
                          </w:rPr>
                          <w:t>年</w:t>
                        </w:r>
                        <w:r>
                          <w:rPr>
                            <w:color w:val="0000FF"/>
                            <w:spacing w:val="-12"/>
                            <w:sz w:val="22"/>
                          </w:rPr>
                          <w:t>15</w:t>
                        </w:r>
                        <w:r>
                          <w:rPr>
                            <w:color w:val="0000FF"/>
                            <w:spacing w:val="-12"/>
                            <w:sz w:val="22"/>
                          </w:rPr>
                          <w:t>至</w:t>
                        </w:r>
                        <w:r>
                          <w:rPr>
                            <w:color w:val="0000FF"/>
                            <w:spacing w:val="-12"/>
                            <w:sz w:val="22"/>
                          </w:rPr>
                          <w:t>64</w:t>
                        </w:r>
                        <w:r>
                          <w:rPr>
                            <w:color w:val="0000FF"/>
                            <w:spacing w:val="-12"/>
                            <w:sz w:val="22"/>
                          </w:rPr>
                          <w:t>歲長期失業率</w:t>
                        </w:r>
                      </w:p>
                      <w:p w14:paraId="4D933903" w14:textId="77777777" w:rsidR="00052596" w:rsidRDefault="00000000">
                        <w:pPr>
                          <w:pStyle w:val="k4a"/>
                          <w:spacing w:after="60" w:line="240" w:lineRule="auto"/>
                          <w:ind w:left="1308" w:hanging="204"/>
                          <w:jc w:val="left"/>
                          <w:outlineLvl w:val="9"/>
                        </w:pPr>
                        <w:r>
                          <w:rPr>
                            <w:color w:val="0000FF"/>
                            <w:spacing w:val="-8"/>
                            <w:sz w:val="22"/>
                          </w:rPr>
                          <w:t>之國際比較</w:t>
                        </w:r>
                      </w:p>
                      <w:p w14:paraId="23FF0C92" w14:textId="77777777" w:rsidR="00052596" w:rsidRDefault="00000000">
                        <w:pPr>
                          <w:tabs>
                            <w:tab w:val="left" w:pos="960"/>
                            <w:tab w:val="left" w:pos="1920"/>
                            <w:tab w:val="left" w:pos="2880"/>
                            <w:tab w:val="left" w:pos="3840"/>
                            <w:tab w:val="left" w:pos="4800"/>
                            <w:tab w:val="left" w:pos="5760"/>
                          </w:tabs>
                          <w:overflowPunct w:val="0"/>
                          <w:autoSpaceDE w:val="0"/>
                          <w:jc w:val="center"/>
                          <w:rPr>
                            <w:rFonts w:eastAsia="標楷體"/>
                            <w:color w:val="000000"/>
                            <w:spacing w:val="-6"/>
                            <w:sz w:val="20"/>
                          </w:rPr>
                        </w:pPr>
                        <w:r>
                          <w:rPr>
                            <w:rFonts w:eastAsia="標楷體"/>
                            <w:color w:val="000000"/>
                            <w:spacing w:val="-6"/>
                            <w:sz w:val="20"/>
                          </w:rPr>
                          <w:t>年　別</w:t>
                        </w:r>
                      </w:p>
                      <w:p w14:paraId="0A9206C6" w14:textId="77777777" w:rsidR="00052596" w:rsidRDefault="00000000">
                        <w:pPr>
                          <w:tabs>
                            <w:tab w:val="left" w:pos="1920"/>
                            <w:tab w:val="left" w:pos="2880"/>
                            <w:tab w:val="left" w:pos="3840"/>
                            <w:tab w:val="left" w:pos="4800"/>
                            <w:tab w:val="left" w:pos="5760"/>
                          </w:tabs>
                          <w:overflowPunct w:val="0"/>
                          <w:autoSpaceDE w:val="0"/>
                          <w:spacing w:line="240" w:lineRule="exact"/>
                          <w:ind w:left="48"/>
                        </w:pPr>
                        <w:r>
                          <w:rPr>
                            <w:rFonts w:eastAsia="標楷體"/>
                            <w:color w:val="000000"/>
                            <w:spacing w:val="-12"/>
                            <w:sz w:val="20"/>
                          </w:rPr>
                          <w:t>15</w:t>
                        </w:r>
                        <w:r>
                          <w:rPr>
                            <w:rFonts w:eastAsia="標楷體"/>
                            <w:color w:val="000000"/>
                            <w:spacing w:val="-12"/>
                            <w:sz w:val="20"/>
                          </w:rPr>
                          <w:t>至</w:t>
                        </w:r>
                        <w:r>
                          <w:rPr>
                            <w:rFonts w:eastAsia="標楷體"/>
                            <w:color w:val="000000"/>
                            <w:spacing w:val="-12"/>
                            <w:sz w:val="20"/>
                          </w:rPr>
                          <w:t>64</w:t>
                        </w:r>
                        <w:r>
                          <w:rPr>
                            <w:rFonts w:eastAsia="標楷體"/>
                            <w:color w:val="000000"/>
                            <w:spacing w:val="-12"/>
                            <w:sz w:val="20"/>
                          </w:rPr>
                          <w:t>歲長期失業率</w:t>
                        </w:r>
                        <w:r>
                          <w:rPr>
                            <w:rFonts w:eastAsia="標楷體"/>
                            <w:color w:val="000000"/>
                            <w:spacing w:val="-12"/>
                            <w:sz w:val="20"/>
                          </w:rPr>
                          <w:t>(</w:t>
                        </w:r>
                        <w:r>
                          <w:rPr>
                            <w:color w:val="000000"/>
                            <w:spacing w:val="-12"/>
                            <w:sz w:val="20"/>
                          </w:rPr>
                          <w:t>%)</w:t>
                        </w:r>
                      </w:p>
                      <w:p w14:paraId="1F1A8338"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挪</w:t>
                        </w:r>
                        <w:r>
                          <w:rPr>
                            <w:rFonts w:eastAsia="標楷體"/>
                            <w:color w:val="000000"/>
                            <w:sz w:val="20"/>
                          </w:rPr>
                          <w:t xml:space="preserve">  </w:t>
                        </w:r>
                        <w:r>
                          <w:rPr>
                            <w:rFonts w:eastAsia="標楷體"/>
                            <w:color w:val="000000"/>
                            <w:sz w:val="20"/>
                          </w:rPr>
                          <w:t>威</w:t>
                        </w:r>
                      </w:p>
                      <w:p w14:paraId="5728B20A"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0.3</w:t>
                        </w:r>
                      </w:p>
                      <w:p w14:paraId="4F431A66"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紐西蘭</w:t>
                        </w:r>
                      </w:p>
                      <w:p w14:paraId="5C58A30E"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0.6</w:t>
                        </w:r>
                      </w:p>
                      <w:p w14:paraId="4F742E6C"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b/>
                            <w:color w:val="800000"/>
                            <w:sz w:val="20"/>
                          </w:rPr>
                        </w:pPr>
                        <w:r>
                          <w:rPr>
                            <w:rFonts w:eastAsia="標楷體"/>
                            <w:b/>
                            <w:color w:val="800000"/>
                            <w:sz w:val="20"/>
                          </w:rPr>
                          <w:t>臺</w:t>
                        </w:r>
                        <w:r>
                          <w:rPr>
                            <w:rFonts w:eastAsia="標楷體"/>
                            <w:b/>
                            <w:color w:val="800000"/>
                            <w:sz w:val="20"/>
                          </w:rPr>
                          <w:t xml:space="preserve">  </w:t>
                        </w:r>
                        <w:r>
                          <w:rPr>
                            <w:rFonts w:eastAsia="標楷體"/>
                            <w:b/>
                            <w:color w:val="800000"/>
                            <w:sz w:val="20"/>
                          </w:rPr>
                          <w:t>灣</w:t>
                        </w:r>
                      </w:p>
                      <w:p w14:paraId="3725B303" w14:textId="77777777" w:rsidR="00052596" w:rsidRDefault="00000000">
                        <w:pPr>
                          <w:overflowPunct w:val="0"/>
                          <w:autoSpaceDE w:val="0"/>
                          <w:spacing w:line="200" w:lineRule="exact"/>
                          <w:jc w:val="center"/>
                          <w:rPr>
                            <w:rFonts w:eastAsia="標楷體"/>
                            <w:b/>
                            <w:color w:val="800000"/>
                            <w:sz w:val="20"/>
                          </w:rPr>
                        </w:pPr>
                        <w:r>
                          <w:rPr>
                            <w:rFonts w:eastAsia="標楷體"/>
                            <w:b/>
                            <w:color w:val="800000"/>
                            <w:sz w:val="20"/>
                          </w:rPr>
                          <w:t>1.0</w:t>
                        </w:r>
                      </w:p>
                      <w:p w14:paraId="3C514265"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日</w:t>
                        </w:r>
                        <w:r>
                          <w:rPr>
                            <w:rFonts w:eastAsia="標楷體"/>
                            <w:color w:val="000000"/>
                            <w:sz w:val="20"/>
                          </w:rPr>
                          <w:t xml:space="preserve">  </w:t>
                        </w:r>
                        <w:r>
                          <w:rPr>
                            <w:rFonts w:eastAsia="標楷體"/>
                            <w:color w:val="000000"/>
                            <w:sz w:val="20"/>
                          </w:rPr>
                          <w:t>本</w:t>
                        </w:r>
                      </w:p>
                      <w:p w14:paraId="146D0166"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2.0</w:t>
                        </w:r>
                      </w:p>
                      <w:p w14:paraId="34DB5E54"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pacing w:val="-12"/>
                            <w:sz w:val="20"/>
                          </w:rPr>
                        </w:pPr>
                        <w:r>
                          <w:rPr>
                            <w:rFonts w:eastAsia="標楷體"/>
                            <w:color w:val="000000"/>
                            <w:spacing w:val="-12"/>
                            <w:sz w:val="20"/>
                          </w:rPr>
                          <w:t>OECD</w:t>
                        </w:r>
                        <w:r>
                          <w:rPr>
                            <w:rFonts w:eastAsia="標楷體"/>
                            <w:color w:val="000000"/>
                            <w:spacing w:val="-12"/>
                            <w:sz w:val="20"/>
                          </w:rPr>
                          <w:t>國家中位數</w:t>
                        </w:r>
                      </w:p>
                      <w:p w14:paraId="5EBE7FCD"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2.4</w:t>
                        </w:r>
                      </w:p>
                      <w:p w14:paraId="4D39B9A8"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pacing w:val="-12"/>
                            <w:sz w:val="20"/>
                          </w:rPr>
                        </w:pPr>
                        <w:r>
                          <w:rPr>
                            <w:rFonts w:eastAsia="標楷體"/>
                            <w:color w:val="000000"/>
                            <w:spacing w:val="-12"/>
                            <w:sz w:val="20"/>
                          </w:rPr>
                          <w:t>英</w:t>
                        </w:r>
                        <w:r>
                          <w:rPr>
                            <w:rFonts w:eastAsia="標楷體"/>
                            <w:color w:val="000000"/>
                            <w:spacing w:val="-12"/>
                            <w:sz w:val="20"/>
                          </w:rPr>
                          <w:t xml:space="preserve">   </w:t>
                        </w:r>
                        <w:r>
                          <w:rPr>
                            <w:rFonts w:eastAsia="標楷體"/>
                            <w:color w:val="000000"/>
                            <w:spacing w:val="-12"/>
                            <w:sz w:val="20"/>
                          </w:rPr>
                          <w:t>國</w:t>
                        </w:r>
                      </w:p>
                      <w:p w14:paraId="3A94483C"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2.6</w:t>
                        </w:r>
                      </w:p>
                      <w:p w14:paraId="65A3F658"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美</w:t>
                        </w:r>
                        <w:r>
                          <w:rPr>
                            <w:rFonts w:eastAsia="標楷體"/>
                            <w:color w:val="000000"/>
                            <w:sz w:val="20"/>
                          </w:rPr>
                          <w:t xml:space="preserve">  </w:t>
                        </w:r>
                        <w:r>
                          <w:rPr>
                            <w:rFonts w:eastAsia="標楷體"/>
                            <w:color w:val="000000"/>
                            <w:sz w:val="20"/>
                          </w:rPr>
                          <w:t>國</w:t>
                        </w:r>
                      </w:p>
                      <w:p w14:paraId="5E2E71EC"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2.8</w:t>
                        </w:r>
                      </w:p>
                      <w:p w14:paraId="36D5506A"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希</w:t>
                        </w:r>
                        <w:r>
                          <w:rPr>
                            <w:rFonts w:eastAsia="標楷體"/>
                            <w:color w:val="000000"/>
                            <w:sz w:val="20"/>
                          </w:rPr>
                          <w:t xml:space="preserve">  </w:t>
                        </w:r>
                        <w:r>
                          <w:rPr>
                            <w:rFonts w:eastAsia="標楷體"/>
                            <w:color w:val="000000"/>
                            <w:sz w:val="20"/>
                          </w:rPr>
                          <w:t>臘</w:t>
                        </w:r>
                      </w:p>
                      <w:p w14:paraId="307AB8A4"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5.7</w:t>
                        </w:r>
                      </w:p>
                      <w:p w14:paraId="6F0A4604" w14:textId="77777777" w:rsidR="00052596" w:rsidRDefault="00000000">
                        <w:pPr>
                          <w:tabs>
                            <w:tab w:val="left" w:pos="960"/>
                            <w:tab w:val="left" w:pos="1920"/>
                            <w:tab w:val="left" w:pos="2880"/>
                            <w:tab w:val="left" w:pos="3840"/>
                            <w:tab w:val="left" w:pos="4800"/>
                            <w:tab w:val="left" w:pos="5760"/>
                          </w:tabs>
                          <w:overflowPunct w:val="0"/>
                          <w:autoSpaceDE w:val="0"/>
                          <w:spacing w:line="200" w:lineRule="exact"/>
                          <w:rPr>
                            <w:rFonts w:eastAsia="標楷體"/>
                            <w:color w:val="000000"/>
                            <w:sz w:val="20"/>
                          </w:rPr>
                        </w:pPr>
                        <w:r>
                          <w:rPr>
                            <w:rFonts w:eastAsia="標楷體"/>
                            <w:color w:val="000000"/>
                            <w:sz w:val="20"/>
                          </w:rPr>
                          <w:t>西班牙</w:t>
                        </w:r>
                      </w:p>
                      <w:p w14:paraId="782CEA81" w14:textId="77777777" w:rsidR="00052596" w:rsidRDefault="00000000">
                        <w:pPr>
                          <w:overflowPunct w:val="0"/>
                          <w:autoSpaceDE w:val="0"/>
                          <w:spacing w:line="200" w:lineRule="exact"/>
                          <w:jc w:val="center"/>
                          <w:rPr>
                            <w:rFonts w:eastAsia="標楷體"/>
                            <w:color w:val="000000"/>
                            <w:sz w:val="20"/>
                          </w:rPr>
                        </w:pPr>
                        <w:r>
                          <w:rPr>
                            <w:rFonts w:eastAsia="標楷體"/>
                            <w:color w:val="000000"/>
                            <w:sz w:val="20"/>
                          </w:rPr>
                          <w:t>9.1</w:t>
                        </w:r>
                      </w:p>
                      <w:p w14:paraId="6E2D5C29" w14:textId="77777777" w:rsidR="00052596" w:rsidRDefault="00052596">
                        <w:pPr>
                          <w:pStyle w:val="k4a"/>
                          <w:spacing w:before="120" w:after="120" w:line="240" w:lineRule="auto"/>
                          <w:ind w:left="1352" w:hanging="248"/>
                          <w:jc w:val="center"/>
                          <w:outlineLvl w:val="9"/>
                          <w:rPr>
                            <w:b/>
                            <w:sz w:val="24"/>
                            <w:szCs w:val="24"/>
                          </w:rPr>
                        </w:pPr>
                      </w:p>
                    </w:txbxContent>
                  </v:textbox>
                </v:rect>
                <v:shape id="圖表 12" o:spid="_x0000_s1057" type="#_x0000_t75" style="position:absolute;top:914;width:38830;height:2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">
                  <v:imagedata r:id="rId34" o:title=""/>
                </v:shape>
              </v:group>
            </w:pict>
          </mc:Fallback>
        </mc:AlternateContent>
      </w:r>
      <w:r>
        <w:rPr>
          <w:rFonts w:ascii="Calibri" w:hAnsi="Calibri"/>
          <w:b/>
          <w:color w:val="000000"/>
          <w:kern w:val="0"/>
          <w:szCs w:val="24"/>
        </w:rPr>
        <w:t xml:space="preserve"> </w:t>
      </w:r>
    </w:p>
    <w:p w14:paraId="1C99A021" w14:textId="77777777" w:rsidR="00052596" w:rsidRDefault="00000000">
      <w:pPr>
        <w:pageBreakBefore/>
        <w:widowControl/>
      </w:pPr>
      <w:r>
        <w:rPr>
          <w:noProof/>
        </w:rPr>
        <w:lastRenderedPageBreak/>
        <mc:AlternateContent>
          <mc:Choice Requires="wps">
            <w:drawing>
              <wp:anchor distT="0" distB="0" distL="114300" distR="114300" simplePos="0" relativeHeight="251645440" behindDoc="1" locked="0" layoutInCell="1" allowOverlap="1" wp14:anchorId="1AB781AE" wp14:editId="0CF6AFE7">
                <wp:simplePos x="0" y="0"/>
                <wp:positionH relativeFrom="page">
                  <wp:posOffset>1162046</wp:posOffset>
                </wp:positionH>
                <wp:positionV relativeFrom="paragraph">
                  <wp:posOffset>17145</wp:posOffset>
                </wp:positionV>
                <wp:extent cx="5255898" cy="8134346"/>
                <wp:effectExtent l="0" t="0" r="20952" b="19054"/>
                <wp:wrapNone/>
                <wp:docPr id="120" name="文字方塊 43012"/>
                <wp:cNvGraphicFramePr/>
                <a:graphic xmlns:a="http://schemas.openxmlformats.org/drawingml/2006/main">
                  <a:graphicData uri="http://schemas.microsoft.com/office/word/2010/wordprocessingShape">
                    <wps:wsp>
                      <wps:cNvSpPr txBox="1"/>
                      <wps:spPr>
                        <a:xfrm>
                          <a:off x="0" y="0"/>
                          <a:ext cx="5255898" cy="8134346"/>
                        </a:xfrm>
                        <a:prstGeom prst="rect">
                          <a:avLst/>
                        </a:prstGeom>
                        <a:solidFill>
                          <a:srgbClr val="EFF5FF"/>
                        </a:solidFill>
                        <a:ln w="9528">
                          <a:solidFill>
                            <a:srgbClr val="000000"/>
                          </a:solidFill>
                          <a:prstDash val="solid"/>
                        </a:ln>
                      </wps:spPr>
                      <wps:txbx>
                        <w:txbxContent>
                          <w:p w14:paraId="661B76BB" w14:textId="77777777" w:rsidR="00052596" w:rsidRDefault="00000000">
                            <w:pPr>
                              <w:pStyle w:val="t12"/>
                              <w:spacing w:before="240" w:after="120"/>
                              <w:rPr>
                                <w:color w:val="0000FF"/>
                              </w:rPr>
                            </w:pPr>
                            <w:r>
                              <w:rPr>
                                <w:color w:val="0000FF"/>
                              </w:rPr>
                              <w:t>臺灣製造業及服務業就業變動來源</w:t>
                            </w:r>
                          </w:p>
                          <w:p w14:paraId="46A6CE7B" w14:textId="77777777" w:rsidR="00052596" w:rsidRDefault="00000000">
                            <w:pPr>
                              <w:pStyle w:val="t11"/>
                              <w:ind w:left="72" w:right="72" w:firstLine="472"/>
                            </w:pPr>
                            <w:r>
                              <w:t>近20年來，國內失業率呈現攀升趨勢，關鍵在於就業創造相對不足。從產業面觀察，除來自國內產業結構朝資本、技術密集或勞動節省型調整因素外，亦與服務業產出份額未能持續擴張密切相關。</w:t>
                            </w:r>
                          </w:p>
                          <w:p w14:paraId="084C29C4" w14:textId="77777777" w:rsidR="00052596" w:rsidRDefault="00000000">
                            <w:pPr>
                              <w:pStyle w:val="t11"/>
                              <w:ind w:left="72" w:right="72" w:firstLine="472"/>
                            </w:pPr>
                            <w:r>
                              <w:t>根據</w:t>
                            </w:r>
                            <w:r>
                              <w:rPr>
                                <w:color w:val="000000"/>
                              </w:rPr>
                              <w:t>Tregenna(2009)產業就業分解式，產業就業量變動的影響來源有三：(1)勞力密集度效果(labor intensity effect)，表示產業勞力密集度變動所引發的就業量變動；(2)部門份額效果(sector share effect)，為產業部門產出比重變動所引發的就業量變動；(3)經濟成長效果(economic growth effect)，為整體經濟擴張所帶動的就業量變動。100年國內就業人數較90年增加132萬6千人，其中製造業增加35萬5千人，服務業增加103萬人。100年製造業及服務業就業變動(100年較90年就業增量占90年就業人數比率)來源，解析如次：</w:t>
                            </w:r>
                          </w:p>
                          <w:p w14:paraId="6CEAF8F3" w14:textId="77777777" w:rsidR="00052596" w:rsidRDefault="00000000">
                            <w:pPr>
                              <w:pStyle w:val="t11"/>
                              <w:ind w:left="308" w:right="72" w:hanging="236"/>
                            </w:pPr>
                            <w:r>
                              <w:rPr>
                                <w:color w:val="000000"/>
                              </w:rPr>
                              <w:t>－製造業就業增加13.7%中：來自勞力密集度下降</w:t>
                            </w:r>
                            <w:r>
                              <w:t>的負向效果為79.1%，部門份額的正向效果為43.3%，經濟成長的正向效果為49.5%。顯示隨著國內製造業朝資本、技術密集轉型，資本深化程度提高，大幅減少勞力使用。然經濟成長及產業規模擴大所帶動的就業擴大效應，則明顯抵銷勞力密集度下降的負向效果。此一實證結果顯示，維持整體經濟穩定成長及促進製造業再成長，對於促進製造業就業增加至關重要。</w:t>
                            </w:r>
                          </w:p>
                          <w:p w14:paraId="0D5D7DB0" w14:textId="77777777" w:rsidR="00052596" w:rsidRDefault="00000000">
                            <w:pPr>
                              <w:pStyle w:val="t11"/>
                              <w:ind w:left="308" w:right="72" w:hanging="236"/>
                            </w:pPr>
                            <w:r>
                              <w:t>－服務業就業增加19.6%中：來自勞力密集度下降的負向效果為15.2%，部門份額降低的負向效果為13.4%，經濟成長的正向效果為48.3%。值得重視的是，雖然多數服務業勞力密集度呈現不同幅度降低現象，但不動產業、公共行政及國防業、醫療保健及社會工作服務業等，則顯現勞力密集度提升。整體而言，服務業勞力密集度下降的負向效果遠低於製造業。</w:t>
                            </w:r>
                          </w:p>
                          <w:p w14:paraId="56AB82B5" w14:textId="77777777" w:rsidR="00052596" w:rsidRDefault="00052596">
                            <w:pPr>
                              <w:pStyle w:val="t11"/>
                              <w:spacing w:line="280" w:lineRule="exact"/>
                              <w:ind w:left="308" w:right="72" w:hanging="236"/>
                            </w:pPr>
                          </w:p>
                          <w:tbl>
                            <w:tblPr>
                              <w:tblW w:w="7858" w:type="dxa"/>
                              <w:jc w:val="center"/>
                              <w:tblCellMar>
                                <w:left w:w="10" w:type="dxa"/>
                                <w:right w:w="10" w:type="dxa"/>
                              </w:tblCellMar>
                              <w:tblLook w:val="04A0" w:firstRow="1" w:lastRow="0" w:firstColumn="1" w:lastColumn="0" w:noHBand="0" w:noVBand="1"/>
                            </w:tblPr>
                            <w:tblGrid>
                              <w:gridCol w:w="815"/>
                              <w:gridCol w:w="682"/>
                              <w:gridCol w:w="698"/>
                              <w:gridCol w:w="1145"/>
                              <w:gridCol w:w="1538"/>
                              <w:gridCol w:w="996"/>
                              <w:gridCol w:w="954"/>
                              <w:gridCol w:w="1030"/>
                            </w:tblGrid>
                            <w:tr w:rsidR="00052596" w14:paraId="406A323C" w14:textId="77777777">
                              <w:tblPrEx>
                                <w:tblCellMar>
                                  <w:top w:w="0" w:type="dxa"/>
                                  <w:bottom w:w="0" w:type="dxa"/>
                                </w:tblCellMar>
                              </w:tblPrEx>
                              <w:trPr>
                                <w:trHeight w:val="490"/>
                                <w:jc w:val="center"/>
                              </w:trPr>
                              <w:tc>
                                <w:tcPr>
                                  <w:tcW w:w="815" w:type="dxa"/>
                                  <w:vMerge w:val="restart"/>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23552" w14:textId="77777777" w:rsidR="00052596" w:rsidRDefault="00052596">
                                  <w:pPr>
                                    <w:pStyle w:val="t115"/>
                                    <w:spacing w:line="360" w:lineRule="exact"/>
                                    <w:ind w:left="0" w:right="0" w:firstLine="0"/>
                                    <w:jc w:val="center"/>
                                    <w:rPr>
                                      <w:spacing w:val="0"/>
                                      <w:sz w:val="22"/>
                                      <w:szCs w:val="22"/>
                                    </w:rPr>
                                  </w:pPr>
                                </w:p>
                              </w:tc>
                              <w:tc>
                                <w:tcPr>
                                  <w:tcW w:w="25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1843CEB" w14:textId="77777777" w:rsidR="00052596" w:rsidRDefault="00000000">
                                  <w:pPr>
                                    <w:pStyle w:val="t115"/>
                                    <w:spacing w:line="240" w:lineRule="atLeast"/>
                                    <w:ind w:left="0" w:right="0" w:firstLine="0"/>
                                    <w:jc w:val="center"/>
                                    <w:rPr>
                                      <w:spacing w:val="10"/>
                                      <w:sz w:val="22"/>
                                      <w:szCs w:val="22"/>
                                    </w:rPr>
                                  </w:pPr>
                                  <w:r>
                                    <w:rPr>
                                      <w:spacing w:val="10"/>
                                      <w:sz w:val="22"/>
                                      <w:szCs w:val="22"/>
                                    </w:rPr>
                                    <w:t>就業量(千人)</w:t>
                                  </w:r>
                                </w:p>
                              </w:tc>
                              <w:tc>
                                <w:tcPr>
                                  <w:tcW w:w="4518" w:type="dxa"/>
                                  <w:gridSpan w:val="4"/>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14:paraId="1921CAB5" w14:textId="77777777" w:rsidR="00052596" w:rsidRDefault="00000000">
                                  <w:pPr>
                                    <w:pStyle w:val="t115"/>
                                    <w:spacing w:line="240" w:lineRule="atLeast"/>
                                    <w:ind w:left="0" w:right="0" w:firstLine="0"/>
                                    <w:jc w:val="center"/>
                                    <w:rPr>
                                      <w:spacing w:val="10"/>
                                      <w:sz w:val="22"/>
                                      <w:szCs w:val="22"/>
                                    </w:rPr>
                                  </w:pPr>
                                  <w:r>
                                    <w:rPr>
                                      <w:spacing w:val="10"/>
                                      <w:sz w:val="22"/>
                                      <w:szCs w:val="22"/>
                                    </w:rPr>
                                    <w:t>就業變動來源(%)</w:t>
                                  </w:r>
                                </w:p>
                              </w:tc>
                            </w:tr>
                            <w:tr w:rsidR="00052596" w14:paraId="0FDB8144" w14:textId="77777777">
                              <w:tblPrEx>
                                <w:tblCellMar>
                                  <w:top w:w="0" w:type="dxa"/>
                                  <w:bottom w:w="0" w:type="dxa"/>
                                </w:tblCellMar>
                              </w:tblPrEx>
                              <w:trPr>
                                <w:trHeight w:val="70"/>
                                <w:jc w:val="center"/>
                              </w:trPr>
                              <w:tc>
                                <w:tcPr>
                                  <w:tcW w:w="815" w:type="dxa"/>
                                  <w:vMerge/>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5EF47" w14:textId="77777777" w:rsidR="00052596" w:rsidRDefault="00052596">
                                  <w:pPr>
                                    <w:pStyle w:val="t115"/>
                                    <w:spacing w:line="220" w:lineRule="exact"/>
                                    <w:ind w:left="0" w:right="0" w:firstLine="0"/>
                                    <w:jc w:val="center"/>
                                    <w:rPr>
                                      <w:spacing w:val="0"/>
                                      <w:sz w:val="22"/>
                                      <w:szCs w:val="22"/>
                                    </w:rPr>
                                  </w:pP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895B92" w14:textId="77777777" w:rsidR="00052596" w:rsidRDefault="00000000">
                                  <w:pPr>
                                    <w:pStyle w:val="t115"/>
                                    <w:spacing w:line="320" w:lineRule="exact"/>
                                    <w:ind w:left="0" w:right="0" w:firstLine="0"/>
                                    <w:jc w:val="center"/>
                                    <w:rPr>
                                      <w:spacing w:val="0"/>
                                      <w:sz w:val="22"/>
                                      <w:szCs w:val="22"/>
                                    </w:rPr>
                                  </w:pPr>
                                  <w:r>
                                    <w:rPr>
                                      <w:spacing w:val="0"/>
                                      <w:sz w:val="22"/>
                                      <w:szCs w:val="22"/>
                                    </w:rPr>
                                    <w:t>90年</w:t>
                                  </w:r>
                                </w:p>
                                <w:p w14:paraId="318AD5A5" w14:textId="77777777" w:rsidR="00052596" w:rsidRDefault="00000000">
                                  <w:pPr>
                                    <w:pStyle w:val="t115"/>
                                    <w:spacing w:line="320" w:lineRule="exact"/>
                                    <w:ind w:left="0" w:right="0" w:firstLine="0"/>
                                    <w:jc w:val="center"/>
                                    <w:rPr>
                                      <w:spacing w:val="0"/>
                                      <w:sz w:val="20"/>
                                    </w:rPr>
                                  </w:pPr>
                                  <w:r>
                                    <w:rPr>
                                      <w:spacing w:val="0"/>
                                      <w:sz w:val="20"/>
                                    </w:rPr>
                                    <w:t>(A)</w:t>
                                  </w:r>
                                </w:p>
                              </w:tc>
                              <w:tc>
                                <w:tcPr>
                                  <w:tcW w:w="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32DA1B" w14:textId="77777777" w:rsidR="00052596" w:rsidRDefault="00000000">
                                  <w:pPr>
                                    <w:pStyle w:val="t115"/>
                                    <w:spacing w:line="320" w:lineRule="exact"/>
                                    <w:ind w:left="0" w:right="0" w:firstLine="0"/>
                                    <w:jc w:val="center"/>
                                    <w:rPr>
                                      <w:spacing w:val="0"/>
                                      <w:sz w:val="22"/>
                                      <w:szCs w:val="22"/>
                                    </w:rPr>
                                  </w:pPr>
                                  <w:r>
                                    <w:rPr>
                                      <w:spacing w:val="0"/>
                                      <w:sz w:val="22"/>
                                      <w:szCs w:val="22"/>
                                    </w:rPr>
                                    <w:t>100年</w:t>
                                  </w:r>
                                </w:p>
                                <w:p w14:paraId="57E61C5E" w14:textId="77777777" w:rsidR="00052596" w:rsidRDefault="00000000">
                                  <w:pPr>
                                    <w:pStyle w:val="t115"/>
                                    <w:spacing w:line="320" w:lineRule="exact"/>
                                    <w:ind w:left="0" w:right="0" w:firstLine="0"/>
                                    <w:jc w:val="center"/>
                                    <w:rPr>
                                      <w:spacing w:val="0"/>
                                      <w:sz w:val="20"/>
                                    </w:rPr>
                                  </w:pPr>
                                  <w:r>
                                    <w:rPr>
                                      <w:spacing w:val="0"/>
                                      <w:sz w:val="20"/>
                                    </w:rPr>
                                    <w:t>(B)</w:t>
                                  </w:r>
                                </w:p>
                              </w:tc>
                              <w:tc>
                                <w:tcPr>
                                  <w:tcW w:w="11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B24D5" w14:textId="77777777" w:rsidR="00052596" w:rsidRDefault="00000000">
                                  <w:pPr>
                                    <w:pStyle w:val="t115"/>
                                    <w:tabs>
                                      <w:tab w:val="decimal" w:pos="338"/>
                                    </w:tabs>
                                    <w:spacing w:line="320" w:lineRule="exact"/>
                                    <w:ind w:left="0" w:right="0" w:firstLine="0"/>
                                    <w:jc w:val="center"/>
                                  </w:pPr>
                                  <w:r>
                                    <w:rPr>
                                      <w:spacing w:val="0"/>
                                      <w:sz w:val="22"/>
                                      <w:szCs w:val="22"/>
                                    </w:rPr>
                                    <w:t>增量</w:t>
                                  </w:r>
                                  <w:r>
                                    <w:rPr>
                                      <w:spacing w:val="0"/>
                                      <w:sz w:val="20"/>
                                    </w:rPr>
                                    <w:t>(C)=(B)-(A)</w:t>
                                  </w:r>
                                </w:p>
                              </w:tc>
                              <w:tc>
                                <w:tcPr>
                                  <w:tcW w:w="153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20BB52" w14:textId="77777777" w:rsidR="00052596" w:rsidRDefault="00000000">
                                  <w:pPr>
                                    <w:pStyle w:val="t115"/>
                                    <w:spacing w:line="240" w:lineRule="exact"/>
                                    <w:ind w:left="0" w:right="0" w:firstLine="0"/>
                                    <w:rPr>
                                      <w:spacing w:val="-6"/>
                                      <w:sz w:val="22"/>
                                      <w:szCs w:val="22"/>
                                    </w:rPr>
                                  </w:pPr>
                                  <w:r>
                                    <w:rPr>
                                      <w:spacing w:val="-6"/>
                                      <w:sz w:val="22"/>
                                      <w:szCs w:val="22"/>
                                    </w:rPr>
                                    <w:t>100年較90年就業增量占90年就業人數比率</w:t>
                                  </w:r>
                                </w:p>
                                <w:p w14:paraId="65BF1E9D" w14:textId="77777777" w:rsidR="00052596" w:rsidRDefault="00000000">
                                  <w:pPr>
                                    <w:pStyle w:val="t115"/>
                                    <w:spacing w:line="240" w:lineRule="exact"/>
                                    <w:ind w:left="0" w:right="0" w:firstLine="0"/>
                                    <w:jc w:val="left"/>
                                  </w:pPr>
                                  <w:r>
                                    <w:rPr>
                                      <w:spacing w:val="0"/>
                                      <w:sz w:val="20"/>
                                    </w:rPr>
                                    <w:t>[(C)/(A)</w:t>
                                  </w:r>
                                  <w:r>
                                    <w:rPr>
                                      <w:rFonts w:ascii="Wingdings 2" w:eastAsia="Wingdings 2" w:hAnsi="Wingdings 2" w:cs="Wingdings 2"/>
                                      <w:spacing w:val="0"/>
                                      <w:sz w:val="20"/>
                                    </w:rPr>
                                    <w:t></w:t>
                                  </w:r>
                                  <w:r>
                                    <w:rPr>
                                      <w:spacing w:val="0"/>
                                      <w:sz w:val="20"/>
                                    </w:rPr>
                                    <w:t>100]</w:t>
                                  </w:r>
                                </w:p>
                                <w:p w14:paraId="70066777" w14:textId="77777777" w:rsidR="00052596" w:rsidRDefault="00000000">
                                  <w:pPr>
                                    <w:pStyle w:val="t115"/>
                                    <w:spacing w:line="240" w:lineRule="exact"/>
                                    <w:ind w:left="0" w:right="0" w:firstLine="0"/>
                                    <w:jc w:val="center"/>
                                  </w:pPr>
                                  <w:r>
                                    <w:rPr>
                                      <w:spacing w:val="0"/>
                                      <w:sz w:val="20"/>
                                    </w:rPr>
                                    <w:t>=(D)+(E)+(F)</w:t>
                                  </w:r>
                                </w:p>
                              </w:tc>
                              <w:tc>
                                <w:tcPr>
                                  <w:tcW w:w="2980" w:type="dxa"/>
                                  <w:gridSpan w:val="3"/>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0BC38CA" w14:textId="77777777" w:rsidR="00052596" w:rsidRDefault="00052596">
                                  <w:pPr>
                                    <w:pStyle w:val="t115"/>
                                    <w:spacing w:line="160" w:lineRule="exact"/>
                                    <w:ind w:left="0" w:right="0" w:firstLine="0"/>
                                    <w:jc w:val="center"/>
                                    <w:rPr>
                                      <w:spacing w:val="0"/>
                                      <w:sz w:val="22"/>
                                      <w:szCs w:val="22"/>
                                    </w:rPr>
                                  </w:pPr>
                                </w:p>
                              </w:tc>
                            </w:tr>
                            <w:tr w:rsidR="00052596" w14:paraId="60F50564" w14:textId="77777777">
                              <w:tblPrEx>
                                <w:tblCellMar>
                                  <w:top w:w="0" w:type="dxa"/>
                                  <w:bottom w:w="0" w:type="dxa"/>
                                </w:tblCellMar>
                              </w:tblPrEx>
                              <w:trPr>
                                <w:trHeight w:val="720"/>
                                <w:jc w:val="center"/>
                              </w:trPr>
                              <w:tc>
                                <w:tcPr>
                                  <w:tcW w:w="815" w:type="dxa"/>
                                  <w:vMerge/>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AC60C" w14:textId="77777777" w:rsidR="00052596" w:rsidRDefault="00052596">
                                  <w:pPr>
                                    <w:pStyle w:val="t115"/>
                                    <w:spacing w:line="240" w:lineRule="auto"/>
                                    <w:ind w:left="0" w:right="0" w:firstLine="0"/>
                                    <w:jc w:val="center"/>
                                    <w:rPr>
                                      <w:spacing w:val="0"/>
                                      <w:sz w:val="22"/>
                                      <w:szCs w:val="22"/>
                                    </w:rPr>
                                  </w:pP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8CAAFB" w14:textId="77777777" w:rsidR="00052596" w:rsidRDefault="00052596">
                                  <w:pPr>
                                    <w:pStyle w:val="t115"/>
                                    <w:spacing w:line="240" w:lineRule="auto"/>
                                    <w:ind w:left="0" w:right="0" w:firstLine="0"/>
                                    <w:jc w:val="center"/>
                                    <w:rPr>
                                      <w:spacing w:val="0"/>
                                      <w:sz w:val="22"/>
                                      <w:szCs w:val="22"/>
                                    </w:rPr>
                                  </w:pPr>
                                </w:p>
                              </w:tc>
                              <w:tc>
                                <w:tcPr>
                                  <w:tcW w:w="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8812F6" w14:textId="77777777" w:rsidR="00052596" w:rsidRDefault="00052596">
                                  <w:pPr>
                                    <w:pStyle w:val="t115"/>
                                    <w:spacing w:line="240" w:lineRule="auto"/>
                                    <w:ind w:left="0" w:right="0" w:firstLine="0"/>
                                    <w:jc w:val="center"/>
                                    <w:rPr>
                                      <w:spacing w:val="0"/>
                                      <w:sz w:val="22"/>
                                      <w:szCs w:val="22"/>
                                    </w:rPr>
                                  </w:pPr>
                                </w:p>
                              </w:tc>
                              <w:tc>
                                <w:tcPr>
                                  <w:tcW w:w="11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4C2E8D" w14:textId="77777777" w:rsidR="00052596" w:rsidRDefault="00052596">
                                  <w:pPr>
                                    <w:pStyle w:val="t115"/>
                                    <w:tabs>
                                      <w:tab w:val="decimal" w:pos="338"/>
                                    </w:tabs>
                                    <w:spacing w:line="240" w:lineRule="auto"/>
                                    <w:ind w:left="0" w:right="0" w:firstLine="0"/>
                                    <w:jc w:val="left"/>
                                    <w:rPr>
                                      <w:spacing w:val="0"/>
                                      <w:sz w:val="22"/>
                                      <w:szCs w:val="22"/>
                                    </w:rPr>
                                  </w:pPr>
                                </w:p>
                              </w:tc>
                              <w:tc>
                                <w:tcPr>
                                  <w:tcW w:w="153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A2A022" w14:textId="77777777" w:rsidR="00052596" w:rsidRDefault="00052596">
                                  <w:pPr>
                                    <w:pStyle w:val="t115"/>
                                    <w:spacing w:line="240" w:lineRule="auto"/>
                                    <w:ind w:left="0" w:right="0" w:firstLine="0"/>
                                    <w:jc w:val="center"/>
                                    <w:rPr>
                                      <w:spacing w:val="0"/>
                                      <w:sz w:val="22"/>
                                      <w:szCs w:val="22"/>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E5E1B6" w14:textId="77777777" w:rsidR="00052596" w:rsidRDefault="00000000">
                                  <w:pPr>
                                    <w:pStyle w:val="t115"/>
                                    <w:spacing w:line="320" w:lineRule="exact"/>
                                    <w:ind w:left="0" w:right="0" w:firstLine="0"/>
                                    <w:jc w:val="center"/>
                                    <w:rPr>
                                      <w:spacing w:val="0"/>
                                      <w:sz w:val="22"/>
                                      <w:szCs w:val="22"/>
                                    </w:rPr>
                                  </w:pPr>
                                  <w:r>
                                    <w:rPr>
                                      <w:spacing w:val="0"/>
                                      <w:sz w:val="22"/>
                                      <w:szCs w:val="22"/>
                                    </w:rPr>
                                    <w:t>勞力密集度效果</w:t>
                                  </w:r>
                                </w:p>
                                <w:p w14:paraId="6F10E725" w14:textId="77777777" w:rsidR="00052596" w:rsidRDefault="00000000">
                                  <w:pPr>
                                    <w:pStyle w:val="t115"/>
                                    <w:spacing w:line="320" w:lineRule="exact"/>
                                    <w:ind w:left="0" w:right="0" w:firstLine="0"/>
                                    <w:jc w:val="center"/>
                                    <w:rPr>
                                      <w:spacing w:val="0"/>
                                      <w:sz w:val="20"/>
                                    </w:rPr>
                                  </w:pPr>
                                  <w:r>
                                    <w:rPr>
                                      <w:spacing w:val="0"/>
                                      <w:sz w:val="20"/>
                                    </w:rPr>
                                    <w:t>(D)</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806316" w14:textId="77777777" w:rsidR="00052596" w:rsidRDefault="00000000">
                                  <w:pPr>
                                    <w:pStyle w:val="t115"/>
                                    <w:spacing w:line="320" w:lineRule="exact"/>
                                    <w:ind w:left="0" w:right="0" w:firstLine="0"/>
                                    <w:jc w:val="center"/>
                                    <w:rPr>
                                      <w:spacing w:val="0"/>
                                      <w:sz w:val="22"/>
                                      <w:szCs w:val="22"/>
                                    </w:rPr>
                                  </w:pPr>
                                  <w:r>
                                    <w:rPr>
                                      <w:spacing w:val="0"/>
                                      <w:sz w:val="22"/>
                                      <w:szCs w:val="22"/>
                                    </w:rPr>
                                    <w:t>部門份額效果</w:t>
                                  </w:r>
                                </w:p>
                                <w:p w14:paraId="36662B85" w14:textId="77777777" w:rsidR="00052596" w:rsidRDefault="00000000">
                                  <w:pPr>
                                    <w:pStyle w:val="t115"/>
                                    <w:spacing w:line="320" w:lineRule="exact"/>
                                    <w:ind w:left="0" w:right="0" w:firstLine="0"/>
                                    <w:jc w:val="center"/>
                                    <w:rPr>
                                      <w:spacing w:val="0"/>
                                      <w:sz w:val="20"/>
                                    </w:rPr>
                                  </w:pPr>
                                  <w:r>
                                    <w:rPr>
                                      <w:spacing w:val="0"/>
                                      <w:sz w:val="20"/>
                                    </w:rPr>
                                    <w:t>(E)</w:t>
                                  </w:r>
                                </w:p>
                              </w:tc>
                              <w:tc>
                                <w:tcPr>
                                  <w:tcW w:w="103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8A04FC8" w14:textId="77777777" w:rsidR="00052596" w:rsidRDefault="00000000">
                                  <w:pPr>
                                    <w:pStyle w:val="t115"/>
                                    <w:spacing w:line="320" w:lineRule="exact"/>
                                    <w:ind w:left="0" w:right="0" w:firstLine="0"/>
                                    <w:jc w:val="center"/>
                                    <w:rPr>
                                      <w:spacing w:val="0"/>
                                      <w:sz w:val="22"/>
                                      <w:szCs w:val="22"/>
                                    </w:rPr>
                                  </w:pPr>
                                  <w:r>
                                    <w:rPr>
                                      <w:spacing w:val="0"/>
                                      <w:sz w:val="22"/>
                                      <w:szCs w:val="22"/>
                                    </w:rPr>
                                    <w:t>經濟成長效果</w:t>
                                  </w:r>
                                </w:p>
                                <w:p w14:paraId="0921638E" w14:textId="77777777" w:rsidR="00052596" w:rsidRDefault="00000000">
                                  <w:pPr>
                                    <w:pStyle w:val="t115"/>
                                    <w:spacing w:line="320" w:lineRule="exact"/>
                                    <w:ind w:left="0" w:right="0" w:firstLine="0"/>
                                    <w:jc w:val="center"/>
                                    <w:rPr>
                                      <w:spacing w:val="0"/>
                                      <w:sz w:val="20"/>
                                    </w:rPr>
                                  </w:pPr>
                                  <w:r>
                                    <w:rPr>
                                      <w:spacing w:val="0"/>
                                      <w:sz w:val="20"/>
                                    </w:rPr>
                                    <w:t>(F)</w:t>
                                  </w:r>
                                </w:p>
                              </w:tc>
                            </w:tr>
                            <w:tr w:rsidR="00052596" w14:paraId="1BA61926" w14:textId="77777777">
                              <w:tblPrEx>
                                <w:tblCellMar>
                                  <w:top w:w="0" w:type="dxa"/>
                                  <w:bottom w:w="0" w:type="dxa"/>
                                </w:tblCellMar>
                              </w:tblPrEx>
                              <w:trPr>
                                <w:trHeight w:val="454"/>
                                <w:jc w:val="center"/>
                              </w:trPr>
                              <w:tc>
                                <w:tcPr>
                                  <w:tcW w:w="815" w:type="dxa"/>
                                  <w:tcBorders>
                                    <w:top w:val="single" w:sz="4" w:space="0" w:color="000000"/>
                                    <w:right w:val="single" w:sz="4" w:space="0" w:color="000000"/>
                                  </w:tcBorders>
                                  <w:shd w:val="clear" w:color="auto" w:fill="auto"/>
                                  <w:tcMar>
                                    <w:top w:w="0" w:type="dxa"/>
                                    <w:left w:w="28" w:type="dxa"/>
                                    <w:bottom w:w="0" w:type="dxa"/>
                                    <w:right w:w="28" w:type="dxa"/>
                                  </w:tcMar>
                                  <w:vAlign w:val="center"/>
                                </w:tcPr>
                                <w:p w14:paraId="32DCC01F" w14:textId="77777777" w:rsidR="00052596" w:rsidRDefault="00000000">
                                  <w:pPr>
                                    <w:pStyle w:val="t115"/>
                                    <w:spacing w:line="240" w:lineRule="atLeast"/>
                                    <w:ind w:left="0" w:right="0" w:firstLine="0"/>
                                    <w:jc w:val="center"/>
                                    <w:rPr>
                                      <w:spacing w:val="0"/>
                                      <w:sz w:val="22"/>
                                      <w:szCs w:val="22"/>
                                    </w:rPr>
                                  </w:pPr>
                                  <w:r>
                                    <w:rPr>
                                      <w:spacing w:val="0"/>
                                      <w:sz w:val="22"/>
                                      <w:szCs w:val="22"/>
                                    </w:rPr>
                                    <w:t>製造業</w:t>
                                  </w:r>
                                </w:p>
                              </w:tc>
                              <w:tc>
                                <w:tcPr>
                                  <w:tcW w:w="68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9C3233A" w14:textId="77777777" w:rsidR="00052596" w:rsidRDefault="00000000">
                                  <w:pPr>
                                    <w:pStyle w:val="t115"/>
                                    <w:spacing w:line="240" w:lineRule="atLeast"/>
                                    <w:ind w:left="0" w:right="0" w:firstLine="0"/>
                                    <w:jc w:val="center"/>
                                    <w:rPr>
                                      <w:spacing w:val="0"/>
                                      <w:sz w:val="22"/>
                                      <w:szCs w:val="22"/>
                                    </w:rPr>
                                  </w:pPr>
                                  <w:r>
                                    <w:rPr>
                                      <w:spacing w:val="0"/>
                                      <w:sz w:val="22"/>
                                      <w:szCs w:val="22"/>
                                    </w:rPr>
                                    <w:t>2,594</w:t>
                                  </w:r>
                                </w:p>
                              </w:tc>
                              <w:tc>
                                <w:tcPr>
                                  <w:tcW w:w="69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E2B4A3A" w14:textId="77777777" w:rsidR="00052596" w:rsidRDefault="00000000">
                                  <w:pPr>
                                    <w:pStyle w:val="t115"/>
                                    <w:spacing w:line="240" w:lineRule="atLeast"/>
                                    <w:ind w:left="0" w:right="0" w:firstLine="0"/>
                                    <w:jc w:val="center"/>
                                    <w:rPr>
                                      <w:spacing w:val="0"/>
                                      <w:sz w:val="22"/>
                                      <w:szCs w:val="22"/>
                                    </w:rPr>
                                  </w:pPr>
                                  <w:r>
                                    <w:rPr>
                                      <w:spacing w:val="0"/>
                                      <w:sz w:val="22"/>
                                      <w:szCs w:val="22"/>
                                    </w:rPr>
                                    <w:t>2,949</w:t>
                                  </w:r>
                                </w:p>
                              </w:tc>
                              <w:tc>
                                <w:tcPr>
                                  <w:tcW w:w="114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CB6AF6" w14:textId="77777777" w:rsidR="00052596" w:rsidRDefault="00000000">
                                  <w:pPr>
                                    <w:pStyle w:val="t115"/>
                                    <w:tabs>
                                      <w:tab w:val="decimal" w:pos="338"/>
                                    </w:tabs>
                                    <w:spacing w:line="240" w:lineRule="atLeast"/>
                                    <w:ind w:left="0" w:right="168" w:firstLine="0"/>
                                    <w:jc w:val="right"/>
                                    <w:rPr>
                                      <w:spacing w:val="0"/>
                                      <w:sz w:val="22"/>
                                      <w:szCs w:val="22"/>
                                    </w:rPr>
                                  </w:pPr>
                                  <w:r>
                                    <w:rPr>
                                      <w:spacing w:val="0"/>
                                      <w:sz w:val="22"/>
                                      <w:szCs w:val="22"/>
                                    </w:rPr>
                                    <w:t>+355</w:t>
                                  </w:r>
                                </w:p>
                              </w:tc>
                              <w:tc>
                                <w:tcPr>
                                  <w:tcW w:w="15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FD33BAF" w14:textId="77777777" w:rsidR="00052596" w:rsidRDefault="00000000">
                                  <w:pPr>
                                    <w:pStyle w:val="t115"/>
                                    <w:spacing w:line="240" w:lineRule="atLeast"/>
                                    <w:ind w:left="0" w:right="0" w:firstLine="0"/>
                                    <w:jc w:val="center"/>
                                    <w:rPr>
                                      <w:spacing w:val="0"/>
                                      <w:sz w:val="22"/>
                                      <w:szCs w:val="22"/>
                                    </w:rPr>
                                  </w:pPr>
                                  <w:r>
                                    <w:rPr>
                                      <w:spacing w:val="0"/>
                                      <w:sz w:val="22"/>
                                      <w:szCs w:val="22"/>
                                    </w:rPr>
                                    <w:t>13.7</w:t>
                                  </w:r>
                                </w:p>
                              </w:tc>
                              <w:tc>
                                <w:tcPr>
                                  <w:tcW w:w="99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A553A9" w14:textId="77777777" w:rsidR="00052596" w:rsidRDefault="00000000">
                                  <w:pPr>
                                    <w:pStyle w:val="t115"/>
                                    <w:spacing w:line="240" w:lineRule="atLeast"/>
                                    <w:ind w:left="0" w:right="0" w:firstLine="0"/>
                                    <w:jc w:val="center"/>
                                    <w:rPr>
                                      <w:spacing w:val="0"/>
                                      <w:sz w:val="22"/>
                                      <w:szCs w:val="22"/>
                                    </w:rPr>
                                  </w:pPr>
                                  <w:r>
                                    <w:rPr>
                                      <w:spacing w:val="0"/>
                                      <w:sz w:val="22"/>
                                      <w:szCs w:val="22"/>
                                    </w:rPr>
                                    <w:t>-79.1</w:t>
                                  </w:r>
                                </w:p>
                              </w:tc>
                              <w:tc>
                                <w:tcPr>
                                  <w:tcW w:w="9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873EE2" w14:textId="77777777" w:rsidR="00052596" w:rsidRDefault="00000000">
                                  <w:pPr>
                                    <w:pStyle w:val="t115"/>
                                    <w:spacing w:line="240" w:lineRule="atLeast"/>
                                    <w:ind w:left="0" w:right="0" w:firstLine="0"/>
                                    <w:jc w:val="center"/>
                                    <w:rPr>
                                      <w:spacing w:val="0"/>
                                      <w:sz w:val="22"/>
                                      <w:szCs w:val="22"/>
                                    </w:rPr>
                                  </w:pPr>
                                  <w:r>
                                    <w:rPr>
                                      <w:spacing w:val="0"/>
                                      <w:sz w:val="22"/>
                                      <w:szCs w:val="22"/>
                                    </w:rPr>
                                    <w:t>43.3</w:t>
                                  </w:r>
                                </w:p>
                              </w:tc>
                              <w:tc>
                                <w:tcPr>
                                  <w:tcW w:w="1030"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39841854" w14:textId="77777777" w:rsidR="00052596" w:rsidRDefault="00000000">
                                  <w:pPr>
                                    <w:pStyle w:val="t115"/>
                                    <w:spacing w:line="240" w:lineRule="atLeast"/>
                                    <w:ind w:left="0" w:right="0" w:firstLine="0"/>
                                    <w:jc w:val="center"/>
                                    <w:rPr>
                                      <w:spacing w:val="0"/>
                                      <w:sz w:val="22"/>
                                      <w:szCs w:val="22"/>
                                    </w:rPr>
                                  </w:pPr>
                                  <w:r>
                                    <w:rPr>
                                      <w:spacing w:val="0"/>
                                      <w:sz w:val="22"/>
                                      <w:szCs w:val="22"/>
                                    </w:rPr>
                                    <w:t>49.5</w:t>
                                  </w:r>
                                </w:p>
                              </w:tc>
                            </w:tr>
                            <w:tr w:rsidR="00052596" w14:paraId="2A13EC9A" w14:textId="77777777">
                              <w:tblPrEx>
                                <w:tblCellMar>
                                  <w:top w:w="0" w:type="dxa"/>
                                  <w:bottom w:w="0" w:type="dxa"/>
                                </w:tblCellMar>
                              </w:tblPrEx>
                              <w:trPr>
                                <w:trHeight w:val="454"/>
                                <w:jc w:val="center"/>
                              </w:trPr>
                              <w:tc>
                                <w:tcPr>
                                  <w:tcW w:w="8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E1F76FC" w14:textId="77777777" w:rsidR="00052596" w:rsidRDefault="00000000">
                                  <w:pPr>
                                    <w:pStyle w:val="t115"/>
                                    <w:spacing w:line="240" w:lineRule="atLeast"/>
                                    <w:ind w:left="0" w:right="0" w:firstLine="0"/>
                                    <w:jc w:val="center"/>
                                    <w:rPr>
                                      <w:spacing w:val="0"/>
                                      <w:sz w:val="22"/>
                                      <w:szCs w:val="22"/>
                                    </w:rPr>
                                  </w:pPr>
                                  <w:r>
                                    <w:rPr>
                                      <w:spacing w:val="0"/>
                                      <w:sz w:val="22"/>
                                      <w:szCs w:val="22"/>
                                    </w:rPr>
                                    <w:t>服務業</w:t>
                                  </w:r>
                                </w:p>
                              </w:tc>
                              <w:tc>
                                <w:tcPr>
                                  <w:tcW w:w="68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47385" w14:textId="77777777" w:rsidR="00052596" w:rsidRDefault="00000000">
                                  <w:pPr>
                                    <w:pStyle w:val="t115"/>
                                    <w:spacing w:line="240" w:lineRule="atLeast"/>
                                    <w:ind w:left="0" w:right="0" w:firstLine="0"/>
                                    <w:jc w:val="center"/>
                                    <w:rPr>
                                      <w:spacing w:val="0"/>
                                      <w:sz w:val="22"/>
                                      <w:szCs w:val="22"/>
                                    </w:rPr>
                                  </w:pPr>
                                  <w:r>
                                    <w:rPr>
                                      <w:spacing w:val="0"/>
                                      <w:sz w:val="22"/>
                                      <w:szCs w:val="22"/>
                                    </w:rPr>
                                    <w:t>5,245</w:t>
                                  </w:r>
                                </w:p>
                              </w:tc>
                              <w:tc>
                                <w:tcPr>
                                  <w:tcW w:w="6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08438" w14:textId="77777777" w:rsidR="00052596" w:rsidRDefault="00000000">
                                  <w:pPr>
                                    <w:pStyle w:val="t115"/>
                                    <w:spacing w:line="240" w:lineRule="atLeast"/>
                                    <w:ind w:left="0" w:right="0" w:firstLine="0"/>
                                    <w:jc w:val="center"/>
                                    <w:rPr>
                                      <w:spacing w:val="0"/>
                                      <w:sz w:val="22"/>
                                      <w:szCs w:val="22"/>
                                    </w:rPr>
                                  </w:pPr>
                                  <w:r>
                                    <w:rPr>
                                      <w:spacing w:val="0"/>
                                      <w:sz w:val="22"/>
                                      <w:szCs w:val="22"/>
                                    </w:rPr>
                                    <w:t>6,275</w:t>
                                  </w:r>
                                </w:p>
                              </w:tc>
                              <w:tc>
                                <w:tcPr>
                                  <w:tcW w:w="11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D1617" w14:textId="77777777" w:rsidR="00052596" w:rsidRDefault="00000000">
                                  <w:pPr>
                                    <w:pStyle w:val="t115"/>
                                    <w:tabs>
                                      <w:tab w:val="decimal" w:pos="338"/>
                                    </w:tabs>
                                    <w:spacing w:line="240" w:lineRule="atLeast"/>
                                    <w:ind w:left="0" w:right="168" w:firstLine="0"/>
                                    <w:jc w:val="right"/>
                                    <w:rPr>
                                      <w:spacing w:val="0"/>
                                      <w:sz w:val="22"/>
                                      <w:szCs w:val="22"/>
                                    </w:rPr>
                                  </w:pPr>
                                  <w:r>
                                    <w:rPr>
                                      <w:spacing w:val="0"/>
                                      <w:sz w:val="22"/>
                                      <w:szCs w:val="22"/>
                                    </w:rPr>
                                    <w:t>+1,030</w:t>
                                  </w:r>
                                </w:p>
                              </w:tc>
                              <w:tc>
                                <w:tcPr>
                                  <w:tcW w:w="15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5173F" w14:textId="77777777" w:rsidR="00052596" w:rsidRDefault="00000000">
                                  <w:pPr>
                                    <w:pStyle w:val="t115"/>
                                    <w:spacing w:line="240" w:lineRule="atLeast"/>
                                    <w:ind w:left="0" w:right="0" w:firstLine="0"/>
                                    <w:jc w:val="center"/>
                                    <w:rPr>
                                      <w:spacing w:val="0"/>
                                      <w:sz w:val="22"/>
                                      <w:szCs w:val="22"/>
                                    </w:rPr>
                                  </w:pPr>
                                  <w:r>
                                    <w:rPr>
                                      <w:spacing w:val="0"/>
                                      <w:sz w:val="22"/>
                                      <w:szCs w:val="22"/>
                                    </w:rPr>
                                    <w:t>19.6</w:t>
                                  </w:r>
                                </w:p>
                              </w:tc>
                              <w:tc>
                                <w:tcPr>
                                  <w:tcW w:w="9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989C7" w14:textId="77777777" w:rsidR="00052596" w:rsidRDefault="00000000">
                                  <w:pPr>
                                    <w:pStyle w:val="t115"/>
                                    <w:spacing w:line="240" w:lineRule="atLeast"/>
                                    <w:ind w:left="0" w:right="0" w:firstLine="0"/>
                                    <w:jc w:val="center"/>
                                    <w:rPr>
                                      <w:spacing w:val="0"/>
                                      <w:sz w:val="22"/>
                                      <w:szCs w:val="22"/>
                                    </w:rPr>
                                  </w:pPr>
                                  <w:r>
                                    <w:rPr>
                                      <w:spacing w:val="0"/>
                                      <w:sz w:val="22"/>
                                      <w:szCs w:val="22"/>
                                    </w:rPr>
                                    <w:t>-15.2</w:t>
                                  </w:r>
                                </w:p>
                              </w:tc>
                              <w:tc>
                                <w:tcPr>
                                  <w:tcW w:w="954"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17727C" w14:textId="77777777" w:rsidR="00052596" w:rsidRDefault="00000000">
                                  <w:pPr>
                                    <w:pStyle w:val="t115"/>
                                    <w:spacing w:line="240" w:lineRule="atLeast"/>
                                    <w:ind w:left="0" w:right="0" w:firstLine="0"/>
                                    <w:jc w:val="center"/>
                                    <w:rPr>
                                      <w:spacing w:val="0"/>
                                      <w:sz w:val="22"/>
                                      <w:szCs w:val="22"/>
                                    </w:rPr>
                                  </w:pPr>
                                  <w:r>
                                    <w:rPr>
                                      <w:spacing w:val="0"/>
                                      <w:sz w:val="22"/>
                                      <w:szCs w:val="22"/>
                                    </w:rPr>
                                    <w:t>-13.4</w:t>
                                  </w:r>
                                </w:p>
                              </w:tc>
                              <w:tc>
                                <w:tcPr>
                                  <w:tcW w:w="103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E8FB4B2" w14:textId="77777777" w:rsidR="00052596" w:rsidRDefault="00000000">
                                  <w:pPr>
                                    <w:pStyle w:val="t115"/>
                                    <w:spacing w:line="240" w:lineRule="atLeast"/>
                                    <w:ind w:left="0" w:right="0" w:firstLine="0"/>
                                    <w:jc w:val="center"/>
                                    <w:rPr>
                                      <w:spacing w:val="0"/>
                                      <w:sz w:val="22"/>
                                      <w:szCs w:val="22"/>
                                    </w:rPr>
                                  </w:pPr>
                                  <w:r>
                                    <w:rPr>
                                      <w:spacing w:val="0"/>
                                      <w:sz w:val="22"/>
                                      <w:szCs w:val="22"/>
                                    </w:rPr>
                                    <w:t>48.3</w:t>
                                  </w:r>
                                </w:p>
                              </w:tc>
                            </w:tr>
                          </w:tbl>
                          <w:p w14:paraId="5968A4EA" w14:textId="77777777" w:rsidR="00052596" w:rsidRDefault="00000000">
                            <w:pPr>
                              <w:pStyle w:val="t115"/>
                              <w:tabs>
                                <w:tab w:val="left" w:pos="284"/>
                              </w:tabs>
                              <w:spacing w:line="320" w:lineRule="exact"/>
                              <w:ind w:left="62" w:right="72" w:firstLine="734"/>
                              <w:rPr>
                                <w:color w:val="000000"/>
                                <w:sz w:val="20"/>
                              </w:rPr>
                            </w:pPr>
                            <w:r>
                              <w:rPr>
                                <w:color w:val="000000"/>
                                <w:sz w:val="20"/>
                              </w:rPr>
                              <w:t>註：因四捨五入關係，合計數未必相符。</w:t>
                            </w:r>
                          </w:p>
                          <w:p w14:paraId="1E8B7E1A" w14:textId="77777777" w:rsidR="00052596" w:rsidRDefault="00000000">
                            <w:pPr>
                              <w:pStyle w:val="t115"/>
                              <w:tabs>
                                <w:tab w:val="left" w:pos="284"/>
                              </w:tabs>
                              <w:spacing w:line="320" w:lineRule="exact"/>
                              <w:ind w:left="62" w:right="72" w:firstLine="78"/>
                            </w:pPr>
                            <w:r>
                              <w:rPr>
                                <w:sz w:val="20"/>
                              </w:rPr>
                              <w:t>資料來源：根據行政院主計總處資料計算。</w:t>
                            </w:r>
                          </w:p>
                        </w:txbxContent>
                      </wps:txbx>
                      <wps:bodyPr wrap="square" lIns="90004" tIns="0" rIns="90004" bIns="0" anchor="t">
                        <a:noAutofit/>
                      </wps:bodyPr>
                    </wps:wsp>
                  </a:graphicData>
                </a:graphic>
              </wp:anchor>
            </w:drawing>
          </mc:Choice>
          <mc:Fallback>
            <w:pict>
              <v:shape w14:anchorId="1AB781AE" id="文字方塊 43012" o:spid="_x0000_s1058" type="#_x0000_t202" style="position:absolute;margin-left:91.5pt;margin-top:1.35pt;width:413.85pt;height:640.5pt;z-index:-2516710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" fillcolor="#eff5ff" strokeweight=".26467mm">
                <v:textbox inset="2.50011mm,0,2.50011mm,0">
                  <w:txbxContent>
                    <w:p w14:paraId="661B76BB" w14:textId="77777777" w:rsidR="00052596" w:rsidRDefault="00000000">
                      <w:pPr>
                        <w:pStyle w:val="t12"/>
                        <w:spacing w:before="240" w:after="120"/>
                        <w:rPr>
                          <w:color w:val="0000FF"/>
                        </w:rPr>
                      </w:pPr>
                      <w:r>
                        <w:rPr>
                          <w:color w:val="0000FF"/>
                        </w:rPr>
                        <w:t>臺灣製造業及服務業就業變動來源</w:t>
                      </w:r>
                    </w:p>
                    <w:p w14:paraId="46A6CE7B" w14:textId="77777777" w:rsidR="00052596" w:rsidRDefault="00000000">
                      <w:pPr>
                        <w:pStyle w:val="t11"/>
                        <w:ind w:left="72" w:right="72" w:firstLine="472"/>
                      </w:pPr>
                      <w:r>
                        <w:t>近20年來，國內失業率呈現攀升趨勢，關鍵在於就業創造相對不足。從產業面觀察，除來自國內產業結構朝資本、技術密集或勞動節省型調整因素外，亦與服務業產出份額未能持續擴張密切相關。</w:t>
                      </w:r>
                    </w:p>
                    <w:p w14:paraId="084C29C4" w14:textId="77777777" w:rsidR="00052596" w:rsidRDefault="00000000">
                      <w:pPr>
                        <w:pStyle w:val="t11"/>
                        <w:ind w:left="72" w:right="72" w:firstLine="472"/>
                      </w:pPr>
                      <w:r>
                        <w:t>根據</w:t>
                      </w:r>
                      <w:r>
                        <w:rPr>
                          <w:color w:val="000000"/>
                        </w:rPr>
                        <w:t>Tregenna(2009)產業就業分解式，產業就業量變動的影響來源有三：(1)勞力密集度效果(labor intensity effect)，表示產業勞力密集度變動所引發的就業量變動；(2)部門份額效果(sector share effect)，為產業部門產出比重變動所引發的就業量變動；(3)經濟成長效果(economic growth effect)，為整體經濟擴張所帶動的就業量變動。100年國內就業人數較90年增加132萬6千人，其中製造業增加35萬5千人，服務業增加103萬人。100年製造業及服務業就業變動(100年較90年就業增量占90年就業人數比率)來源，解析如次：</w:t>
                      </w:r>
                    </w:p>
                    <w:p w14:paraId="6CEAF8F3" w14:textId="77777777" w:rsidR="00052596" w:rsidRDefault="00000000">
                      <w:pPr>
                        <w:pStyle w:val="t11"/>
                        <w:ind w:left="308" w:right="72" w:hanging="236"/>
                      </w:pPr>
                      <w:r>
                        <w:rPr>
                          <w:color w:val="000000"/>
                        </w:rPr>
                        <w:t>－製造業就業增加13.7%中：來自勞力密集度下降</w:t>
                      </w:r>
                      <w:r>
                        <w:t>的負向效果為79.1%，部門份額的正向效果為43.3%，經濟成長的正向效果為49.5%。顯示隨著國內製造業朝資本、技術密集轉型，資本深化程度提高，大幅減少勞力使用。然經濟成長及產業規模擴大所帶動的就業擴大效應，則明顯抵銷勞力密集度下降的負向效果。此一實證結果顯示，維持整體經濟穩定成長及促進製造業再成長，對於促進製造業就業增加至關重要。</w:t>
                      </w:r>
                    </w:p>
                    <w:p w14:paraId="0D5D7DB0" w14:textId="77777777" w:rsidR="00052596" w:rsidRDefault="00000000">
                      <w:pPr>
                        <w:pStyle w:val="t11"/>
                        <w:ind w:left="308" w:right="72" w:hanging="236"/>
                      </w:pPr>
                      <w:r>
                        <w:t>－服務業就業增加19.6%中：來自勞力密集度下降的負向效果為15.2%，部門份額降低的負向效果為13.4%，經濟成長的正向效果為48.3%。值得重視的是，雖然多數服務業勞力密集度呈現不同幅度降低現象，但不動產業、公共行政及國防業、醫療保健及社會工作服務業等，則顯現勞力密集度提升。整體而言，服務業勞力密集度下降的負向效果遠低於製造業。</w:t>
                      </w:r>
                    </w:p>
                    <w:p w14:paraId="56AB82B5" w14:textId="77777777" w:rsidR="00052596" w:rsidRDefault="00052596">
                      <w:pPr>
                        <w:pStyle w:val="t11"/>
                        <w:spacing w:line="280" w:lineRule="exact"/>
                        <w:ind w:left="308" w:right="72" w:hanging="236"/>
                      </w:pPr>
                    </w:p>
                    <w:tbl>
                      <w:tblPr>
                        <w:tblW w:w="7858" w:type="dxa"/>
                        <w:jc w:val="center"/>
                        <w:tblCellMar>
                          <w:left w:w="10" w:type="dxa"/>
                          <w:right w:w="10" w:type="dxa"/>
                        </w:tblCellMar>
                        <w:tblLook w:val="04A0" w:firstRow="1" w:lastRow="0" w:firstColumn="1" w:lastColumn="0" w:noHBand="0" w:noVBand="1"/>
                      </w:tblPr>
                      <w:tblGrid>
                        <w:gridCol w:w="815"/>
                        <w:gridCol w:w="682"/>
                        <w:gridCol w:w="698"/>
                        <w:gridCol w:w="1145"/>
                        <w:gridCol w:w="1538"/>
                        <w:gridCol w:w="996"/>
                        <w:gridCol w:w="954"/>
                        <w:gridCol w:w="1030"/>
                      </w:tblGrid>
                      <w:tr w:rsidR="00052596" w14:paraId="406A323C" w14:textId="77777777">
                        <w:tblPrEx>
                          <w:tblCellMar>
                            <w:top w:w="0" w:type="dxa"/>
                            <w:bottom w:w="0" w:type="dxa"/>
                          </w:tblCellMar>
                        </w:tblPrEx>
                        <w:trPr>
                          <w:trHeight w:val="490"/>
                          <w:jc w:val="center"/>
                        </w:trPr>
                        <w:tc>
                          <w:tcPr>
                            <w:tcW w:w="815" w:type="dxa"/>
                            <w:vMerge w:val="restart"/>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23552" w14:textId="77777777" w:rsidR="00052596" w:rsidRDefault="00052596">
                            <w:pPr>
                              <w:pStyle w:val="t115"/>
                              <w:spacing w:line="360" w:lineRule="exact"/>
                              <w:ind w:left="0" w:right="0" w:firstLine="0"/>
                              <w:jc w:val="center"/>
                              <w:rPr>
                                <w:spacing w:val="0"/>
                                <w:sz w:val="22"/>
                                <w:szCs w:val="22"/>
                              </w:rPr>
                            </w:pPr>
                          </w:p>
                        </w:tc>
                        <w:tc>
                          <w:tcPr>
                            <w:tcW w:w="25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1843CEB" w14:textId="77777777" w:rsidR="00052596" w:rsidRDefault="00000000">
                            <w:pPr>
                              <w:pStyle w:val="t115"/>
                              <w:spacing w:line="240" w:lineRule="atLeast"/>
                              <w:ind w:left="0" w:right="0" w:firstLine="0"/>
                              <w:jc w:val="center"/>
                              <w:rPr>
                                <w:spacing w:val="10"/>
                                <w:sz w:val="22"/>
                                <w:szCs w:val="22"/>
                              </w:rPr>
                            </w:pPr>
                            <w:r>
                              <w:rPr>
                                <w:spacing w:val="10"/>
                                <w:sz w:val="22"/>
                                <w:szCs w:val="22"/>
                              </w:rPr>
                              <w:t>就業量(千人)</w:t>
                            </w:r>
                          </w:p>
                        </w:tc>
                        <w:tc>
                          <w:tcPr>
                            <w:tcW w:w="4518" w:type="dxa"/>
                            <w:gridSpan w:val="4"/>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14:paraId="1921CAB5" w14:textId="77777777" w:rsidR="00052596" w:rsidRDefault="00000000">
                            <w:pPr>
                              <w:pStyle w:val="t115"/>
                              <w:spacing w:line="240" w:lineRule="atLeast"/>
                              <w:ind w:left="0" w:right="0" w:firstLine="0"/>
                              <w:jc w:val="center"/>
                              <w:rPr>
                                <w:spacing w:val="10"/>
                                <w:sz w:val="22"/>
                                <w:szCs w:val="22"/>
                              </w:rPr>
                            </w:pPr>
                            <w:r>
                              <w:rPr>
                                <w:spacing w:val="10"/>
                                <w:sz w:val="22"/>
                                <w:szCs w:val="22"/>
                              </w:rPr>
                              <w:t>就業變動來源(%)</w:t>
                            </w:r>
                          </w:p>
                        </w:tc>
                      </w:tr>
                      <w:tr w:rsidR="00052596" w14:paraId="0FDB8144" w14:textId="77777777">
                        <w:tblPrEx>
                          <w:tblCellMar>
                            <w:top w:w="0" w:type="dxa"/>
                            <w:bottom w:w="0" w:type="dxa"/>
                          </w:tblCellMar>
                        </w:tblPrEx>
                        <w:trPr>
                          <w:trHeight w:val="70"/>
                          <w:jc w:val="center"/>
                        </w:trPr>
                        <w:tc>
                          <w:tcPr>
                            <w:tcW w:w="815" w:type="dxa"/>
                            <w:vMerge/>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5EF47" w14:textId="77777777" w:rsidR="00052596" w:rsidRDefault="00052596">
                            <w:pPr>
                              <w:pStyle w:val="t115"/>
                              <w:spacing w:line="220" w:lineRule="exact"/>
                              <w:ind w:left="0" w:right="0" w:firstLine="0"/>
                              <w:jc w:val="center"/>
                              <w:rPr>
                                <w:spacing w:val="0"/>
                                <w:sz w:val="22"/>
                                <w:szCs w:val="22"/>
                              </w:rPr>
                            </w:pP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895B92" w14:textId="77777777" w:rsidR="00052596" w:rsidRDefault="00000000">
                            <w:pPr>
                              <w:pStyle w:val="t115"/>
                              <w:spacing w:line="320" w:lineRule="exact"/>
                              <w:ind w:left="0" w:right="0" w:firstLine="0"/>
                              <w:jc w:val="center"/>
                              <w:rPr>
                                <w:spacing w:val="0"/>
                                <w:sz w:val="22"/>
                                <w:szCs w:val="22"/>
                              </w:rPr>
                            </w:pPr>
                            <w:r>
                              <w:rPr>
                                <w:spacing w:val="0"/>
                                <w:sz w:val="22"/>
                                <w:szCs w:val="22"/>
                              </w:rPr>
                              <w:t>90年</w:t>
                            </w:r>
                          </w:p>
                          <w:p w14:paraId="318AD5A5" w14:textId="77777777" w:rsidR="00052596" w:rsidRDefault="00000000">
                            <w:pPr>
                              <w:pStyle w:val="t115"/>
                              <w:spacing w:line="320" w:lineRule="exact"/>
                              <w:ind w:left="0" w:right="0" w:firstLine="0"/>
                              <w:jc w:val="center"/>
                              <w:rPr>
                                <w:spacing w:val="0"/>
                                <w:sz w:val="20"/>
                              </w:rPr>
                            </w:pPr>
                            <w:r>
                              <w:rPr>
                                <w:spacing w:val="0"/>
                                <w:sz w:val="20"/>
                              </w:rPr>
                              <w:t>(A)</w:t>
                            </w:r>
                          </w:p>
                        </w:tc>
                        <w:tc>
                          <w:tcPr>
                            <w:tcW w:w="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32DA1B" w14:textId="77777777" w:rsidR="00052596" w:rsidRDefault="00000000">
                            <w:pPr>
                              <w:pStyle w:val="t115"/>
                              <w:spacing w:line="320" w:lineRule="exact"/>
                              <w:ind w:left="0" w:right="0" w:firstLine="0"/>
                              <w:jc w:val="center"/>
                              <w:rPr>
                                <w:spacing w:val="0"/>
                                <w:sz w:val="22"/>
                                <w:szCs w:val="22"/>
                              </w:rPr>
                            </w:pPr>
                            <w:r>
                              <w:rPr>
                                <w:spacing w:val="0"/>
                                <w:sz w:val="22"/>
                                <w:szCs w:val="22"/>
                              </w:rPr>
                              <w:t>100年</w:t>
                            </w:r>
                          </w:p>
                          <w:p w14:paraId="57E61C5E" w14:textId="77777777" w:rsidR="00052596" w:rsidRDefault="00000000">
                            <w:pPr>
                              <w:pStyle w:val="t115"/>
                              <w:spacing w:line="320" w:lineRule="exact"/>
                              <w:ind w:left="0" w:right="0" w:firstLine="0"/>
                              <w:jc w:val="center"/>
                              <w:rPr>
                                <w:spacing w:val="0"/>
                                <w:sz w:val="20"/>
                              </w:rPr>
                            </w:pPr>
                            <w:r>
                              <w:rPr>
                                <w:spacing w:val="0"/>
                                <w:sz w:val="20"/>
                              </w:rPr>
                              <w:t>(B)</w:t>
                            </w:r>
                          </w:p>
                        </w:tc>
                        <w:tc>
                          <w:tcPr>
                            <w:tcW w:w="11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B24D5" w14:textId="77777777" w:rsidR="00052596" w:rsidRDefault="00000000">
                            <w:pPr>
                              <w:pStyle w:val="t115"/>
                              <w:tabs>
                                <w:tab w:val="decimal" w:pos="338"/>
                              </w:tabs>
                              <w:spacing w:line="320" w:lineRule="exact"/>
                              <w:ind w:left="0" w:right="0" w:firstLine="0"/>
                              <w:jc w:val="center"/>
                            </w:pPr>
                            <w:r>
                              <w:rPr>
                                <w:spacing w:val="0"/>
                                <w:sz w:val="22"/>
                                <w:szCs w:val="22"/>
                              </w:rPr>
                              <w:t>增量</w:t>
                            </w:r>
                            <w:r>
                              <w:rPr>
                                <w:spacing w:val="0"/>
                                <w:sz w:val="20"/>
                              </w:rPr>
                              <w:t>(C)=(B)-(A)</w:t>
                            </w:r>
                          </w:p>
                        </w:tc>
                        <w:tc>
                          <w:tcPr>
                            <w:tcW w:w="153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20BB52" w14:textId="77777777" w:rsidR="00052596" w:rsidRDefault="00000000">
                            <w:pPr>
                              <w:pStyle w:val="t115"/>
                              <w:spacing w:line="240" w:lineRule="exact"/>
                              <w:ind w:left="0" w:right="0" w:firstLine="0"/>
                              <w:rPr>
                                <w:spacing w:val="-6"/>
                                <w:sz w:val="22"/>
                                <w:szCs w:val="22"/>
                              </w:rPr>
                            </w:pPr>
                            <w:r>
                              <w:rPr>
                                <w:spacing w:val="-6"/>
                                <w:sz w:val="22"/>
                                <w:szCs w:val="22"/>
                              </w:rPr>
                              <w:t>100年較90年就業增量占90年就業人數比率</w:t>
                            </w:r>
                          </w:p>
                          <w:p w14:paraId="65BF1E9D" w14:textId="77777777" w:rsidR="00052596" w:rsidRDefault="00000000">
                            <w:pPr>
                              <w:pStyle w:val="t115"/>
                              <w:spacing w:line="240" w:lineRule="exact"/>
                              <w:ind w:left="0" w:right="0" w:firstLine="0"/>
                              <w:jc w:val="left"/>
                            </w:pPr>
                            <w:r>
                              <w:rPr>
                                <w:spacing w:val="0"/>
                                <w:sz w:val="20"/>
                              </w:rPr>
                              <w:t>[(C)/(A)</w:t>
                            </w:r>
                            <w:r>
                              <w:rPr>
                                <w:rFonts w:ascii="Wingdings 2" w:eastAsia="Wingdings 2" w:hAnsi="Wingdings 2" w:cs="Wingdings 2"/>
                                <w:spacing w:val="0"/>
                                <w:sz w:val="20"/>
                              </w:rPr>
                              <w:t></w:t>
                            </w:r>
                            <w:r>
                              <w:rPr>
                                <w:spacing w:val="0"/>
                                <w:sz w:val="20"/>
                              </w:rPr>
                              <w:t>100]</w:t>
                            </w:r>
                          </w:p>
                          <w:p w14:paraId="70066777" w14:textId="77777777" w:rsidR="00052596" w:rsidRDefault="00000000">
                            <w:pPr>
                              <w:pStyle w:val="t115"/>
                              <w:spacing w:line="240" w:lineRule="exact"/>
                              <w:ind w:left="0" w:right="0" w:firstLine="0"/>
                              <w:jc w:val="center"/>
                            </w:pPr>
                            <w:r>
                              <w:rPr>
                                <w:spacing w:val="0"/>
                                <w:sz w:val="20"/>
                              </w:rPr>
                              <w:t>=(D)+(E)+(F)</w:t>
                            </w:r>
                          </w:p>
                        </w:tc>
                        <w:tc>
                          <w:tcPr>
                            <w:tcW w:w="2980" w:type="dxa"/>
                            <w:gridSpan w:val="3"/>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0BC38CA" w14:textId="77777777" w:rsidR="00052596" w:rsidRDefault="00052596">
                            <w:pPr>
                              <w:pStyle w:val="t115"/>
                              <w:spacing w:line="160" w:lineRule="exact"/>
                              <w:ind w:left="0" w:right="0" w:firstLine="0"/>
                              <w:jc w:val="center"/>
                              <w:rPr>
                                <w:spacing w:val="0"/>
                                <w:sz w:val="22"/>
                                <w:szCs w:val="22"/>
                              </w:rPr>
                            </w:pPr>
                          </w:p>
                        </w:tc>
                      </w:tr>
                      <w:tr w:rsidR="00052596" w14:paraId="60F50564" w14:textId="77777777">
                        <w:tblPrEx>
                          <w:tblCellMar>
                            <w:top w:w="0" w:type="dxa"/>
                            <w:bottom w:w="0" w:type="dxa"/>
                          </w:tblCellMar>
                        </w:tblPrEx>
                        <w:trPr>
                          <w:trHeight w:val="720"/>
                          <w:jc w:val="center"/>
                        </w:trPr>
                        <w:tc>
                          <w:tcPr>
                            <w:tcW w:w="815" w:type="dxa"/>
                            <w:vMerge/>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AC60C" w14:textId="77777777" w:rsidR="00052596" w:rsidRDefault="00052596">
                            <w:pPr>
                              <w:pStyle w:val="t115"/>
                              <w:spacing w:line="240" w:lineRule="auto"/>
                              <w:ind w:left="0" w:right="0" w:firstLine="0"/>
                              <w:jc w:val="center"/>
                              <w:rPr>
                                <w:spacing w:val="0"/>
                                <w:sz w:val="22"/>
                                <w:szCs w:val="22"/>
                              </w:rPr>
                            </w:pP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8CAAFB" w14:textId="77777777" w:rsidR="00052596" w:rsidRDefault="00052596">
                            <w:pPr>
                              <w:pStyle w:val="t115"/>
                              <w:spacing w:line="240" w:lineRule="auto"/>
                              <w:ind w:left="0" w:right="0" w:firstLine="0"/>
                              <w:jc w:val="center"/>
                              <w:rPr>
                                <w:spacing w:val="0"/>
                                <w:sz w:val="22"/>
                                <w:szCs w:val="22"/>
                              </w:rPr>
                            </w:pPr>
                          </w:p>
                        </w:tc>
                        <w:tc>
                          <w:tcPr>
                            <w:tcW w:w="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8812F6" w14:textId="77777777" w:rsidR="00052596" w:rsidRDefault="00052596">
                            <w:pPr>
                              <w:pStyle w:val="t115"/>
                              <w:spacing w:line="240" w:lineRule="auto"/>
                              <w:ind w:left="0" w:right="0" w:firstLine="0"/>
                              <w:jc w:val="center"/>
                              <w:rPr>
                                <w:spacing w:val="0"/>
                                <w:sz w:val="22"/>
                                <w:szCs w:val="22"/>
                              </w:rPr>
                            </w:pPr>
                          </w:p>
                        </w:tc>
                        <w:tc>
                          <w:tcPr>
                            <w:tcW w:w="11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4C2E8D" w14:textId="77777777" w:rsidR="00052596" w:rsidRDefault="00052596">
                            <w:pPr>
                              <w:pStyle w:val="t115"/>
                              <w:tabs>
                                <w:tab w:val="decimal" w:pos="338"/>
                              </w:tabs>
                              <w:spacing w:line="240" w:lineRule="auto"/>
                              <w:ind w:left="0" w:right="0" w:firstLine="0"/>
                              <w:jc w:val="left"/>
                              <w:rPr>
                                <w:spacing w:val="0"/>
                                <w:sz w:val="22"/>
                                <w:szCs w:val="22"/>
                              </w:rPr>
                            </w:pPr>
                          </w:p>
                        </w:tc>
                        <w:tc>
                          <w:tcPr>
                            <w:tcW w:w="153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A2A022" w14:textId="77777777" w:rsidR="00052596" w:rsidRDefault="00052596">
                            <w:pPr>
                              <w:pStyle w:val="t115"/>
                              <w:spacing w:line="240" w:lineRule="auto"/>
                              <w:ind w:left="0" w:right="0" w:firstLine="0"/>
                              <w:jc w:val="center"/>
                              <w:rPr>
                                <w:spacing w:val="0"/>
                                <w:sz w:val="22"/>
                                <w:szCs w:val="22"/>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E5E1B6" w14:textId="77777777" w:rsidR="00052596" w:rsidRDefault="00000000">
                            <w:pPr>
                              <w:pStyle w:val="t115"/>
                              <w:spacing w:line="320" w:lineRule="exact"/>
                              <w:ind w:left="0" w:right="0" w:firstLine="0"/>
                              <w:jc w:val="center"/>
                              <w:rPr>
                                <w:spacing w:val="0"/>
                                <w:sz w:val="22"/>
                                <w:szCs w:val="22"/>
                              </w:rPr>
                            </w:pPr>
                            <w:r>
                              <w:rPr>
                                <w:spacing w:val="0"/>
                                <w:sz w:val="22"/>
                                <w:szCs w:val="22"/>
                              </w:rPr>
                              <w:t>勞力密集度效果</w:t>
                            </w:r>
                          </w:p>
                          <w:p w14:paraId="6F10E725" w14:textId="77777777" w:rsidR="00052596" w:rsidRDefault="00000000">
                            <w:pPr>
                              <w:pStyle w:val="t115"/>
                              <w:spacing w:line="320" w:lineRule="exact"/>
                              <w:ind w:left="0" w:right="0" w:firstLine="0"/>
                              <w:jc w:val="center"/>
                              <w:rPr>
                                <w:spacing w:val="0"/>
                                <w:sz w:val="20"/>
                              </w:rPr>
                            </w:pPr>
                            <w:r>
                              <w:rPr>
                                <w:spacing w:val="0"/>
                                <w:sz w:val="20"/>
                              </w:rPr>
                              <w:t>(D)</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806316" w14:textId="77777777" w:rsidR="00052596" w:rsidRDefault="00000000">
                            <w:pPr>
                              <w:pStyle w:val="t115"/>
                              <w:spacing w:line="320" w:lineRule="exact"/>
                              <w:ind w:left="0" w:right="0" w:firstLine="0"/>
                              <w:jc w:val="center"/>
                              <w:rPr>
                                <w:spacing w:val="0"/>
                                <w:sz w:val="22"/>
                                <w:szCs w:val="22"/>
                              </w:rPr>
                            </w:pPr>
                            <w:r>
                              <w:rPr>
                                <w:spacing w:val="0"/>
                                <w:sz w:val="22"/>
                                <w:szCs w:val="22"/>
                              </w:rPr>
                              <w:t>部門份額效果</w:t>
                            </w:r>
                          </w:p>
                          <w:p w14:paraId="36662B85" w14:textId="77777777" w:rsidR="00052596" w:rsidRDefault="00000000">
                            <w:pPr>
                              <w:pStyle w:val="t115"/>
                              <w:spacing w:line="320" w:lineRule="exact"/>
                              <w:ind w:left="0" w:right="0" w:firstLine="0"/>
                              <w:jc w:val="center"/>
                              <w:rPr>
                                <w:spacing w:val="0"/>
                                <w:sz w:val="20"/>
                              </w:rPr>
                            </w:pPr>
                            <w:r>
                              <w:rPr>
                                <w:spacing w:val="0"/>
                                <w:sz w:val="20"/>
                              </w:rPr>
                              <w:t>(E)</w:t>
                            </w:r>
                          </w:p>
                        </w:tc>
                        <w:tc>
                          <w:tcPr>
                            <w:tcW w:w="103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8A04FC8" w14:textId="77777777" w:rsidR="00052596" w:rsidRDefault="00000000">
                            <w:pPr>
                              <w:pStyle w:val="t115"/>
                              <w:spacing w:line="320" w:lineRule="exact"/>
                              <w:ind w:left="0" w:right="0" w:firstLine="0"/>
                              <w:jc w:val="center"/>
                              <w:rPr>
                                <w:spacing w:val="0"/>
                                <w:sz w:val="22"/>
                                <w:szCs w:val="22"/>
                              </w:rPr>
                            </w:pPr>
                            <w:r>
                              <w:rPr>
                                <w:spacing w:val="0"/>
                                <w:sz w:val="22"/>
                                <w:szCs w:val="22"/>
                              </w:rPr>
                              <w:t>經濟成長效果</w:t>
                            </w:r>
                          </w:p>
                          <w:p w14:paraId="0921638E" w14:textId="77777777" w:rsidR="00052596" w:rsidRDefault="00000000">
                            <w:pPr>
                              <w:pStyle w:val="t115"/>
                              <w:spacing w:line="320" w:lineRule="exact"/>
                              <w:ind w:left="0" w:right="0" w:firstLine="0"/>
                              <w:jc w:val="center"/>
                              <w:rPr>
                                <w:spacing w:val="0"/>
                                <w:sz w:val="20"/>
                              </w:rPr>
                            </w:pPr>
                            <w:r>
                              <w:rPr>
                                <w:spacing w:val="0"/>
                                <w:sz w:val="20"/>
                              </w:rPr>
                              <w:t>(F)</w:t>
                            </w:r>
                          </w:p>
                        </w:tc>
                      </w:tr>
                      <w:tr w:rsidR="00052596" w14:paraId="1BA61926" w14:textId="77777777">
                        <w:tblPrEx>
                          <w:tblCellMar>
                            <w:top w:w="0" w:type="dxa"/>
                            <w:bottom w:w="0" w:type="dxa"/>
                          </w:tblCellMar>
                        </w:tblPrEx>
                        <w:trPr>
                          <w:trHeight w:val="454"/>
                          <w:jc w:val="center"/>
                        </w:trPr>
                        <w:tc>
                          <w:tcPr>
                            <w:tcW w:w="815" w:type="dxa"/>
                            <w:tcBorders>
                              <w:top w:val="single" w:sz="4" w:space="0" w:color="000000"/>
                              <w:right w:val="single" w:sz="4" w:space="0" w:color="000000"/>
                            </w:tcBorders>
                            <w:shd w:val="clear" w:color="auto" w:fill="auto"/>
                            <w:tcMar>
                              <w:top w:w="0" w:type="dxa"/>
                              <w:left w:w="28" w:type="dxa"/>
                              <w:bottom w:w="0" w:type="dxa"/>
                              <w:right w:w="28" w:type="dxa"/>
                            </w:tcMar>
                            <w:vAlign w:val="center"/>
                          </w:tcPr>
                          <w:p w14:paraId="32DCC01F" w14:textId="77777777" w:rsidR="00052596" w:rsidRDefault="00000000">
                            <w:pPr>
                              <w:pStyle w:val="t115"/>
                              <w:spacing w:line="240" w:lineRule="atLeast"/>
                              <w:ind w:left="0" w:right="0" w:firstLine="0"/>
                              <w:jc w:val="center"/>
                              <w:rPr>
                                <w:spacing w:val="0"/>
                                <w:sz w:val="22"/>
                                <w:szCs w:val="22"/>
                              </w:rPr>
                            </w:pPr>
                            <w:r>
                              <w:rPr>
                                <w:spacing w:val="0"/>
                                <w:sz w:val="22"/>
                                <w:szCs w:val="22"/>
                              </w:rPr>
                              <w:t>製造業</w:t>
                            </w:r>
                          </w:p>
                        </w:tc>
                        <w:tc>
                          <w:tcPr>
                            <w:tcW w:w="68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9C3233A" w14:textId="77777777" w:rsidR="00052596" w:rsidRDefault="00000000">
                            <w:pPr>
                              <w:pStyle w:val="t115"/>
                              <w:spacing w:line="240" w:lineRule="atLeast"/>
                              <w:ind w:left="0" w:right="0" w:firstLine="0"/>
                              <w:jc w:val="center"/>
                              <w:rPr>
                                <w:spacing w:val="0"/>
                                <w:sz w:val="22"/>
                                <w:szCs w:val="22"/>
                              </w:rPr>
                            </w:pPr>
                            <w:r>
                              <w:rPr>
                                <w:spacing w:val="0"/>
                                <w:sz w:val="22"/>
                                <w:szCs w:val="22"/>
                              </w:rPr>
                              <w:t>2,594</w:t>
                            </w:r>
                          </w:p>
                        </w:tc>
                        <w:tc>
                          <w:tcPr>
                            <w:tcW w:w="69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E2B4A3A" w14:textId="77777777" w:rsidR="00052596" w:rsidRDefault="00000000">
                            <w:pPr>
                              <w:pStyle w:val="t115"/>
                              <w:spacing w:line="240" w:lineRule="atLeast"/>
                              <w:ind w:left="0" w:right="0" w:firstLine="0"/>
                              <w:jc w:val="center"/>
                              <w:rPr>
                                <w:spacing w:val="0"/>
                                <w:sz w:val="22"/>
                                <w:szCs w:val="22"/>
                              </w:rPr>
                            </w:pPr>
                            <w:r>
                              <w:rPr>
                                <w:spacing w:val="0"/>
                                <w:sz w:val="22"/>
                                <w:szCs w:val="22"/>
                              </w:rPr>
                              <w:t>2,949</w:t>
                            </w:r>
                          </w:p>
                        </w:tc>
                        <w:tc>
                          <w:tcPr>
                            <w:tcW w:w="114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CB6AF6" w14:textId="77777777" w:rsidR="00052596" w:rsidRDefault="00000000">
                            <w:pPr>
                              <w:pStyle w:val="t115"/>
                              <w:tabs>
                                <w:tab w:val="decimal" w:pos="338"/>
                              </w:tabs>
                              <w:spacing w:line="240" w:lineRule="atLeast"/>
                              <w:ind w:left="0" w:right="168" w:firstLine="0"/>
                              <w:jc w:val="right"/>
                              <w:rPr>
                                <w:spacing w:val="0"/>
                                <w:sz w:val="22"/>
                                <w:szCs w:val="22"/>
                              </w:rPr>
                            </w:pPr>
                            <w:r>
                              <w:rPr>
                                <w:spacing w:val="0"/>
                                <w:sz w:val="22"/>
                                <w:szCs w:val="22"/>
                              </w:rPr>
                              <w:t>+355</w:t>
                            </w:r>
                          </w:p>
                        </w:tc>
                        <w:tc>
                          <w:tcPr>
                            <w:tcW w:w="15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FD33BAF" w14:textId="77777777" w:rsidR="00052596" w:rsidRDefault="00000000">
                            <w:pPr>
                              <w:pStyle w:val="t115"/>
                              <w:spacing w:line="240" w:lineRule="atLeast"/>
                              <w:ind w:left="0" w:right="0" w:firstLine="0"/>
                              <w:jc w:val="center"/>
                              <w:rPr>
                                <w:spacing w:val="0"/>
                                <w:sz w:val="22"/>
                                <w:szCs w:val="22"/>
                              </w:rPr>
                            </w:pPr>
                            <w:r>
                              <w:rPr>
                                <w:spacing w:val="0"/>
                                <w:sz w:val="22"/>
                                <w:szCs w:val="22"/>
                              </w:rPr>
                              <w:t>13.7</w:t>
                            </w:r>
                          </w:p>
                        </w:tc>
                        <w:tc>
                          <w:tcPr>
                            <w:tcW w:w="99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A553A9" w14:textId="77777777" w:rsidR="00052596" w:rsidRDefault="00000000">
                            <w:pPr>
                              <w:pStyle w:val="t115"/>
                              <w:spacing w:line="240" w:lineRule="atLeast"/>
                              <w:ind w:left="0" w:right="0" w:firstLine="0"/>
                              <w:jc w:val="center"/>
                              <w:rPr>
                                <w:spacing w:val="0"/>
                                <w:sz w:val="22"/>
                                <w:szCs w:val="22"/>
                              </w:rPr>
                            </w:pPr>
                            <w:r>
                              <w:rPr>
                                <w:spacing w:val="0"/>
                                <w:sz w:val="22"/>
                                <w:szCs w:val="22"/>
                              </w:rPr>
                              <w:t>-79.1</w:t>
                            </w:r>
                          </w:p>
                        </w:tc>
                        <w:tc>
                          <w:tcPr>
                            <w:tcW w:w="9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873EE2" w14:textId="77777777" w:rsidR="00052596" w:rsidRDefault="00000000">
                            <w:pPr>
                              <w:pStyle w:val="t115"/>
                              <w:spacing w:line="240" w:lineRule="atLeast"/>
                              <w:ind w:left="0" w:right="0" w:firstLine="0"/>
                              <w:jc w:val="center"/>
                              <w:rPr>
                                <w:spacing w:val="0"/>
                                <w:sz w:val="22"/>
                                <w:szCs w:val="22"/>
                              </w:rPr>
                            </w:pPr>
                            <w:r>
                              <w:rPr>
                                <w:spacing w:val="0"/>
                                <w:sz w:val="22"/>
                                <w:szCs w:val="22"/>
                              </w:rPr>
                              <w:t>43.3</w:t>
                            </w:r>
                          </w:p>
                        </w:tc>
                        <w:tc>
                          <w:tcPr>
                            <w:tcW w:w="1030"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39841854" w14:textId="77777777" w:rsidR="00052596" w:rsidRDefault="00000000">
                            <w:pPr>
                              <w:pStyle w:val="t115"/>
                              <w:spacing w:line="240" w:lineRule="atLeast"/>
                              <w:ind w:left="0" w:right="0" w:firstLine="0"/>
                              <w:jc w:val="center"/>
                              <w:rPr>
                                <w:spacing w:val="0"/>
                                <w:sz w:val="22"/>
                                <w:szCs w:val="22"/>
                              </w:rPr>
                            </w:pPr>
                            <w:r>
                              <w:rPr>
                                <w:spacing w:val="0"/>
                                <w:sz w:val="22"/>
                                <w:szCs w:val="22"/>
                              </w:rPr>
                              <w:t>49.5</w:t>
                            </w:r>
                          </w:p>
                        </w:tc>
                      </w:tr>
                      <w:tr w:rsidR="00052596" w14:paraId="2A13EC9A" w14:textId="77777777">
                        <w:tblPrEx>
                          <w:tblCellMar>
                            <w:top w:w="0" w:type="dxa"/>
                            <w:bottom w:w="0" w:type="dxa"/>
                          </w:tblCellMar>
                        </w:tblPrEx>
                        <w:trPr>
                          <w:trHeight w:val="454"/>
                          <w:jc w:val="center"/>
                        </w:trPr>
                        <w:tc>
                          <w:tcPr>
                            <w:tcW w:w="8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E1F76FC" w14:textId="77777777" w:rsidR="00052596" w:rsidRDefault="00000000">
                            <w:pPr>
                              <w:pStyle w:val="t115"/>
                              <w:spacing w:line="240" w:lineRule="atLeast"/>
                              <w:ind w:left="0" w:right="0" w:firstLine="0"/>
                              <w:jc w:val="center"/>
                              <w:rPr>
                                <w:spacing w:val="0"/>
                                <w:sz w:val="22"/>
                                <w:szCs w:val="22"/>
                              </w:rPr>
                            </w:pPr>
                            <w:r>
                              <w:rPr>
                                <w:spacing w:val="0"/>
                                <w:sz w:val="22"/>
                                <w:szCs w:val="22"/>
                              </w:rPr>
                              <w:t>服務業</w:t>
                            </w:r>
                          </w:p>
                        </w:tc>
                        <w:tc>
                          <w:tcPr>
                            <w:tcW w:w="68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47385" w14:textId="77777777" w:rsidR="00052596" w:rsidRDefault="00000000">
                            <w:pPr>
                              <w:pStyle w:val="t115"/>
                              <w:spacing w:line="240" w:lineRule="atLeast"/>
                              <w:ind w:left="0" w:right="0" w:firstLine="0"/>
                              <w:jc w:val="center"/>
                              <w:rPr>
                                <w:spacing w:val="0"/>
                                <w:sz w:val="22"/>
                                <w:szCs w:val="22"/>
                              </w:rPr>
                            </w:pPr>
                            <w:r>
                              <w:rPr>
                                <w:spacing w:val="0"/>
                                <w:sz w:val="22"/>
                                <w:szCs w:val="22"/>
                              </w:rPr>
                              <w:t>5,245</w:t>
                            </w:r>
                          </w:p>
                        </w:tc>
                        <w:tc>
                          <w:tcPr>
                            <w:tcW w:w="6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08438" w14:textId="77777777" w:rsidR="00052596" w:rsidRDefault="00000000">
                            <w:pPr>
                              <w:pStyle w:val="t115"/>
                              <w:spacing w:line="240" w:lineRule="atLeast"/>
                              <w:ind w:left="0" w:right="0" w:firstLine="0"/>
                              <w:jc w:val="center"/>
                              <w:rPr>
                                <w:spacing w:val="0"/>
                                <w:sz w:val="22"/>
                                <w:szCs w:val="22"/>
                              </w:rPr>
                            </w:pPr>
                            <w:r>
                              <w:rPr>
                                <w:spacing w:val="0"/>
                                <w:sz w:val="22"/>
                                <w:szCs w:val="22"/>
                              </w:rPr>
                              <w:t>6,275</w:t>
                            </w:r>
                          </w:p>
                        </w:tc>
                        <w:tc>
                          <w:tcPr>
                            <w:tcW w:w="11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D1617" w14:textId="77777777" w:rsidR="00052596" w:rsidRDefault="00000000">
                            <w:pPr>
                              <w:pStyle w:val="t115"/>
                              <w:tabs>
                                <w:tab w:val="decimal" w:pos="338"/>
                              </w:tabs>
                              <w:spacing w:line="240" w:lineRule="atLeast"/>
                              <w:ind w:left="0" w:right="168" w:firstLine="0"/>
                              <w:jc w:val="right"/>
                              <w:rPr>
                                <w:spacing w:val="0"/>
                                <w:sz w:val="22"/>
                                <w:szCs w:val="22"/>
                              </w:rPr>
                            </w:pPr>
                            <w:r>
                              <w:rPr>
                                <w:spacing w:val="0"/>
                                <w:sz w:val="22"/>
                                <w:szCs w:val="22"/>
                              </w:rPr>
                              <w:t>+1,030</w:t>
                            </w:r>
                          </w:p>
                        </w:tc>
                        <w:tc>
                          <w:tcPr>
                            <w:tcW w:w="15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5173F" w14:textId="77777777" w:rsidR="00052596" w:rsidRDefault="00000000">
                            <w:pPr>
                              <w:pStyle w:val="t115"/>
                              <w:spacing w:line="240" w:lineRule="atLeast"/>
                              <w:ind w:left="0" w:right="0" w:firstLine="0"/>
                              <w:jc w:val="center"/>
                              <w:rPr>
                                <w:spacing w:val="0"/>
                                <w:sz w:val="22"/>
                                <w:szCs w:val="22"/>
                              </w:rPr>
                            </w:pPr>
                            <w:r>
                              <w:rPr>
                                <w:spacing w:val="0"/>
                                <w:sz w:val="22"/>
                                <w:szCs w:val="22"/>
                              </w:rPr>
                              <w:t>19.6</w:t>
                            </w:r>
                          </w:p>
                        </w:tc>
                        <w:tc>
                          <w:tcPr>
                            <w:tcW w:w="9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989C7" w14:textId="77777777" w:rsidR="00052596" w:rsidRDefault="00000000">
                            <w:pPr>
                              <w:pStyle w:val="t115"/>
                              <w:spacing w:line="240" w:lineRule="atLeast"/>
                              <w:ind w:left="0" w:right="0" w:firstLine="0"/>
                              <w:jc w:val="center"/>
                              <w:rPr>
                                <w:spacing w:val="0"/>
                                <w:sz w:val="22"/>
                                <w:szCs w:val="22"/>
                              </w:rPr>
                            </w:pPr>
                            <w:r>
                              <w:rPr>
                                <w:spacing w:val="0"/>
                                <w:sz w:val="22"/>
                                <w:szCs w:val="22"/>
                              </w:rPr>
                              <w:t>-15.2</w:t>
                            </w:r>
                          </w:p>
                        </w:tc>
                        <w:tc>
                          <w:tcPr>
                            <w:tcW w:w="954"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17727C" w14:textId="77777777" w:rsidR="00052596" w:rsidRDefault="00000000">
                            <w:pPr>
                              <w:pStyle w:val="t115"/>
                              <w:spacing w:line="240" w:lineRule="atLeast"/>
                              <w:ind w:left="0" w:right="0" w:firstLine="0"/>
                              <w:jc w:val="center"/>
                              <w:rPr>
                                <w:spacing w:val="0"/>
                                <w:sz w:val="22"/>
                                <w:szCs w:val="22"/>
                              </w:rPr>
                            </w:pPr>
                            <w:r>
                              <w:rPr>
                                <w:spacing w:val="0"/>
                                <w:sz w:val="22"/>
                                <w:szCs w:val="22"/>
                              </w:rPr>
                              <w:t>-13.4</w:t>
                            </w:r>
                          </w:p>
                        </w:tc>
                        <w:tc>
                          <w:tcPr>
                            <w:tcW w:w="103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E8FB4B2" w14:textId="77777777" w:rsidR="00052596" w:rsidRDefault="00000000">
                            <w:pPr>
                              <w:pStyle w:val="t115"/>
                              <w:spacing w:line="240" w:lineRule="atLeast"/>
                              <w:ind w:left="0" w:right="0" w:firstLine="0"/>
                              <w:jc w:val="center"/>
                              <w:rPr>
                                <w:spacing w:val="0"/>
                                <w:sz w:val="22"/>
                                <w:szCs w:val="22"/>
                              </w:rPr>
                            </w:pPr>
                            <w:r>
                              <w:rPr>
                                <w:spacing w:val="0"/>
                                <w:sz w:val="22"/>
                                <w:szCs w:val="22"/>
                              </w:rPr>
                              <w:t>48.3</w:t>
                            </w:r>
                          </w:p>
                        </w:tc>
                      </w:tr>
                    </w:tbl>
                    <w:p w14:paraId="5968A4EA" w14:textId="77777777" w:rsidR="00052596" w:rsidRDefault="00000000">
                      <w:pPr>
                        <w:pStyle w:val="t115"/>
                        <w:tabs>
                          <w:tab w:val="left" w:pos="284"/>
                        </w:tabs>
                        <w:spacing w:line="320" w:lineRule="exact"/>
                        <w:ind w:left="62" w:right="72" w:firstLine="734"/>
                        <w:rPr>
                          <w:color w:val="000000"/>
                          <w:sz w:val="20"/>
                        </w:rPr>
                      </w:pPr>
                      <w:r>
                        <w:rPr>
                          <w:color w:val="000000"/>
                          <w:sz w:val="20"/>
                        </w:rPr>
                        <w:t>註：因四捨五入關係，合計數未必相符。</w:t>
                      </w:r>
                    </w:p>
                    <w:p w14:paraId="1E8B7E1A" w14:textId="77777777" w:rsidR="00052596" w:rsidRDefault="00000000">
                      <w:pPr>
                        <w:pStyle w:val="t115"/>
                        <w:tabs>
                          <w:tab w:val="left" w:pos="284"/>
                        </w:tabs>
                        <w:spacing w:line="320" w:lineRule="exact"/>
                        <w:ind w:left="62" w:right="72" w:firstLine="78"/>
                      </w:pPr>
                      <w:r>
                        <w:rPr>
                          <w:sz w:val="20"/>
                        </w:rPr>
                        <w:t>資料來源：根據行政院主計總處資料計算。</w:t>
                      </w:r>
                    </w:p>
                  </w:txbxContent>
                </v:textbox>
                <w10:wrap anchorx="page"/>
              </v:shape>
            </w:pict>
          </mc:Fallback>
        </mc:AlternateContent>
      </w:r>
    </w:p>
    <w:p w14:paraId="4CA0D62C" w14:textId="77777777" w:rsidR="00052596" w:rsidRDefault="00000000">
      <w:pPr>
        <w:pageBreakBefore/>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二、歐肯係數</w:t>
      </w:r>
    </w:p>
    <w:p w14:paraId="51453B10" w14:textId="77777777" w:rsidR="00052596" w:rsidRDefault="00000000">
      <w:pPr>
        <w:overflowPunct w:val="0"/>
        <w:autoSpaceDE w:val="0"/>
        <w:spacing w:line="420" w:lineRule="exact"/>
        <w:ind w:left="240" w:firstLine="576"/>
        <w:jc w:val="both"/>
        <w:textAlignment w:val="center"/>
      </w:pPr>
      <w:r>
        <w:rPr>
          <w:rFonts w:eastAsia="標楷體"/>
          <w:color w:val="000000"/>
          <w:spacing w:val="4"/>
          <w:kern w:val="0"/>
          <w:sz w:val="28"/>
          <w:szCs w:val="28"/>
        </w:rPr>
        <w:t>自</w:t>
      </w:r>
      <w:r>
        <w:rPr>
          <w:rFonts w:eastAsia="標楷體"/>
          <w:color w:val="000000"/>
          <w:spacing w:val="4"/>
          <w:kern w:val="0"/>
          <w:sz w:val="28"/>
          <w:szCs w:val="28"/>
        </w:rPr>
        <w:t>67</w:t>
      </w:r>
      <w:r>
        <w:rPr>
          <w:rFonts w:eastAsia="標楷體"/>
          <w:color w:val="000000"/>
          <w:spacing w:val="4"/>
          <w:kern w:val="0"/>
          <w:sz w:val="28"/>
          <w:szCs w:val="28"/>
        </w:rPr>
        <w:t>至</w:t>
      </w:r>
      <w:r>
        <w:rPr>
          <w:rFonts w:eastAsia="標楷體"/>
          <w:color w:val="000000"/>
          <w:spacing w:val="4"/>
          <w:kern w:val="0"/>
          <w:sz w:val="28"/>
          <w:szCs w:val="28"/>
        </w:rPr>
        <w:t>100</w:t>
      </w:r>
      <w:r>
        <w:rPr>
          <w:rFonts w:eastAsia="標楷體"/>
          <w:color w:val="000000"/>
          <w:spacing w:val="4"/>
          <w:kern w:val="0"/>
          <w:sz w:val="28"/>
          <w:szCs w:val="28"/>
        </w:rPr>
        <w:t>年的</w:t>
      </w:r>
      <w:r>
        <w:rPr>
          <w:rFonts w:eastAsia="標楷體"/>
          <w:color w:val="000000"/>
          <w:spacing w:val="4"/>
          <w:kern w:val="0"/>
          <w:sz w:val="28"/>
          <w:szCs w:val="28"/>
        </w:rPr>
        <w:t>33</w:t>
      </w:r>
      <w:r>
        <w:rPr>
          <w:rFonts w:eastAsia="標楷體"/>
          <w:color w:val="000000"/>
          <w:spacing w:val="4"/>
          <w:kern w:val="0"/>
          <w:sz w:val="28"/>
          <w:szCs w:val="28"/>
        </w:rPr>
        <w:t>年間，我國失業率大致呈上升趨勢，且失業率變動與經濟成長率呈負相關</w:t>
      </w:r>
      <w:r>
        <w:rPr>
          <w:rFonts w:ascii="標楷體" w:eastAsia="標楷體" w:hAnsi="標楷體"/>
          <w:color w:val="000000"/>
          <w:spacing w:val="4"/>
          <w:kern w:val="0"/>
          <w:sz w:val="28"/>
          <w:szCs w:val="28"/>
        </w:rPr>
        <w:t>。</w:t>
      </w:r>
      <w:r>
        <w:rPr>
          <w:rFonts w:eastAsia="標楷體"/>
          <w:color w:val="000000"/>
          <w:spacing w:val="4"/>
          <w:kern w:val="0"/>
          <w:sz w:val="28"/>
          <w:szCs w:val="28"/>
        </w:rPr>
        <w:t>行政院主計總處依</w:t>
      </w:r>
      <w:r>
        <w:rPr>
          <w:rFonts w:eastAsia="標楷體"/>
          <w:color w:val="000000"/>
          <w:spacing w:val="4"/>
          <w:kern w:val="0"/>
          <w:sz w:val="28"/>
          <w:szCs w:val="28"/>
        </w:rPr>
        <w:t>1993</w:t>
      </w:r>
      <w:r>
        <w:rPr>
          <w:rFonts w:eastAsia="標楷體"/>
          <w:color w:val="000000"/>
          <w:spacing w:val="4"/>
          <w:kern w:val="0"/>
          <w:sz w:val="28"/>
          <w:szCs w:val="28"/>
        </w:rPr>
        <w:t>年第</w:t>
      </w:r>
      <w:r>
        <w:rPr>
          <w:rFonts w:eastAsia="標楷體"/>
          <w:color w:val="000000"/>
          <w:spacing w:val="4"/>
          <w:kern w:val="0"/>
          <w:sz w:val="28"/>
          <w:szCs w:val="28"/>
        </w:rPr>
        <w:t>2</w:t>
      </w:r>
      <w:r>
        <w:rPr>
          <w:rFonts w:eastAsia="標楷體"/>
          <w:color w:val="000000"/>
          <w:spacing w:val="4"/>
          <w:kern w:val="0"/>
          <w:sz w:val="28"/>
          <w:szCs w:val="28"/>
        </w:rPr>
        <w:t>季至</w:t>
      </w:r>
      <w:r>
        <w:rPr>
          <w:rFonts w:eastAsia="標楷體"/>
          <w:color w:val="000000"/>
          <w:spacing w:val="4"/>
          <w:kern w:val="0"/>
          <w:sz w:val="28"/>
          <w:szCs w:val="28"/>
        </w:rPr>
        <w:t>2008</w:t>
      </w:r>
      <w:r>
        <w:rPr>
          <w:rFonts w:eastAsia="標楷體"/>
          <w:color w:val="000000"/>
          <w:spacing w:val="4"/>
          <w:kern w:val="0"/>
          <w:sz w:val="28"/>
          <w:szCs w:val="28"/>
        </w:rPr>
        <w:t>年第</w:t>
      </w:r>
      <w:r>
        <w:rPr>
          <w:rFonts w:eastAsia="標楷體"/>
          <w:color w:val="000000"/>
          <w:spacing w:val="4"/>
          <w:kern w:val="0"/>
          <w:sz w:val="28"/>
          <w:szCs w:val="28"/>
        </w:rPr>
        <w:t>1</w:t>
      </w:r>
      <w:r>
        <w:rPr>
          <w:rFonts w:eastAsia="標楷體"/>
          <w:color w:val="000000"/>
          <w:spacing w:val="4"/>
          <w:kern w:val="0"/>
          <w:sz w:val="28"/>
          <w:szCs w:val="28"/>
        </w:rPr>
        <w:t>季資料估計，臺灣歐肯係數</w:t>
      </w:r>
      <w:r>
        <w:rPr>
          <w:rFonts w:ascii="標楷體" w:eastAsia="標楷體" w:hAnsi="標楷體"/>
          <w:color w:val="000000"/>
          <w:spacing w:val="4"/>
          <w:kern w:val="0"/>
          <w:sz w:val="28"/>
          <w:szCs w:val="28"/>
        </w:rPr>
        <w:t>(實質</w:t>
      </w:r>
      <w:r>
        <w:rPr>
          <w:rFonts w:eastAsia="標楷體"/>
          <w:color w:val="000000"/>
          <w:spacing w:val="4"/>
          <w:kern w:val="0"/>
          <w:sz w:val="28"/>
          <w:szCs w:val="28"/>
        </w:rPr>
        <w:t>GDP</w:t>
      </w:r>
      <w:r>
        <w:rPr>
          <w:rFonts w:eastAsia="標楷體"/>
          <w:color w:val="000000"/>
          <w:spacing w:val="4"/>
          <w:kern w:val="0"/>
          <w:sz w:val="28"/>
          <w:szCs w:val="28"/>
        </w:rPr>
        <w:t>增加</w:t>
      </w:r>
      <w:r>
        <w:rPr>
          <w:rFonts w:eastAsia="標楷體"/>
          <w:color w:val="000000"/>
          <w:spacing w:val="4"/>
          <w:kern w:val="0"/>
          <w:sz w:val="28"/>
          <w:szCs w:val="28"/>
        </w:rPr>
        <w:t>1%</w:t>
      </w:r>
      <w:r>
        <w:rPr>
          <w:rFonts w:eastAsia="標楷體"/>
          <w:color w:val="000000"/>
          <w:spacing w:val="4"/>
          <w:kern w:val="0"/>
          <w:sz w:val="28"/>
          <w:szCs w:val="28"/>
        </w:rPr>
        <w:t>所能改善失業率的效果</w:t>
      </w:r>
      <w:r>
        <w:rPr>
          <w:rFonts w:ascii="標楷體" w:eastAsia="標楷體" w:hAnsi="標楷體"/>
          <w:color w:val="000000"/>
          <w:spacing w:val="4"/>
          <w:kern w:val="0"/>
          <w:sz w:val="28"/>
          <w:szCs w:val="28"/>
        </w:rPr>
        <w:t>)大致介於</w:t>
      </w:r>
      <w:r>
        <w:rPr>
          <w:rFonts w:eastAsia="標楷體"/>
          <w:color w:val="000000"/>
          <w:spacing w:val="4"/>
          <w:kern w:val="0"/>
          <w:sz w:val="28"/>
          <w:szCs w:val="28"/>
        </w:rPr>
        <w:t>0.10</w:t>
      </w:r>
      <w:r>
        <w:rPr>
          <w:rFonts w:eastAsia="標楷體"/>
          <w:color w:val="000000"/>
          <w:spacing w:val="4"/>
          <w:kern w:val="0"/>
          <w:sz w:val="28"/>
          <w:szCs w:val="28"/>
        </w:rPr>
        <w:t>至</w:t>
      </w:r>
      <w:r>
        <w:rPr>
          <w:rFonts w:eastAsia="標楷體"/>
          <w:color w:val="000000"/>
          <w:spacing w:val="4"/>
          <w:kern w:val="0"/>
          <w:sz w:val="28"/>
          <w:szCs w:val="28"/>
        </w:rPr>
        <w:t>0.16</w:t>
      </w:r>
      <w:r>
        <w:rPr>
          <w:rFonts w:eastAsia="標楷體"/>
          <w:color w:val="000000"/>
          <w:spacing w:val="4"/>
          <w:kern w:val="0"/>
          <w:sz w:val="28"/>
          <w:szCs w:val="28"/>
        </w:rPr>
        <w:t>之間，與新加坡</w:t>
      </w:r>
      <w:r>
        <w:rPr>
          <w:rFonts w:eastAsia="標楷體"/>
          <w:color w:val="000000"/>
          <w:spacing w:val="4"/>
          <w:kern w:val="0"/>
          <w:sz w:val="28"/>
          <w:szCs w:val="28"/>
        </w:rPr>
        <w:t>0.17</w:t>
      </w:r>
      <w:r>
        <w:rPr>
          <w:rFonts w:eastAsia="標楷體"/>
          <w:color w:val="000000"/>
          <w:spacing w:val="4"/>
          <w:kern w:val="0"/>
          <w:sz w:val="28"/>
          <w:szCs w:val="28"/>
        </w:rPr>
        <w:t>相當，低於南韓</w:t>
      </w:r>
      <w:r>
        <w:rPr>
          <w:rFonts w:eastAsia="標楷體"/>
          <w:color w:val="000000"/>
          <w:spacing w:val="4"/>
          <w:kern w:val="0"/>
          <w:sz w:val="28"/>
          <w:szCs w:val="28"/>
        </w:rPr>
        <w:t>0.35</w:t>
      </w:r>
      <w:r>
        <w:rPr>
          <w:rFonts w:eastAsia="標楷體"/>
          <w:color w:val="000000"/>
          <w:spacing w:val="4"/>
          <w:kern w:val="0"/>
          <w:sz w:val="28"/>
          <w:szCs w:val="28"/>
        </w:rPr>
        <w:t>及香港</w:t>
      </w:r>
      <w:r>
        <w:rPr>
          <w:rFonts w:eastAsia="標楷體"/>
          <w:color w:val="000000"/>
          <w:spacing w:val="4"/>
          <w:kern w:val="0"/>
          <w:sz w:val="28"/>
          <w:szCs w:val="28"/>
        </w:rPr>
        <w:t>0.23</w:t>
      </w:r>
      <w:r>
        <w:rPr>
          <w:rFonts w:eastAsia="標楷體"/>
          <w:color w:val="000000"/>
          <w:spacing w:val="4"/>
          <w:kern w:val="0"/>
          <w:sz w:val="28"/>
          <w:szCs w:val="28"/>
        </w:rPr>
        <w:t>。另</w:t>
      </w:r>
      <w:r>
        <w:rPr>
          <w:rFonts w:eastAsia="標楷體"/>
          <w:color w:val="000000"/>
          <w:spacing w:val="4"/>
          <w:kern w:val="0"/>
          <w:sz w:val="28"/>
          <w:szCs w:val="28"/>
        </w:rPr>
        <w:t>IMF</w:t>
      </w:r>
      <w:r>
        <w:rPr>
          <w:rFonts w:ascii="標楷體" w:eastAsia="標楷體" w:hAnsi="標楷體"/>
          <w:color w:val="000000"/>
          <w:spacing w:val="4"/>
          <w:kern w:val="0"/>
          <w:sz w:val="28"/>
          <w:szCs w:val="28"/>
        </w:rPr>
        <w:t>(</w:t>
      </w:r>
      <w:r>
        <w:rPr>
          <w:rFonts w:eastAsia="標楷體"/>
          <w:color w:val="000000"/>
          <w:spacing w:val="4"/>
          <w:kern w:val="0"/>
          <w:sz w:val="28"/>
          <w:szCs w:val="28"/>
        </w:rPr>
        <w:t>2012</w:t>
      </w:r>
      <w:r>
        <w:rPr>
          <w:rFonts w:ascii="標楷體" w:eastAsia="標楷體" w:hAnsi="標楷體"/>
          <w:color w:val="000000"/>
          <w:spacing w:val="4"/>
          <w:kern w:val="0"/>
          <w:sz w:val="28"/>
          <w:szCs w:val="28"/>
        </w:rPr>
        <w:t>)依</w:t>
      </w:r>
      <w:r>
        <w:rPr>
          <w:rFonts w:eastAsia="標楷體"/>
          <w:color w:val="000000"/>
          <w:spacing w:val="4"/>
          <w:kern w:val="0"/>
          <w:sz w:val="28"/>
          <w:szCs w:val="28"/>
        </w:rPr>
        <w:t>1980</w:t>
      </w:r>
      <w:r>
        <w:rPr>
          <w:rFonts w:eastAsia="標楷體"/>
          <w:color w:val="000000"/>
          <w:spacing w:val="4"/>
          <w:kern w:val="0"/>
          <w:sz w:val="28"/>
          <w:szCs w:val="28"/>
        </w:rPr>
        <w:t>至</w:t>
      </w:r>
      <w:r>
        <w:rPr>
          <w:rFonts w:eastAsia="標楷體"/>
          <w:color w:val="000000"/>
          <w:spacing w:val="4"/>
          <w:kern w:val="0"/>
          <w:sz w:val="28"/>
          <w:szCs w:val="28"/>
        </w:rPr>
        <w:t>2011</w:t>
      </w:r>
      <w:r>
        <w:rPr>
          <w:rFonts w:eastAsia="標楷體"/>
          <w:color w:val="000000"/>
          <w:spacing w:val="4"/>
          <w:kern w:val="0"/>
          <w:sz w:val="28"/>
          <w:szCs w:val="28"/>
        </w:rPr>
        <w:t>年資料估計，先進國家歐肯係數介於</w:t>
      </w:r>
      <w:r>
        <w:rPr>
          <w:rFonts w:eastAsia="標楷體"/>
          <w:color w:val="000000"/>
          <w:spacing w:val="4"/>
          <w:kern w:val="0"/>
          <w:sz w:val="28"/>
          <w:szCs w:val="28"/>
        </w:rPr>
        <w:t>0.16</w:t>
      </w:r>
      <w:r>
        <w:rPr>
          <w:rFonts w:ascii="標楷體" w:eastAsia="標楷體" w:hAnsi="標楷體"/>
          <w:color w:val="000000"/>
          <w:spacing w:val="4"/>
          <w:kern w:val="0"/>
          <w:sz w:val="28"/>
          <w:szCs w:val="28"/>
        </w:rPr>
        <w:t>(</w:t>
      </w:r>
      <w:r>
        <w:rPr>
          <w:rFonts w:eastAsia="標楷體"/>
          <w:color w:val="000000"/>
          <w:spacing w:val="4"/>
          <w:kern w:val="0"/>
          <w:sz w:val="28"/>
          <w:szCs w:val="28"/>
        </w:rPr>
        <w:t>日本</w:t>
      </w:r>
      <w:r>
        <w:rPr>
          <w:rFonts w:ascii="標楷體" w:eastAsia="標楷體" w:hAnsi="標楷體"/>
          <w:color w:val="000000"/>
          <w:spacing w:val="4"/>
          <w:kern w:val="0"/>
          <w:sz w:val="28"/>
          <w:szCs w:val="28"/>
        </w:rPr>
        <w:t>)</w:t>
      </w:r>
      <w:r>
        <w:rPr>
          <w:rFonts w:eastAsia="標楷體"/>
          <w:color w:val="000000"/>
          <w:spacing w:val="4"/>
          <w:kern w:val="0"/>
          <w:sz w:val="28"/>
          <w:szCs w:val="28"/>
        </w:rPr>
        <w:t>至</w:t>
      </w:r>
      <w:r>
        <w:rPr>
          <w:rFonts w:eastAsia="標楷體"/>
          <w:color w:val="000000"/>
          <w:spacing w:val="4"/>
          <w:kern w:val="0"/>
          <w:sz w:val="28"/>
          <w:szCs w:val="28"/>
        </w:rPr>
        <w:t>0.85</w:t>
      </w:r>
      <w:r>
        <w:rPr>
          <w:rFonts w:ascii="標楷體" w:eastAsia="標楷體" w:hAnsi="標楷體"/>
          <w:color w:val="000000"/>
          <w:spacing w:val="4"/>
          <w:kern w:val="0"/>
          <w:sz w:val="28"/>
          <w:szCs w:val="28"/>
        </w:rPr>
        <w:t>(</w:t>
      </w:r>
      <w:r>
        <w:rPr>
          <w:rFonts w:eastAsia="標楷體"/>
          <w:color w:val="000000"/>
          <w:spacing w:val="4"/>
          <w:kern w:val="0"/>
          <w:sz w:val="28"/>
          <w:szCs w:val="28"/>
        </w:rPr>
        <w:t>西班牙</w:t>
      </w:r>
      <w:r>
        <w:rPr>
          <w:rFonts w:ascii="標楷體" w:eastAsia="標楷體" w:hAnsi="標楷體"/>
          <w:color w:val="000000"/>
          <w:spacing w:val="4"/>
          <w:kern w:val="0"/>
          <w:sz w:val="28"/>
          <w:szCs w:val="28"/>
        </w:rPr>
        <w:t>)</w:t>
      </w:r>
      <w:r>
        <w:rPr>
          <w:rFonts w:eastAsia="標楷體"/>
          <w:color w:val="000000"/>
          <w:spacing w:val="4"/>
          <w:kern w:val="0"/>
          <w:sz w:val="28"/>
          <w:szCs w:val="28"/>
        </w:rPr>
        <w:t>之間。與先進國家相比，我國歐肯係數相對較低，顯示國內經濟成長所能改善失業的效果相對低於其他國家，反映國內勞動市場存在結構性問題。從總體層面觀察，此應與國內產業投資結構偏向高科技產業，及「臺灣接單，海外生產」的三角貿易生產型態有關。分述如次</w:t>
      </w:r>
      <w:r>
        <w:rPr>
          <w:rFonts w:eastAsia="標楷體"/>
          <w:color w:val="000000"/>
          <w:spacing w:val="4"/>
          <w:kern w:val="0"/>
          <w:sz w:val="28"/>
          <w:szCs w:val="26"/>
        </w:rPr>
        <w:t>：</w:t>
      </w:r>
    </w:p>
    <w:p w14:paraId="67F7AFE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610" w:hanging="346"/>
        <w:jc w:val="both"/>
        <w:textAlignment w:val="center"/>
      </w:pPr>
      <w:r>
        <w:rPr>
          <w:rFonts w:ascii="標楷體" w:eastAsia="標楷體" w:hAnsi="標楷體"/>
          <w:color w:val="000000"/>
          <w:spacing w:val="4"/>
          <w:kern w:val="0"/>
          <w:sz w:val="28"/>
          <w:szCs w:val="22"/>
        </w:rPr>
        <w:t>－產業投資結構方面</w:t>
      </w:r>
      <w:r>
        <w:rPr>
          <w:rFonts w:eastAsia="標楷體"/>
          <w:color w:val="000000"/>
          <w:spacing w:val="4"/>
          <w:kern w:val="0"/>
          <w:sz w:val="28"/>
          <w:szCs w:val="22"/>
        </w:rPr>
        <w:t>：國內產業投資多集中高科技產業，依</w:t>
      </w:r>
      <w:r>
        <w:rPr>
          <w:rFonts w:eastAsia="標楷體"/>
          <w:color w:val="000000"/>
          <w:spacing w:val="4"/>
          <w:kern w:val="0"/>
          <w:sz w:val="28"/>
          <w:szCs w:val="22"/>
        </w:rPr>
        <w:t>95</w:t>
      </w:r>
      <w:r>
        <w:rPr>
          <w:rFonts w:eastAsia="標楷體"/>
          <w:color w:val="000000"/>
          <w:spacing w:val="4"/>
          <w:kern w:val="0"/>
          <w:sz w:val="28"/>
          <w:szCs w:val="22"/>
        </w:rPr>
        <w:t>年工商普查報告，非傳統製造業</w:t>
      </w:r>
      <w:r>
        <w:rPr>
          <w:rFonts w:ascii="標楷體" w:eastAsia="標楷體" w:hAnsi="標楷體"/>
          <w:color w:val="000000"/>
          <w:spacing w:val="4"/>
          <w:kern w:val="0"/>
          <w:sz w:val="28"/>
          <w:szCs w:val="22"/>
        </w:rPr>
        <w:t>(</w:t>
      </w:r>
      <w:r>
        <w:rPr>
          <w:rFonts w:eastAsia="標楷體"/>
          <w:color w:val="000000"/>
          <w:spacing w:val="4"/>
          <w:kern w:val="0"/>
          <w:sz w:val="28"/>
          <w:szCs w:val="22"/>
        </w:rPr>
        <w:t>資訊電子工業</w:t>
      </w:r>
      <w:r>
        <w:rPr>
          <w:rFonts w:ascii="標楷體" w:eastAsia="標楷體" w:hAnsi="標楷體"/>
          <w:color w:val="000000"/>
          <w:spacing w:val="4"/>
          <w:kern w:val="0"/>
          <w:sz w:val="28"/>
          <w:szCs w:val="22"/>
        </w:rPr>
        <w:t>)</w:t>
      </w:r>
      <w:r>
        <w:rPr>
          <w:rFonts w:eastAsia="標楷體"/>
          <w:color w:val="000000"/>
          <w:spacing w:val="4"/>
          <w:kern w:val="0"/>
          <w:sz w:val="28"/>
          <w:szCs w:val="22"/>
        </w:rPr>
        <w:t>每投入</w:t>
      </w:r>
      <w:r>
        <w:rPr>
          <w:rFonts w:eastAsia="標楷體"/>
          <w:color w:val="000000"/>
          <w:spacing w:val="4"/>
          <w:kern w:val="0"/>
          <w:sz w:val="28"/>
          <w:szCs w:val="22"/>
        </w:rPr>
        <w:t>1</w:t>
      </w:r>
      <w:r>
        <w:rPr>
          <w:rFonts w:eastAsia="標楷體"/>
          <w:color w:val="000000"/>
          <w:spacing w:val="4"/>
          <w:kern w:val="0"/>
          <w:sz w:val="28"/>
          <w:szCs w:val="22"/>
        </w:rPr>
        <w:t>億元的資本只能創造</w:t>
      </w:r>
      <w:r>
        <w:rPr>
          <w:rFonts w:eastAsia="標楷體"/>
          <w:color w:val="000000"/>
          <w:spacing w:val="4"/>
          <w:kern w:val="0"/>
          <w:sz w:val="28"/>
          <w:szCs w:val="22"/>
        </w:rPr>
        <w:t>8</w:t>
      </w:r>
      <w:r>
        <w:rPr>
          <w:rFonts w:eastAsia="標楷體"/>
          <w:color w:val="000000"/>
          <w:spacing w:val="4"/>
          <w:kern w:val="0"/>
          <w:sz w:val="28"/>
          <w:szCs w:val="22"/>
        </w:rPr>
        <w:t>個就業機會，而傳統製造業每投入</w:t>
      </w:r>
      <w:r>
        <w:rPr>
          <w:rFonts w:eastAsia="標楷體"/>
          <w:color w:val="000000"/>
          <w:spacing w:val="4"/>
          <w:kern w:val="0"/>
          <w:sz w:val="28"/>
          <w:szCs w:val="22"/>
        </w:rPr>
        <w:t>1</w:t>
      </w:r>
      <w:r>
        <w:rPr>
          <w:rFonts w:eastAsia="標楷體"/>
          <w:color w:val="000000"/>
          <w:spacing w:val="4"/>
          <w:kern w:val="0"/>
          <w:sz w:val="28"/>
          <w:szCs w:val="22"/>
        </w:rPr>
        <w:t>億元的資本則可創造</w:t>
      </w:r>
      <w:r>
        <w:rPr>
          <w:rFonts w:eastAsia="標楷體"/>
          <w:color w:val="000000"/>
          <w:spacing w:val="4"/>
          <w:kern w:val="0"/>
          <w:sz w:val="28"/>
          <w:szCs w:val="22"/>
        </w:rPr>
        <w:t>16</w:t>
      </w:r>
      <w:r>
        <w:rPr>
          <w:rFonts w:eastAsia="標楷體"/>
          <w:color w:val="000000"/>
          <w:spacing w:val="4"/>
          <w:kern w:val="0"/>
          <w:sz w:val="28"/>
          <w:szCs w:val="22"/>
        </w:rPr>
        <w:t>個就業機會。</w:t>
      </w:r>
    </w:p>
    <w:p w14:paraId="2424EC2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52" w:hanging="288"/>
        <w:jc w:val="both"/>
        <w:textAlignment w:val="center"/>
      </w:pPr>
      <w:r>
        <w:rPr>
          <w:noProof/>
        </w:rPr>
        <mc:AlternateContent>
          <mc:Choice Requires="wpg">
            <w:drawing>
              <wp:anchor distT="0" distB="0" distL="114300" distR="114300" simplePos="0" relativeHeight="251642368" behindDoc="0" locked="0" layoutInCell="1" allowOverlap="1" wp14:anchorId="6EC6F387" wp14:editId="61796E3D">
                <wp:simplePos x="0" y="0"/>
                <wp:positionH relativeFrom="column">
                  <wp:posOffset>262890</wp:posOffset>
                </wp:positionH>
                <wp:positionV relativeFrom="paragraph">
                  <wp:posOffset>1313819</wp:posOffset>
                </wp:positionV>
                <wp:extent cx="4747893" cy="2956557"/>
                <wp:effectExtent l="0" t="0" r="0" b="0"/>
                <wp:wrapNone/>
                <wp:docPr id="121" name="群組 43008"/>
                <wp:cNvGraphicFramePr/>
                <a:graphic xmlns:a="http://schemas.openxmlformats.org/drawingml/2006/main">
                  <a:graphicData uri="http://schemas.microsoft.com/office/word/2010/wordprocessingGroup">
                    <wpg:wgp>
                      <wpg:cNvGrpSpPr/>
                      <wpg:grpSpPr>
                        <a:xfrm>
                          <a:off x="0" y="0"/>
                          <a:ext cx="4747893" cy="2956557"/>
                          <a:chOff x="0" y="0"/>
                          <a:chExt cx="4747893" cy="2956557"/>
                        </a:xfrm>
                      </wpg:grpSpPr>
                      <pic:pic xmlns:pic="http://schemas.openxmlformats.org/drawingml/2006/picture">
                        <pic:nvPicPr>
                          <pic:cNvPr id="122" name="圖表 8"/>
                          <pic:cNvPicPr>
                            <a:picLocks noChangeAspect="1"/>
                          </pic:cNvPicPr>
                        </pic:nvPicPr>
                        <pic:blipFill>
                          <a:blip r:embed="rId35"/>
                          <a:srcRect/>
                          <a:stretch>
                            <a:fillRect/>
                          </a:stretch>
                        </pic:blipFill>
                        <pic:spPr>
                          <a:xfrm>
                            <a:off x="109215" y="377821"/>
                            <a:ext cx="4638678" cy="2267583"/>
                          </a:xfrm>
                          <a:prstGeom prst="rect">
                            <a:avLst/>
                          </a:prstGeom>
                          <a:noFill/>
                          <a:ln>
                            <a:noFill/>
                            <a:prstDash/>
                          </a:ln>
                        </pic:spPr>
                      </pic:pic>
                      <wps:wsp>
                        <wps:cNvPr id="123" name="文字方塊 9"/>
                        <wps:cNvSpPr txBox="1"/>
                        <wps:spPr>
                          <a:xfrm>
                            <a:off x="0" y="2670807"/>
                            <a:ext cx="2295528" cy="285750"/>
                          </a:xfrm>
                          <a:prstGeom prst="rect">
                            <a:avLst/>
                          </a:prstGeom>
                        </wps:spPr>
                        <wps:txbx>
                          <w:txbxContent>
                            <w:p w14:paraId="60283758" w14:textId="77777777" w:rsidR="00052596" w:rsidRDefault="00000000">
                              <w:pPr>
                                <w:pStyle w:val="k4a"/>
                                <w:spacing w:line="280" w:lineRule="exact"/>
                                <w:ind w:left="0" w:firstLine="0"/>
                                <w:jc w:val="left"/>
                                <w:outlineLvl w:val="9"/>
                                <w:rPr>
                                  <w:rFonts w:ascii="Times New Roman" w:eastAsia="標楷體" w:hAnsi="Times New Roman"/>
                                  <w:color w:val="000000"/>
                                  <w:spacing w:val="0"/>
                                  <w:sz w:val="22"/>
                                </w:rPr>
                              </w:pPr>
                              <w:r>
                                <w:rPr>
                                  <w:rFonts w:ascii="Times New Roman" w:eastAsia="標楷體" w:hAnsi="Times New Roman"/>
                                  <w:color w:val="000000"/>
                                  <w:spacing w:val="0"/>
                                  <w:sz w:val="22"/>
                                </w:rPr>
                                <w:t>資料來源：行政院主計總處。</w:t>
                              </w:r>
                            </w:p>
                          </w:txbxContent>
                        </wps:txbx>
                        <wps:bodyPr wrap="square" lIns="91440" tIns="45720" rIns="91440" bIns="45720" anchor="t">
                          <a:noAutofit/>
                        </wps:bodyPr>
                      </wps:wsp>
                      <wps:wsp>
                        <wps:cNvPr id="124" name="文字方塊 10"/>
                        <wps:cNvSpPr txBox="1"/>
                        <wps:spPr>
                          <a:xfrm>
                            <a:off x="714375" y="0"/>
                            <a:ext cx="3752853" cy="533396"/>
                          </a:xfrm>
                          <a:prstGeom prst="rect">
                            <a:avLst/>
                          </a:prstGeom>
                        </wps:spPr>
                        <wps:txbx>
                          <w:txbxContent>
                            <w:p w14:paraId="0D97C32C" w14:textId="77777777" w:rsidR="00052596" w:rsidRDefault="00000000">
                              <w:pPr>
                                <w:pStyle w:val="k4a"/>
                                <w:spacing w:line="320" w:lineRule="exact"/>
                                <w:ind w:left="0" w:firstLine="0"/>
                                <w:jc w:val="center"/>
                                <w:outlineLvl w:val="9"/>
                                <w:rPr>
                                  <w:rFonts w:ascii="Times New Roman" w:eastAsia="標楷體" w:hAnsi="Times New Roman"/>
                                  <w:b/>
                                  <w:color w:val="0000FF"/>
                                  <w:sz w:val="25"/>
                                  <w:szCs w:val="25"/>
                                </w:rPr>
                              </w:pPr>
                              <w:r>
                                <w:rPr>
                                  <w:rFonts w:ascii="Times New Roman" w:eastAsia="標楷體" w:hAnsi="Times New Roman"/>
                                  <w:b/>
                                  <w:color w:val="0000FF"/>
                                  <w:sz w:val="25"/>
                                  <w:szCs w:val="25"/>
                                </w:rPr>
                                <w:t>圖</w:t>
                              </w:r>
                              <w:r>
                                <w:rPr>
                                  <w:rFonts w:ascii="Times New Roman" w:eastAsia="標楷體" w:hAnsi="Times New Roman"/>
                                  <w:b/>
                                  <w:color w:val="0000FF"/>
                                  <w:sz w:val="25"/>
                                  <w:szCs w:val="25"/>
                                </w:rPr>
                                <w:t>1.2.5</w:t>
                              </w:r>
                              <w:r>
                                <w:rPr>
                                  <w:rFonts w:ascii="Times New Roman" w:eastAsia="標楷體" w:hAnsi="Times New Roman"/>
                                  <w:b/>
                                  <w:color w:val="0000FF"/>
                                  <w:sz w:val="25"/>
                                  <w:szCs w:val="25"/>
                                </w:rPr>
                                <w:t xml:space="preserve">　我國經濟成長率與失業率變動之關聯</w:t>
                              </w:r>
                            </w:p>
                            <w:p w14:paraId="122722D7" w14:textId="77777777" w:rsidR="00052596" w:rsidRDefault="00000000">
                              <w:pPr>
                                <w:pStyle w:val="k4a"/>
                                <w:spacing w:line="360" w:lineRule="exact"/>
                                <w:ind w:left="0" w:firstLine="0"/>
                                <w:jc w:val="center"/>
                                <w:outlineLvl w:val="9"/>
                              </w:pPr>
                              <w:r>
                                <w:rPr>
                                  <w:rFonts w:ascii="標楷體" w:eastAsia="標楷體" w:hAnsi="標楷體"/>
                                  <w:b/>
                                  <w:color w:val="0000FF"/>
                                  <w:spacing w:val="-16"/>
                                  <w:sz w:val="25"/>
                                  <w:szCs w:val="25"/>
                                </w:rPr>
                                <w:t>(</w:t>
                              </w:r>
                              <w:r>
                                <w:rPr>
                                  <w:rFonts w:ascii="Times New Roman" w:eastAsia="標楷體" w:hAnsi="Times New Roman"/>
                                  <w:b/>
                                  <w:color w:val="0000FF"/>
                                  <w:spacing w:val="-16"/>
                                  <w:sz w:val="25"/>
                                  <w:szCs w:val="25"/>
                                </w:rPr>
                                <w:t>67</w:t>
                              </w:r>
                              <w:r>
                                <w:rPr>
                                  <w:rFonts w:ascii="Times New Roman" w:eastAsia="標楷體" w:hAnsi="Times New Roman"/>
                                  <w:b/>
                                  <w:color w:val="0000FF"/>
                                  <w:spacing w:val="-16"/>
                                  <w:sz w:val="25"/>
                                  <w:szCs w:val="25"/>
                                </w:rPr>
                                <w:t>至</w:t>
                              </w:r>
                              <w:r>
                                <w:rPr>
                                  <w:rFonts w:ascii="Times New Roman" w:eastAsia="標楷體" w:hAnsi="Times New Roman"/>
                                  <w:b/>
                                  <w:color w:val="0000FF"/>
                                  <w:spacing w:val="-16"/>
                                  <w:sz w:val="25"/>
                                  <w:szCs w:val="25"/>
                                </w:rPr>
                                <w:t>100</w:t>
                              </w:r>
                              <w:r>
                                <w:rPr>
                                  <w:rFonts w:ascii="Times New Roman" w:eastAsia="標楷體" w:hAnsi="Times New Roman"/>
                                  <w:b/>
                                  <w:color w:val="0000FF"/>
                                  <w:spacing w:val="-16"/>
                                  <w:sz w:val="25"/>
                                  <w:szCs w:val="25"/>
                                </w:rPr>
                                <w:t>年</w:t>
                              </w:r>
                              <w:r>
                                <w:rPr>
                                  <w:rFonts w:ascii="標楷體" w:eastAsia="標楷體" w:hAnsi="標楷體"/>
                                  <w:b/>
                                  <w:color w:val="0000FF"/>
                                  <w:spacing w:val="-16"/>
                                  <w:sz w:val="25"/>
                                  <w:szCs w:val="25"/>
                                </w:rPr>
                                <w:t>)</w:t>
                              </w:r>
                            </w:p>
                          </w:txbxContent>
                        </wps:txbx>
                        <wps:bodyPr wrap="square" lIns="91440" tIns="45720" rIns="91440" bIns="45720" anchor="t">
                          <a:noAutofit/>
                        </wps:bodyPr>
                      </wps:wsp>
                    </wpg:wgp>
                  </a:graphicData>
                </a:graphic>
              </wp:anchor>
            </w:drawing>
          </mc:Choice>
          <mc:Fallback>
            <w:pict>
              <v:group w14:anchorId="6EC6F387" id="群組 43008" o:spid="_x0000_s1059" style="position:absolute;left:0;text-align:left;margin-left:20.7pt;margin-top:103.45pt;width:373.85pt;height:232.8pt;z-index:251642368" coordsize="47478,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">
                <v:shape id="圖表 8" o:spid="_x0000_s1060" type="#_x0000_t75" style="position:absolute;left:1092;top:3778;width:46386;height:2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">
                  <v:imagedata r:id="rId36" o:title=""/>
                </v:shape>
                <v:shape id="文字方塊 9" o:spid="_x0000_s1061" type="#_x0000_t202" style="position:absolute;top:26708;width:2295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60283758" w14:textId="77777777" w:rsidR="00052596" w:rsidRDefault="00000000">
                        <w:pPr>
                          <w:pStyle w:val="k4a"/>
                          <w:spacing w:line="280" w:lineRule="exact"/>
                          <w:ind w:left="0" w:firstLine="0"/>
                          <w:jc w:val="left"/>
                          <w:outlineLvl w:val="9"/>
                          <w:rPr>
                            <w:rFonts w:ascii="Times New Roman" w:eastAsia="標楷體" w:hAnsi="Times New Roman"/>
                            <w:color w:val="000000"/>
                            <w:spacing w:val="0"/>
                            <w:sz w:val="22"/>
                          </w:rPr>
                        </w:pPr>
                        <w:r>
                          <w:rPr>
                            <w:rFonts w:ascii="Times New Roman" w:eastAsia="標楷體" w:hAnsi="Times New Roman"/>
                            <w:color w:val="000000"/>
                            <w:spacing w:val="0"/>
                            <w:sz w:val="22"/>
                          </w:rPr>
                          <w:t>資料來源：行政院主計總處。</w:t>
                        </w:r>
                      </w:p>
                    </w:txbxContent>
                  </v:textbox>
                </v:shape>
                <v:shape id="文字方塊 10" o:spid="_x0000_s1062" type="#_x0000_t202" style="position:absolute;left:7143;width:37529;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0D97C32C" w14:textId="77777777" w:rsidR="00052596" w:rsidRDefault="00000000">
                        <w:pPr>
                          <w:pStyle w:val="k4a"/>
                          <w:spacing w:line="320" w:lineRule="exact"/>
                          <w:ind w:left="0" w:firstLine="0"/>
                          <w:jc w:val="center"/>
                          <w:outlineLvl w:val="9"/>
                          <w:rPr>
                            <w:rFonts w:ascii="Times New Roman" w:eastAsia="標楷體" w:hAnsi="Times New Roman"/>
                            <w:b/>
                            <w:color w:val="0000FF"/>
                            <w:sz w:val="25"/>
                            <w:szCs w:val="25"/>
                          </w:rPr>
                        </w:pPr>
                        <w:r>
                          <w:rPr>
                            <w:rFonts w:ascii="Times New Roman" w:eastAsia="標楷體" w:hAnsi="Times New Roman"/>
                            <w:b/>
                            <w:color w:val="0000FF"/>
                            <w:sz w:val="25"/>
                            <w:szCs w:val="25"/>
                          </w:rPr>
                          <w:t>圖</w:t>
                        </w:r>
                        <w:r>
                          <w:rPr>
                            <w:rFonts w:ascii="Times New Roman" w:eastAsia="標楷體" w:hAnsi="Times New Roman"/>
                            <w:b/>
                            <w:color w:val="0000FF"/>
                            <w:sz w:val="25"/>
                            <w:szCs w:val="25"/>
                          </w:rPr>
                          <w:t>1.2.5</w:t>
                        </w:r>
                        <w:r>
                          <w:rPr>
                            <w:rFonts w:ascii="Times New Roman" w:eastAsia="標楷體" w:hAnsi="Times New Roman"/>
                            <w:b/>
                            <w:color w:val="0000FF"/>
                            <w:sz w:val="25"/>
                            <w:szCs w:val="25"/>
                          </w:rPr>
                          <w:t xml:space="preserve">　我國經濟成長率與失業率變動之關聯</w:t>
                        </w:r>
                      </w:p>
                      <w:p w14:paraId="122722D7" w14:textId="77777777" w:rsidR="00052596" w:rsidRDefault="00000000">
                        <w:pPr>
                          <w:pStyle w:val="k4a"/>
                          <w:spacing w:line="360" w:lineRule="exact"/>
                          <w:ind w:left="0" w:firstLine="0"/>
                          <w:jc w:val="center"/>
                          <w:outlineLvl w:val="9"/>
                        </w:pPr>
                        <w:r>
                          <w:rPr>
                            <w:rFonts w:ascii="標楷體" w:eastAsia="標楷體" w:hAnsi="標楷體"/>
                            <w:b/>
                            <w:color w:val="0000FF"/>
                            <w:spacing w:val="-16"/>
                            <w:sz w:val="25"/>
                            <w:szCs w:val="25"/>
                          </w:rPr>
                          <w:t>(</w:t>
                        </w:r>
                        <w:r>
                          <w:rPr>
                            <w:rFonts w:ascii="Times New Roman" w:eastAsia="標楷體" w:hAnsi="Times New Roman"/>
                            <w:b/>
                            <w:color w:val="0000FF"/>
                            <w:spacing w:val="-16"/>
                            <w:sz w:val="25"/>
                            <w:szCs w:val="25"/>
                          </w:rPr>
                          <w:t>67</w:t>
                        </w:r>
                        <w:r>
                          <w:rPr>
                            <w:rFonts w:ascii="Times New Roman" w:eastAsia="標楷體" w:hAnsi="Times New Roman"/>
                            <w:b/>
                            <w:color w:val="0000FF"/>
                            <w:spacing w:val="-16"/>
                            <w:sz w:val="25"/>
                            <w:szCs w:val="25"/>
                          </w:rPr>
                          <w:t>至</w:t>
                        </w:r>
                        <w:r>
                          <w:rPr>
                            <w:rFonts w:ascii="Times New Roman" w:eastAsia="標楷體" w:hAnsi="Times New Roman"/>
                            <w:b/>
                            <w:color w:val="0000FF"/>
                            <w:spacing w:val="-16"/>
                            <w:sz w:val="25"/>
                            <w:szCs w:val="25"/>
                          </w:rPr>
                          <w:t>100</w:t>
                        </w:r>
                        <w:r>
                          <w:rPr>
                            <w:rFonts w:ascii="Times New Roman" w:eastAsia="標楷體" w:hAnsi="Times New Roman"/>
                            <w:b/>
                            <w:color w:val="0000FF"/>
                            <w:spacing w:val="-16"/>
                            <w:sz w:val="25"/>
                            <w:szCs w:val="25"/>
                          </w:rPr>
                          <w:t>年</w:t>
                        </w:r>
                        <w:r>
                          <w:rPr>
                            <w:rFonts w:ascii="標楷體" w:eastAsia="標楷體" w:hAnsi="標楷體"/>
                            <w:b/>
                            <w:color w:val="0000FF"/>
                            <w:spacing w:val="-16"/>
                            <w:sz w:val="25"/>
                            <w:szCs w:val="25"/>
                          </w:rPr>
                          <w:t>)</w:t>
                        </w:r>
                      </w:p>
                    </w:txbxContent>
                  </v:textbox>
                </v:shape>
              </v:group>
            </w:pict>
          </mc:Fallback>
        </mc:AlternateContent>
      </w:r>
      <w:r>
        <w:rPr>
          <w:rFonts w:ascii="標楷體" w:eastAsia="標楷體" w:hAnsi="標楷體"/>
          <w:spacing w:val="4"/>
          <w:kern w:val="0"/>
          <w:sz w:val="28"/>
          <w:szCs w:val="22"/>
        </w:rPr>
        <w:t>－三角貿易模式方面</w:t>
      </w:r>
      <w:r>
        <w:rPr>
          <w:rFonts w:eastAsia="標楷體"/>
          <w:spacing w:val="4"/>
          <w:kern w:val="0"/>
          <w:sz w:val="28"/>
          <w:szCs w:val="22"/>
        </w:rPr>
        <w:t>：</w:t>
      </w:r>
      <w:r>
        <w:rPr>
          <w:rFonts w:eastAsia="標楷體"/>
          <w:color w:val="000000"/>
          <w:spacing w:val="4"/>
          <w:kern w:val="0"/>
          <w:sz w:val="28"/>
          <w:szCs w:val="22"/>
        </w:rPr>
        <w:t>近年國內廠商積極進行全球化布局</w:t>
      </w:r>
      <w:r>
        <w:rPr>
          <w:rFonts w:eastAsia="標楷體"/>
          <w:spacing w:val="4"/>
          <w:kern w:val="0"/>
          <w:sz w:val="28"/>
          <w:szCs w:val="22"/>
        </w:rPr>
        <w:t>，</w:t>
      </w:r>
      <w:r>
        <w:rPr>
          <w:rFonts w:eastAsia="標楷體"/>
          <w:spacing w:val="4"/>
          <w:kern w:val="0"/>
          <w:sz w:val="28"/>
          <w:szCs w:val="22"/>
        </w:rPr>
        <w:t>100</w:t>
      </w:r>
      <w:r>
        <w:rPr>
          <w:rFonts w:eastAsia="標楷體"/>
          <w:spacing w:val="4"/>
          <w:kern w:val="0"/>
          <w:sz w:val="28"/>
          <w:szCs w:val="22"/>
        </w:rPr>
        <w:t>年我國外銷訂單海外生產比率由</w:t>
      </w:r>
      <w:r>
        <w:rPr>
          <w:rFonts w:eastAsia="標楷體"/>
          <w:spacing w:val="4"/>
          <w:kern w:val="0"/>
          <w:sz w:val="28"/>
          <w:szCs w:val="22"/>
        </w:rPr>
        <w:t>88</w:t>
      </w:r>
      <w:r>
        <w:rPr>
          <w:rFonts w:eastAsia="標楷體"/>
          <w:spacing w:val="4"/>
          <w:kern w:val="0"/>
          <w:sz w:val="28"/>
          <w:szCs w:val="22"/>
        </w:rPr>
        <w:t>年的</w:t>
      </w:r>
      <w:r>
        <w:rPr>
          <w:rFonts w:eastAsia="標楷體"/>
          <w:spacing w:val="4"/>
          <w:kern w:val="0"/>
          <w:sz w:val="28"/>
          <w:szCs w:val="22"/>
        </w:rPr>
        <w:t>12.24%</w:t>
      </w:r>
      <w:r>
        <w:rPr>
          <w:rFonts w:eastAsia="標楷體"/>
          <w:spacing w:val="4"/>
          <w:kern w:val="0"/>
          <w:sz w:val="28"/>
          <w:szCs w:val="22"/>
        </w:rPr>
        <w:t>上升至</w:t>
      </w:r>
      <w:r>
        <w:rPr>
          <w:rFonts w:eastAsia="標楷體"/>
          <w:spacing w:val="4"/>
          <w:kern w:val="0"/>
          <w:sz w:val="28"/>
          <w:szCs w:val="22"/>
        </w:rPr>
        <w:t>50.52%</w:t>
      </w:r>
      <w:r>
        <w:rPr>
          <w:rFonts w:eastAsia="標楷體"/>
          <w:spacing w:val="4"/>
          <w:kern w:val="0"/>
          <w:sz w:val="28"/>
          <w:szCs w:val="22"/>
        </w:rPr>
        <w:t>，其中，資訊通信產品海外生產比率更達</w:t>
      </w:r>
      <w:r>
        <w:rPr>
          <w:rFonts w:eastAsia="標楷體"/>
          <w:spacing w:val="4"/>
          <w:kern w:val="0"/>
          <w:sz w:val="28"/>
          <w:szCs w:val="22"/>
        </w:rPr>
        <w:t>83.57%</w:t>
      </w:r>
      <w:r>
        <w:rPr>
          <w:rFonts w:eastAsia="標楷體"/>
          <w:color w:val="000000"/>
          <w:spacing w:val="4"/>
          <w:kern w:val="0"/>
          <w:sz w:val="28"/>
          <w:szCs w:val="28"/>
        </w:rPr>
        <w:t>。</w:t>
      </w:r>
      <w:r>
        <w:rPr>
          <w:rFonts w:eastAsia="標楷體"/>
          <w:spacing w:val="4"/>
          <w:kern w:val="0"/>
          <w:sz w:val="28"/>
          <w:szCs w:val="22"/>
        </w:rPr>
        <w:t>三角貿易雖有助於經濟成長，但因生產製造在海外，對國內產業的關聯效果減弱，可帶動國內就業創造及薪資成長的效果亦相對有限。</w:t>
      </w:r>
    </w:p>
    <w:p w14:paraId="37840123" w14:textId="77777777" w:rsidR="00052596" w:rsidRDefault="00000000">
      <w:pPr>
        <w:widowControl/>
        <w:spacing w:line="240" w:lineRule="atLeast"/>
      </w:pPr>
      <w:r>
        <w:rPr>
          <w:noProof/>
        </w:rPr>
        <mc:AlternateContent>
          <mc:Choice Requires="wps">
            <w:drawing>
              <wp:anchor distT="0" distB="0" distL="114300" distR="114300" simplePos="0" relativeHeight="251651584" behindDoc="0" locked="0" layoutInCell="1" allowOverlap="1" wp14:anchorId="0A86FF18" wp14:editId="77F4E287">
                <wp:simplePos x="0" y="0"/>
                <wp:positionH relativeFrom="column">
                  <wp:posOffset>4263389</wp:posOffset>
                </wp:positionH>
                <wp:positionV relativeFrom="paragraph">
                  <wp:posOffset>1760219</wp:posOffset>
                </wp:positionV>
                <wp:extent cx="1247771" cy="312423"/>
                <wp:effectExtent l="0" t="0" r="0" b="0"/>
                <wp:wrapNone/>
                <wp:docPr id="125" name="文字方塊 43014"/>
                <wp:cNvGraphicFramePr/>
                <a:graphic xmlns:a="http://schemas.openxmlformats.org/drawingml/2006/main">
                  <a:graphicData uri="http://schemas.microsoft.com/office/word/2010/wordprocessingShape">
                    <wps:wsp>
                      <wps:cNvSpPr txBox="1"/>
                      <wps:spPr>
                        <a:xfrm>
                          <a:off x="0" y="0"/>
                          <a:ext cx="1247771" cy="312423"/>
                        </a:xfrm>
                        <a:prstGeom prst="rect">
                          <a:avLst/>
                        </a:prstGeom>
                        <a:noFill/>
                        <a:ln>
                          <a:noFill/>
                          <a:prstDash/>
                        </a:ln>
                      </wps:spPr>
                      <wps:txbx>
                        <w:txbxContent>
                          <w:p w14:paraId="29DC4346" w14:textId="77777777" w:rsidR="00052596" w:rsidRDefault="00000000">
                            <w:r>
                              <w:rPr>
                                <w:rFonts w:ascii="標楷體" w:eastAsia="標楷體" w:hAnsi="標楷體"/>
                                <w:spacing w:val="-4"/>
                              </w:rPr>
                              <w:t>經濟成長率(</w:t>
                            </w:r>
                            <w:r>
                              <w:rPr>
                                <w:rFonts w:eastAsia="標楷體"/>
                                <w:spacing w:val="-4"/>
                              </w:rPr>
                              <w:t>%</w:t>
                            </w:r>
                            <w:r>
                              <w:rPr>
                                <w:rFonts w:ascii="標楷體" w:eastAsia="標楷體" w:hAnsi="標楷體"/>
                                <w:spacing w:val="-4"/>
                              </w:rPr>
                              <w:t>)</w:t>
                            </w:r>
                          </w:p>
                        </w:txbxContent>
                      </wps:txbx>
                      <wps:bodyPr wrap="square" lIns="91440" tIns="45720" rIns="91440" bIns="45720" anchor="t">
                        <a:noAutofit/>
                      </wps:bodyPr>
                    </wps:wsp>
                  </a:graphicData>
                </a:graphic>
              </wp:anchor>
            </w:drawing>
          </mc:Choice>
          <mc:Fallback>
            <w:pict>
              <v:shape w14:anchorId="0A86FF18" id="文字方塊 43014" o:spid="_x0000_s1063" type="#_x0000_t202" style="position:absolute;margin-left:335.7pt;margin-top:138.6pt;width:98.25pt;height:24.6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" filled="f" stroked="f">
                <v:textbox>
                  <w:txbxContent>
                    <w:p w14:paraId="29DC4346" w14:textId="77777777" w:rsidR="00052596" w:rsidRDefault="00000000">
                      <w:r>
                        <w:rPr>
                          <w:rFonts w:ascii="標楷體" w:eastAsia="標楷體" w:hAnsi="標楷體"/>
                          <w:spacing w:val="-4"/>
                        </w:rPr>
                        <w:t>經濟成長率(</w:t>
                      </w:r>
                      <w:r>
                        <w:rPr>
                          <w:rFonts w:eastAsia="標楷體"/>
                          <w:spacing w:val="-4"/>
                        </w:rPr>
                        <w:t>%</w:t>
                      </w:r>
                      <w:r>
                        <w:rPr>
                          <w:rFonts w:ascii="標楷體" w:eastAsia="標楷體" w:hAnsi="標楷體"/>
                          <w:spacing w:val="-4"/>
                        </w:rPr>
                        <w:t>)</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08A358B2" wp14:editId="7D8E5DAE">
                <wp:simplePos x="0" y="0"/>
                <wp:positionH relativeFrom="column">
                  <wp:posOffset>653411</wp:posOffset>
                </wp:positionH>
                <wp:positionV relativeFrom="paragraph">
                  <wp:posOffset>360045</wp:posOffset>
                </wp:positionV>
                <wp:extent cx="247646" cy="1714500"/>
                <wp:effectExtent l="0" t="0" r="4" b="0"/>
                <wp:wrapNone/>
                <wp:docPr id="126" name="文字方塊 43020"/>
                <wp:cNvGraphicFramePr/>
                <a:graphic xmlns:a="http://schemas.openxmlformats.org/drawingml/2006/main">
                  <a:graphicData uri="http://schemas.microsoft.com/office/word/2010/wordprocessingShape">
                    <wps:wsp>
                      <wps:cNvSpPr txBox="1"/>
                      <wps:spPr>
                        <a:xfrm>
                          <a:off x="0" y="0"/>
                          <a:ext cx="247646" cy="1714500"/>
                        </a:xfrm>
                        <a:prstGeom prst="rect">
                          <a:avLst/>
                        </a:prstGeom>
                        <a:noFill/>
                        <a:ln>
                          <a:noFill/>
                          <a:prstDash/>
                        </a:ln>
                      </wps:spPr>
                      <wps:txbx>
                        <w:txbxContent>
                          <w:p w14:paraId="608D6521" w14:textId="77777777" w:rsidR="00052596" w:rsidRDefault="00000000">
                            <w:pPr>
                              <w:spacing w:line="240" w:lineRule="atLeast"/>
                            </w:pPr>
                            <w:r>
                              <w:rPr>
                                <w:rFonts w:eastAsia="標楷體"/>
                                <w:spacing w:val="-4"/>
                              </w:rPr>
                              <w:t>失業率變動</w:t>
                            </w:r>
                            <w:r>
                              <w:rPr>
                                <w:rFonts w:ascii="標楷體" w:eastAsia="標楷體" w:hAnsi="標楷體"/>
                                <w:spacing w:val="-4"/>
                              </w:rPr>
                              <w:t>(</w:t>
                            </w:r>
                            <w:r>
                              <w:rPr>
                                <w:rFonts w:eastAsia="標楷體"/>
                                <w:spacing w:val="-4"/>
                              </w:rPr>
                              <w:t>百分點</w:t>
                            </w:r>
                            <w:r>
                              <w:rPr>
                                <w:rFonts w:ascii="標楷體" w:eastAsia="標楷體" w:hAnsi="標楷體"/>
                                <w:spacing w:val="-4"/>
                              </w:rPr>
                              <w:t>)</w:t>
                            </w:r>
                          </w:p>
                        </w:txbxContent>
                      </wps:txbx>
                      <wps:bodyPr wrap="square" lIns="0" tIns="0" rIns="0" bIns="0" anchor="t">
                        <a:noAutofit/>
                      </wps:bodyPr>
                    </wps:wsp>
                  </a:graphicData>
                </a:graphic>
              </wp:anchor>
            </w:drawing>
          </mc:Choice>
          <mc:Fallback>
            <w:pict>
              <v:shape w14:anchorId="08A358B2" id="文字方塊 43020" o:spid="_x0000_s1064" type="#_x0000_t202" style="position:absolute;margin-left:51.45pt;margin-top:28.35pt;width:19.5pt;height:13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" filled="f" stroked="f">
                <v:textbox inset="0,0,0,0">
                  <w:txbxContent>
                    <w:p w14:paraId="608D6521" w14:textId="77777777" w:rsidR="00052596" w:rsidRDefault="00000000">
                      <w:pPr>
                        <w:spacing w:line="240" w:lineRule="atLeast"/>
                      </w:pPr>
                      <w:r>
                        <w:rPr>
                          <w:rFonts w:eastAsia="標楷體"/>
                          <w:spacing w:val="-4"/>
                        </w:rPr>
                        <w:t>失業率變動</w:t>
                      </w:r>
                      <w:r>
                        <w:rPr>
                          <w:rFonts w:ascii="標楷體" w:eastAsia="標楷體" w:hAnsi="標楷體"/>
                          <w:spacing w:val="-4"/>
                        </w:rPr>
                        <w:t>(</w:t>
                      </w:r>
                      <w:r>
                        <w:rPr>
                          <w:rFonts w:eastAsia="標楷體"/>
                          <w:spacing w:val="-4"/>
                        </w:rPr>
                        <w:t>百分點</w:t>
                      </w:r>
                      <w:r>
                        <w:rPr>
                          <w:rFonts w:ascii="標楷體" w:eastAsia="標楷體" w:hAnsi="標楷體"/>
                          <w:spacing w:val="-4"/>
                        </w:rPr>
                        <w:t>)</w:t>
                      </w:r>
                    </w:p>
                  </w:txbxContent>
                </v:textbox>
              </v:shape>
            </w:pict>
          </mc:Fallback>
        </mc:AlternateContent>
      </w:r>
    </w:p>
    <w:p w14:paraId="5E2C704F" w14:textId="77777777" w:rsidR="00052596" w:rsidRDefault="00000000">
      <w:pPr>
        <w:pageBreakBefore/>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三、痛苦指數</w:t>
      </w:r>
    </w:p>
    <w:p w14:paraId="69DD634F" w14:textId="77777777" w:rsidR="00052596" w:rsidRDefault="00000000">
      <w:pPr>
        <w:overflowPunct w:val="0"/>
        <w:autoSpaceDE w:val="0"/>
        <w:spacing w:line="420" w:lineRule="exact"/>
        <w:ind w:left="240" w:firstLine="576"/>
        <w:jc w:val="both"/>
        <w:textAlignment w:val="center"/>
      </w:pPr>
      <w:r>
        <w:rPr>
          <w:rFonts w:eastAsia="標楷體"/>
          <w:color w:val="000000"/>
          <w:spacing w:val="4"/>
          <w:kern w:val="0"/>
          <w:sz w:val="28"/>
          <w:szCs w:val="28"/>
        </w:rPr>
        <w:t>近</w:t>
      </w:r>
      <w:r>
        <w:rPr>
          <w:rFonts w:eastAsia="標楷體"/>
          <w:color w:val="000000"/>
          <w:spacing w:val="4"/>
          <w:kern w:val="0"/>
          <w:sz w:val="28"/>
          <w:szCs w:val="28"/>
        </w:rPr>
        <w:t>20</w:t>
      </w:r>
      <w:r>
        <w:rPr>
          <w:rFonts w:eastAsia="標楷體"/>
          <w:color w:val="000000"/>
          <w:spacing w:val="4"/>
          <w:kern w:val="0"/>
          <w:sz w:val="28"/>
          <w:szCs w:val="28"/>
        </w:rPr>
        <w:t>年來，國內</w:t>
      </w:r>
      <w:r>
        <w:rPr>
          <w:rFonts w:eastAsia="標楷體"/>
          <w:color w:val="000000"/>
          <w:spacing w:val="-2"/>
          <w:kern w:val="0"/>
          <w:sz w:val="28"/>
          <w:szCs w:val="28"/>
        </w:rPr>
        <w:t>痛苦</w:t>
      </w:r>
      <w:r>
        <w:rPr>
          <w:rFonts w:eastAsia="標楷體"/>
          <w:color w:val="000000"/>
          <w:spacing w:val="4"/>
          <w:kern w:val="0"/>
          <w:sz w:val="28"/>
          <w:szCs w:val="28"/>
        </w:rPr>
        <w:t>指數</w:t>
      </w:r>
      <w:r>
        <w:rPr>
          <w:rFonts w:ascii="標楷體" w:eastAsia="標楷體" w:hAnsi="標楷體"/>
          <w:color w:val="000000"/>
          <w:spacing w:val="4"/>
          <w:kern w:val="0"/>
          <w:sz w:val="28"/>
          <w:szCs w:val="28"/>
        </w:rPr>
        <w:t>(</w:t>
      </w:r>
      <w:r>
        <w:rPr>
          <w:rFonts w:eastAsia="標楷體"/>
          <w:color w:val="000000"/>
          <w:spacing w:val="4"/>
          <w:kern w:val="0"/>
          <w:sz w:val="28"/>
          <w:szCs w:val="28"/>
        </w:rPr>
        <w:t>失業率與消費者物價指數上漲率之和</w:t>
      </w:r>
      <w:r>
        <w:rPr>
          <w:rFonts w:ascii="標楷體" w:eastAsia="標楷體" w:hAnsi="標楷體"/>
          <w:color w:val="000000"/>
          <w:spacing w:val="4"/>
          <w:kern w:val="0"/>
          <w:sz w:val="28"/>
          <w:szCs w:val="28"/>
        </w:rPr>
        <w:t>)持續走高，</w:t>
      </w:r>
      <w:r>
        <w:rPr>
          <w:rFonts w:eastAsia="標楷體"/>
          <w:color w:val="000000"/>
          <w:spacing w:val="4"/>
          <w:kern w:val="0"/>
          <w:sz w:val="28"/>
          <w:szCs w:val="28"/>
        </w:rPr>
        <w:t>由</w:t>
      </w:r>
      <w:r>
        <w:rPr>
          <w:rFonts w:eastAsia="標楷體"/>
          <w:color w:val="000000"/>
          <w:spacing w:val="4"/>
          <w:kern w:val="0"/>
          <w:sz w:val="28"/>
          <w:szCs w:val="28"/>
        </w:rPr>
        <w:t>80</w:t>
      </w:r>
      <w:r>
        <w:rPr>
          <w:rFonts w:eastAsia="標楷體"/>
          <w:color w:val="000000"/>
          <w:spacing w:val="4"/>
          <w:kern w:val="0"/>
          <w:sz w:val="28"/>
          <w:szCs w:val="28"/>
        </w:rPr>
        <w:t>至</w:t>
      </w:r>
      <w:r>
        <w:rPr>
          <w:rFonts w:eastAsia="標楷體"/>
          <w:color w:val="000000"/>
          <w:spacing w:val="4"/>
          <w:kern w:val="0"/>
          <w:sz w:val="28"/>
          <w:szCs w:val="28"/>
        </w:rPr>
        <w:t>89</w:t>
      </w:r>
      <w:r>
        <w:rPr>
          <w:rFonts w:eastAsia="標楷體"/>
          <w:color w:val="000000"/>
          <w:spacing w:val="4"/>
          <w:kern w:val="0"/>
          <w:sz w:val="28"/>
          <w:szCs w:val="28"/>
        </w:rPr>
        <w:t>年平均的</w:t>
      </w:r>
      <w:r>
        <w:rPr>
          <w:rFonts w:eastAsia="標楷體"/>
          <w:color w:val="000000"/>
          <w:spacing w:val="4"/>
          <w:kern w:val="0"/>
          <w:sz w:val="28"/>
          <w:szCs w:val="28"/>
        </w:rPr>
        <w:t>4.76%</w:t>
      </w:r>
      <w:r>
        <w:rPr>
          <w:rFonts w:eastAsia="標楷體"/>
          <w:color w:val="000000"/>
          <w:spacing w:val="4"/>
          <w:kern w:val="0"/>
          <w:sz w:val="28"/>
          <w:szCs w:val="28"/>
        </w:rPr>
        <w:t>，增至</w:t>
      </w:r>
      <w:r>
        <w:rPr>
          <w:rFonts w:eastAsia="標楷體"/>
          <w:color w:val="000000"/>
          <w:spacing w:val="4"/>
          <w:kern w:val="0"/>
          <w:sz w:val="28"/>
          <w:szCs w:val="28"/>
        </w:rPr>
        <w:t>90</w:t>
      </w:r>
      <w:r>
        <w:rPr>
          <w:rFonts w:eastAsia="標楷體"/>
          <w:color w:val="000000"/>
          <w:spacing w:val="4"/>
          <w:kern w:val="0"/>
          <w:sz w:val="28"/>
          <w:szCs w:val="28"/>
        </w:rPr>
        <w:t>至</w:t>
      </w:r>
      <w:r>
        <w:rPr>
          <w:rFonts w:eastAsia="標楷體"/>
          <w:color w:val="000000"/>
          <w:spacing w:val="4"/>
          <w:kern w:val="0"/>
          <w:sz w:val="28"/>
          <w:szCs w:val="28"/>
        </w:rPr>
        <w:t>100</w:t>
      </w:r>
      <w:r>
        <w:rPr>
          <w:rFonts w:eastAsia="標楷體"/>
          <w:color w:val="000000"/>
          <w:spacing w:val="4"/>
          <w:kern w:val="0"/>
          <w:sz w:val="28"/>
          <w:szCs w:val="28"/>
        </w:rPr>
        <w:t>年平均的</w:t>
      </w:r>
      <w:r>
        <w:rPr>
          <w:rFonts w:eastAsia="標楷體"/>
          <w:color w:val="000000"/>
          <w:spacing w:val="4"/>
          <w:kern w:val="0"/>
          <w:sz w:val="28"/>
          <w:szCs w:val="28"/>
        </w:rPr>
        <w:t>5.6%</w:t>
      </w:r>
      <w:r>
        <w:rPr>
          <w:rFonts w:eastAsia="標楷體"/>
          <w:color w:val="000000"/>
          <w:spacing w:val="4"/>
          <w:kern w:val="0"/>
          <w:sz w:val="28"/>
          <w:szCs w:val="28"/>
        </w:rPr>
        <w:t>。惟其影響來源因素，過去因國內失業率相對較低</w:t>
      </w:r>
      <w:r>
        <w:rPr>
          <w:rFonts w:ascii="標楷體" w:eastAsia="標楷體" w:hAnsi="標楷體"/>
          <w:color w:val="000000"/>
          <w:spacing w:val="4"/>
          <w:kern w:val="0"/>
          <w:sz w:val="28"/>
          <w:szCs w:val="28"/>
        </w:rPr>
        <w:t>(</w:t>
      </w:r>
      <w:r>
        <w:rPr>
          <w:rFonts w:eastAsia="標楷體"/>
          <w:color w:val="000000"/>
          <w:spacing w:val="4"/>
          <w:kern w:val="0"/>
          <w:sz w:val="28"/>
          <w:szCs w:val="28"/>
        </w:rPr>
        <w:t>67</w:t>
      </w:r>
      <w:r>
        <w:rPr>
          <w:rFonts w:eastAsia="標楷體"/>
          <w:color w:val="000000"/>
          <w:spacing w:val="4"/>
          <w:kern w:val="0"/>
          <w:sz w:val="28"/>
          <w:szCs w:val="28"/>
        </w:rPr>
        <w:t>至</w:t>
      </w:r>
      <w:r>
        <w:rPr>
          <w:rFonts w:eastAsia="標楷體"/>
          <w:color w:val="000000"/>
          <w:spacing w:val="4"/>
          <w:kern w:val="0"/>
          <w:sz w:val="28"/>
          <w:szCs w:val="28"/>
        </w:rPr>
        <w:t>80</w:t>
      </w:r>
      <w:r>
        <w:rPr>
          <w:rFonts w:eastAsia="標楷體"/>
          <w:color w:val="000000"/>
          <w:spacing w:val="4"/>
          <w:kern w:val="0"/>
          <w:sz w:val="28"/>
          <w:szCs w:val="28"/>
        </w:rPr>
        <w:t>年平均失業率</w:t>
      </w:r>
      <w:r>
        <w:rPr>
          <w:rFonts w:eastAsia="標楷體"/>
          <w:color w:val="000000"/>
          <w:spacing w:val="4"/>
          <w:kern w:val="0"/>
          <w:sz w:val="28"/>
          <w:szCs w:val="28"/>
        </w:rPr>
        <w:t>1.92%</w:t>
      </w:r>
      <w:r>
        <w:rPr>
          <w:rFonts w:eastAsia="標楷體"/>
          <w:color w:val="000000"/>
          <w:spacing w:val="4"/>
          <w:kern w:val="0"/>
          <w:sz w:val="28"/>
          <w:szCs w:val="28"/>
        </w:rPr>
        <w:t>，不到</w:t>
      </w:r>
      <w:r>
        <w:rPr>
          <w:rFonts w:eastAsia="標楷體"/>
          <w:color w:val="000000"/>
          <w:spacing w:val="4"/>
          <w:kern w:val="0"/>
          <w:sz w:val="28"/>
          <w:szCs w:val="28"/>
        </w:rPr>
        <w:t>2%</w:t>
      </w:r>
      <w:r>
        <w:rPr>
          <w:rFonts w:eastAsia="標楷體"/>
          <w:color w:val="000000"/>
          <w:spacing w:val="4"/>
          <w:kern w:val="0"/>
          <w:sz w:val="28"/>
          <w:szCs w:val="28"/>
        </w:rPr>
        <w:t>的水準</w:t>
      </w:r>
      <w:r>
        <w:rPr>
          <w:rFonts w:ascii="標楷體" w:eastAsia="標楷體" w:hAnsi="標楷體"/>
          <w:color w:val="000000"/>
          <w:spacing w:val="4"/>
          <w:kern w:val="0"/>
          <w:sz w:val="28"/>
          <w:szCs w:val="28"/>
        </w:rPr>
        <w:t>)</w:t>
      </w:r>
      <w:r>
        <w:rPr>
          <w:rFonts w:eastAsia="標楷體"/>
          <w:color w:val="000000"/>
          <w:spacing w:val="4"/>
          <w:kern w:val="0"/>
          <w:sz w:val="28"/>
          <w:szCs w:val="28"/>
        </w:rPr>
        <w:t>，痛苦指數受物價變動影響較大，近期則主要來自失業率攀升效應。例如</w:t>
      </w:r>
      <w:r>
        <w:rPr>
          <w:rFonts w:eastAsia="標楷體"/>
          <w:color w:val="000000"/>
          <w:spacing w:val="4"/>
          <w:kern w:val="0"/>
          <w:sz w:val="28"/>
          <w:szCs w:val="26"/>
        </w:rPr>
        <w:t>：</w:t>
      </w:r>
      <w:r>
        <w:rPr>
          <w:rFonts w:eastAsia="標楷體"/>
          <w:color w:val="000000"/>
          <w:spacing w:val="4"/>
          <w:kern w:val="0"/>
          <w:sz w:val="28"/>
          <w:szCs w:val="28"/>
        </w:rPr>
        <w:t>90</w:t>
      </w:r>
      <w:r>
        <w:rPr>
          <w:rFonts w:eastAsia="標楷體"/>
          <w:color w:val="000000"/>
          <w:spacing w:val="4"/>
          <w:kern w:val="0"/>
          <w:sz w:val="28"/>
          <w:szCs w:val="28"/>
        </w:rPr>
        <w:t>至</w:t>
      </w:r>
      <w:r>
        <w:rPr>
          <w:rFonts w:eastAsia="標楷體"/>
          <w:color w:val="000000"/>
          <w:spacing w:val="4"/>
          <w:kern w:val="0"/>
          <w:sz w:val="28"/>
          <w:szCs w:val="28"/>
        </w:rPr>
        <w:t>100</w:t>
      </w:r>
      <w:r>
        <w:rPr>
          <w:rFonts w:eastAsia="標楷體"/>
          <w:color w:val="000000"/>
          <w:spacing w:val="4"/>
          <w:kern w:val="0"/>
          <w:sz w:val="28"/>
          <w:szCs w:val="28"/>
        </w:rPr>
        <w:t>年國內失業率平均達</w:t>
      </w:r>
      <w:r>
        <w:rPr>
          <w:rFonts w:eastAsia="標楷體"/>
          <w:color w:val="000000"/>
          <w:spacing w:val="4"/>
          <w:kern w:val="0"/>
          <w:sz w:val="28"/>
          <w:szCs w:val="28"/>
        </w:rPr>
        <w:t>4.61%</w:t>
      </w:r>
      <w:r>
        <w:rPr>
          <w:rFonts w:eastAsia="標楷體"/>
          <w:color w:val="000000"/>
          <w:spacing w:val="4"/>
          <w:kern w:val="0"/>
          <w:sz w:val="28"/>
          <w:szCs w:val="28"/>
        </w:rPr>
        <w:t>，約為</w:t>
      </w:r>
      <w:r>
        <w:rPr>
          <w:rFonts w:eastAsia="標楷體"/>
          <w:color w:val="000000"/>
          <w:spacing w:val="4"/>
          <w:kern w:val="0"/>
          <w:sz w:val="28"/>
          <w:szCs w:val="28"/>
        </w:rPr>
        <w:t>80</w:t>
      </w:r>
      <w:r>
        <w:rPr>
          <w:rFonts w:eastAsia="標楷體"/>
          <w:color w:val="000000"/>
          <w:spacing w:val="4"/>
          <w:kern w:val="0"/>
          <w:sz w:val="28"/>
          <w:szCs w:val="28"/>
        </w:rPr>
        <w:t>至</w:t>
      </w:r>
      <w:r>
        <w:rPr>
          <w:rFonts w:eastAsia="標楷體"/>
          <w:color w:val="000000"/>
          <w:spacing w:val="4"/>
          <w:kern w:val="0"/>
          <w:sz w:val="28"/>
          <w:szCs w:val="28"/>
        </w:rPr>
        <w:t>89</w:t>
      </w:r>
      <w:r>
        <w:rPr>
          <w:rFonts w:eastAsia="標楷體"/>
          <w:color w:val="000000"/>
          <w:spacing w:val="4"/>
          <w:kern w:val="0"/>
          <w:sz w:val="28"/>
          <w:szCs w:val="28"/>
        </w:rPr>
        <w:t>年平均</w:t>
      </w:r>
      <w:r>
        <w:rPr>
          <w:rFonts w:eastAsia="標楷體"/>
          <w:color w:val="000000"/>
          <w:spacing w:val="4"/>
          <w:kern w:val="0"/>
          <w:sz w:val="28"/>
          <w:szCs w:val="28"/>
        </w:rPr>
        <w:t>2.17%</w:t>
      </w:r>
      <w:r>
        <w:rPr>
          <w:rFonts w:eastAsia="標楷體"/>
          <w:color w:val="000000"/>
          <w:spacing w:val="4"/>
          <w:kern w:val="0"/>
          <w:sz w:val="28"/>
          <w:szCs w:val="28"/>
        </w:rPr>
        <w:t>的</w:t>
      </w:r>
      <w:r>
        <w:rPr>
          <w:rFonts w:eastAsia="標楷體"/>
          <w:color w:val="000000"/>
          <w:spacing w:val="4"/>
          <w:kern w:val="0"/>
          <w:sz w:val="28"/>
          <w:szCs w:val="28"/>
        </w:rPr>
        <w:t>2.1</w:t>
      </w:r>
      <w:r>
        <w:rPr>
          <w:rFonts w:eastAsia="標楷體"/>
          <w:color w:val="000000"/>
          <w:spacing w:val="4"/>
          <w:kern w:val="0"/>
          <w:sz w:val="28"/>
          <w:szCs w:val="28"/>
        </w:rPr>
        <w:t>倍，痛苦指數亦由</w:t>
      </w:r>
      <w:r>
        <w:rPr>
          <w:rFonts w:eastAsia="標楷體"/>
          <w:color w:val="000000"/>
          <w:spacing w:val="4"/>
          <w:kern w:val="0"/>
          <w:sz w:val="28"/>
          <w:szCs w:val="28"/>
        </w:rPr>
        <w:t>80</w:t>
      </w:r>
      <w:r>
        <w:rPr>
          <w:rFonts w:eastAsia="標楷體"/>
          <w:color w:val="000000"/>
          <w:spacing w:val="4"/>
          <w:kern w:val="0"/>
          <w:sz w:val="28"/>
          <w:szCs w:val="28"/>
        </w:rPr>
        <w:t>至</w:t>
      </w:r>
      <w:r>
        <w:rPr>
          <w:rFonts w:eastAsia="標楷體"/>
          <w:color w:val="000000"/>
          <w:spacing w:val="4"/>
          <w:kern w:val="0"/>
          <w:sz w:val="28"/>
          <w:szCs w:val="28"/>
        </w:rPr>
        <w:t>89</w:t>
      </w:r>
      <w:r>
        <w:rPr>
          <w:rFonts w:eastAsia="標楷體"/>
          <w:color w:val="000000"/>
          <w:spacing w:val="4"/>
          <w:kern w:val="0"/>
          <w:sz w:val="28"/>
          <w:szCs w:val="28"/>
        </w:rPr>
        <w:t>年平均的</w:t>
      </w:r>
      <w:r>
        <w:rPr>
          <w:rFonts w:eastAsia="標楷體"/>
          <w:color w:val="000000"/>
          <w:spacing w:val="4"/>
          <w:kern w:val="0"/>
          <w:sz w:val="28"/>
          <w:szCs w:val="28"/>
        </w:rPr>
        <w:t>4.76%</w:t>
      </w:r>
      <w:r>
        <w:rPr>
          <w:rFonts w:eastAsia="標楷體"/>
          <w:color w:val="000000"/>
          <w:spacing w:val="4"/>
          <w:kern w:val="0"/>
          <w:sz w:val="28"/>
          <w:szCs w:val="28"/>
        </w:rPr>
        <w:t>增至</w:t>
      </w:r>
      <w:r>
        <w:rPr>
          <w:rFonts w:eastAsia="標楷體"/>
          <w:color w:val="000000"/>
          <w:spacing w:val="4"/>
          <w:kern w:val="0"/>
          <w:sz w:val="28"/>
          <w:szCs w:val="28"/>
        </w:rPr>
        <w:t>5.60%</w:t>
      </w:r>
      <w:r>
        <w:rPr>
          <w:rFonts w:eastAsia="標楷體"/>
          <w:color w:val="000000"/>
          <w:spacing w:val="4"/>
          <w:kern w:val="0"/>
          <w:sz w:val="28"/>
          <w:szCs w:val="28"/>
        </w:rPr>
        <w:t>的水準。</w:t>
      </w:r>
      <w:r>
        <w:rPr>
          <w:rFonts w:eastAsia="標楷體"/>
          <w:color w:val="000000"/>
          <w:spacing w:val="4"/>
          <w:kern w:val="0"/>
          <w:sz w:val="28"/>
          <w:szCs w:val="28"/>
        </w:rPr>
        <w:t>101</w:t>
      </w:r>
      <w:r>
        <w:rPr>
          <w:rFonts w:eastAsia="標楷體"/>
          <w:color w:val="000000"/>
          <w:spacing w:val="4"/>
          <w:kern w:val="0"/>
          <w:sz w:val="28"/>
          <w:szCs w:val="28"/>
        </w:rPr>
        <w:t>年</w:t>
      </w:r>
      <w:r>
        <w:rPr>
          <w:rFonts w:eastAsia="標楷體"/>
          <w:color w:val="000000"/>
          <w:spacing w:val="4"/>
          <w:kern w:val="0"/>
          <w:sz w:val="28"/>
          <w:szCs w:val="28"/>
        </w:rPr>
        <w:t>1</w:t>
      </w:r>
      <w:r>
        <w:rPr>
          <w:rFonts w:eastAsia="標楷體"/>
          <w:color w:val="000000"/>
          <w:spacing w:val="4"/>
          <w:kern w:val="0"/>
          <w:sz w:val="28"/>
          <w:szCs w:val="28"/>
        </w:rPr>
        <w:t>至</w:t>
      </w:r>
      <w:r>
        <w:rPr>
          <w:rFonts w:eastAsia="標楷體"/>
          <w:color w:val="000000"/>
          <w:spacing w:val="4"/>
          <w:kern w:val="0"/>
          <w:sz w:val="28"/>
          <w:szCs w:val="28"/>
        </w:rPr>
        <w:t>11</w:t>
      </w:r>
      <w:r>
        <w:rPr>
          <w:rFonts w:eastAsia="標楷體"/>
          <w:color w:val="000000"/>
          <w:spacing w:val="4"/>
          <w:kern w:val="0"/>
          <w:sz w:val="28"/>
          <w:szCs w:val="28"/>
        </w:rPr>
        <w:t>月我國痛苦指數</w:t>
      </w:r>
      <w:r>
        <w:rPr>
          <w:rFonts w:eastAsia="標楷體"/>
          <w:color w:val="000000"/>
          <w:spacing w:val="4"/>
          <w:kern w:val="0"/>
          <w:sz w:val="28"/>
          <w:szCs w:val="28"/>
        </w:rPr>
        <w:t>6.2%</w:t>
      </w:r>
      <w:r>
        <w:rPr>
          <w:rFonts w:ascii="標楷體" w:eastAsia="標楷體" w:hAnsi="標楷體"/>
          <w:color w:val="000000"/>
          <w:spacing w:val="4"/>
          <w:kern w:val="0"/>
          <w:sz w:val="28"/>
          <w:szCs w:val="28"/>
        </w:rPr>
        <w:t>(</w:t>
      </w:r>
      <w:r>
        <w:rPr>
          <w:rFonts w:eastAsia="標楷體"/>
          <w:color w:val="000000"/>
          <w:spacing w:val="4"/>
          <w:kern w:val="0"/>
          <w:sz w:val="28"/>
          <w:szCs w:val="28"/>
        </w:rPr>
        <w:t>失業率</w:t>
      </w:r>
      <w:r>
        <w:rPr>
          <w:rFonts w:eastAsia="標楷體"/>
          <w:color w:val="000000"/>
          <w:spacing w:val="4"/>
          <w:kern w:val="0"/>
          <w:sz w:val="28"/>
          <w:szCs w:val="28"/>
        </w:rPr>
        <w:t>4.24%</w:t>
      </w:r>
      <w:r>
        <w:rPr>
          <w:rFonts w:eastAsia="標楷體"/>
          <w:color w:val="000000"/>
          <w:spacing w:val="4"/>
          <w:kern w:val="0"/>
          <w:sz w:val="28"/>
          <w:szCs w:val="28"/>
        </w:rPr>
        <w:t>；消費者物價指數上漲率</w:t>
      </w:r>
      <w:r>
        <w:rPr>
          <w:rFonts w:eastAsia="標楷體"/>
          <w:color w:val="000000"/>
          <w:spacing w:val="4"/>
          <w:kern w:val="0"/>
          <w:sz w:val="28"/>
          <w:szCs w:val="28"/>
        </w:rPr>
        <w:t>1.96%</w:t>
      </w:r>
      <w:r>
        <w:rPr>
          <w:rFonts w:ascii="標楷體" w:eastAsia="標楷體" w:hAnsi="標楷體"/>
          <w:color w:val="000000"/>
          <w:spacing w:val="4"/>
          <w:kern w:val="0"/>
          <w:sz w:val="28"/>
          <w:szCs w:val="28"/>
        </w:rPr>
        <w:t>)，較上年同期增加</w:t>
      </w:r>
      <w:r>
        <w:rPr>
          <w:rFonts w:eastAsia="標楷體"/>
          <w:color w:val="000000"/>
          <w:spacing w:val="4"/>
          <w:kern w:val="0"/>
          <w:sz w:val="28"/>
          <w:szCs w:val="28"/>
        </w:rPr>
        <w:t>0.43</w:t>
      </w:r>
      <w:r>
        <w:rPr>
          <w:rFonts w:ascii="標楷體" w:eastAsia="標楷體" w:hAnsi="標楷體"/>
          <w:color w:val="000000"/>
          <w:spacing w:val="4"/>
          <w:kern w:val="0"/>
          <w:sz w:val="28"/>
          <w:szCs w:val="28"/>
        </w:rPr>
        <w:t>個百分點</w:t>
      </w:r>
      <w:r>
        <w:rPr>
          <w:rFonts w:eastAsia="標楷體"/>
          <w:color w:val="000000"/>
          <w:spacing w:val="4"/>
          <w:kern w:val="0"/>
          <w:sz w:val="28"/>
          <w:szCs w:val="28"/>
        </w:rPr>
        <w:t>。</w:t>
      </w:r>
    </w:p>
    <w:p w14:paraId="6D37BB04" w14:textId="77777777" w:rsidR="00052596" w:rsidRDefault="00000000">
      <w:pPr>
        <w:overflowPunct w:val="0"/>
        <w:autoSpaceDE w:val="0"/>
        <w:spacing w:line="420" w:lineRule="exact"/>
        <w:ind w:left="240" w:firstLine="576"/>
        <w:jc w:val="both"/>
        <w:textAlignment w:val="center"/>
      </w:pPr>
      <w:r>
        <w:rPr>
          <w:rFonts w:eastAsia="標楷體"/>
          <w:color w:val="000000"/>
          <w:spacing w:val="4"/>
          <w:kern w:val="0"/>
          <w:sz w:val="28"/>
          <w:szCs w:val="26"/>
        </w:rPr>
        <w:t>依國際比較，</w:t>
      </w:r>
      <w:r>
        <w:rPr>
          <w:rFonts w:eastAsia="標楷體"/>
          <w:color w:val="000000"/>
          <w:spacing w:val="4"/>
          <w:kern w:val="0"/>
          <w:sz w:val="28"/>
          <w:szCs w:val="26"/>
        </w:rPr>
        <w:t>2001</w:t>
      </w:r>
      <w:r>
        <w:rPr>
          <w:rFonts w:eastAsia="標楷體"/>
          <w:color w:val="000000"/>
          <w:spacing w:val="4"/>
          <w:kern w:val="0"/>
          <w:sz w:val="28"/>
          <w:szCs w:val="26"/>
        </w:rPr>
        <w:t>至</w:t>
      </w:r>
      <w:r>
        <w:rPr>
          <w:rFonts w:eastAsia="標楷體"/>
          <w:color w:val="000000"/>
          <w:spacing w:val="4"/>
          <w:kern w:val="0"/>
          <w:sz w:val="28"/>
          <w:szCs w:val="26"/>
        </w:rPr>
        <w:t>2011</w:t>
      </w:r>
      <w:r>
        <w:rPr>
          <w:rFonts w:eastAsia="標楷體"/>
          <w:color w:val="000000"/>
          <w:spacing w:val="4"/>
          <w:kern w:val="0"/>
          <w:sz w:val="28"/>
          <w:szCs w:val="26"/>
        </w:rPr>
        <w:t>年間歐美國家失業率偏高，痛苦指數多達兩位數</w:t>
      </w:r>
      <w:r>
        <w:rPr>
          <w:rFonts w:ascii="標楷體" w:eastAsia="標楷體" w:hAnsi="標楷體"/>
          <w:color w:val="000000"/>
          <w:spacing w:val="4"/>
          <w:kern w:val="0"/>
          <w:sz w:val="28"/>
          <w:szCs w:val="26"/>
        </w:rPr>
        <w:t>(</w:t>
      </w:r>
      <w:r>
        <w:rPr>
          <w:rFonts w:eastAsia="標楷體"/>
          <w:color w:val="000000"/>
          <w:spacing w:val="4"/>
          <w:kern w:val="0"/>
          <w:sz w:val="28"/>
          <w:szCs w:val="26"/>
        </w:rPr>
        <w:t>2011</w:t>
      </w:r>
      <w:r>
        <w:rPr>
          <w:rFonts w:eastAsia="標楷體"/>
          <w:color w:val="000000"/>
          <w:spacing w:val="4"/>
          <w:kern w:val="0"/>
          <w:sz w:val="28"/>
          <w:szCs w:val="26"/>
        </w:rPr>
        <w:t>年美國及英國分別達</w:t>
      </w:r>
      <w:r>
        <w:rPr>
          <w:rFonts w:eastAsia="標楷體"/>
          <w:color w:val="000000"/>
          <w:spacing w:val="4"/>
          <w:kern w:val="0"/>
          <w:sz w:val="28"/>
          <w:szCs w:val="26"/>
        </w:rPr>
        <w:t>12.09%</w:t>
      </w:r>
      <w:r>
        <w:rPr>
          <w:rFonts w:eastAsia="標楷體"/>
          <w:color w:val="000000"/>
          <w:spacing w:val="4"/>
          <w:kern w:val="0"/>
          <w:sz w:val="28"/>
          <w:szCs w:val="26"/>
        </w:rPr>
        <w:t>及</w:t>
      </w:r>
      <w:r>
        <w:rPr>
          <w:rFonts w:eastAsia="標楷體"/>
          <w:color w:val="000000"/>
          <w:spacing w:val="4"/>
          <w:kern w:val="0"/>
          <w:sz w:val="28"/>
          <w:szCs w:val="26"/>
        </w:rPr>
        <w:t>12.58%</w:t>
      </w:r>
      <w:r>
        <w:rPr>
          <w:rFonts w:ascii="標楷體" w:eastAsia="標楷體" w:hAnsi="標楷體"/>
          <w:color w:val="000000"/>
          <w:spacing w:val="4"/>
          <w:kern w:val="0"/>
          <w:sz w:val="28"/>
          <w:szCs w:val="26"/>
        </w:rPr>
        <w:t>)</w:t>
      </w:r>
      <w:r>
        <w:rPr>
          <w:rFonts w:eastAsia="標楷體"/>
          <w:color w:val="000000"/>
          <w:spacing w:val="4"/>
          <w:kern w:val="0"/>
          <w:sz w:val="28"/>
          <w:szCs w:val="26"/>
        </w:rPr>
        <w:t>。自</w:t>
      </w:r>
      <w:r>
        <w:rPr>
          <w:rFonts w:eastAsia="標楷體"/>
          <w:color w:val="000000"/>
          <w:spacing w:val="4"/>
          <w:kern w:val="0"/>
          <w:sz w:val="28"/>
          <w:szCs w:val="26"/>
        </w:rPr>
        <w:t>2001</w:t>
      </w:r>
      <w:r>
        <w:rPr>
          <w:rFonts w:eastAsia="標楷體"/>
          <w:color w:val="000000"/>
          <w:spacing w:val="4"/>
          <w:kern w:val="0"/>
          <w:sz w:val="28"/>
          <w:szCs w:val="26"/>
        </w:rPr>
        <w:t>年以來，我國痛苦指數呈小幅升高趨勢，惟</w:t>
      </w:r>
      <w:r>
        <w:rPr>
          <w:rFonts w:eastAsia="標楷體"/>
          <w:color w:val="000000"/>
          <w:spacing w:val="4"/>
          <w:kern w:val="0"/>
          <w:sz w:val="28"/>
          <w:szCs w:val="26"/>
        </w:rPr>
        <w:t>2001</w:t>
      </w:r>
      <w:r>
        <w:rPr>
          <w:rFonts w:eastAsia="標楷體"/>
          <w:color w:val="000000"/>
          <w:spacing w:val="4"/>
          <w:kern w:val="0"/>
          <w:sz w:val="28"/>
          <w:szCs w:val="26"/>
        </w:rPr>
        <w:t>至</w:t>
      </w:r>
      <w:r>
        <w:rPr>
          <w:rFonts w:eastAsia="標楷體"/>
          <w:color w:val="000000"/>
          <w:spacing w:val="4"/>
          <w:kern w:val="0"/>
          <w:sz w:val="28"/>
          <w:szCs w:val="26"/>
        </w:rPr>
        <w:t>2011</w:t>
      </w:r>
      <w:r>
        <w:rPr>
          <w:rFonts w:eastAsia="標楷體"/>
          <w:color w:val="000000"/>
          <w:spacing w:val="4"/>
          <w:kern w:val="0"/>
          <w:sz w:val="28"/>
          <w:szCs w:val="26"/>
        </w:rPr>
        <w:t>年平均增幅仍低於香港及新加坡。</w:t>
      </w:r>
      <w:r>
        <w:rPr>
          <w:rFonts w:eastAsia="標楷體"/>
          <w:color w:val="000000"/>
          <w:spacing w:val="4"/>
          <w:kern w:val="0"/>
          <w:sz w:val="28"/>
          <w:szCs w:val="26"/>
        </w:rPr>
        <w:t>2011</w:t>
      </w:r>
      <w:r>
        <w:rPr>
          <w:rFonts w:eastAsia="標楷體"/>
          <w:color w:val="000000"/>
          <w:spacing w:val="4"/>
          <w:kern w:val="0"/>
          <w:sz w:val="28"/>
          <w:szCs w:val="26"/>
        </w:rPr>
        <w:t>年我國痛苦指數</w:t>
      </w:r>
      <w:r>
        <w:rPr>
          <w:rFonts w:eastAsia="標楷體"/>
          <w:color w:val="000000"/>
          <w:spacing w:val="4"/>
          <w:kern w:val="0"/>
          <w:sz w:val="28"/>
          <w:szCs w:val="26"/>
        </w:rPr>
        <w:t>5.81%</w:t>
      </w:r>
      <w:r>
        <w:rPr>
          <w:rFonts w:eastAsia="標楷體"/>
          <w:color w:val="000000"/>
          <w:spacing w:val="4"/>
          <w:kern w:val="0"/>
          <w:sz w:val="28"/>
          <w:szCs w:val="26"/>
        </w:rPr>
        <w:t>，係亞洲四小龍中最低者</w:t>
      </w:r>
      <w:r>
        <w:rPr>
          <w:rFonts w:ascii="標楷體" w:eastAsia="標楷體" w:hAnsi="標楷體"/>
          <w:color w:val="000000"/>
          <w:spacing w:val="4"/>
          <w:kern w:val="0"/>
          <w:sz w:val="28"/>
          <w:szCs w:val="26"/>
        </w:rPr>
        <w:t>(</w:t>
      </w:r>
      <w:r>
        <w:rPr>
          <w:rFonts w:eastAsia="標楷體"/>
          <w:color w:val="000000"/>
          <w:spacing w:val="4"/>
          <w:kern w:val="0"/>
          <w:sz w:val="28"/>
          <w:szCs w:val="26"/>
        </w:rPr>
        <w:t>新加坡</w:t>
      </w:r>
      <w:r>
        <w:rPr>
          <w:rFonts w:eastAsia="標楷體"/>
          <w:color w:val="000000"/>
          <w:spacing w:val="4"/>
          <w:kern w:val="0"/>
          <w:sz w:val="28"/>
          <w:szCs w:val="26"/>
        </w:rPr>
        <w:t>7.28%</w:t>
      </w:r>
      <w:r>
        <w:rPr>
          <w:rFonts w:eastAsia="標楷體"/>
          <w:color w:val="000000"/>
          <w:spacing w:val="4"/>
          <w:kern w:val="0"/>
          <w:sz w:val="28"/>
          <w:szCs w:val="26"/>
        </w:rPr>
        <w:t>、南韓</w:t>
      </w:r>
      <w:r>
        <w:rPr>
          <w:rFonts w:eastAsia="標楷體"/>
          <w:color w:val="000000"/>
          <w:spacing w:val="4"/>
          <w:kern w:val="0"/>
          <w:sz w:val="28"/>
          <w:szCs w:val="26"/>
        </w:rPr>
        <w:t>7.43%</w:t>
      </w:r>
      <w:r>
        <w:rPr>
          <w:rFonts w:eastAsia="標楷體"/>
          <w:color w:val="000000"/>
          <w:spacing w:val="4"/>
          <w:kern w:val="0"/>
          <w:sz w:val="28"/>
          <w:szCs w:val="26"/>
        </w:rPr>
        <w:t>、香港</w:t>
      </w:r>
      <w:r>
        <w:rPr>
          <w:rFonts w:eastAsia="標楷體"/>
          <w:color w:val="000000"/>
          <w:spacing w:val="4"/>
          <w:kern w:val="0"/>
          <w:sz w:val="28"/>
          <w:szCs w:val="26"/>
        </w:rPr>
        <w:t>8.74%</w:t>
      </w:r>
      <w:r>
        <w:rPr>
          <w:rFonts w:ascii="標楷體" w:eastAsia="標楷體" w:hAnsi="標楷體"/>
          <w:color w:val="000000"/>
          <w:spacing w:val="4"/>
          <w:kern w:val="0"/>
          <w:sz w:val="28"/>
          <w:szCs w:val="26"/>
        </w:rPr>
        <w:t>)</w:t>
      </w:r>
      <w:r>
        <w:rPr>
          <w:rFonts w:eastAsia="標楷體"/>
          <w:color w:val="000000"/>
          <w:spacing w:val="4"/>
          <w:kern w:val="0"/>
          <w:sz w:val="28"/>
          <w:szCs w:val="26"/>
        </w:rPr>
        <w:t>。</w:t>
      </w:r>
    </w:p>
    <w:p w14:paraId="0E0E892F" w14:textId="77777777" w:rsidR="00052596" w:rsidRDefault="00000000">
      <w:pPr>
        <w:widowControl/>
      </w:pPr>
      <w:r>
        <w:rPr>
          <w:noProof/>
        </w:rPr>
        <mc:AlternateContent>
          <mc:Choice Requires="wps">
            <w:drawing>
              <wp:anchor distT="0" distB="0" distL="114300" distR="114300" simplePos="0" relativeHeight="251662848" behindDoc="0" locked="0" layoutInCell="1" allowOverlap="1" wp14:anchorId="59ACE52E" wp14:editId="58E0F10C">
                <wp:simplePos x="0" y="0"/>
                <wp:positionH relativeFrom="column">
                  <wp:posOffset>977265</wp:posOffset>
                </wp:positionH>
                <wp:positionV relativeFrom="paragraph">
                  <wp:posOffset>7616</wp:posOffset>
                </wp:positionV>
                <wp:extent cx="3295653" cy="342900"/>
                <wp:effectExtent l="0" t="0" r="0" b="0"/>
                <wp:wrapNone/>
                <wp:docPr id="127" name="文字方塊 17503"/>
                <wp:cNvGraphicFramePr/>
                <a:graphic xmlns:a="http://schemas.openxmlformats.org/drawingml/2006/main">
                  <a:graphicData uri="http://schemas.microsoft.com/office/word/2010/wordprocessingShape">
                    <wps:wsp>
                      <wps:cNvSpPr txBox="1"/>
                      <wps:spPr>
                        <a:xfrm>
                          <a:off x="0" y="0"/>
                          <a:ext cx="3295653" cy="342900"/>
                        </a:xfrm>
                        <a:prstGeom prst="rect">
                          <a:avLst/>
                        </a:prstGeom>
                        <a:noFill/>
                        <a:ln>
                          <a:noFill/>
                          <a:prstDash/>
                        </a:ln>
                      </wps:spPr>
                      <wps:txbx>
                        <w:txbxContent>
                          <w:p w14:paraId="256E5642" w14:textId="77777777" w:rsidR="00052596" w:rsidRDefault="00000000">
                            <w:pPr>
                              <w:pStyle w:val="k4a"/>
                              <w:spacing w:after="120" w:line="240" w:lineRule="auto"/>
                              <w:ind w:left="0" w:firstLine="0"/>
                              <w:jc w:val="left"/>
                              <w:outlineLvl w:val="9"/>
                            </w:pPr>
                            <w:r>
                              <w:rPr>
                                <w:rFonts w:ascii="Times New Roman" w:eastAsia="標楷體" w:hAnsi="Times New Roman"/>
                                <w:b/>
                                <w:color w:val="0000FF"/>
                                <w:sz w:val="25"/>
                                <w:szCs w:val="25"/>
                              </w:rPr>
                              <w:t>圖</w:t>
                            </w:r>
                            <w:r>
                              <w:rPr>
                                <w:rFonts w:ascii="Times New Roman" w:eastAsia="標楷體" w:hAnsi="Times New Roman"/>
                                <w:b/>
                                <w:color w:val="0000FF"/>
                                <w:sz w:val="25"/>
                                <w:szCs w:val="25"/>
                              </w:rPr>
                              <w:t>1.2.6</w:t>
                            </w:r>
                            <w:r>
                              <w:rPr>
                                <w:rFonts w:ascii="Times New Roman" w:eastAsia="標楷體" w:hAnsi="Times New Roman"/>
                                <w:b/>
                                <w:color w:val="0000FF"/>
                                <w:sz w:val="25"/>
                                <w:szCs w:val="25"/>
                              </w:rPr>
                              <w:t xml:space="preserve">　亞洲四小龍痛苦指數之變動趨勢</w:t>
                            </w:r>
                          </w:p>
                        </w:txbxContent>
                      </wps:txbx>
                      <wps:bodyPr wrap="square" lIns="91440" tIns="45720" rIns="91440" bIns="45720" anchor="t">
                        <a:noAutofit/>
                      </wps:bodyPr>
                    </wps:wsp>
                  </a:graphicData>
                </a:graphic>
              </wp:anchor>
            </w:drawing>
          </mc:Choice>
          <mc:Fallback>
            <w:pict>
              <v:shape w14:anchorId="59ACE52E" id="文字方塊 17503" o:spid="_x0000_s1065" type="#_x0000_t202" style="position:absolute;margin-left:76.95pt;margin-top:.6pt;width:259.5pt;height:2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" filled="f" stroked="f">
                <v:textbox>
                  <w:txbxContent>
                    <w:p w14:paraId="256E5642" w14:textId="77777777" w:rsidR="00052596" w:rsidRDefault="00000000">
                      <w:pPr>
                        <w:pStyle w:val="k4a"/>
                        <w:spacing w:after="120" w:line="240" w:lineRule="auto"/>
                        <w:ind w:left="0" w:firstLine="0"/>
                        <w:jc w:val="left"/>
                        <w:outlineLvl w:val="9"/>
                      </w:pPr>
                      <w:r>
                        <w:rPr>
                          <w:rFonts w:ascii="Times New Roman" w:eastAsia="標楷體" w:hAnsi="Times New Roman"/>
                          <w:b/>
                          <w:color w:val="0000FF"/>
                          <w:sz w:val="25"/>
                          <w:szCs w:val="25"/>
                        </w:rPr>
                        <w:t>圖</w:t>
                      </w:r>
                      <w:r>
                        <w:rPr>
                          <w:rFonts w:ascii="Times New Roman" w:eastAsia="標楷體" w:hAnsi="Times New Roman"/>
                          <w:b/>
                          <w:color w:val="0000FF"/>
                          <w:sz w:val="25"/>
                          <w:szCs w:val="25"/>
                        </w:rPr>
                        <w:t>1.2.6</w:t>
                      </w:r>
                      <w:r>
                        <w:rPr>
                          <w:rFonts w:ascii="Times New Roman" w:eastAsia="標楷體" w:hAnsi="Times New Roman"/>
                          <w:b/>
                          <w:color w:val="0000FF"/>
                          <w:sz w:val="25"/>
                          <w:szCs w:val="25"/>
                        </w:rPr>
                        <w:t xml:space="preserve">　亞洲四小龍痛苦指數之變動趨勢</w:t>
                      </w:r>
                    </w:p>
                  </w:txbxContent>
                </v:textbox>
              </v:shape>
            </w:pict>
          </mc:Fallback>
        </mc:AlternateContent>
      </w:r>
    </w:p>
    <w:p w14:paraId="5EB185F2" w14:textId="77777777" w:rsidR="00052596" w:rsidRDefault="00000000">
      <w:pPr>
        <w:widowControl/>
      </w:pPr>
      <w:r>
        <w:rPr>
          <w:noProof/>
        </w:rPr>
        <mc:AlternateContent>
          <mc:Choice Requires="wpg">
            <w:drawing>
              <wp:anchor distT="0" distB="0" distL="114300" distR="114300" simplePos="0" relativeHeight="251665920" behindDoc="0" locked="0" layoutInCell="1" allowOverlap="1" wp14:anchorId="488C434F" wp14:editId="47FF0165">
                <wp:simplePos x="0" y="0"/>
                <wp:positionH relativeFrom="column">
                  <wp:posOffset>-90168</wp:posOffset>
                </wp:positionH>
                <wp:positionV relativeFrom="paragraph">
                  <wp:posOffset>133346</wp:posOffset>
                </wp:positionV>
                <wp:extent cx="5400673" cy="3627123"/>
                <wp:effectExtent l="0" t="0" r="0" b="0"/>
                <wp:wrapNone/>
                <wp:docPr id="128" name="群組 17497"/>
                <wp:cNvGraphicFramePr/>
                <a:graphic xmlns:a="http://schemas.openxmlformats.org/drawingml/2006/main">
                  <a:graphicData uri="http://schemas.microsoft.com/office/word/2010/wordprocessingGroup">
                    <wpg:wgp>
                      <wpg:cNvGrpSpPr/>
                      <wpg:grpSpPr>
                        <a:xfrm>
                          <a:off x="0" y="0"/>
                          <a:ext cx="5400673" cy="3627123"/>
                          <a:chOff x="0" y="0"/>
                          <a:chExt cx="5400673" cy="3627123"/>
                        </a:xfrm>
                      </wpg:grpSpPr>
                      <wpg:grpSp>
                        <wpg:cNvPr id="129" name="群組 7628"/>
                        <wpg:cNvGrpSpPr/>
                        <wpg:grpSpPr>
                          <a:xfrm>
                            <a:off x="0" y="0"/>
                            <a:ext cx="5400673" cy="1774192"/>
                            <a:chOff x="0" y="0"/>
                            <a:chExt cx="5400673" cy="1774192"/>
                          </a:xfrm>
                        </wpg:grpSpPr>
                        <pic:pic xmlns:pic="http://schemas.openxmlformats.org/drawingml/2006/picture">
                          <pic:nvPicPr>
                            <pic:cNvPr id="130" name="圖表 30"/>
                            <pic:cNvPicPr>
                              <a:picLocks noChangeAspect="1"/>
                            </pic:cNvPicPr>
                          </pic:nvPicPr>
                          <pic:blipFill>
                            <a:blip r:embed="rId37"/>
                            <a:srcRect/>
                            <a:stretch>
                              <a:fillRect/>
                            </a:stretch>
                          </pic:blipFill>
                          <pic:spPr>
                            <a:xfrm>
                              <a:off x="0" y="0"/>
                              <a:ext cx="2578736" cy="1774192"/>
                            </a:xfrm>
                            <a:prstGeom prst="rect">
                              <a:avLst/>
                            </a:prstGeom>
                            <a:noFill/>
                            <a:ln>
                              <a:noFill/>
                              <a:prstDash/>
                            </a:ln>
                          </pic:spPr>
                        </pic:pic>
                        <pic:pic xmlns:pic="http://schemas.openxmlformats.org/drawingml/2006/picture">
                          <pic:nvPicPr>
                            <pic:cNvPr id="131" name="圖表 7616"/>
                            <pic:cNvPicPr>
                              <a:picLocks noChangeAspect="1"/>
                            </pic:cNvPicPr>
                          </pic:nvPicPr>
                          <pic:blipFill>
                            <a:blip r:embed="rId38"/>
                            <a:srcRect/>
                            <a:stretch>
                              <a:fillRect/>
                            </a:stretch>
                          </pic:blipFill>
                          <pic:spPr>
                            <a:xfrm>
                              <a:off x="2853055" y="0"/>
                              <a:ext cx="2547618" cy="1774192"/>
                            </a:xfrm>
                            <a:prstGeom prst="rect">
                              <a:avLst/>
                            </a:prstGeom>
                            <a:noFill/>
                            <a:ln>
                              <a:noFill/>
                              <a:prstDash/>
                            </a:ln>
                          </pic:spPr>
                        </pic:pic>
                      </wpg:grpSp>
                      <pic:pic xmlns:pic="http://schemas.openxmlformats.org/drawingml/2006/picture">
                        <pic:nvPicPr>
                          <pic:cNvPr id="132" name="圖表 7626"/>
                          <pic:cNvPicPr>
                            <a:picLocks noChangeAspect="1"/>
                          </pic:cNvPicPr>
                        </pic:nvPicPr>
                        <pic:blipFill>
                          <a:blip r:embed="rId39"/>
                          <a:srcRect/>
                          <a:stretch>
                            <a:fillRect/>
                          </a:stretch>
                        </pic:blipFill>
                        <pic:spPr>
                          <a:xfrm>
                            <a:off x="12060" y="1835156"/>
                            <a:ext cx="2548259" cy="1779907"/>
                          </a:xfrm>
                          <a:prstGeom prst="rect">
                            <a:avLst/>
                          </a:prstGeom>
                          <a:noFill/>
                          <a:ln>
                            <a:noFill/>
                            <a:prstDash/>
                          </a:ln>
                        </pic:spPr>
                      </pic:pic>
                      <pic:pic xmlns:pic="http://schemas.openxmlformats.org/drawingml/2006/picture">
                        <pic:nvPicPr>
                          <pic:cNvPr id="133" name="圖表 6"/>
                          <pic:cNvPicPr>
                            <a:picLocks noChangeAspect="1"/>
                          </pic:cNvPicPr>
                        </pic:nvPicPr>
                        <pic:blipFill>
                          <a:blip r:embed="rId40"/>
                          <a:srcRect/>
                          <a:stretch>
                            <a:fillRect/>
                          </a:stretch>
                        </pic:blipFill>
                        <pic:spPr>
                          <a:xfrm>
                            <a:off x="2834639" y="1847216"/>
                            <a:ext cx="2450463" cy="1779907"/>
                          </a:xfrm>
                          <a:prstGeom prst="rect">
                            <a:avLst/>
                          </a:prstGeom>
                          <a:noFill/>
                          <a:ln>
                            <a:noFill/>
                            <a:prstDash/>
                          </a:ln>
                        </pic:spPr>
                      </pic:pic>
                    </wpg:wgp>
                  </a:graphicData>
                </a:graphic>
              </wp:anchor>
            </w:drawing>
          </mc:Choice>
          <mc:Fallback>
            <w:pict>
              <v:group w14:anchorId="3856F129" id="群組 17497" o:spid="_x0000_s1026" style="position:absolute;margin-left:-7.1pt;margin-top:10.5pt;width:425.25pt;height:285.6pt;z-index:251665920" coordsize="54006,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">
                <v:group id="群組 7628" o:spid="_x0000_s1027" style="position:absolute;width:54006;height:17741" coordsize="54006,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圖表 30" o:spid="_x0000_s1028" type="#_x0000_t75" style="position:absolute;width:25787;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">
                    <v:imagedata r:id="rId41" o:title=""/>
                  </v:shape>
                  <v:shape id="圖表 7616" o:spid="_x0000_s1029" type="#_x0000_t75" style="position:absolute;left:28530;width:25476;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">
                    <v:imagedata r:id="rId42" o:title=""/>
                  </v:shape>
                </v:group>
                <v:shape id="圖表 7626" o:spid="_x0000_s1030" type="#_x0000_t75" style="position:absolute;left:120;top:18351;width:25483;height:1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">
                  <v:imagedata r:id="rId43" o:title=""/>
                </v:shape>
                <v:shape id="圖表 6" o:spid="_x0000_s1031" type="#_x0000_t75" style="position:absolute;left:28346;top:18472;width:24505;height:1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">
                  <v:imagedata r:id="rId44" o:title=""/>
                </v:shape>
              </v:group>
            </w:pict>
          </mc:Fallback>
        </mc:AlternateContent>
      </w:r>
    </w:p>
    <w:p w14:paraId="5B6C85C1" w14:textId="77777777" w:rsidR="00052596" w:rsidRDefault="00052596">
      <w:pPr>
        <w:widowControl/>
        <w:spacing w:before="240"/>
        <w:ind w:right="422"/>
        <w:jc w:val="right"/>
        <w:rPr>
          <w:rFonts w:ascii="Calibri" w:eastAsia="標楷體" w:hAnsi="Calibri"/>
          <w:color w:val="000000"/>
          <w:kern w:val="0"/>
          <w:sz w:val="28"/>
          <w:szCs w:val="28"/>
        </w:rPr>
      </w:pPr>
    </w:p>
    <w:p w14:paraId="6D542C14" w14:textId="77777777" w:rsidR="00052596" w:rsidRDefault="00052596">
      <w:pPr>
        <w:tabs>
          <w:tab w:val="left" w:pos="720"/>
          <w:tab w:val="left" w:pos="960"/>
        </w:tabs>
        <w:overflowPunct w:val="0"/>
        <w:autoSpaceDE w:val="0"/>
        <w:spacing w:line="240" w:lineRule="atLeast"/>
        <w:ind w:left="1022" w:hanging="230"/>
        <w:jc w:val="both"/>
        <w:textAlignment w:val="center"/>
        <w:rPr>
          <w:rFonts w:eastAsia="標楷體"/>
          <w:color w:val="000000"/>
          <w:spacing w:val="4"/>
          <w:kern w:val="0"/>
          <w:sz w:val="28"/>
          <w:szCs w:val="28"/>
        </w:rPr>
      </w:pPr>
    </w:p>
    <w:p w14:paraId="512BFBD8" w14:textId="77777777" w:rsidR="00052596" w:rsidRDefault="00052596">
      <w:pPr>
        <w:tabs>
          <w:tab w:val="left" w:pos="960"/>
          <w:tab w:val="left" w:pos="1920"/>
          <w:tab w:val="left" w:pos="2880"/>
          <w:tab w:val="left" w:pos="3840"/>
          <w:tab w:val="left" w:pos="4800"/>
          <w:tab w:val="left" w:pos="5760"/>
        </w:tabs>
        <w:overflowPunct w:val="0"/>
        <w:autoSpaceDE w:val="0"/>
        <w:spacing w:line="440" w:lineRule="exact"/>
        <w:ind w:left="1022" w:hanging="230"/>
        <w:jc w:val="both"/>
        <w:textAlignment w:val="center"/>
        <w:rPr>
          <w:rFonts w:eastAsia="標楷體"/>
          <w:color w:val="000000"/>
          <w:spacing w:val="4"/>
          <w:kern w:val="0"/>
          <w:sz w:val="28"/>
          <w:szCs w:val="28"/>
        </w:rPr>
      </w:pPr>
    </w:p>
    <w:p w14:paraId="1F695B9F" w14:textId="77777777" w:rsidR="00052596" w:rsidRDefault="00052596">
      <w:pPr>
        <w:tabs>
          <w:tab w:val="left" w:pos="960"/>
          <w:tab w:val="left" w:pos="1920"/>
          <w:tab w:val="left" w:pos="2880"/>
          <w:tab w:val="left" w:pos="3840"/>
          <w:tab w:val="left" w:pos="4800"/>
          <w:tab w:val="left" w:pos="5760"/>
        </w:tabs>
        <w:overflowPunct w:val="0"/>
        <w:autoSpaceDE w:val="0"/>
        <w:spacing w:line="240" w:lineRule="atLeast"/>
        <w:ind w:left="1022" w:hanging="230"/>
        <w:jc w:val="both"/>
        <w:textAlignment w:val="center"/>
        <w:rPr>
          <w:rFonts w:eastAsia="標楷體"/>
          <w:color w:val="000000"/>
          <w:spacing w:val="4"/>
          <w:kern w:val="0"/>
          <w:sz w:val="28"/>
          <w:szCs w:val="28"/>
        </w:rPr>
      </w:pPr>
    </w:p>
    <w:p w14:paraId="27ECA78C" w14:textId="77777777" w:rsidR="00052596" w:rsidRDefault="00052596">
      <w:pPr>
        <w:tabs>
          <w:tab w:val="left" w:pos="960"/>
          <w:tab w:val="left" w:pos="1920"/>
          <w:tab w:val="left" w:pos="2880"/>
          <w:tab w:val="left" w:pos="3840"/>
          <w:tab w:val="left" w:pos="4800"/>
          <w:tab w:val="left" w:pos="5760"/>
        </w:tabs>
        <w:overflowPunct w:val="0"/>
        <w:autoSpaceDE w:val="0"/>
        <w:spacing w:line="440" w:lineRule="exact"/>
        <w:ind w:left="1022" w:hanging="230"/>
        <w:jc w:val="both"/>
        <w:textAlignment w:val="center"/>
        <w:rPr>
          <w:rFonts w:eastAsia="標楷體"/>
          <w:color w:val="000000"/>
          <w:spacing w:val="4"/>
          <w:kern w:val="0"/>
          <w:sz w:val="28"/>
          <w:szCs w:val="28"/>
        </w:rPr>
      </w:pPr>
    </w:p>
    <w:p w14:paraId="3CE475F5" w14:textId="77777777" w:rsidR="00052596" w:rsidRDefault="00052596">
      <w:pPr>
        <w:widowControl/>
        <w:spacing w:line="200" w:lineRule="exact"/>
        <w:rPr>
          <w:rFonts w:ascii="Calibri" w:eastAsia="標楷體" w:hAnsi="Calibri"/>
          <w:color w:val="000000"/>
          <w:spacing w:val="-6"/>
          <w:kern w:val="0"/>
          <w:sz w:val="28"/>
          <w:szCs w:val="28"/>
        </w:rPr>
      </w:pPr>
    </w:p>
    <w:p w14:paraId="238E1883" w14:textId="77777777" w:rsidR="00052596" w:rsidRDefault="00052596">
      <w:pPr>
        <w:widowControl/>
        <w:spacing w:line="200" w:lineRule="exact"/>
        <w:rPr>
          <w:rFonts w:ascii="Calibri" w:eastAsia="標楷體" w:hAnsi="Calibri"/>
          <w:color w:val="000000"/>
          <w:spacing w:val="-6"/>
          <w:kern w:val="0"/>
          <w:sz w:val="28"/>
          <w:szCs w:val="28"/>
        </w:rPr>
      </w:pPr>
    </w:p>
    <w:p w14:paraId="1D4F31A2" w14:textId="77777777" w:rsidR="00052596" w:rsidRDefault="00052596">
      <w:pPr>
        <w:widowControl/>
        <w:spacing w:line="200" w:lineRule="exact"/>
        <w:rPr>
          <w:rFonts w:ascii="Calibri" w:eastAsia="標楷體" w:hAnsi="Calibri"/>
          <w:color w:val="000000"/>
          <w:spacing w:val="-6"/>
          <w:kern w:val="0"/>
          <w:sz w:val="28"/>
          <w:szCs w:val="28"/>
        </w:rPr>
      </w:pPr>
    </w:p>
    <w:p w14:paraId="022FD7BE" w14:textId="77777777" w:rsidR="00052596" w:rsidRDefault="00052596">
      <w:pPr>
        <w:widowControl/>
        <w:spacing w:line="200" w:lineRule="exact"/>
        <w:rPr>
          <w:rFonts w:ascii="Calibri" w:eastAsia="標楷體" w:hAnsi="Calibri"/>
          <w:color w:val="000000"/>
          <w:spacing w:val="-6"/>
          <w:kern w:val="0"/>
          <w:sz w:val="28"/>
          <w:szCs w:val="28"/>
        </w:rPr>
      </w:pPr>
    </w:p>
    <w:p w14:paraId="007436DF" w14:textId="77777777" w:rsidR="00052596" w:rsidRDefault="00052596">
      <w:pPr>
        <w:widowControl/>
        <w:spacing w:line="240" w:lineRule="atLeast"/>
        <w:rPr>
          <w:rFonts w:ascii="Calibri" w:eastAsia="標楷體" w:hAnsi="Calibri"/>
          <w:color w:val="000000"/>
          <w:spacing w:val="-6"/>
          <w:kern w:val="0"/>
          <w:sz w:val="28"/>
          <w:szCs w:val="28"/>
        </w:rPr>
      </w:pPr>
    </w:p>
    <w:p w14:paraId="0569A7E3" w14:textId="77777777" w:rsidR="00052596" w:rsidRDefault="00052596">
      <w:pPr>
        <w:widowControl/>
        <w:spacing w:line="240" w:lineRule="atLeast"/>
        <w:rPr>
          <w:rFonts w:ascii="Calibri" w:eastAsia="標楷體" w:hAnsi="Calibri"/>
          <w:color w:val="000000"/>
          <w:spacing w:val="-6"/>
          <w:kern w:val="0"/>
          <w:sz w:val="28"/>
          <w:szCs w:val="28"/>
        </w:rPr>
      </w:pPr>
    </w:p>
    <w:p w14:paraId="415A73A5" w14:textId="77777777" w:rsidR="00052596" w:rsidRDefault="00052596">
      <w:pPr>
        <w:widowControl/>
        <w:spacing w:line="240" w:lineRule="atLeast"/>
        <w:rPr>
          <w:rFonts w:ascii="Calibri" w:eastAsia="標楷體" w:hAnsi="Calibri"/>
          <w:color w:val="000000"/>
          <w:spacing w:val="-6"/>
          <w:kern w:val="0"/>
          <w:sz w:val="28"/>
          <w:szCs w:val="28"/>
        </w:rPr>
      </w:pPr>
    </w:p>
    <w:p w14:paraId="461352E5" w14:textId="77777777" w:rsidR="00052596" w:rsidRDefault="00052596">
      <w:pPr>
        <w:widowControl/>
        <w:spacing w:line="200" w:lineRule="exact"/>
        <w:rPr>
          <w:rFonts w:ascii="Calibri" w:eastAsia="標楷體" w:hAnsi="Calibri"/>
          <w:color w:val="000000"/>
          <w:spacing w:val="-6"/>
          <w:kern w:val="0"/>
          <w:sz w:val="28"/>
          <w:szCs w:val="28"/>
        </w:rPr>
      </w:pPr>
    </w:p>
    <w:p w14:paraId="6E5FF1F5" w14:textId="77777777" w:rsidR="00052596" w:rsidRDefault="00052596">
      <w:pPr>
        <w:widowControl/>
        <w:spacing w:line="200" w:lineRule="exact"/>
        <w:rPr>
          <w:rFonts w:ascii="Calibri" w:eastAsia="標楷體" w:hAnsi="Calibri"/>
          <w:color w:val="000000"/>
          <w:spacing w:val="-6"/>
          <w:kern w:val="0"/>
          <w:sz w:val="28"/>
          <w:szCs w:val="28"/>
        </w:rPr>
      </w:pPr>
    </w:p>
    <w:p w14:paraId="71D22AE1" w14:textId="77777777" w:rsidR="00052596" w:rsidRDefault="00052596">
      <w:pPr>
        <w:widowControl/>
        <w:spacing w:line="200" w:lineRule="exact"/>
        <w:rPr>
          <w:rFonts w:ascii="Calibri" w:eastAsia="標楷體" w:hAnsi="Calibri"/>
          <w:color w:val="000000"/>
          <w:spacing w:val="-6"/>
          <w:kern w:val="0"/>
          <w:sz w:val="28"/>
          <w:szCs w:val="28"/>
        </w:rPr>
      </w:pPr>
    </w:p>
    <w:p w14:paraId="26C3E2B7" w14:textId="77777777" w:rsidR="00052596" w:rsidRDefault="00052596">
      <w:pPr>
        <w:widowControl/>
        <w:spacing w:line="200" w:lineRule="exact"/>
        <w:rPr>
          <w:rFonts w:ascii="Calibri" w:eastAsia="標楷體" w:hAnsi="Calibri"/>
          <w:color w:val="000000"/>
          <w:spacing w:val="-6"/>
          <w:kern w:val="0"/>
          <w:sz w:val="28"/>
          <w:szCs w:val="28"/>
        </w:rPr>
      </w:pPr>
    </w:p>
    <w:p w14:paraId="43DD4C63" w14:textId="77777777" w:rsidR="00052596" w:rsidRDefault="00052596">
      <w:pPr>
        <w:widowControl/>
        <w:spacing w:line="200" w:lineRule="exact"/>
        <w:rPr>
          <w:rFonts w:ascii="Calibri" w:eastAsia="標楷體" w:hAnsi="Calibri"/>
          <w:color w:val="000000"/>
          <w:spacing w:val="-6"/>
          <w:kern w:val="0"/>
          <w:sz w:val="28"/>
          <w:szCs w:val="28"/>
        </w:rPr>
      </w:pPr>
    </w:p>
    <w:p w14:paraId="1BC85DDD" w14:textId="77777777" w:rsidR="00052596" w:rsidRDefault="00052596">
      <w:pPr>
        <w:widowControl/>
        <w:spacing w:line="200" w:lineRule="exact"/>
        <w:rPr>
          <w:rFonts w:ascii="Calibri" w:eastAsia="標楷體" w:hAnsi="Calibri"/>
          <w:color w:val="000000"/>
          <w:spacing w:val="-6"/>
          <w:kern w:val="0"/>
          <w:sz w:val="28"/>
          <w:szCs w:val="28"/>
        </w:rPr>
      </w:pPr>
    </w:p>
    <w:p w14:paraId="70C5B056" w14:textId="77777777" w:rsidR="00052596" w:rsidRDefault="00052596">
      <w:pPr>
        <w:widowControl/>
        <w:spacing w:line="200" w:lineRule="exact"/>
        <w:rPr>
          <w:rFonts w:ascii="Calibri" w:eastAsia="標楷體" w:hAnsi="Calibri"/>
          <w:color w:val="000000"/>
          <w:spacing w:val="-6"/>
          <w:kern w:val="0"/>
          <w:sz w:val="28"/>
          <w:szCs w:val="28"/>
        </w:rPr>
      </w:pPr>
    </w:p>
    <w:p w14:paraId="6B0AD743" w14:textId="77777777" w:rsidR="00052596" w:rsidRDefault="00000000">
      <w:pPr>
        <w:widowControl/>
        <w:spacing w:line="240" w:lineRule="atLeast"/>
      </w:pPr>
      <w:r>
        <w:rPr>
          <w:noProof/>
        </w:rPr>
        <mc:AlternateContent>
          <mc:Choice Requires="wps">
            <w:drawing>
              <wp:anchor distT="0" distB="0" distL="114300" distR="114300" simplePos="0" relativeHeight="251663872" behindDoc="0" locked="0" layoutInCell="1" allowOverlap="1" wp14:anchorId="1CE55569" wp14:editId="250A6F31">
                <wp:simplePos x="0" y="0"/>
                <wp:positionH relativeFrom="column">
                  <wp:posOffset>110486</wp:posOffset>
                </wp:positionH>
                <wp:positionV relativeFrom="paragraph">
                  <wp:posOffset>241931</wp:posOffset>
                </wp:positionV>
                <wp:extent cx="4981578" cy="342900"/>
                <wp:effectExtent l="0" t="0" r="0" b="0"/>
                <wp:wrapNone/>
                <wp:docPr id="134" name="文字方塊 43013"/>
                <wp:cNvGraphicFramePr/>
                <a:graphic xmlns:a="http://schemas.openxmlformats.org/drawingml/2006/main">
                  <a:graphicData uri="http://schemas.microsoft.com/office/word/2010/wordprocessingShape">
                    <wps:wsp>
                      <wps:cNvSpPr txBox="1"/>
                      <wps:spPr>
                        <a:xfrm>
                          <a:off x="0" y="0"/>
                          <a:ext cx="4981578" cy="342900"/>
                        </a:xfrm>
                        <a:prstGeom prst="rect">
                          <a:avLst/>
                        </a:prstGeom>
                        <a:noFill/>
                        <a:ln>
                          <a:noFill/>
                          <a:prstDash/>
                        </a:ln>
                      </wps:spPr>
                      <wps:txbx>
                        <w:txbxContent>
                          <w:p w14:paraId="51B11FBB" w14:textId="77777777" w:rsidR="00052596" w:rsidRDefault="00000000">
                            <w:pPr>
                              <w:overflowPunct w:val="0"/>
                              <w:autoSpaceDE w:val="0"/>
                              <w:spacing w:line="300" w:lineRule="exact"/>
                              <w:ind w:left="1356" w:right="847" w:hanging="1356"/>
                              <w:textAlignment w:val="center"/>
                            </w:pPr>
                            <w:r>
                              <w:rPr>
                                <w:rFonts w:eastAsia="標楷體"/>
                                <w:color w:val="000000"/>
                                <w:spacing w:val="-2"/>
                                <w:sz w:val="22"/>
                                <w:szCs w:val="22"/>
                              </w:rPr>
                              <w:t>資料來源：行政院主計總處、</w:t>
                            </w:r>
                            <w:r>
                              <w:rPr>
                                <w:rFonts w:eastAsia="標楷體"/>
                                <w:color w:val="000000"/>
                                <w:spacing w:val="-2"/>
                                <w:sz w:val="22"/>
                                <w:szCs w:val="22"/>
                              </w:rPr>
                              <w:t>Global Insight Inc.</w:t>
                            </w:r>
                            <w:r>
                              <w:rPr>
                                <w:rFonts w:ascii="標楷體" w:eastAsia="標楷體" w:hAnsi="標楷體"/>
                                <w:color w:val="000000"/>
                                <w:spacing w:val="-2"/>
                                <w:sz w:val="22"/>
                                <w:szCs w:val="22"/>
                              </w:rPr>
                              <w:t>(</w:t>
                            </w:r>
                            <w:r>
                              <w:rPr>
                                <w:rFonts w:eastAsia="標楷體"/>
                                <w:color w:val="000000"/>
                                <w:spacing w:val="-2"/>
                                <w:sz w:val="22"/>
                                <w:szCs w:val="22"/>
                              </w:rPr>
                              <w:t>2012</w:t>
                            </w:r>
                            <w:r>
                              <w:rPr>
                                <w:rFonts w:eastAsia="標楷體"/>
                                <w:color w:val="000000"/>
                                <w:spacing w:val="-2"/>
                                <w:sz w:val="22"/>
                                <w:szCs w:val="22"/>
                              </w:rPr>
                              <w:t>年</w:t>
                            </w:r>
                            <w:r>
                              <w:rPr>
                                <w:rFonts w:eastAsia="標楷體"/>
                                <w:color w:val="000000"/>
                                <w:spacing w:val="-2"/>
                                <w:sz w:val="22"/>
                                <w:szCs w:val="22"/>
                              </w:rPr>
                              <w:t>12</w:t>
                            </w:r>
                            <w:r>
                              <w:rPr>
                                <w:rFonts w:eastAsia="標楷體"/>
                                <w:color w:val="000000"/>
                                <w:spacing w:val="-2"/>
                                <w:sz w:val="22"/>
                                <w:szCs w:val="22"/>
                              </w:rPr>
                              <w:t>月</w:t>
                            </w:r>
                            <w:r>
                              <w:rPr>
                                <w:rFonts w:eastAsia="標楷體"/>
                                <w:color w:val="000000"/>
                                <w:spacing w:val="-2"/>
                                <w:sz w:val="22"/>
                                <w:szCs w:val="22"/>
                              </w:rPr>
                              <w:t>15</w:t>
                            </w:r>
                            <w:r>
                              <w:rPr>
                                <w:rFonts w:eastAsia="標楷體"/>
                                <w:color w:val="000000"/>
                                <w:spacing w:val="-2"/>
                                <w:sz w:val="22"/>
                                <w:szCs w:val="22"/>
                              </w:rPr>
                              <w:t>日</w:t>
                            </w:r>
                            <w:r>
                              <w:rPr>
                                <w:rFonts w:ascii="標楷體" w:eastAsia="標楷體" w:hAnsi="標楷體"/>
                                <w:color w:val="000000"/>
                                <w:spacing w:val="-2"/>
                                <w:sz w:val="22"/>
                                <w:szCs w:val="22"/>
                              </w:rPr>
                              <w:t>)</w:t>
                            </w:r>
                            <w:r>
                              <w:rPr>
                                <w:rFonts w:eastAsia="標楷體"/>
                                <w:color w:val="000000"/>
                                <w:spacing w:val="-2"/>
                                <w:sz w:val="22"/>
                                <w:szCs w:val="22"/>
                              </w:rPr>
                              <w:t>。</w:t>
                            </w:r>
                          </w:p>
                        </w:txbxContent>
                      </wps:txbx>
                      <wps:bodyPr wrap="square" lIns="91440" tIns="45720" rIns="91440" bIns="45720" anchor="t">
                        <a:noAutofit/>
                      </wps:bodyPr>
                    </wps:wsp>
                  </a:graphicData>
                </a:graphic>
              </wp:anchor>
            </w:drawing>
          </mc:Choice>
          <mc:Fallback>
            <w:pict>
              <v:shape w14:anchorId="1CE55569" id="文字方塊 43013" o:spid="_x0000_s1066" type="#_x0000_t202" style="position:absolute;margin-left:8.7pt;margin-top:19.05pt;width:392.25pt;height:2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" filled="f" stroked="f">
                <v:textbox>
                  <w:txbxContent>
                    <w:p w14:paraId="51B11FBB" w14:textId="77777777" w:rsidR="00052596" w:rsidRDefault="00000000">
                      <w:pPr>
                        <w:overflowPunct w:val="0"/>
                        <w:autoSpaceDE w:val="0"/>
                        <w:spacing w:line="300" w:lineRule="exact"/>
                        <w:ind w:left="1356" w:right="847" w:hanging="1356"/>
                        <w:textAlignment w:val="center"/>
                      </w:pPr>
                      <w:r>
                        <w:rPr>
                          <w:rFonts w:eastAsia="標楷體"/>
                          <w:color w:val="000000"/>
                          <w:spacing w:val="-2"/>
                          <w:sz w:val="22"/>
                          <w:szCs w:val="22"/>
                        </w:rPr>
                        <w:t>資料來源：行政院主計總處、</w:t>
                      </w:r>
                      <w:r>
                        <w:rPr>
                          <w:rFonts w:eastAsia="標楷體"/>
                          <w:color w:val="000000"/>
                          <w:spacing w:val="-2"/>
                          <w:sz w:val="22"/>
                          <w:szCs w:val="22"/>
                        </w:rPr>
                        <w:t>Global Insight Inc.</w:t>
                      </w:r>
                      <w:r>
                        <w:rPr>
                          <w:rFonts w:ascii="標楷體" w:eastAsia="標楷體" w:hAnsi="標楷體"/>
                          <w:color w:val="000000"/>
                          <w:spacing w:val="-2"/>
                          <w:sz w:val="22"/>
                          <w:szCs w:val="22"/>
                        </w:rPr>
                        <w:t>(</w:t>
                      </w:r>
                      <w:r>
                        <w:rPr>
                          <w:rFonts w:eastAsia="標楷體"/>
                          <w:color w:val="000000"/>
                          <w:spacing w:val="-2"/>
                          <w:sz w:val="22"/>
                          <w:szCs w:val="22"/>
                        </w:rPr>
                        <w:t>2012</w:t>
                      </w:r>
                      <w:r>
                        <w:rPr>
                          <w:rFonts w:eastAsia="標楷體"/>
                          <w:color w:val="000000"/>
                          <w:spacing w:val="-2"/>
                          <w:sz w:val="22"/>
                          <w:szCs w:val="22"/>
                        </w:rPr>
                        <w:t>年</w:t>
                      </w:r>
                      <w:r>
                        <w:rPr>
                          <w:rFonts w:eastAsia="標楷體"/>
                          <w:color w:val="000000"/>
                          <w:spacing w:val="-2"/>
                          <w:sz w:val="22"/>
                          <w:szCs w:val="22"/>
                        </w:rPr>
                        <w:t>12</w:t>
                      </w:r>
                      <w:r>
                        <w:rPr>
                          <w:rFonts w:eastAsia="標楷體"/>
                          <w:color w:val="000000"/>
                          <w:spacing w:val="-2"/>
                          <w:sz w:val="22"/>
                          <w:szCs w:val="22"/>
                        </w:rPr>
                        <w:t>月</w:t>
                      </w:r>
                      <w:r>
                        <w:rPr>
                          <w:rFonts w:eastAsia="標楷體"/>
                          <w:color w:val="000000"/>
                          <w:spacing w:val="-2"/>
                          <w:sz w:val="22"/>
                          <w:szCs w:val="22"/>
                        </w:rPr>
                        <w:t>15</w:t>
                      </w:r>
                      <w:r>
                        <w:rPr>
                          <w:rFonts w:eastAsia="標楷體"/>
                          <w:color w:val="000000"/>
                          <w:spacing w:val="-2"/>
                          <w:sz w:val="22"/>
                          <w:szCs w:val="22"/>
                        </w:rPr>
                        <w:t>日</w:t>
                      </w:r>
                      <w:r>
                        <w:rPr>
                          <w:rFonts w:ascii="標楷體" w:eastAsia="標楷體" w:hAnsi="標楷體"/>
                          <w:color w:val="000000"/>
                          <w:spacing w:val="-2"/>
                          <w:sz w:val="22"/>
                          <w:szCs w:val="22"/>
                        </w:rPr>
                        <w:t>)</w:t>
                      </w:r>
                      <w:r>
                        <w:rPr>
                          <w:rFonts w:eastAsia="標楷體"/>
                          <w:color w:val="000000"/>
                          <w:spacing w:val="-2"/>
                          <w:sz w:val="22"/>
                          <w:szCs w:val="22"/>
                        </w:rPr>
                        <w:t>。</w:t>
                      </w:r>
                    </w:p>
                  </w:txbxContent>
                </v:textbox>
              </v:shape>
            </w:pict>
          </mc:Fallback>
        </mc:AlternateContent>
      </w:r>
    </w:p>
    <w:p w14:paraId="19F127A5" w14:textId="77777777" w:rsidR="00052596" w:rsidRDefault="00000000">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四、貝弗里奇曲線</w:t>
      </w:r>
    </w:p>
    <w:p w14:paraId="538A939F" w14:textId="77777777" w:rsidR="00052596" w:rsidRDefault="00000000">
      <w:pPr>
        <w:overflowPunct w:val="0"/>
        <w:autoSpaceDE w:val="0"/>
        <w:spacing w:line="400" w:lineRule="exact"/>
        <w:ind w:left="240" w:firstLine="576"/>
        <w:jc w:val="both"/>
        <w:textAlignment w:val="center"/>
      </w:pPr>
      <w:r>
        <w:rPr>
          <w:rFonts w:eastAsia="標楷體"/>
          <w:color w:val="000000"/>
          <w:spacing w:val="4"/>
          <w:kern w:val="0"/>
          <w:sz w:val="28"/>
          <w:szCs w:val="28"/>
        </w:rPr>
        <w:t>OECD</w:t>
      </w:r>
      <w:r>
        <w:rPr>
          <w:rFonts w:eastAsia="標楷體"/>
          <w:color w:val="000000"/>
          <w:spacing w:val="4"/>
          <w:kern w:val="0"/>
          <w:sz w:val="28"/>
          <w:szCs w:val="28"/>
        </w:rPr>
        <w:t>「</w:t>
      </w:r>
      <w:r>
        <w:rPr>
          <w:rFonts w:eastAsia="標楷體"/>
          <w:color w:val="000000"/>
          <w:spacing w:val="4"/>
          <w:kern w:val="0"/>
          <w:sz w:val="28"/>
          <w:szCs w:val="28"/>
        </w:rPr>
        <w:t>2012</w:t>
      </w:r>
      <w:r>
        <w:rPr>
          <w:rFonts w:eastAsia="標楷體"/>
          <w:color w:val="000000"/>
          <w:spacing w:val="4"/>
          <w:kern w:val="0"/>
          <w:sz w:val="28"/>
          <w:szCs w:val="28"/>
        </w:rPr>
        <w:t>年就業展望」報告指出，貝弗里奇曲線</w:t>
      </w:r>
      <w:r>
        <w:rPr>
          <w:rFonts w:ascii="標楷體" w:eastAsia="標楷體" w:hAnsi="標楷體"/>
          <w:color w:val="000000"/>
          <w:spacing w:val="2"/>
          <w:kern w:val="0"/>
          <w:sz w:val="28"/>
          <w:szCs w:val="28"/>
        </w:rPr>
        <w:t>(</w:t>
      </w:r>
      <w:r>
        <w:rPr>
          <w:rFonts w:eastAsia="標楷體"/>
          <w:color w:val="000000"/>
          <w:spacing w:val="4"/>
          <w:kern w:val="0"/>
          <w:sz w:val="28"/>
          <w:szCs w:val="28"/>
        </w:rPr>
        <w:t>Beveridge curve</w:t>
      </w:r>
      <w:r>
        <w:rPr>
          <w:rFonts w:ascii="標楷體" w:eastAsia="標楷體" w:hAnsi="標楷體"/>
          <w:color w:val="000000"/>
          <w:spacing w:val="2"/>
          <w:kern w:val="0"/>
          <w:sz w:val="28"/>
          <w:szCs w:val="28"/>
        </w:rPr>
        <w:t>)</w:t>
      </w:r>
      <w:r>
        <w:rPr>
          <w:rFonts w:eastAsia="標楷體"/>
          <w:color w:val="000000"/>
          <w:spacing w:val="4"/>
          <w:kern w:val="0"/>
          <w:sz w:val="28"/>
          <w:szCs w:val="28"/>
          <w:vertAlign w:val="superscript"/>
        </w:rPr>
        <w:footnoteReference w:customMarkFollows="1" w:id="15"/>
        <w:t>15</w:t>
      </w:r>
      <w:r>
        <w:rPr>
          <w:rFonts w:eastAsia="標楷體"/>
          <w:color w:val="000000"/>
          <w:spacing w:val="4"/>
          <w:kern w:val="0"/>
          <w:sz w:val="28"/>
          <w:szCs w:val="28"/>
        </w:rPr>
        <w:t>係反映一國結構性失業情勢的工具之一，惟各國經濟特質不同，變動型態亦有顯著差異。</w:t>
      </w:r>
      <w:r>
        <w:rPr>
          <w:rFonts w:eastAsia="標楷體"/>
          <w:color w:val="000000"/>
          <w:spacing w:val="4"/>
          <w:kern w:val="0"/>
          <w:sz w:val="28"/>
          <w:szCs w:val="28"/>
        </w:rPr>
        <w:t>91</w:t>
      </w:r>
      <w:r>
        <w:rPr>
          <w:rFonts w:eastAsia="標楷體"/>
          <w:color w:val="000000"/>
          <w:spacing w:val="4"/>
          <w:kern w:val="0"/>
          <w:sz w:val="28"/>
          <w:szCs w:val="28"/>
        </w:rPr>
        <w:t>至</w:t>
      </w:r>
      <w:r>
        <w:rPr>
          <w:rFonts w:eastAsia="標楷體"/>
          <w:color w:val="000000"/>
          <w:spacing w:val="4"/>
          <w:kern w:val="0"/>
          <w:sz w:val="28"/>
          <w:szCs w:val="28"/>
        </w:rPr>
        <w:t>100</w:t>
      </w:r>
      <w:r>
        <w:rPr>
          <w:rFonts w:eastAsia="標楷體"/>
          <w:color w:val="000000"/>
          <w:spacing w:val="4"/>
          <w:kern w:val="0"/>
          <w:sz w:val="28"/>
          <w:szCs w:val="28"/>
        </w:rPr>
        <w:t>年間，我國貝弗里奇曲線大致呈現反時鐘迴圈</w:t>
      </w:r>
      <w:r>
        <w:rPr>
          <w:rFonts w:ascii="標楷體" w:eastAsia="標楷體" w:hAnsi="標楷體"/>
          <w:color w:val="000000"/>
          <w:spacing w:val="4"/>
          <w:kern w:val="0"/>
          <w:sz w:val="28"/>
          <w:szCs w:val="28"/>
        </w:rPr>
        <w:t>(</w:t>
      </w:r>
      <w:r>
        <w:rPr>
          <w:rFonts w:eastAsia="標楷體"/>
          <w:color w:val="000000"/>
          <w:spacing w:val="4"/>
          <w:kern w:val="0"/>
          <w:sz w:val="28"/>
          <w:szCs w:val="28"/>
        </w:rPr>
        <w:t>counter-clockwise loops</w:t>
      </w:r>
      <w:r>
        <w:rPr>
          <w:rFonts w:ascii="標楷體" w:eastAsia="標楷體" w:hAnsi="標楷體"/>
          <w:color w:val="000000"/>
          <w:spacing w:val="4"/>
          <w:kern w:val="0"/>
          <w:sz w:val="28"/>
          <w:szCs w:val="28"/>
        </w:rPr>
        <w:t>)</w:t>
      </w:r>
      <w:r>
        <w:rPr>
          <w:rFonts w:eastAsia="標楷體"/>
          <w:color w:val="000000"/>
          <w:spacing w:val="4"/>
          <w:kern w:val="0"/>
          <w:sz w:val="28"/>
          <w:szCs w:val="28"/>
        </w:rPr>
        <w:t>的變動型態。由於國內失業與缺工現象同時並存，反映臺灣勞動市場存在結構性失業情形。惟就整體曲線的長期走勢觀察，</w:t>
      </w:r>
      <w:r>
        <w:rPr>
          <w:rFonts w:eastAsia="標楷體"/>
          <w:color w:val="000000"/>
          <w:spacing w:val="4"/>
          <w:kern w:val="0"/>
          <w:sz w:val="28"/>
          <w:szCs w:val="28"/>
        </w:rPr>
        <w:t>92</w:t>
      </w:r>
      <w:r>
        <w:rPr>
          <w:rFonts w:eastAsia="標楷體"/>
          <w:color w:val="000000"/>
          <w:spacing w:val="4"/>
          <w:kern w:val="0"/>
          <w:sz w:val="28"/>
          <w:szCs w:val="28"/>
        </w:rPr>
        <w:t>至</w:t>
      </w:r>
      <w:r>
        <w:rPr>
          <w:rFonts w:eastAsia="標楷體"/>
          <w:color w:val="000000"/>
          <w:spacing w:val="4"/>
          <w:kern w:val="0"/>
          <w:sz w:val="28"/>
          <w:szCs w:val="28"/>
        </w:rPr>
        <w:t>96</w:t>
      </w:r>
      <w:r>
        <w:rPr>
          <w:rFonts w:eastAsia="標楷體"/>
          <w:color w:val="000000"/>
          <w:spacing w:val="4"/>
          <w:kern w:val="0"/>
          <w:sz w:val="28"/>
          <w:szCs w:val="28"/>
        </w:rPr>
        <w:t>年臺灣貝弗里奇曲線明顯朝左下方移動，顯示國內勞動市場的媒合效率已漸提升。惟全球金融風暴後國內結構性失業問題轉趨明顯，值得重視。</w:t>
      </w:r>
    </w:p>
    <w:p w14:paraId="064E1AD3" w14:textId="77777777" w:rsidR="00052596" w:rsidRDefault="00000000">
      <w:pPr>
        <w:overflowPunct w:val="0"/>
        <w:autoSpaceDE w:val="0"/>
        <w:spacing w:line="400" w:lineRule="exact"/>
        <w:ind w:left="240" w:firstLine="568"/>
        <w:jc w:val="both"/>
        <w:textAlignment w:val="center"/>
      </w:pPr>
      <w:r>
        <w:rPr>
          <w:rFonts w:eastAsia="標楷體"/>
          <w:color w:val="000000"/>
          <w:spacing w:val="2"/>
          <w:kern w:val="0"/>
          <w:sz w:val="28"/>
          <w:szCs w:val="28"/>
        </w:rPr>
        <w:t>從產業別觀察，</w:t>
      </w:r>
      <w:r>
        <w:rPr>
          <w:rFonts w:eastAsia="標楷體"/>
          <w:color w:val="000000"/>
          <w:spacing w:val="2"/>
          <w:kern w:val="0"/>
          <w:sz w:val="28"/>
          <w:szCs w:val="28"/>
        </w:rPr>
        <w:t>101</w:t>
      </w:r>
      <w:r>
        <w:rPr>
          <w:rFonts w:eastAsia="標楷體"/>
          <w:color w:val="000000"/>
          <w:spacing w:val="2"/>
          <w:kern w:val="0"/>
          <w:sz w:val="28"/>
          <w:szCs w:val="28"/>
        </w:rPr>
        <w:t>年</w:t>
      </w:r>
      <w:r>
        <w:rPr>
          <w:rFonts w:eastAsia="標楷體"/>
          <w:color w:val="000000"/>
          <w:spacing w:val="2"/>
          <w:kern w:val="0"/>
          <w:sz w:val="28"/>
          <w:szCs w:val="28"/>
        </w:rPr>
        <w:t>8</w:t>
      </w:r>
      <w:r>
        <w:rPr>
          <w:rFonts w:eastAsia="標楷體"/>
          <w:color w:val="000000"/>
          <w:spacing w:val="2"/>
          <w:kern w:val="0"/>
          <w:sz w:val="28"/>
          <w:szCs w:val="28"/>
        </w:rPr>
        <w:t>月國內工業及服務業空缺人數</w:t>
      </w:r>
      <w:r>
        <w:rPr>
          <w:rFonts w:eastAsia="標楷體"/>
          <w:color w:val="000000"/>
          <w:spacing w:val="2"/>
          <w:kern w:val="0"/>
          <w:sz w:val="28"/>
          <w:szCs w:val="28"/>
        </w:rPr>
        <w:t>17</w:t>
      </w:r>
      <w:r>
        <w:rPr>
          <w:rFonts w:eastAsia="標楷體"/>
          <w:color w:val="000000"/>
          <w:spacing w:val="2"/>
          <w:kern w:val="0"/>
          <w:sz w:val="28"/>
          <w:szCs w:val="28"/>
        </w:rPr>
        <w:t>萬</w:t>
      </w:r>
      <w:r>
        <w:rPr>
          <w:rFonts w:eastAsia="標楷體"/>
          <w:color w:val="000000"/>
          <w:spacing w:val="2"/>
          <w:kern w:val="0"/>
          <w:sz w:val="28"/>
          <w:szCs w:val="28"/>
        </w:rPr>
        <w:t>5,845</w:t>
      </w:r>
      <w:r>
        <w:rPr>
          <w:rFonts w:eastAsia="標楷體"/>
          <w:color w:val="000000"/>
          <w:spacing w:val="2"/>
          <w:kern w:val="0"/>
          <w:sz w:val="28"/>
          <w:szCs w:val="28"/>
        </w:rPr>
        <w:t>人，較</w:t>
      </w:r>
      <w:r>
        <w:rPr>
          <w:rFonts w:eastAsia="標楷體"/>
          <w:color w:val="000000"/>
          <w:spacing w:val="2"/>
          <w:kern w:val="0"/>
          <w:sz w:val="28"/>
          <w:szCs w:val="28"/>
        </w:rPr>
        <w:t>100</w:t>
      </w:r>
      <w:r>
        <w:rPr>
          <w:rFonts w:eastAsia="標楷體"/>
          <w:color w:val="000000"/>
          <w:spacing w:val="2"/>
          <w:kern w:val="0"/>
          <w:sz w:val="28"/>
          <w:szCs w:val="28"/>
        </w:rPr>
        <w:t>年</w:t>
      </w:r>
      <w:r>
        <w:rPr>
          <w:rFonts w:eastAsia="標楷體"/>
          <w:color w:val="000000"/>
          <w:spacing w:val="2"/>
          <w:kern w:val="0"/>
          <w:sz w:val="28"/>
          <w:szCs w:val="28"/>
        </w:rPr>
        <w:t>8</w:t>
      </w:r>
      <w:r>
        <w:rPr>
          <w:rFonts w:eastAsia="標楷體"/>
          <w:color w:val="000000"/>
          <w:spacing w:val="2"/>
          <w:kern w:val="0"/>
          <w:sz w:val="28"/>
          <w:szCs w:val="28"/>
        </w:rPr>
        <w:t>月減少</w:t>
      </w:r>
      <w:r>
        <w:rPr>
          <w:rFonts w:eastAsia="標楷體"/>
          <w:color w:val="000000"/>
          <w:spacing w:val="2"/>
          <w:kern w:val="0"/>
          <w:sz w:val="28"/>
          <w:szCs w:val="28"/>
        </w:rPr>
        <w:t>7.8%</w:t>
      </w:r>
      <w:r>
        <w:rPr>
          <w:rFonts w:eastAsia="標楷體"/>
          <w:color w:val="000000"/>
          <w:spacing w:val="2"/>
          <w:kern w:val="0"/>
          <w:sz w:val="28"/>
          <w:szCs w:val="28"/>
        </w:rPr>
        <w:t>，空缺率為</w:t>
      </w:r>
      <w:r>
        <w:rPr>
          <w:rFonts w:eastAsia="標楷體"/>
          <w:color w:val="000000"/>
          <w:spacing w:val="2"/>
          <w:kern w:val="0"/>
          <w:sz w:val="28"/>
          <w:szCs w:val="28"/>
        </w:rPr>
        <w:t>2.47%</w:t>
      </w:r>
      <w:r>
        <w:rPr>
          <w:rFonts w:eastAsia="標楷體"/>
          <w:color w:val="000000"/>
          <w:spacing w:val="2"/>
          <w:kern w:val="0"/>
          <w:sz w:val="28"/>
          <w:szCs w:val="28"/>
        </w:rPr>
        <w:t>。依產業別觀察，工業</w:t>
      </w:r>
      <w:r>
        <w:rPr>
          <w:rFonts w:ascii="標楷體" w:eastAsia="標楷體" w:hAnsi="標楷體"/>
          <w:color w:val="000000"/>
          <w:spacing w:val="2"/>
          <w:kern w:val="0"/>
          <w:sz w:val="28"/>
          <w:szCs w:val="28"/>
        </w:rPr>
        <w:t>部門</w:t>
      </w:r>
      <w:r>
        <w:rPr>
          <w:rFonts w:eastAsia="標楷體"/>
          <w:color w:val="000000"/>
          <w:spacing w:val="2"/>
          <w:kern w:val="0"/>
          <w:sz w:val="28"/>
          <w:szCs w:val="28"/>
        </w:rPr>
        <w:t>空缺人數</w:t>
      </w:r>
      <w:r>
        <w:rPr>
          <w:rFonts w:eastAsia="標楷體"/>
          <w:color w:val="000000"/>
          <w:spacing w:val="2"/>
          <w:kern w:val="0"/>
          <w:sz w:val="28"/>
          <w:szCs w:val="28"/>
        </w:rPr>
        <w:t>8</w:t>
      </w:r>
      <w:r>
        <w:rPr>
          <w:rFonts w:eastAsia="標楷體"/>
          <w:color w:val="000000"/>
          <w:spacing w:val="2"/>
          <w:kern w:val="0"/>
          <w:sz w:val="28"/>
          <w:szCs w:val="28"/>
        </w:rPr>
        <w:t>萬</w:t>
      </w:r>
      <w:r>
        <w:rPr>
          <w:rFonts w:eastAsia="標楷體"/>
          <w:color w:val="000000"/>
          <w:spacing w:val="2"/>
          <w:kern w:val="0"/>
          <w:sz w:val="28"/>
          <w:szCs w:val="28"/>
        </w:rPr>
        <w:t>983</w:t>
      </w:r>
      <w:r>
        <w:rPr>
          <w:rFonts w:eastAsia="標楷體"/>
          <w:color w:val="000000"/>
          <w:spacing w:val="2"/>
          <w:kern w:val="0"/>
          <w:sz w:val="28"/>
          <w:szCs w:val="28"/>
        </w:rPr>
        <w:t>人</w:t>
      </w:r>
      <w:r>
        <w:rPr>
          <w:rFonts w:ascii="標楷體" w:eastAsia="標楷體" w:hAnsi="標楷體"/>
          <w:color w:val="000000"/>
          <w:spacing w:val="2"/>
          <w:kern w:val="0"/>
          <w:sz w:val="28"/>
          <w:szCs w:val="28"/>
        </w:rPr>
        <w:t>(</w:t>
      </w:r>
      <w:r>
        <w:rPr>
          <w:rFonts w:eastAsia="標楷體"/>
          <w:color w:val="000000"/>
          <w:spacing w:val="2"/>
          <w:kern w:val="0"/>
          <w:sz w:val="28"/>
          <w:szCs w:val="28"/>
        </w:rPr>
        <w:t>占總空缺人數比率為</w:t>
      </w:r>
      <w:r>
        <w:rPr>
          <w:rFonts w:eastAsia="標楷體"/>
          <w:color w:val="000000"/>
          <w:spacing w:val="2"/>
          <w:kern w:val="0"/>
          <w:sz w:val="28"/>
          <w:szCs w:val="28"/>
        </w:rPr>
        <w:t>46.1%</w:t>
      </w:r>
      <w:r>
        <w:rPr>
          <w:rFonts w:ascii="標楷體" w:eastAsia="標楷體" w:hAnsi="標楷體"/>
          <w:color w:val="000000"/>
          <w:spacing w:val="2"/>
          <w:kern w:val="0"/>
          <w:sz w:val="28"/>
          <w:szCs w:val="28"/>
        </w:rPr>
        <w:t>)，</w:t>
      </w:r>
      <w:r>
        <w:rPr>
          <w:rFonts w:eastAsia="標楷體"/>
          <w:color w:val="000000"/>
          <w:spacing w:val="2"/>
          <w:kern w:val="0"/>
          <w:sz w:val="28"/>
          <w:szCs w:val="28"/>
        </w:rPr>
        <w:t>空缺率為</w:t>
      </w:r>
      <w:r>
        <w:rPr>
          <w:rFonts w:eastAsia="標楷體"/>
          <w:color w:val="000000"/>
          <w:spacing w:val="2"/>
          <w:kern w:val="0"/>
          <w:sz w:val="28"/>
          <w:szCs w:val="28"/>
        </w:rPr>
        <w:t>2.49%</w:t>
      </w:r>
      <w:r>
        <w:rPr>
          <w:rFonts w:ascii="標楷體" w:eastAsia="標楷體" w:hAnsi="標楷體"/>
          <w:color w:val="000000"/>
          <w:spacing w:val="2"/>
          <w:kern w:val="0"/>
          <w:sz w:val="28"/>
          <w:szCs w:val="28"/>
        </w:rPr>
        <w:t>；服務業部門</w:t>
      </w:r>
      <w:r>
        <w:rPr>
          <w:rFonts w:eastAsia="標楷體"/>
          <w:color w:val="000000"/>
          <w:spacing w:val="2"/>
          <w:kern w:val="0"/>
          <w:sz w:val="28"/>
          <w:szCs w:val="28"/>
        </w:rPr>
        <w:t>空缺人數</w:t>
      </w:r>
      <w:r>
        <w:rPr>
          <w:rFonts w:eastAsia="標楷體"/>
          <w:color w:val="000000"/>
          <w:spacing w:val="2"/>
          <w:kern w:val="0"/>
          <w:sz w:val="28"/>
          <w:szCs w:val="28"/>
        </w:rPr>
        <w:t>9</w:t>
      </w:r>
      <w:r>
        <w:rPr>
          <w:rFonts w:eastAsia="標楷體"/>
          <w:color w:val="000000"/>
          <w:spacing w:val="2"/>
          <w:kern w:val="0"/>
          <w:sz w:val="28"/>
          <w:szCs w:val="28"/>
        </w:rPr>
        <w:t>萬</w:t>
      </w:r>
      <w:r>
        <w:rPr>
          <w:rFonts w:eastAsia="標楷體"/>
          <w:color w:val="000000"/>
          <w:spacing w:val="2"/>
          <w:kern w:val="0"/>
          <w:sz w:val="28"/>
          <w:szCs w:val="28"/>
        </w:rPr>
        <w:t>4,862</w:t>
      </w:r>
      <w:r>
        <w:rPr>
          <w:rFonts w:eastAsia="標楷體"/>
          <w:color w:val="000000"/>
          <w:spacing w:val="2"/>
          <w:kern w:val="0"/>
          <w:sz w:val="28"/>
          <w:szCs w:val="28"/>
        </w:rPr>
        <w:t>人</w:t>
      </w:r>
      <w:r>
        <w:rPr>
          <w:rFonts w:ascii="標楷體" w:eastAsia="標楷體" w:hAnsi="標楷體"/>
          <w:color w:val="000000"/>
          <w:spacing w:val="2"/>
          <w:kern w:val="0"/>
          <w:sz w:val="28"/>
          <w:szCs w:val="28"/>
        </w:rPr>
        <w:t>(</w:t>
      </w:r>
      <w:r>
        <w:rPr>
          <w:rFonts w:eastAsia="標楷體"/>
          <w:color w:val="000000"/>
          <w:spacing w:val="2"/>
          <w:kern w:val="0"/>
          <w:sz w:val="28"/>
          <w:szCs w:val="28"/>
        </w:rPr>
        <w:t>占</w:t>
      </w:r>
      <w:r>
        <w:rPr>
          <w:rFonts w:eastAsia="標楷體"/>
          <w:color w:val="000000"/>
          <w:spacing w:val="2"/>
          <w:kern w:val="0"/>
          <w:sz w:val="28"/>
          <w:szCs w:val="28"/>
        </w:rPr>
        <w:t>53.9%</w:t>
      </w:r>
      <w:r>
        <w:rPr>
          <w:rFonts w:ascii="標楷體" w:eastAsia="標楷體" w:hAnsi="標楷體"/>
          <w:color w:val="000000"/>
          <w:spacing w:val="2"/>
          <w:kern w:val="0"/>
          <w:sz w:val="28"/>
          <w:szCs w:val="28"/>
        </w:rPr>
        <w:t>)，</w:t>
      </w:r>
      <w:r>
        <w:rPr>
          <w:rFonts w:eastAsia="標楷體"/>
          <w:color w:val="000000"/>
          <w:spacing w:val="2"/>
          <w:kern w:val="0"/>
          <w:sz w:val="28"/>
          <w:szCs w:val="28"/>
        </w:rPr>
        <w:t>空缺率為</w:t>
      </w:r>
      <w:r>
        <w:rPr>
          <w:rFonts w:eastAsia="標楷體"/>
          <w:color w:val="000000"/>
          <w:spacing w:val="2"/>
          <w:kern w:val="0"/>
          <w:sz w:val="28"/>
          <w:szCs w:val="28"/>
        </w:rPr>
        <w:t>2.45%</w:t>
      </w:r>
      <w:r>
        <w:rPr>
          <w:rFonts w:ascii="標楷體" w:eastAsia="標楷體" w:hAnsi="標楷體"/>
          <w:color w:val="000000"/>
          <w:spacing w:val="2"/>
          <w:kern w:val="0"/>
          <w:sz w:val="28"/>
          <w:szCs w:val="28"/>
        </w:rPr>
        <w:t>。在工業部門中，</w:t>
      </w:r>
      <w:r>
        <w:rPr>
          <w:rFonts w:eastAsia="標楷體"/>
          <w:color w:val="000000"/>
          <w:spacing w:val="2"/>
          <w:kern w:val="0"/>
          <w:sz w:val="28"/>
          <w:szCs w:val="28"/>
        </w:rPr>
        <w:t>以製造業空缺人數</w:t>
      </w:r>
      <w:r>
        <w:rPr>
          <w:rFonts w:eastAsia="標楷體"/>
          <w:color w:val="000000"/>
          <w:spacing w:val="2"/>
          <w:kern w:val="0"/>
          <w:sz w:val="28"/>
          <w:szCs w:val="28"/>
        </w:rPr>
        <w:t>6</w:t>
      </w:r>
      <w:r>
        <w:rPr>
          <w:rFonts w:eastAsia="標楷體"/>
          <w:color w:val="000000"/>
          <w:spacing w:val="2"/>
          <w:kern w:val="0"/>
          <w:sz w:val="28"/>
          <w:szCs w:val="28"/>
        </w:rPr>
        <w:t>萬</w:t>
      </w:r>
      <w:r>
        <w:rPr>
          <w:rFonts w:eastAsia="標楷體"/>
          <w:color w:val="000000"/>
          <w:spacing w:val="2"/>
          <w:kern w:val="0"/>
          <w:sz w:val="28"/>
          <w:szCs w:val="28"/>
        </w:rPr>
        <w:t>9,739</w:t>
      </w:r>
      <w:r>
        <w:rPr>
          <w:rFonts w:eastAsia="標楷體"/>
          <w:color w:val="000000"/>
          <w:spacing w:val="2"/>
          <w:kern w:val="0"/>
          <w:sz w:val="28"/>
          <w:szCs w:val="28"/>
        </w:rPr>
        <w:t>人最多</w:t>
      </w:r>
      <w:r>
        <w:rPr>
          <w:rFonts w:ascii="標楷體" w:eastAsia="標楷體" w:hAnsi="標楷體"/>
          <w:color w:val="000000"/>
          <w:spacing w:val="2"/>
          <w:kern w:val="0"/>
          <w:sz w:val="28"/>
          <w:szCs w:val="28"/>
        </w:rPr>
        <w:t>，而以用水供應及汙染整治業空缺率</w:t>
      </w:r>
      <w:r>
        <w:rPr>
          <w:rFonts w:eastAsia="標楷體"/>
          <w:color w:val="000000"/>
          <w:spacing w:val="2"/>
          <w:kern w:val="0"/>
          <w:sz w:val="28"/>
          <w:szCs w:val="28"/>
        </w:rPr>
        <w:t>2.66%</w:t>
      </w:r>
      <w:r>
        <w:rPr>
          <w:rFonts w:eastAsia="標楷體"/>
          <w:color w:val="000000"/>
          <w:spacing w:val="2"/>
          <w:kern w:val="0"/>
          <w:sz w:val="28"/>
          <w:szCs w:val="28"/>
        </w:rPr>
        <w:t>最高；服務業部門中，以批發及零售業空缺人數</w:t>
      </w:r>
      <w:r>
        <w:rPr>
          <w:rFonts w:eastAsia="標楷體"/>
          <w:color w:val="000000"/>
          <w:spacing w:val="2"/>
          <w:kern w:val="0"/>
          <w:sz w:val="28"/>
          <w:szCs w:val="28"/>
        </w:rPr>
        <w:t>3</w:t>
      </w:r>
      <w:r>
        <w:rPr>
          <w:rFonts w:eastAsia="標楷體"/>
          <w:color w:val="000000"/>
          <w:spacing w:val="2"/>
          <w:kern w:val="0"/>
          <w:sz w:val="28"/>
          <w:szCs w:val="28"/>
        </w:rPr>
        <w:t>萬</w:t>
      </w:r>
      <w:r>
        <w:rPr>
          <w:rFonts w:eastAsia="標楷體"/>
          <w:color w:val="000000"/>
          <w:spacing w:val="2"/>
          <w:kern w:val="0"/>
          <w:sz w:val="28"/>
          <w:szCs w:val="28"/>
        </w:rPr>
        <w:t>4,330</w:t>
      </w:r>
      <w:r>
        <w:rPr>
          <w:rFonts w:eastAsia="標楷體"/>
          <w:color w:val="000000"/>
          <w:spacing w:val="2"/>
          <w:kern w:val="0"/>
          <w:sz w:val="28"/>
          <w:szCs w:val="28"/>
        </w:rPr>
        <w:t>人最多</w:t>
      </w:r>
      <w:r>
        <w:rPr>
          <w:rFonts w:ascii="標楷體" w:eastAsia="標楷體" w:hAnsi="標楷體"/>
          <w:color w:val="000000"/>
          <w:spacing w:val="2"/>
          <w:kern w:val="0"/>
          <w:sz w:val="28"/>
          <w:szCs w:val="28"/>
        </w:rPr>
        <w:t>，而以其他服務業空缺率</w:t>
      </w:r>
      <w:r>
        <w:rPr>
          <w:rFonts w:eastAsia="標楷體"/>
          <w:color w:val="000000"/>
          <w:spacing w:val="2"/>
          <w:kern w:val="0"/>
          <w:sz w:val="28"/>
          <w:szCs w:val="28"/>
        </w:rPr>
        <w:t>4.22%</w:t>
      </w:r>
      <w:r>
        <w:rPr>
          <w:rFonts w:eastAsia="標楷體"/>
          <w:color w:val="000000"/>
          <w:spacing w:val="2"/>
          <w:kern w:val="0"/>
          <w:sz w:val="28"/>
          <w:szCs w:val="28"/>
        </w:rPr>
        <w:t>最高</w:t>
      </w:r>
      <w:r>
        <w:rPr>
          <w:rFonts w:ascii="標楷體" w:eastAsia="標楷體" w:hAnsi="標楷體"/>
          <w:color w:val="000000"/>
          <w:spacing w:val="2"/>
          <w:kern w:val="0"/>
          <w:sz w:val="28"/>
          <w:szCs w:val="28"/>
        </w:rPr>
        <w:t>。</w:t>
      </w:r>
    </w:p>
    <w:p w14:paraId="7D67BEE1" w14:textId="77777777" w:rsidR="00052596" w:rsidRDefault="00000000">
      <w:pPr>
        <w:overflowPunct w:val="0"/>
        <w:autoSpaceDE w:val="0"/>
        <w:spacing w:line="420" w:lineRule="exact"/>
        <w:ind w:left="240" w:firstLine="480"/>
        <w:jc w:val="both"/>
        <w:textAlignment w:val="center"/>
      </w:pPr>
      <w:r>
        <w:rPr>
          <w:noProof/>
        </w:rPr>
        <mc:AlternateContent>
          <mc:Choice Requires="wpg">
            <w:drawing>
              <wp:anchor distT="0" distB="0" distL="114300" distR="114300" simplePos="0" relativeHeight="251659776" behindDoc="1" locked="0" layoutInCell="1" allowOverlap="1" wp14:anchorId="1C5880AC" wp14:editId="0A4D001C">
                <wp:simplePos x="0" y="0"/>
                <wp:positionH relativeFrom="column">
                  <wp:posOffset>80010</wp:posOffset>
                </wp:positionH>
                <wp:positionV relativeFrom="paragraph">
                  <wp:posOffset>57150</wp:posOffset>
                </wp:positionV>
                <wp:extent cx="5067303" cy="3557261"/>
                <wp:effectExtent l="0" t="0" r="0" b="0"/>
                <wp:wrapNone/>
                <wp:docPr id="135" name="群組 17495"/>
                <wp:cNvGraphicFramePr/>
                <a:graphic xmlns:a="http://schemas.openxmlformats.org/drawingml/2006/main">
                  <a:graphicData uri="http://schemas.microsoft.com/office/word/2010/wordprocessingGroup">
                    <wpg:wgp>
                      <wpg:cNvGrpSpPr/>
                      <wpg:grpSpPr>
                        <a:xfrm>
                          <a:off x="0" y="0"/>
                          <a:ext cx="5067303" cy="3557261"/>
                          <a:chOff x="0" y="0"/>
                          <a:chExt cx="5067303" cy="3557261"/>
                        </a:xfrm>
                      </wpg:grpSpPr>
                      <pic:pic xmlns:pic="http://schemas.openxmlformats.org/drawingml/2006/picture">
                        <pic:nvPicPr>
                          <pic:cNvPr id="136" name="圖表 43027"/>
                          <pic:cNvPicPr>
                            <a:picLocks noChangeAspect="1"/>
                          </pic:cNvPicPr>
                        </pic:nvPicPr>
                        <pic:blipFill>
                          <a:blip r:embed="rId45"/>
                          <a:srcRect/>
                          <a:stretch>
                            <a:fillRect/>
                          </a:stretch>
                        </pic:blipFill>
                        <pic:spPr>
                          <a:xfrm>
                            <a:off x="365760" y="499747"/>
                            <a:ext cx="4450083" cy="1865632"/>
                          </a:xfrm>
                          <a:prstGeom prst="rect">
                            <a:avLst/>
                          </a:prstGeom>
                          <a:noFill/>
                          <a:ln>
                            <a:noFill/>
                            <a:prstDash/>
                          </a:ln>
                        </pic:spPr>
                      </pic:pic>
                      <wps:wsp>
                        <wps:cNvPr id="137" name="文字方塊 1"/>
                        <wps:cNvSpPr txBox="1"/>
                        <wps:spPr>
                          <a:xfrm>
                            <a:off x="0" y="266703"/>
                            <a:ext cx="1390646" cy="246375"/>
                          </a:xfrm>
                          <a:prstGeom prst="rect">
                            <a:avLst/>
                          </a:prstGeom>
                        </wps:spPr>
                        <wps:txbx>
                          <w:txbxContent>
                            <w:p w14:paraId="15D217EB" w14:textId="77777777" w:rsidR="00052596" w:rsidRDefault="00000000">
                              <w:pPr>
                                <w:pStyle w:val="Web"/>
                                <w:jc w:val="center"/>
                              </w:pPr>
                              <w:r>
                                <w:rPr>
                                  <w:rFonts w:eastAsia="標楷體"/>
                                  <w:sz w:val="22"/>
                                  <w:szCs w:val="22"/>
                                </w:rPr>
                                <w:t>空缺率</w:t>
                              </w:r>
                              <w:r>
                                <w:rPr>
                                  <w:rFonts w:ascii="標楷體" w:eastAsia="標楷體" w:hAnsi="標楷體"/>
                                  <w:sz w:val="22"/>
                                  <w:szCs w:val="22"/>
                                </w:rPr>
                                <w:t>(</w:t>
                              </w:r>
                              <w:r>
                                <w:rPr>
                                  <w:rFonts w:eastAsia="標楷體"/>
                                  <w:sz w:val="22"/>
                                  <w:szCs w:val="22"/>
                                </w:rPr>
                                <w:t>%</w:t>
                              </w:r>
                              <w:r>
                                <w:rPr>
                                  <w:rFonts w:ascii="標楷體" w:eastAsia="標楷體" w:hAnsi="標楷體"/>
                                  <w:sz w:val="22"/>
                                  <w:szCs w:val="22"/>
                                </w:rPr>
                                <w:t>)</w:t>
                              </w:r>
                            </w:p>
                          </w:txbxContent>
                        </wps:txbx>
                        <wps:bodyPr wrap="square" lIns="91440" tIns="45720" rIns="91440" bIns="45720" anchor="t">
                          <a:noAutofit/>
                        </wps:bodyPr>
                      </wps:wsp>
                      <wps:wsp>
                        <wps:cNvPr id="138" name="文字方塊 43064"/>
                        <wps:cNvSpPr txBox="1"/>
                        <wps:spPr>
                          <a:xfrm>
                            <a:off x="695328" y="0"/>
                            <a:ext cx="3971925" cy="342900"/>
                          </a:xfrm>
                          <a:prstGeom prst="rect">
                            <a:avLst/>
                          </a:prstGeom>
                        </wps:spPr>
                        <wps:txbx>
                          <w:txbxContent>
                            <w:p w14:paraId="021A5B26" w14:textId="77777777" w:rsidR="00052596" w:rsidRDefault="00000000">
                              <w:pPr>
                                <w:overflowPunct w:val="0"/>
                                <w:autoSpaceDE w:val="0"/>
                              </w:pPr>
                              <w:r>
                                <w:rPr>
                                  <w:rFonts w:eastAsia="標楷體"/>
                                  <w:b/>
                                  <w:color w:val="0000FF"/>
                                  <w:sz w:val="25"/>
                                  <w:szCs w:val="25"/>
                                </w:rPr>
                                <w:t>圖</w:t>
                              </w:r>
                              <w:r>
                                <w:rPr>
                                  <w:rFonts w:eastAsia="標楷體"/>
                                  <w:b/>
                                  <w:color w:val="0000FF"/>
                                  <w:sz w:val="25"/>
                                  <w:szCs w:val="25"/>
                                </w:rPr>
                                <w:t>1.2.7</w:t>
                              </w:r>
                              <w:r>
                                <w:rPr>
                                  <w:rFonts w:eastAsia="標楷體"/>
                                  <w:b/>
                                  <w:color w:val="0000FF"/>
                                  <w:sz w:val="25"/>
                                  <w:szCs w:val="25"/>
                                </w:rPr>
                                <w:t xml:space="preserve">　臺灣貝弗里奇曲線變動趨勢</w:t>
                              </w:r>
                              <w:r>
                                <w:rPr>
                                  <w:rFonts w:ascii="標楷體" w:eastAsia="標楷體" w:hAnsi="標楷體"/>
                                  <w:b/>
                                  <w:color w:val="0000FF"/>
                                  <w:sz w:val="25"/>
                                  <w:szCs w:val="25"/>
                                </w:rPr>
                                <w:t>(</w:t>
                              </w:r>
                              <w:r>
                                <w:rPr>
                                  <w:rFonts w:eastAsia="標楷體"/>
                                  <w:b/>
                                  <w:color w:val="0000FF"/>
                                  <w:sz w:val="25"/>
                                  <w:szCs w:val="25"/>
                                </w:rPr>
                                <w:t>86</w:t>
                              </w:r>
                              <w:r>
                                <w:rPr>
                                  <w:rFonts w:eastAsia="標楷體"/>
                                  <w:b/>
                                  <w:color w:val="0000FF"/>
                                  <w:sz w:val="25"/>
                                  <w:szCs w:val="25"/>
                                </w:rPr>
                                <w:t>至</w:t>
                              </w:r>
                              <w:r>
                                <w:rPr>
                                  <w:rFonts w:eastAsia="標楷體"/>
                                  <w:b/>
                                  <w:color w:val="0000FF"/>
                                  <w:sz w:val="25"/>
                                  <w:szCs w:val="25"/>
                                </w:rPr>
                                <w:t>100</w:t>
                              </w:r>
                              <w:r>
                                <w:rPr>
                                  <w:rFonts w:eastAsia="標楷體"/>
                                  <w:b/>
                                  <w:color w:val="0000FF"/>
                                  <w:sz w:val="25"/>
                                  <w:szCs w:val="25"/>
                                </w:rPr>
                                <w:t>年</w:t>
                              </w:r>
                              <w:r>
                                <w:rPr>
                                  <w:rFonts w:ascii="標楷體" w:eastAsia="標楷體" w:hAnsi="標楷體"/>
                                  <w:b/>
                                  <w:color w:val="0000FF"/>
                                  <w:sz w:val="25"/>
                                  <w:szCs w:val="25"/>
                                </w:rPr>
                                <w:t>)</w:t>
                              </w:r>
                            </w:p>
                          </w:txbxContent>
                        </wps:txbx>
                        <wps:bodyPr wrap="square" lIns="91440" tIns="45720" rIns="91440" bIns="45720" anchor="t">
                          <a:noAutofit/>
                        </wps:bodyPr>
                      </wps:wsp>
                      <wps:wsp>
                        <wps:cNvPr id="139" name="文字方塊 43065"/>
                        <wps:cNvSpPr txBox="1"/>
                        <wps:spPr>
                          <a:xfrm>
                            <a:off x="552453" y="2509515"/>
                            <a:ext cx="4514850" cy="1047746"/>
                          </a:xfrm>
                          <a:prstGeom prst="rect">
                            <a:avLst/>
                          </a:prstGeom>
                        </wps:spPr>
                        <wps:txbx>
                          <w:txbxContent>
                            <w:p w14:paraId="2D769664" w14:textId="77777777" w:rsidR="00052596" w:rsidRDefault="00000000">
                              <w:pPr>
                                <w:overflowPunct w:val="0"/>
                                <w:autoSpaceDE w:val="0"/>
                                <w:spacing w:line="240" w:lineRule="exact"/>
                                <w:ind w:left="1023" w:hanging="399"/>
                                <w:jc w:val="both"/>
                                <w:textAlignment w:val="center"/>
                              </w:pPr>
                              <w:r>
                                <w:rPr>
                                  <w:rFonts w:eastAsia="標楷體"/>
                                  <w:color w:val="000000"/>
                                  <w:sz w:val="21"/>
                                  <w:szCs w:val="21"/>
                                </w:rPr>
                                <w:t>註：</w:t>
                              </w:r>
                              <w:r>
                                <w:rPr>
                                  <w:rFonts w:eastAsia="標楷體"/>
                                  <w:color w:val="000000"/>
                                  <w:sz w:val="21"/>
                                  <w:szCs w:val="21"/>
                                </w:rPr>
                                <w:t>1.</w:t>
                              </w:r>
                              <w:r>
                                <w:rPr>
                                  <w:rFonts w:eastAsia="標楷體"/>
                                  <w:color w:val="000000"/>
                                  <w:sz w:val="21"/>
                                  <w:szCs w:val="21"/>
                                </w:rPr>
                                <w:t>空缺率</w:t>
                              </w:r>
                              <w:r>
                                <w:rPr>
                                  <w:rFonts w:eastAsia="標楷體"/>
                                  <w:color w:val="000000"/>
                                  <w:sz w:val="21"/>
                                  <w:szCs w:val="21"/>
                                </w:rPr>
                                <w:t>=</w:t>
                              </w:r>
                              <w:r>
                                <w:rPr>
                                  <w:rFonts w:eastAsia="標楷體"/>
                                  <w:color w:val="000000"/>
                                  <w:sz w:val="21"/>
                                  <w:szCs w:val="21"/>
                                </w:rPr>
                                <w:t>空缺人數／</w:t>
                              </w:r>
                              <w:r>
                                <w:rPr>
                                  <w:rFonts w:ascii="標楷體" w:eastAsia="標楷體" w:hAnsi="標楷體"/>
                                  <w:color w:val="000000"/>
                                  <w:sz w:val="21"/>
                                  <w:szCs w:val="21"/>
                                </w:rPr>
                                <w:t>(</w:t>
                              </w:r>
                              <w:r>
                                <w:rPr>
                                  <w:rFonts w:eastAsia="標楷體"/>
                                  <w:color w:val="000000"/>
                                  <w:sz w:val="21"/>
                                  <w:szCs w:val="21"/>
                                </w:rPr>
                                <w:t>空缺人數</w:t>
                              </w:r>
                              <w:r>
                                <w:rPr>
                                  <w:rFonts w:eastAsia="標楷體"/>
                                  <w:color w:val="000000"/>
                                  <w:sz w:val="21"/>
                                  <w:szCs w:val="21"/>
                                </w:rPr>
                                <w:t>+</w:t>
                              </w:r>
                              <w:r>
                                <w:rPr>
                                  <w:rFonts w:eastAsia="標楷體"/>
                                  <w:color w:val="000000"/>
                                  <w:sz w:val="21"/>
                                  <w:szCs w:val="21"/>
                                </w:rPr>
                                <w:t>受僱員工人數</w:t>
                              </w:r>
                              <w:r>
                                <w:rPr>
                                  <w:rFonts w:ascii="標楷體" w:eastAsia="標楷體" w:hAnsi="標楷體"/>
                                  <w:color w:val="000000"/>
                                  <w:sz w:val="21"/>
                                  <w:szCs w:val="21"/>
                                </w:rPr>
                                <w:t>)</w:t>
                              </w:r>
                              <w:r>
                                <w:rPr>
                                  <w:rFonts w:ascii="Wingdings 2" w:eastAsia="Wingdings 2" w:hAnsi="Wingdings 2" w:cs="Wingdings 2"/>
                                  <w:color w:val="000000"/>
                                  <w:sz w:val="21"/>
                                  <w:szCs w:val="21"/>
                                </w:rPr>
                                <w:t></w:t>
                              </w:r>
                              <w:r>
                                <w:rPr>
                                  <w:rFonts w:eastAsia="標楷體"/>
                                  <w:color w:val="000000"/>
                                  <w:sz w:val="21"/>
                                  <w:szCs w:val="21"/>
                                </w:rPr>
                                <w:t>100</w:t>
                              </w:r>
                              <w:r>
                                <w:rPr>
                                  <w:rFonts w:eastAsia="標楷體"/>
                                  <w:color w:val="000000"/>
                                  <w:sz w:val="21"/>
                                  <w:szCs w:val="21"/>
                                </w:rPr>
                                <w:t>。</w:t>
                              </w:r>
                            </w:p>
                            <w:p w14:paraId="39744A6D" w14:textId="77777777" w:rsidR="00052596" w:rsidRDefault="00000000">
                              <w:pPr>
                                <w:overflowPunct w:val="0"/>
                                <w:autoSpaceDE w:val="0"/>
                                <w:spacing w:line="240" w:lineRule="exact"/>
                                <w:ind w:left="1203" w:hanging="147"/>
                                <w:jc w:val="both"/>
                                <w:textAlignment w:val="center"/>
                              </w:pPr>
                              <w:r>
                                <w:rPr>
                                  <w:rFonts w:eastAsia="標楷體"/>
                                  <w:color w:val="000000"/>
                                  <w:sz w:val="21"/>
                                  <w:szCs w:val="21"/>
                                </w:rPr>
                                <w:t>2.95</w:t>
                              </w:r>
                              <w:r>
                                <w:rPr>
                                  <w:rFonts w:eastAsia="標楷體"/>
                                  <w:color w:val="000000"/>
                                  <w:sz w:val="21"/>
                                  <w:szCs w:val="21"/>
                                </w:rPr>
                                <w:t>年前</w:t>
                              </w:r>
                              <w:r>
                                <w:rPr>
                                  <w:rFonts w:ascii="標楷體" w:eastAsia="標楷體" w:hAnsi="標楷體"/>
                                  <w:color w:val="000000"/>
                                  <w:sz w:val="21"/>
                                  <w:szCs w:val="21"/>
                                </w:rPr>
                                <w:t>(</w:t>
                              </w:r>
                              <w:r>
                                <w:rPr>
                                  <w:rFonts w:eastAsia="標楷體"/>
                                  <w:color w:val="000000"/>
                                  <w:sz w:val="21"/>
                                  <w:szCs w:val="21"/>
                                </w:rPr>
                                <w:t>含</w:t>
                              </w:r>
                              <w:r>
                                <w:rPr>
                                  <w:rFonts w:ascii="標楷體" w:eastAsia="標楷體" w:hAnsi="標楷體"/>
                                  <w:color w:val="000000"/>
                                  <w:sz w:val="21"/>
                                  <w:szCs w:val="21"/>
                                </w:rPr>
                                <w:t>)</w:t>
                              </w:r>
                              <w:r>
                                <w:rPr>
                                  <w:rFonts w:eastAsia="標楷體"/>
                                  <w:color w:val="000000"/>
                                  <w:sz w:val="21"/>
                                  <w:szCs w:val="21"/>
                                </w:rPr>
                                <w:t>空缺率資料引自「受僱員工薪資調查」；</w:t>
                              </w:r>
                              <w:r>
                                <w:rPr>
                                  <w:rFonts w:eastAsia="標楷體"/>
                                  <w:color w:val="000000"/>
                                  <w:sz w:val="21"/>
                                  <w:szCs w:val="21"/>
                                </w:rPr>
                                <w:t>96</w:t>
                              </w:r>
                              <w:r>
                                <w:rPr>
                                  <w:rFonts w:eastAsia="標楷體"/>
                                  <w:color w:val="000000"/>
                                  <w:sz w:val="21"/>
                                  <w:szCs w:val="21"/>
                                </w:rPr>
                                <w:t>年後以「受僱員工動向調查」及「事業人力僱用狀況調查」空缺率的平均值計算。</w:t>
                              </w:r>
                            </w:p>
                            <w:p w14:paraId="3D58181B" w14:textId="77777777" w:rsidR="00052596" w:rsidRDefault="00000000">
                              <w:pPr>
                                <w:overflowPunct w:val="0"/>
                                <w:autoSpaceDE w:val="0"/>
                                <w:spacing w:line="260" w:lineRule="exact"/>
                                <w:ind w:left="1037" w:hanging="1037"/>
                                <w:jc w:val="both"/>
                                <w:textAlignment w:val="center"/>
                                <w:rPr>
                                  <w:rFonts w:eastAsia="標楷體"/>
                                  <w:color w:val="000000"/>
                                  <w:sz w:val="21"/>
                                  <w:szCs w:val="21"/>
                                </w:rPr>
                              </w:pPr>
                              <w:r>
                                <w:rPr>
                                  <w:rFonts w:eastAsia="標楷體"/>
                                  <w:color w:val="000000"/>
                                  <w:sz w:val="21"/>
                                  <w:szCs w:val="21"/>
                                </w:rPr>
                                <w:t>資料來源：行政院主計總處。</w:t>
                              </w:r>
                            </w:p>
                          </w:txbxContent>
                        </wps:txbx>
                        <wps:bodyPr wrap="square" lIns="35999" tIns="45720" rIns="91440" bIns="45720" anchor="t">
                          <a:noAutofit/>
                        </wps:bodyPr>
                      </wps:wsp>
                    </wpg:wgp>
                  </a:graphicData>
                </a:graphic>
              </wp:anchor>
            </w:drawing>
          </mc:Choice>
          <mc:Fallback>
            <w:pict>
              <v:group w14:anchorId="1C5880AC" id="群組 17495" o:spid="_x0000_s1067" style="position:absolute;left:0;text-align:left;margin-left:6.3pt;margin-top:4.5pt;width:399pt;height:280.1pt;z-index:-251656704" coordsize="50673,3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">
                <v:shape id="圖表 43027" o:spid="_x0000_s1068" type="#_x0000_t75" style="position:absolute;left:3657;top:4997;width:44501;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">
                  <v:imagedata r:id="rId46" o:title=""/>
                </v:shape>
                <v:shape id="文字方塊 1" o:spid="_x0000_s1069" type="#_x0000_t202" style="position:absolute;top:2667;width:1390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15D217EB" w14:textId="77777777" w:rsidR="00052596" w:rsidRDefault="00000000">
                        <w:pPr>
                          <w:pStyle w:val="Web"/>
                          <w:jc w:val="center"/>
                        </w:pPr>
                        <w:r>
                          <w:rPr>
                            <w:rFonts w:eastAsia="標楷體"/>
                            <w:sz w:val="22"/>
                            <w:szCs w:val="22"/>
                          </w:rPr>
                          <w:t>空缺率</w:t>
                        </w:r>
                        <w:r>
                          <w:rPr>
                            <w:rFonts w:ascii="標楷體" w:eastAsia="標楷體" w:hAnsi="標楷體"/>
                            <w:sz w:val="22"/>
                            <w:szCs w:val="22"/>
                          </w:rPr>
                          <w:t>(</w:t>
                        </w:r>
                        <w:r>
                          <w:rPr>
                            <w:rFonts w:eastAsia="標楷體"/>
                            <w:sz w:val="22"/>
                            <w:szCs w:val="22"/>
                          </w:rPr>
                          <w:t>%</w:t>
                        </w:r>
                        <w:r>
                          <w:rPr>
                            <w:rFonts w:ascii="標楷體" w:eastAsia="標楷體" w:hAnsi="標楷體"/>
                            <w:sz w:val="22"/>
                            <w:szCs w:val="22"/>
                          </w:rPr>
                          <w:t>)</w:t>
                        </w:r>
                      </w:p>
                    </w:txbxContent>
                  </v:textbox>
                </v:shape>
                <v:shape id="文字方塊 43064" o:spid="_x0000_s1070" type="#_x0000_t202" style="position:absolute;left:6953;width:397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021A5B26" w14:textId="77777777" w:rsidR="00052596" w:rsidRDefault="00000000">
                        <w:pPr>
                          <w:overflowPunct w:val="0"/>
                          <w:autoSpaceDE w:val="0"/>
                        </w:pPr>
                        <w:r>
                          <w:rPr>
                            <w:rFonts w:eastAsia="標楷體"/>
                            <w:b/>
                            <w:color w:val="0000FF"/>
                            <w:sz w:val="25"/>
                            <w:szCs w:val="25"/>
                          </w:rPr>
                          <w:t>圖</w:t>
                        </w:r>
                        <w:r>
                          <w:rPr>
                            <w:rFonts w:eastAsia="標楷體"/>
                            <w:b/>
                            <w:color w:val="0000FF"/>
                            <w:sz w:val="25"/>
                            <w:szCs w:val="25"/>
                          </w:rPr>
                          <w:t>1.2.7</w:t>
                        </w:r>
                        <w:r>
                          <w:rPr>
                            <w:rFonts w:eastAsia="標楷體"/>
                            <w:b/>
                            <w:color w:val="0000FF"/>
                            <w:sz w:val="25"/>
                            <w:szCs w:val="25"/>
                          </w:rPr>
                          <w:t xml:space="preserve">　臺灣貝弗里奇曲線變動趨勢</w:t>
                        </w:r>
                        <w:r>
                          <w:rPr>
                            <w:rFonts w:ascii="標楷體" w:eastAsia="標楷體" w:hAnsi="標楷體"/>
                            <w:b/>
                            <w:color w:val="0000FF"/>
                            <w:sz w:val="25"/>
                            <w:szCs w:val="25"/>
                          </w:rPr>
                          <w:t>(</w:t>
                        </w:r>
                        <w:r>
                          <w:rPr>
                            <w:rFonts w:eastAsia="標楷體"/>
                            <w:b/>
                            <w:color w:val="0000FF"/>
                            <w:sz w:val="25"/>
                            <w:szCs w:val="25"/>
                          </w:rPr>
                          <w:t>86</w:t>
                        </w:r>
                        <w:r>
                          <w:rPr>
                            <w:rFonts w:eastAsia="標楷體"/>
                            <w:b/>
                            <w:color w:val="0000FF"/>
                            <w:sz w:val="25"/>
                            <w:szCs w:val="25"/>
                          </w:rPr>
                          <w:t>至</w:t>
                        </w:r>
                        <w:r>
                          <w:rPr>
                            <w:rFonts w:eastAsia="標楷體"/>
                            <w:b/>
                            <w:color w:val="0000FF"/>
                            <w:sz w:val="25"/>
                            <w:szCs w:val="25"/>
                          </w:rPr>
                          <w:t>100</w:t>
                        </w:r>
                        <w:r>
                          <w:rPr>
                            <w:rFonts w:eastAsia="標楷體"/>
                            <w:b/>
                            <w:color w:val="0000FF"/>
                            <w:sz w:val="25"/>
                            <w:szCs w:val="25"/>
                          </w:rPr>
                          <w:t>年</w:t>
                        </w:r>
                        <w:r>
                          <w:rPr>
                            <w:rFonts w:ascii="標楷體" w:eastAsia="標楷體" w:hAnsi="標楷體"/>
                            <w:b/>
                            <w:color w:val="0000FF"/>
                            <w:sz w:val="25"/>
                            <w:szCs w:val="25"/>
                          </w:rPr>
                          <w:t>)</w:t>
                        </w:r>
                      </w:p>
                    </w:txbxContent>
                  </v:textbox>
                </v:shape>
                <v:shape id="文字方塊 43065" o:spid="_x0000_s1071" type="#_x0000_t202" style="position:absolute;left:5524;top:25095;width:45149;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" filled="f" stroked="f">
                  <v:textbox inset=".99997mm">
                    <w:txbxContent>
                      <w:p w14:paraId="2D769664" w14:textId="77777777" w:rsidR="00052596" w:rsidRDefault="00000000">
                        <w:pPr>
                          <w:overflowPunct w:val="0"/>
                          <w:autoSpaceDE w:val="0"/>
                          <w:spacing w:line="240" w:lineRule="exact"/>
                          <w:ind w:left="1023" w:hanging="399"/>
                          <w:jc w:val="both"/>
                          <w:textAlignment w:val="center"/>
                        </w:pPr>
                        <w:r>
                          <w:rPr>
                            <w:rFonts w:eastAsia="標楷體"/>
                            <w:color w:val="000000"/>
                            <w:sz w:val="21"/>
                            <w:szCs w:val="21"/>
                          </w:rPr>
                          <w:t>註：</w:t>
                        </w:r>
                        <w:r>
                          <w:rPr>
                            <w:rFonts w:eastAsia="標楷體"/>
                            <w:color w:val="000000"/>
                            <w:sz w:val="21"/>
                            <w:szCs w:val="21"/>
                          </w:rPr>
                          <w:t>1.</w:t>
                        </w:r>
                        <w:r>
                          <w:rPr>
                            <w:rFonts w:eastAsia="標楷體"/>
                            <w:color w:val="000000"/>
                            <w:sz w:val="21"/>
                            <w:szCs w:val="21"/>
                          </w:rPr>
                          <w:t>空缺率</w:t>
                        </w:r>
                        <w:r>
                          <w:rPr>
                            <w:rFonts w:eastAsia="標楷體"/>
                            <w:color w:val="000000"/>
                            <w:sz w:val="21"/>
                            <w:szCs w:val="21"/>
                          </w:rPr>
                          <w:t>=</w:t>
                        </w:r>
                        <w:r>
                          <w:rPr>
                            <w:rFonts w:eastAsia="標楷體"/>
                            <w:color w:val="000000"/>
                            <w:sz w:val="21"/>
                            <w:szCs w:val="21"/>
                          </w:rPr>
                          <w:t>空缺人數／</w:t>
                        </w:r>
                        <w:r>
                          <w:rPr>
                            <w:rFonts w:ascii="標楷體" w:eastAsia="標楷體" w:hAnsi="標楷體"/>
                            <w:color w:val="000000"/>
                            <w:sz w:val="21"/>
                            <w:szCs w:val="21"/>
                          </w:rPr>
                          <w:t>(</w:t>
                        </w:r>
                        <w:r>
                          <w:rPr>
                            <w:rFonts w:eastAsia="標楷體"/>
                            <w:color w:val="000000"/>
                            <w:sz w:val="21"/>
                            <w:szCs w:val="21"/>
                          </w:rPr>
                          <w:t>空缺人數</w:t>
                        </w:r>
                        <w:r>
                          <w:rPr>
                            <w:rFonts w:eastAsia="標楷體"/>
                            <w:color w:val="000000"/>
                            <w:sz w:val="21"/>
                            <w:szCs w:val="21"/>
                          </w:rPr>
                          <w:t>+</w:t>
                        </w:r>
                        <w:r>
                          <w:rPr>
                            <w:rFonts w:eastAsia="標楷體"/>
                            <w:color w:val="000000"/>
                            <w:sz w:val="21"/>
                            <w:szCs w:val="21"/>
                          </w:rPr>
                          <w:t>受僱員工人數</w:t>
                        </w:r>
                        <w:r>
                          <w:rPr>
                            <w:rFonts w:ascii="標楷體" w:eastAsia="標楷體" w:hAnsi="標楷體"/>
                            <w:color w:val="000000"/>
                            <w:sz w:val="21"/>
                            <w:szCs w:val="21"/>
                          </w:rPr>
                          <w:t>)</w:t>
                        </w:r>
                        <w:r>
                          <w:rPr>
                            <w:rFonts w:ascii="Wingdings 2" w:eastAsia="Wingdings 2" w:hAnsi="Wingdings 2" w:cs="Wingdings 2"/>
                            <w:color w:val="000000"/>
                            <w:sz w:val="21"/>
                            <w:szCs w:val="21"/>
                          </w:rPr>
                          <w:t></w:t>
                        </w:r>
                        <w:r>
                          <w:rPr>
                            <w:rFonts w:eastAsia="標楷體"/>
                            <w:color w:val="000000"/>
                            <w:sz w:val="21"/>
                            <w:szCs w:val="21"/>
                          </w:rPr>
                          <w:t>100</w:t>
                        </w:r>
                        <w:r>
                          <w:rPr>
                            <w:rFonts w:eastAsia="標楷體"/>
                            <w:color w:val="000000"/>
                            <w:sz w:val="21"/>
                            <w:szCs w:val="21"/>
                          </w:rPr>
                          <w:t>。</w:t>
                        </w:r>
                      </w:p>
                      <w:p w14:paraId="39744A6D" w14:textId="77777777" w:rsidR="00052596" w:rsidRDefault="00000000">
                        <w:pPr>
                          <w:overflowPunct w:val="0"/>
                          <w:autoSpaceDE w:val="0"/>
                          <w:spacing w:line="240" w:lineRule="exact"/>
                          <w:ind w:left="1203" w:hanging="147"/>
                          <w:jc w:val="both"/>
                          <w:textAlignment w:val="center"/>
                        </w:pPr>
                        <w:r>
                          <w:rPr>
                            <w:rFonts w:eastAsia="標楷體"/>
                            <w:color w:val="000000"/>
                            <w:sz w:val="21"/>
                            <w:szCs w:val="21"/>
                          </w:rPr>
                          <w:t>2.95</w:t>
                        </w:r>
                        <w:r>
                          <w:rPr>
                            <w:rFonts w:eastAsia="標楷體"/>
                            <w:color w:val="000000"/>
                            <w:sz w:val="21"/>
                            <w:szCs w:val="21"/>
                          </w:rPr>
                          <w:t>年前</w:t>
                        </w:r>
                        <w:r>
                          <w:rPr>
                            <w:rFonts w:ascii="標楷體" w:eastAsia="標楷體" w:hAnsi="標楷體"/>
                            <w:color w:val="000000"/>
                            <w:sz w:val="21"/>
                            <w:szCs w:val="21"/>
                          </w:rPr>
                          <w:t>(</w:t>
                        </w:r>
                        <w:r>
                          <w:rPr>
                            <w:rFonts w:eastAsia="標楷體"/>
                            <w:color w:val="000000"/>
                            <w:sz w:val="21"/>
                            <w:szCs w:val="21"/>
                          </w:rPr>
                          <w:t>含</w:t>
                        </w:r>
                        <w:r>
                          <w:rPr>
                            <w:rFonts w:ascii="標楷體" w:eastAsia="標楷體" w:hAnsi="標楷體"/>
                            <w:color w:val="000000"/>
                            <w:sz w:val="21"/>
                            <w:szCs w:val="21"/>
                          </w:rPr>
                          <w:t>)</w:t>
                        </w:r>
                        <w:r>
                          <w:rPr>
                            <w:rFonts w:eastAsia="標楷體"/>
                            <w:color w:val="000000"/>
                            <w:sz w:val="21"/>
                            <w:szCs w:val="21"/>
                          </w:rPr>
                          <w:t>空缺率資料引自「受僱員工薪資調查」；</w:t>
                        </w:r>
                        <w:r>
                          <w:rPr>
                            <w:rFonts w:eastAsia="標楷體"/>
                            <w:color w:val="000000"/>
                            <w:sz w:val="21"/>
                            <w:szCs w:val="21"/>
                          </w:rPr>
                          <w:t>96</w:t>
                        </w:r>
                        <w:r>
                          <w:rPr>
                            <w:rFonts w:eastAsia="標楷體"/>
                            <w:color w:val="000000"/>
                            <w:sz w:val="21"/>
                            <w:szCs w:val="21"/>
                          </w:rPr>
                          <w:t>年後以「受僱員工動向調查」及「事業人力僱用狀況調查」空缺率的平均值計算。</w:t>
                        </w:r>
                      </w:p>
                      <w:p w14:paraId="3D58181B" w14:textId="77777777" w:rsidR="00052596" w:rsidRDefault="00000000">
                        <w:pPr>
                          <w:overflowPunct w:val="0"/>
                          <w:autoSpaceDE w:val="0"/>
                          <w:spacing w:line="260" w:lineRule="exact"/>
                          <w:ind w:left="1037" w:hanging="1037"/>
                          <w:jc w:val="both"/>
                          <w:textAlignment w:val="center"/>
                          <w:rPr>
                            <w:rFonts w:eastAsia="標楷體"/>
                            <w:color w:val="000000"/>
                            <w:sz w:val="21"/>
                            <w:szCs w:val="21"/>
                          </w:rPr>
                        </w:pPr>
                        <w:r>
                          <w:rPr>
                            <w:rFonts w:eastAsia="標楷體"/>
                            <w:color w:val="000000"/>
                            <w:sz w:val="21"/>
                            <w:szCs w:val="21"/>
                          </w:rPr>
                          <w:t>資料來源：行政院主計總處。</w:t>
                        </w:r>
                      </w:p>
                    </w:txbxContent>
                  </v:textbox>
                </v:shape>
              </v:group>
            </w:pict>
          </mc:Fallback>
        </mc:AlternateContent>
      </w:r>
      <w:r>
        <w:rPr>
          <w:rFonts w:eastAsia="標楷體"/>
          <w:spacing w:val="4"/>
          <w:kern w:val="0"/>
          <w:sz w:val="28"/>
          <w:szCs w:val="28"/>
        </w:rPr>
        <w:tab/>
      </w:r>
    </w:p>
    <w:p w14:paraId="1012C0B7" w14:textId="77777777" w:rsidR="00052596" w:rsidRDefault="00000000">
      <w:pPr>
        <w:widowControl/>
      </w:pPr>
      <w:r>
        <w:rPr>
          <w:noProof/>
        </w:rPr>
        <mc:AlternateContent>
          <mc:Choice Requires="wps">
            <w:drawing>
              <wp:anchor distT="0" distB="0" distL="114300" distR="114300" simplePos="0" relativeHeight="251661824" behindDoc="1" locked="0" layoutInCell="1" allowOverlap="1" wp14:anchorId="4709D96F" wp14:editId="5FE7580E">
                <wp:simplePos x="0" y="0"/>
                <wp:positionH relativeFrom="column">
                  <wp:posOffset>4168136</wp:posOffset>
                </wp:positionH>
                <wp:positionV relativeFrom="paragraph">
                  <wp:posOffset>2084073</wp:posOffset>
                </wp:positionV>
                <wp:extent cx="869310" cy="305437"/>
                <wp:effectExtent l="0" t="0" r="6990" b="0"/>
                <wp:wrapNone/>
                <wp:docPr id="140" name="文字方塊 17494"/>
                <wp:cNvGraphicFramePr/>
                <a:graphic xmlns:a="http://schemas.openxmlformats.org/drawingml/2006/main">
                  <a:graphicData uri="http://schemas.microsoft.com/office/word/2010/wordprocessingShape">
                    <wps:wsp>
                      <wps:cNvSpPr txBox="1"/>
                      <wps:spPr>
                        <a:xfrm>
                          <a:off x="0" y="0"/>
                          <a:ext cx="869310" cy="305437"/>
                        </a:xfrm>
                        <a:prstGeom prst="rect">
                          <a:avLst/>
                        </a:prstGeom>
                        <a:noFill/>
                        <a:ln>
                          <a:noFill/>
                          <a:prstDash/>
                        </a:ln>
                      </wps:spPr>
                      <wps:txbx>
                        <w:txbxContent>
                          <w:p w14:paraId="0DE4BE15" w14:textId="77777777" w:rsidR="00052596" w:rsidRDefault="00000000">
                            <w:pPr>
                              <w:pStyle w:val="Web"/>
                            </w:pPr>
                            <w:r>
                              <w:rPr>
                                <w:rFonts w:eastAsia="標楷體"/>
                                <w:sz w:val="22"/>
                                <w:szCs w:val="22"/>
                              </w:rPr>
                              <w:t>失業率</w:t>
                            </w:r>
                            <w:r>
                              <w:rPr>
                                <w:rFonts w:ascii="標楷體" w:eastAsia="標楷體" w:hAnsi="標楷體"/>
                                <w:sz w:val="22"/>
                                <w:szCs w:val="22"/>
                              </w:rPr>
                              <w:t>(</w:t>
                            </w:r>
                            <w:r>
                              <w:rPr>
                                <w:rFonts w:eastAsia="標楷體"/>
                                <w:sz w:val="22"/>
                                <w:szCs w:val="22"/>
                              </w:rPr>
                              <w:t>%</w:t>
                            </w:r>
                            <w:r>
                              <w:rPr>
                                <w:rFonts w:ascii="標楷體" w:eastAsia="標楷體" w:hAnsi="標楷體"/>
                                <w:sz w:val="22"/>
                                <w:szCs w:val="22"/>
                              </w:rPr>
                              <w:t>)</w:t>
                            </w:r>
                          </w:p>
                        </w:txbxContent>
                      </wps:txbx>
                      <wps:bodyPr wrap="square" lIns="0" tIns="45720" rIns="0" bIns="45720" anchor="t">
                        <a:noAutofit/>
                      </wps:bodyPr>
                    </wps:wsp>
                  </a:graphicData>
                </a:graphic>
              </wp:anchor>
            </w:drawing>
          </mc:Choice>
          <mc:Fallback>
            <w:pict>
              <v:shape w14:anchorId="4709D96F" id="文字方塊 17494" o:spid="_x0000_s1072" type="#_x0000_t202" style="position:absolute;margin-left:328.2pt;margin-top:164.1pt;width:68.45pt;height:24.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" filled="f" stroked="f">
                <v:textbox inset="0,,0">
                  <w:txbxContent>
                    <w:p w14:paraId="0DE4BE15" w14:textId="77777777" w:rsidR="00052596" w:rsidRDefault="00000000">
                      <w:pPr>
                        <w:pStyle w:val="Web"/>
                      </w:pPr>
                      <w:r>
                        <w:rPr>
                          <w:rFonts w:eastAsia="標楷體"/>
                          <w:sz w:val="22"/>
                          <w:szCs w:val="22"/>
                        </w:rPr>
                        <w:t>失業率</w:t>
                      </w:r>
                      <w:r>
                        <w:rPr>
                          <w:rFonts w:ascii="標楷體" w:eastAsia="標楷體" w:hAnsi="標楷體"/>
                          <w:sz w:val="22"/>
                          <w:szCs w:val="22"/>
                        </w:rPr>
                        <w:t>(</w:t>
                      </w:r>
                      <w:r>
                        <w:rPr>
                          <w:rFonts w:eastAsia="標楷體"/>
                          <w:sz w:val="22"/>
                          <w:szCs w:val="22"/>
                        </w:rPr>
                        <w:t>%</w:t>
                      </w:r>
                      <w:r>
                        <w:rPr>
                          <w:rFonts w:ascii="標楷體" w:eastAsia="標楷體" w:hAnsi="標楷體"/>
                          <w:sz w:val="22"/>
                          <w:szCs w:val="22"/>
                        </w:rPr>
                        <w:t>)</w:t>
                      </w:r>
                    </w:p>
                  </w:txbxContent>
                </v:textbox>
              </v:shape>
            </w:pict>
          </mc:Fallback>
        </mc:AlternateContent>
      </w:r>
      <w:r>
        <w:rPr>
          <w:noProof/>
        </w:rPr>
        <mc:AlternateContent>
          <mc:Choice Requires="wps">
            <w:drawing>
              <wp:anchor distT="0" distB="0" distL="114300" distR="114300" simplePos="0" relativeHeight="251656704" behindDoc="1" locked="0" layoutInCell="1" allowOverlap="1" wp14:anchorId="4929FE08" wp14:editId="6B0356CA">
                <wp:simplePos x="0" y="0"/>
                <wp:positionH relativeFrom="column">
                  <wp:posOffset>3204528</wp:posOffset>
                </wp:positionH>
                <wp:positionV relativeFrom="paragraph">
                  <wp:posOffset>872798</wp:posOffset>
                </wp:positionV>
                <wp:extent cx="92070" cy="199394"/>
                <wp:effectExtent l="22538" t="34612" r="0" b="44768"/>
                <wp:wrapNone/>
                <wp:docPr id="141" name="向下箭號 17493"/>
                <wp:cNvGraphicFramePr/>
                <a:graphic xmlns:a="http://schemas.openxmlformats.org/drawingml/2006/main">
                  <a:graphicData uri="http://schemas.microsoft.com/office/word/2010/wordprocessingShape">
                    <wps:wsp>
                      <wps:cNvSpPr/>
                      <wps:spPr>
                        <a:xfrm rot="5100000">
                          <a:off x="0" y="0"/>
                          <a:ext cx="92070" cy="199394"/>
                        </a:xfrm>
                        <a:custGeom>
                          <a:avLst>
                            <a:gd name="f0" fmla="val 16613"/>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CC00CC"/>
                        </a:solidFill>
                        <a:ln w="12701">
                          <a:solidFill>
                            <a:srgbClr val="7030A0"/>
                          </a:solidFill>
                          <a:prstDash val="solid"/>
                          <a:miter/>
                        </a:ln>
                      </wps:spPr>
                      <wps:bodyPr lIns="0" tIns="0" rIns="0" bIns="0"/>
                    </wps:wsp>
                  </a:graphicData>
                </a:graphic>
              </wp:anchor>
            </w:drawing>
          </mc:Choice>
          <mc:Fallback>
            <w:pict>
              <v:shape w14:anchorId="497550B4" id="向下箭號 17493" o:spid="_x0000_s1026" style="position:absolute;margin-left:252.35pt;margin-top:68.7pt;width:7.25pt;height:15.7pt;rotation:85;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" path="m5400,r,16613l,16613r10800,4987l21600,16613r-5400,l16200,,5400,xe" fillcolor="#c0c" strokecolor="#7030a0" strokeweight=".35281mm">
                <v:stroke joinstyle="miter"/>
                <v:path arrowok="t" o:connecttype="custom" o:connectlocs="46035,0;92070,99697;46035,199394;0,99697;0,153358;92070,153358" o:connectangles="270,0,90,180,180,0" textboxrect="5400,0,16200,19107"/>
              </v:shape>
            </w:pict>
          </mc:Fallback>
        </mc:AlternateContent>
      </w:r>
      <w:r>
        <w:rPr>
          <w:noProof/>
        </w:rPr>
        <mc:AlternateContent>
          <mc:Choice Requires="wps">
            <w:drawing>
              <wp:anchor distT="0" distB="0" distL="114300" distR="114300" simplePos="0" relativeHeight="251654656" behindDoc="1" locked="0" layoutInCell="1" allowOverlap="1" wp14:anchorId="7A257412" wp14:editId="09E2DDF0">
                <wp:simplePos x="0" y="0"/>
                <wp:positionH relativeFrom="column">
                  <wp:posOffset>2443799</wp:posOffset>
                </wp:positionH>
                <wp:positionV relativeFrom="paragraph">
                  <wp:posOffset>1082991</wp:posOffset>
                </wp:positionV>
                <wp:extent cx="92070" cy="199394"/>
                <wp:effectExtent l="3488" t="72712" r="0" b="44768"/>
                <wp:wrapNone/>
                <wp:docPr id="142" name="向下箭號 17492"/>
                <wp:cNvGraphicFramePr/>
                <a:graphic xmlns:a="http://schemas.openxmlformats.org/drawingml/2006/main">
                  <a:graphicData uri="http://schemas.microsoft.com/office/word/2010/wordprocessingShape">
                    <wps:wsp>
                      <wps:cNvSpPr/>
                      <wps:spPr>
                        <a:xfrm rot="18899994" flipH="1">
                          <a:off x="0" y="0"/>
                          <a:ext cx="92070" cy="199394"/>
                        </a:xfrm>
                        <a:custGeom>
                          <a:avLst>
                            <a:gd name="f0" fmla="val 16613"/>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CC00CC"/>
                        </a:solidFill>
                        <a:ln w="12701">
                          <a:solidFill>
                            <a:srgbClr val="7030A0"/>
                          </a:solidFill>
                          <a:prstDash val="solid"/>
                          <a:miter/>
                        </a:ln>
                      </wps:spPr>
                      <wps:bodyPr lIns="0" tIns="0" rIns="0" bIns="0"/>
                    </wps:wsp>
                  </a:graphicData>
                </a:graphic>
              </wp:anchor>
            </w:drawing>
          </mc:Choice>
          <mc:Fallback>
            <w:pict>
              <v:shape w14:anchorId="3967D7B8" id="向下箭號 17492" o:spid="_x0000_s1026" style="position:absolute;margin-left:192.45pt;margin-top:85.25pt;width:7.25pt;height:15.7pt;rotation:2949127fd;flip:x;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" path="m5400,r,16613l,16613r10800,4987l21600,16613r-5400,l16200,,5400,xe" fillcolor="#c0c" strokecolor="#7030a0" strokeweight=".35281mm">
                <v:stroke joinstyle="miter"/>
                <v:path arrowok="t" o:connecttype="custom" o:connectlocs="46035,0;92070,99697;46035,199394;0,99697;0,153358;92070,153358" o:connectangles="270,0,90,180,180,0" textboxrect="5400,0,16200,19107"/>
              </v:shape>
            </w:pict>
          </mc:Fallback>
        </mc:AlternateContent>
      </w:r>
      <w:r>
        <w:rPr>
          <w:noProof/>
        </w:rPr>
        <mc:AlternateContent>
          <mc:Choice Requires="wps">
            <w:drawing>
              <wp:anchor distT="0" distB="0" distL="114300" distR="114300" simplePos="0" relativeHeight="251655680" behindDoc="1" locked="0" layoutInCell="1" allowOverlap="1" wp14:anchorId="5F68FC5A" wp14:editId="59A6036D">
                <wp:simplePos x="0" y="0"/>
                <wp:positionH relativeFrom="column">
                  <wp:posOffset>3528380</wp:posOffset>
                </wp:positionH>
                <wp:positionV relativeFrom="paragraph">
                  <wp:posOffset>1349065</wp:posOffset>
                </wp:positionV>
                <wp:extent cx="92070" cy="199394"/>
                <wp:effectExtent l="22538" t="34612" r="0" b="44768"/>
                <wp:wrapNone/>
                <wp:docPr id="143" name="向下箭號 17488"/>
                <wp:cNvGraphicFramePr/>
                <a:graphic xmlns:a="http://schemas.openxmlformats.org/drawingml/2006/main">
                  <a:graphicData uri="http://schemas.microsoft.com/office/word/2010/wordprocessingShape">
                    <wps:wsp>
                      <wps:cNvSpPr/>
                      <wps:spPr>
                        <a:xfrm rot="17400002" flipH="1">
                          <a:off x="0" y="0"/>
                          <a:ext cx="92070" cy="199394"/>
                        </a:xfrm>
                        <a:custGeom>
                          <a:avLst>
                            <a:gd name="f0" fmla="val 16613"/>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CC00CC"/>
                        </a:solidFill>
                        <a:ln w="12701">
                          <a:solidFill>
                            <a:srgbClr val="7030A0"/>
                          </a:solidFill>
                          <a:prstDash val="solid"/>
                          <a:miter/>
                        </a:ln>
                      </wps:spPr>
                      <wps:bodyPr lIns="0" tIns="0" rIns="0" bIns="0"/>
                    </wps:wsp>
                  </a:graphicData>
                </a:graphic>
              </wp:anchor>
            </w:drawing>
          </mc:Choice>
          <mc:Fallback>
            <w:pict>
              <v:shape w14:anchorId="5F9CE3D5" id="向下箭號 17488" o:spid="_x0000_s1026" style="position:absolute;margin-left:277.85pt;margin-top:106.25pt;width:7.25pt;height:15.7pt;rotation:4587518fd;flip:x;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" path="m5400,r,16613l,16613r10800,4987l21600,16613r-5400,l16200,,5400,xe" fillcolor="#c0c" strokecolor="#7030a0" strokeweight=".35281mm">
                <v:stroke joinstyle="miter"/>
                <v:path arrowok="t" o:connecttype="custom" o:connectlocs="46035,0;92070,99697;46035,199394;0,99697;0,153358;92070,153358" o:connectangles="270,0,90,180,180,0" textboxrect="5400,0,16200,19107"/>
              </v:shape>
            </w:pict>
          </mc:Fallback>
        </mc:AlternateContent>
      </w:r>
      <w:r>
        <w:rPr>
          <w:noProof/>
        </w:rPr>
        <mc:AlternateContent>
          <mc:Choice Requires="wps">
            <w:drawing>
              <wp:anchor distT="0" distB="0" distL="114300" distR="114300" simplePos="0" relativeHeight="251652608" behindDoc="1" locked="0" layoutInCell="1" allowOverlap="1" wp14:anchorId="50DE5AAB" wp14:editId="7D492570">
                <wp:simplePos x="0" y="0"/>
                <wp:positionH relativeFrom="column">
                  <wp:posOffset>4291331</wp:posOffset>
                </wp:positionH>
                <wp:positionV relativeFrom="paragraph">
                  <wp:posOffset>1169033</wp:posOffset>
                </wp:positionV>
                <wp:extent cx="97785" cy="188595"/>
                <wp:effectExtent l="38100" t="0" r="54615" b="20955"/>
                <wp:wrapNone/>
                <wp:docPr id="144" name="向下箭號 17486"/>
                <wp:cNvGraphicFramePr/>
                <a:graphic xmlns:a="http://schemas.openxmlformats.org/drawingml/2006/main">
                  <a:graphicData uri="http://schemas.microsoft.com/office/word/2010/wordprocessingShape">
                    <wps:wsp>
                      <wps:cNvSpPr/>
                      <wps:spPr>
                        <a:xfrm rot="8400015" flipH="1">
                          <a:off x="0" y="0"/>
                          <a:ext cx="97785" cy="188595"/>
                        </a:xfrm>
                        <a:custGeom>
                          <a:avLst>
                            <a:gd name="f0" fmla="val 160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CC00CC"/>
                        </a:solidFill>
                        <a:ln w="12701">
                          <a:solidFill>
                            <a:srgbClr val="7030A0"/>
                          </a:solidFill>
                          <a:prstDash val="solid"/>
                          <a:miter/>
                        </a:ln>
                      </wps:spPr>
                      <wps:bodyPr lIns="0" tIns="0" rIns="0" bIns="0"/>
                    </wps:wsp>
                  </a:graphicData>
                </a:graphic>
              </wp:anchor>
            </w:drawing>
          </mc:Choice>
          <mc:Fallback>
            <w:pict>
              <v:shape w14:anchorId="76593BF4" id="向下箭號 17486" o:spid="_x0000_s1026" style="position:absolute;margin-left:337.9pt;margin-top:92.05pt;width:7.7pt;height:14.85pt;rotation:-9175056fd;flip:x;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" path="m5400,r,16000l,16000r10800,5600l21600,16000r-5400,l16200,,5400,xe" fillcolor="#c0c" strokecolor="#7030a0" strokeweight=".35281mm">
                <v:stroke joinstyle="miter"/>
                <v:path arrowok="t" o:connecttype="custom" o:connectlocs="48893,0;97785,94298;48893,188595;0,94298;0,139700;97785,139700" o:connectangles="270,0,90,180,180,0" textboxrect="5400,0,16200,18800"/>
              </v:shape>
            </w:pict>
          </mc:Fallback>
        </mc:AlternateContent>
      </w:r>
      <w:r>
        <w:rPr>
          <w:noProof/>
        </w:rPr>
        <mc:AlternateContent>
          <mc:Choice Requires="wps">
            <w:drawing>
              <wp:anchor distT="0" distB="0" distL="114300" distR="114300" simplePos="0" relativeHeight="251653632" behindDoc="1" locked="0" layoutInCell="1" allowOverlap="1" wp14:anchorId="7A2E394A" wp14:editId="5A58B29C">
                <wp:simplePos x="0" y="0"/>
                <wp:positionH relativeFrom="column">
                  <wp:posOffset>3594731</wp:posOffset>
                </wp:positionH>
                <wp:positionV relativeFrom="paragraph">
                  <wp:posOffset>835030</wp:posOffset>
                </wp:positionV>
                <wp:extent cx="97785" cy="188595"/>
                <wp:effectExtent l="38100" t="19050" r="54615" b="0"/>
                <wp:wrapNone/>
                <wp:docPr id="145" name="向下箭號 17485"/>
                <wp:cNvGraphicFramePr/>
                <a:graphic xmlns:a="http://schemas.openxmlformats.org/drawingml/2006/main">
                  <a:graphicData uri="http://schemas.microsoft.com/office/word/2010/wordprocessingShape">
                    <wps:wsp>
                      <wps:cNvSpPr/>
                      <wps:spPr>
                        <a:xfrm rot="2699990" flipH="1">
                          <a:off x="0" y="0"/>
                          <a:ext cx="97785" cy="188595"/>
                        </a:xfrm>
                        <a:custGeom>
                          <a:avLst>
                            <a:gd name="f0" fmla="val 160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CC00CC"/>
                        </a:solidFill>
                        <a:ln w="12701">
                          <a:solidFill>
                            <a:srgbClr val="7030A0"/>
                          </a:solidFill>
                          <a:prstDash val="solid"/>
                          <a:miter/>
                        </a:ln>
                      </wps:spPr>
                      <wps:bodyPr lIns="0" tIns="0" rIns="0" bIns="0"/>
                    </wps:wsp>
                  </a:graphicData>
                </a:graphic>
              </wp:anchor>
            </w:drawing>
          </mc:Choice>
          <mc:Fallback>
            <w:pict>
              <v:shape w14:anchorId="23D9A83D" id="向下箭號 17485" o:spid="_x0000_s1026" style="position:absolute;margin-left:283.05pt;margin-top:65.75pt;width:7.7pt;height:14.85pt;rotation:-2949109fd;flip:x;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" path="m5400,r,16000l,16000r10800,5600l21600,16000r-5400,l16200,,5400,xe" fillcolor="#c0c" strokecolor="#7030a0" strokeweight=".35281mm">
                <v:stroke joinstyle="miter"/>
                <v:path arrowok="t" o:connecttype="custom" o:connectlocs="48893,0;97785,94298;48893,188595;0,94298;0,139700;97785,139700" o:connectangles="270,0,90,180,180,0" textboxrect="5400,0,16200,18800"/>
              </v:shape>
            </w:pict>
          </mc:Fallback>
        </mc:AlternateContent>
      </w:r>
      <w:r>
        <w:rPr>
          <w:noProof/>
        </w:rPr>
        <mc:AlternateContent>
          <mc:Choice Requires="wps">
            <w:drawing>
              <wp:anchor distT="0" distB="0" distL="114300" distR="114300" simplePos="0" relativeHeight="251660800" behindDoc="1" locked="0" layoutInCell="1" allowOverlap="1" wp14:anchorId="17C8E5B6" wp14:editId="11214532">
                <wp:simplePos x="0" y="0"/>
                <wp:positionH relativeFrom="column">
                  <wp:posOffset>3519486</wp:posOffset>
                </wp:positionH>
                <wp:positionV relativeFrom="paragraph">
                  <wp:posOffset>616904</wp:posOffset>
                </wp:positionV>
                <wp:extent cx="92711" cy="203838"/>
                <wp:effectExtent l="20637" t="36513" r="23175" b="42226"/>
                <wp:wrapNone/>
                <wp:docPr id="146" name="向下箭號 17484"/>
                <wp:cNvGraphicFramePr/>
                <a:graphic xmlns:a="http://schemas.openxmlformats.org/drawingml/2006/main">
                  <a:graphicData uri="http://schemas.microsoft.com/office/word/2010/wordprocessingShape">
                    <wps:wsp>
                      <wps:cNvSpPr/>
                      <wps:spPr>
                        <a:xfrm rot="3899986">
                          <a:off x="0" y="0"/>
                          <a:ext cx="92711" cy="203838"/>
                        </a:xfrm>
                        <a:custGeom>
                          <a:avLst>
                            <a:gd name="f0" fmla="val 16688"/>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CC00CC"/>
                        </a:solidFill>
                        <a:ln w="12701">
                          <a:solidFill>
                            <a:srgbClr val="7030A0"/>
                          </a:solidFill>
                          <a:prstDash val="solid"/>
                          <a:miter/>
                        </a:ln>
                      </wps:spPr>
                      <wps:bodyPr lIns="0" tIns="0" rIns="0" bIns="0"/>
                    </wps:wsp>
                  </a:graphicData>
                </a:graphic>
              </wp:anchor>
            </w:drawing>
          </mc:Choice>
          <mc:Fallback>
            <w:pict>
              <v:shape w14:anchorId="583783FB" id="向下箭號 17484" o:spid="_x0000_s1026" style="position:absolute;margin-left:277.1pt;margin-top:48.6pt;width:7.3pt;height:16.05pt;rotation:4259825fd;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" path="m5400,r,16688l,16688r10800,4912l21600,16688r-5400,l16200,,5400,xe" fillcolor="#c0c" strokecolor="#7030a0" strokeweight=".35281mm">
                <v:stroke joinstyle="miter"/>
                <v:path arrowok="t" o:connecttype="custom" o:connectlocs="46356,0;92711,101919;46356,203838;0,101919;0,157484;92711,157484" o:connectangles="270,0,90,180,180,0" textboxrect="5400,0,16200,19144"/>
              </v:shape>
            </w:pict>
          </mc:Fallback>
        </mc:AlternateContent>
      </w:r>
    </w:p>
    <w:p w14:paraId="3A77F370" w14:textId="77777777" w:rsidR="00052596" w:rsidRDefault="00000000">
      <w:pPr>
        <w:pageBreakBefore/>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五、薪資變動</w:t>
      </w:r>
    </w:p>
    <w:p w14:paraId="26C2EA0E" w14:textId="77777777" w:rsidR="00052596" w:rsidRDefault="00000000">
      <w:pPr>
        <w:overflowPunct w:val="0"/>
        <w:autoSpaceDE w:val="0"/>
        <w:spacing w:line="400" w:lineRule="exact"/>
        <w:ind w:left="240" w:firstLine="576"/>
        <w:jc w:val="both"/>
        <w:textAlignment w:val="center"/>
      </w:pPr>
      <w:r>
        <w:rPr>
          <w:rFonts w:eastAsia="標楷體"/>
          <w:color w:val="000000"/>
          <w:spacing w:val="4"/>
          <w:kern w:val="0"/>
          <w:sz w:val="28"/>
          <w:szCs w:val="28"/>
        </w:rPr>
        <w:t>90</w:t>
      </w:r>
      <w:r>
        <w:rPr>
          <w:rFonts w:eastAsia="標楷體"/>
          <w:color w:val="000000"/>
          <w:spacing w:val="4"/>
          <w:kern w:val="0"/>
          <w:sz w:val="28"/>
          <w:szCs w:val="28"/>
        </w:rPr>
        <w:t>至</w:t>
      </w:r>
      <w:r>
        <w:rPr>
          <w:rFonts w:eastAsia="標楷體"/>
          <w:color w:val="000000"/>
          <w:spacing w:val="4"/>
          <w:kern w:val="0"/>
          <w:sz w:val="28"/>
          <w:szCs w:val="28"/>
        </w:rPr>
        <w:t>100</w:t>
      </w:r>
      <w:r>
        <w:rPr>
          <w:rFonts w:eastAsia="標楷體"/>
          <w:color w:val="000000"/>
          <w:spacing w:val="4"/>
          <w:kern w:val="0"/>
          <w:sz w:val="28"/>
          <w:szCs w:val="28"/>
        </w:rPr>
        <w:t>年我國平均薪資成長遲滯，若扣除物價因素，平均實質薪資甚至呈現負成長。工業及服務業實質平均薪資成長率相對於經濟成長率之比值，由</w:t>
      </w:r>
      <w:r>
        <w:rPr>
          <w:rFonts w:eastAsia="標楷體"/>
          <w:color w:val="000000"/>
          <w:spacing w:val="4"/>
          <w:kern w:val="0"/>
          <w:sz w:val="28"/>
          <w:szCs w:val="28"/>
        </w:rPr>
        <w:t>70</w:t>
      </w:r>
      <w:r>
        <w:rPr>
          <w:rFonts w:eastAsia="標楷體"/>
          <w:color w:val="000000"/>
          <w:spacing w:val="4"/>
          <w:kern w:val="0"/>
          <w:sz w:val="28"/>
          <w:szCs w:val="28"/>
        </w:rPr>
        <w:t>至</w:t>
      </w:r>
      <w:r>
        <w:rPr>
          <w:rFonts w:eastAsia="標楷體"/>
          <w:color w:val="000000"/>
          <w:spacing w:val="4"/>
          <w:kern w:val="0"/>
          <w:sz w:val="28"/>
          <w:szCs w:val="28"/>
        </w:rPr>
        <w:t>79</w:t>
      </w:r>
      <w:r>
        <w:rPr>
          <w:rFonts w:eastAsia="標楷體"/>
          <w:color w:val="000000"/>
          <w:spacing w:val="4"/>
          <w:kern w:val="0"/>
          <w:sz w:val="28"/>
          <w:szCs w:val="28"/>
        </w:rPr>
        <w:t>年平均的</w:t>
      </w:r>
      <w:r>
        <w:rPr>
          <w:rFonts w:eastAsia="標楷體"/>
          <w:color w:val="000000"/>
          <w:spacing w:val="4"/>
          <w:kern w:val="0"/>
          <w:sz w:val="28"/>
          <w:szCs w:val="28"/>
        </w:rPr>
        <w:t>0.97</w:t>
      </w:r>
      <w:r>
        <w:rPr>
          <w:rFonts w:eastAsia="標楷體"/>
          <w:color w:val="000000"/>
          <w:spacing w:val="4"/>
          <w:kern w:val="0"/>
          <w:sz w:val="28"/>
          <w:szCs w:val="28"/>
        </w:rPr>
        <w:t>，降為</w:t>
      </w:r>
      <w:r>
        <w:rPr>
          <w:rFonts w:eastAsia="標楷體"/>
          <w:color w:val="000000"/>
          <w:spacing w:val="4"/>
          <w:kern w:val="0"/>
          <w:sz w:val="28"/>
          <w:szCs w:val="28"/>
        </w:rPr>
        <w:t>80</w:t>
      </w:r>
      <w:r>
        <w:rPr>
          <w:rFonts w:eastAsia="標楷體"/>
          <w:color w:val="000000"/>
          <w:spacing w:val="4"/>
          <w:kern w:val="0"/>
          <w:sz w:val="28"/>
          <w:szCs w:val="28"/>
        </w:rPr>
        <w:t>至</w:t>
      </w:r>
      <w:r>
        <w:rPr>
          <w:rFonts w:eastAsia="標楷體"/>
          <w:color w:val="000000"/>
          <w:spacing w:val="4"/>
          <w:kern w:val="0"/>
          <w:sz w:val="28"/>
          <w:szCs w:val="28"/>
        </w:rPr>
        <w:t>89</w:t>
      </w:r>
      <w:r>
        <w:rPr>
          <w:rFonts w:eastAsia="標楷體"/>
          <w:color w:val="000000"/>
          <w:spacing w:val="4"/>
          <w:kern w:val="0"/>
          <w:sz w:val="28"/>
          <w:szCs w:val="28"/>
        </w:rPr>
        <w:t>年平均的</w:t>
      </w:r>
      <w:r>
        <w:rPr>
          <w:rFonts w:eastAsia="標楷體"/>
          <w:color w:val="000000"/>
          <w:spacing w:val="4"/>
          <w:kern w:val="0"/>
          <w:sz w:val="28"/>
          <w:szCs w:val="28"/>
        </w:rPr>
        <w:t>0.47</w:t>
      </w:r>
      <w:r>
        <w:rPr>
          <w:rFonts w:eastAsia="標楷體"/>
          <w:color w:val="000000"/>
          <w:spacing w:val="4"/>
          <w:kern w:val="0"/>
          <w:sz w:val="28"/>
          <w:szCs w:val="28"/>
        </w:rPr>
        <w:t>，</w:t>
      </w:r>
      <w:r>
        <w:rPr>
          <w:rFonts w:eastAsia="標楷體"/>
          <w:color w:val="000000"/>
          <w:spacing w:val="4"/>
          <w:kern w:val="0"/>
          <w:sz w:val="28"/>
          <w:szCs w:val="28"/>
        </w:rPr>
        <w:t>90</w:t>
      </w:r>
      <w:r>
        <w:rPr>
          <w:rFonts w:eastAsia="標楷體"/>
          <w:color w:val="000000"/>
          <w:spacing w:val="4"/>
          <w:kern w:val="0"/>
          <w:sz w:val="28"/>
          <w:szCs w:val="28"/>
        </w:rPr>
        <w:t>至</w:t>
      </w:r>
      <w:r>
        <w:rPr>
          <w:rFonts w:eastAsia="標楷體"/>
          <w:color w:val="000000"/>
          <w:spacing w:val="4"/>
          <w:kern w:val="0"/>
          <w:sz w:val="28"/>
          <w:szCs w:val="28"/>
        </w:rPr>
        <w:t>100</w:t>
      </w:r>
      <w:r>
        <w:rPr>
          <w:rFonts w:eastAsia="標楷體"/>
          <w:color w:val="000000"/>
          <w:spacing w:val="4"/>
          <w:kern w:val="0"/>
          <w:sz w:val="28"/>
          <w:szCs w:val="28"/>
        </w:rPr>
        <w:t>年的平均值更降為負值</w:t>
      </w:r>
      <w:r>
        <w:rPr>
          <w:rFonts w:ascii="標楷體" w:eastAsia="標楷體" w:hAnsi="標楷體"/>
          <w:color w:val="000000"/>
          <w:spacing w:val="4"/>
          <w:kern w:val="0"/>
          <w:sz w:val="28"/>
          <w:szCs w:val="28"/>
        </w:rPr>
        <w:t>(</w:t>
      </w:r>
      <w:r>
        <w:rPr>
          <w:rFonts w:eastAsia="標楷體"/>
          <w:color w:val="000000"/>
          <w:spacing w:val="4"/>
          <w:kern w:val="0"/>
          <w:sz w:val="28"/>
          <w:szCs w:val="28"/>
        </w:rPr>
        <w:t>-0.04</w:t>
      </w:r>
      <w:r>
        <w:rPr>
          <w:rFonts w:ascii="標楷體" w:eastAsia="標楷體" w:hAnsi="標楷體"/>
          <w:color w:val="000000"/>
          <w:spacing w:val="4"/>
          <w:kern w:val="0"/>
          <w:sz w:val="28"/>
          <w:szCs w:val="28"/>
        </w:rPr>
        <w:t>)</w:t>
      </w:r>
      <w:r>
        <w:rPr>
          <w:rFonts w:eastAsia="標楷體"/>
          <w:color w:val="000000"/>
          <w:spacing w:val="4"/>
          <w:kern w:val="0"/>
          <w:sz w:val="28"/>
          <w:szCs w:val="28"/>
        </w:rPr>
        <w:t>。我國薪資水準成長遲滯，已是長期趨勢。從總體觀察，主要原因有三</w:t>
      </w:r>
      <w:r>
        <w:rPr>
          <w:rFonts w:ascii="新細明體" w:hAnsi="新細明體"/>
          <w:color w:val="000000"/>
          <w:spacing w:val="4"/>
          <w:kern w:val="0"/>
          <w:sz w:val="28"/>
          <w:szCs w:val="28"/>
        </w:rPr>
        <w:t>：</w:t>
      </w:r>
      <w:r>
        <w:rPr>
          <w:rFonts w:ascii="標楷體" w:eastAsia="標楷體" w:hAnsi="標楷體"/>
          <w:color w:val="000000"/>
          <w:spacing w:val="4"/>
          <w:kern w:val="0"/>
          <w:sz w:val="28"/>
          <w:szCs w:val="28"/>
        </w:rPr>
        <w:t>(</w:t>
      </w:r>
      <w:r>
        <w:rPr>
          <w:rFonts w:eastAsia="標楷體"/>
          <w:color w:val="000000"/>
          <w:spacing w:val="4"/>
          <w:kern w:val="0"/>
          <w:sz w:val="28"/>
          <w:szCs w:val="28"/>
        </w:rPr>
        <w:t>1</w:t>
      </w:r>
      <w:r>
        <w:rPr>
          <w:rFonts w:ascii="標楷體" w:eastAsia="標楷體" w:hAnsi="標楷體"/>
          <w:color w:val="000000"/>
          <w:spacing w:val="4"/>
          <w:kern w:val="0"/>
          <w:sz w:val="28"/>
          <w:szCs w:val="28"/>
        </w:rPr>
        <w:t>)</w:t>
      </w:r>
      <w:r>
        <w:rPr>
          <w:rFonts w:eastAsia="標楷體"/>
          <w:color w:val="000000"/>
          <w:spacing w:val="4"/>
          <w:kern w:val="0"/>
          <w:sz w:val="28"/>
          <w:szCs w:val="28"/>
        </w:rPr>
        <w:t>貿易條件惡化壓縮薪資成長空間；</w:t>
      </w:r>
      <w:r>
        <w:rPr>
          <w:rFonts w:ascii="標楷體" w:eastAsia="標楷體" w:hAnsi="標楷體"/>
          <w:color w:val="000000"/>
          <w:spacing w:val="4"/>
          <w:kern w:val="0"/>
          <w:sz w:val="28"/>
          <w:szCs w:val="28"/>
        </w:rPr>
        <w:t>(</w:t>
      </w:r>
      <w:r>
        <w:rPr>
          <w:rFonts w:eastAsia="標楷體"/>
          <w:color w:val="000000"/>
          <w:spacing w:val="4"/>
          <w:kern w:val="0"/>
          <w:sz w:val="28"/>
          <w:szCs w:val="28"/>
        </w:rPr>
        <w:t>2</w:t>
      </w:r>
      <w:r>
        <w:rPr>
          <w:rFonts w:ascii="標楷體" w:eastAsia="標楷體" w:hAnsi="標楷體"/>
          <w:color w:val="000000"/>
          <w:spacing w:val="4"/>
          <w:kern w:val="0"/>
          <w:sz w:val="28"/>
          <w:szCs w:val="28"/>
        </w:rPr>
        <w:t>)</w:t>
      </w:r>
      <w:r>
        <w:rPr>
          <w:rFonts w:eastAsia="標楷體"/>
          <w:color w:val="000000"/>
          <w:spacing w:val="4"/>
          <w:kern w:val="0"/>
          <w:sz w:val="28"/>
          <w:szCs w:val="28"/>
        </w:rPr>
        <w:t>產業外移使得勞動需求減少，工作機會減少，造成薪資提升乏力；</w:t>
      </w:r>
      <w:r>
        <w:rPr>
          <w:rFonts w:ascii="標楷體" w:eastAsia="標楷體" w:hAnsi="標楷體"/>
          <w:color w:val="000000"/>
          <w:spacing w:val="4"/>
          <w:kern w:val="0"/>
          <w:sz w:val="28"/>
          <w:szCs w:val="28"/>
        </w:rPr>
        <w:t>(</w:t>
      </w:r>
      <w:r>
        <w:rPr>
          <w:rFonts w:eastAsia="標楷體"/>
          <w:color w:val="000000"/>
          <w:spacing w:val="4"/>
          <w:kern w:val="0"/>
          <w:sz w:val="28"/>
          <w:szCs w:val="28"/>
        </w:rPr>
        <w:t>3</w:t>
      </w:r>
      <w:r>
        <w:rPr>
          <w:rFonts w:ascii="標楷體" w:eastAsia="標楷體" w:hAnsi="標楷體"/>
          <w:color w:val="000000"/>
          <w:spacing w:val="4"/>
          <w:kern w:val="0"/>
          <w:sz w:val="28"/>
          <w:szCs w:val="28"/>
        </w:rPr>
        <w:t>)</w:t>
      </w:r>
      <w:r>
        <w:rPr>
          <w:rFonts w:eastAsia="標楷體"/>
          <w:color w:val="000000"/>
          <w:spacing w:val="4"/>
          <w:kern w:val="0"/>
          <w:sz w:val="28"/>
          <w:szCs w:val="28"/>
        </w:rPr>
        <w:t>84</w:t>
      </w:r>
      <w:r>
        <w:rPr>
          <w:rFonts w:eastAsia="標楷體"/>
          <w:color w:val="000000"/>
          <w:spacing w:val="4"/>
          <w:kern w:val="0"/>
          <w:sz w:val="28"/>
          <w:szCs w:val="28"/>
        </w:rPr>
        <w:t>年實施全民健保、</w:t>
      </w:r>
      <w:r>
        <w:rPr>
          <w:rFonts w:eastAsia="標楷體"/>
          <w:color w:val="000000"/>
          <w:spacing w:val="4"/>
          <w:kern w:val="0"/>
          <w:sz w:val="28"/>
          <w:szCs w:val="28"/>
        </w:rPr>
        <w:t>94</w:t>
      </w:r>
      <w:r>
        <w:rPr>
          <w:rFonts w:eastAsia="標楷體"/>
          <w:color w:val="000000"/>
          <w:spacing w:val="4"/>
          <w:kern w:val="0"/>
          <w:sz w:val="28"/>
          <w:szCs w:val="28"/>
        </w:rPr>
        <w:t>年實施勞退新制，</w:t>
      </w:r>
      <w:r>
        <w:rPr>
          <w:rFonts w:ascii="標楷體" w:eastAsia="標楷體" w:hAnsi="標楷體"/>
          <w:color w:val="000000"/>
          <w:spacing w:val="4"/>
          <w:kern w:val="0"/>
          <w:sz w:val="28"/>
          <w:szCs w:val="28"/>
        </w:rPr>
        <w:t>影響企業僱用成本，使其可能預留非薪資空間以為因應，造成薪資難以大幅成長。此外，</w:t>
      </w:r>
      <w:r>
        <w:rPr>
          <w:rFonts w:eastAsia="標楷體"/>
          <w:color w:val="000000"/>
          <w:spacing w:val="4"/>
          <w:kern w:val="0"/>
          <w:sz w:val="28"/>
          <w:szCs w:val="28"/>
        </w:rPr>
        <w:t>國內薪制愈趨彈性化</w:t>
      </w:r>
      <w:r>
        <w:rPr>
          <w:rFonts w:ascii="標楷體" w:eastAsia="標楷體" w:hAnsi="標楷體"/>
          <w:color w:val="000000"/>
          <w:spacing w:val="4"/>
          <w:kern w:val="0"/>
          <w:sz w:val="28"/>
          <w:szCs w:val="28"/>
        </w:rPr>
        <w:t>(</w:t>
      </w:r>
      <w:r>
        <w:rPr>
          <w:rFonts w:eastAsia="標楷體"/>
          <w:color w:val="000000"/>
          <w:spacing w:val="4"/>
          <w:kern w:val="0"/>
          <w:sz w:val="28"/>
          <w:szCs w:val="28"/>
        </w:rPr>
        <w:t>100</w:t>
      </w:r>
      <w:r>
        <w:rPr>
          <w:rFonts w:eastAsia="標楷體"/>
          <w:color w:val="000000"/>
          <w:spacing w:val="4"/>
          <w:kern w:val="0"/>
          <w:sz w:val="28"/>
          <w:szCs w:val="28"/>
        </w:rPr>
        <w:t>年工業及服務業受僱員工之非經常性薪資占平均薪資比率達</w:t>
      </w:r>
      <w:r>
        <w:rPr>
          <w:rFonts w:eastAsia="標楷體"/>
          <w:color w:val="000000"/>
          <w:spacing w:val="4"/>
          <w:kern w:val="0"/>
          <w:sz w:val="28"/>
          <w:szCs w:val="28"/>
        </w:rPr>
        <w:t>19.4%</w:t>
      </w:r>
      <w:r>
        <w:rPr>
          <w:rFonts w:eastAsia="標楷體"/>
          <w:color w:val="000000"/>
          <w:spacing w:val="4"/>
          <w:kern w:val="0"/>
          <w:sz w:val="28"/>
          <w:szCs w:val="28"/>
        </w:rPr>
        <w:t>，為自</w:t>
      </w:r>
      <w:r>
        <w:rPr>
          <w:rFonts w:eastAsia="標楷體"/>
          <w:color w:val="000000"/>
          <w:spacing w:val="4"/>
          <w:kern w:val="0"/>
          <w:sz w:val="28"/>
          <w:szCs w:val="28"/>
        </w:rPr>
        <w:t>87</w:t>
      </w:r>
      <w:r>
        <w:rPr>
          <w:rFonts w:eastAsia="標楷體"/>
          <w:color w:val="000000"/>
          <w:spacing w:val="4"/>
          <w:kern w:val="0"/>
          <w:sz w:val="28"/>
          <w:szCs w:val="28"/>
        </w:rPr>
        <w:t>年以來最高水準</w:t>
      </w:r>
      <w:r>
        <w:rPr>
          <w:rFonts w:ascii="標楷體" w:eastAsia="標楷體" w:hAnsi="標楷體"/>
          <w:color w:val="000000"/>
          <w:spacing w:val="4"/>
          <w:kern w:val="0"/>
          <w:sz w:val="28"/>
          <w:szCs w:val="28"/>
        </w:rPr>
        <w:t>)；另</w:t>
      </w:r>
      <w:r>
        <w:rPr>
          <w:rFonts w:eastAsia="標楷體"/>
          <w:color w:val="000000"/>
          <w:spacing w:val="4"/>
          <w:kern w:val="0"/>
          <w:sz w:val="28"/>
          <w:szCs w:val="28"/>
        </w:rPr>
        <w:t>非典型僱用快速興起，對正職員工薪資水準之可能影響，亦是重要因素。</w:t>
      </w:r>
    </w:p>
    <w:p w14:paraId="1E99D0D0" w14:textId="77777777" w:rsidR="00052596" w:rsidRDefault="00000000">
      <w:pPr>
        <w:overflowPunct w:val="0"/>
        <w:autoSpaceDE w:val="0"/>
        <w:spacing w:line="400" w:lineRule="exact"/>
        <w:ind w:left="240" w:firstLine="576"/>
        <w:jc w:val="both"/>
        <w:textAlignment w:val="center"/>
      </w:pPr>
      <w:r>
        <w:rPr>
          <w:rFonts w:eastAsia="標楷體"/>
          <w:color w:val="000000"/>
          <w:spacing w:val="4"/>
          <w:kern w:val="0"/>
          <w:sz w:val="28"/>
          <w:szCs w:val="28"/>
        </w:rPr>
        <w:t>另根據行政院主計總處調查，</w:t>
      </w:r>
      <w:r>
        <w:rPr>
          <w:rFonts w:eastAsia="標楷體"/>
          <w:color w:val="000000"/>
          <w:spacing w:val="4"/>
          <w:kern w:val="0"/>
          <w:sz w:val="28"/>
          <w:szCs w:val="28"/>
        </w:rPr>
        <w:t>98</w:t>
      </w:r>
      <w:r>
        <w:rPr>
          <w:rFonts w:eastAsia="標楷體"/>
          <w:color w:val="000000"/>
          <w:spacing w:val="4"/>
          <w:kern w:val="0"/>
          <w:sz w:val="28"/>
          <w:szCs w:val="28"/>
        </w:rPr>
        <w:t>至</w:t>
      </w:r>
      <w:r>
        <w:rPr>
          <w:rFonts w:eastAsia="標楷體"/>
          <w:color w:val="000000"/>
          <w:spacing w:val="4"/>
          <w:kern w:val="0"/>
          <w:sz w:val="28"/>
          <w:szCs w:val="28"/>
        </w:rPr>
        <w:t>100</w:t>
      </w:r>
      <w:r>
        <w:rPr>
          <w:rFonts w:eastAsia="標楷體"/>
          <w:color w:val="000000"/>
          <w:spacing w:val="4"/>
          <w:kern w:val="0"/>
          <w:sz w:val="28"/>
          <w:szCs w:val="28"/>
        </w:rPr>
        <w:t>年國內經常性薪資的</w:t>
      </w:r>
      <w:r>
        <w:rPr>
          <w:rFonts w:eastAsia="標楷體"/>
          <w:color w:val="000000"/>
          <w:spacing w:val="4"/>
          <w:kern w:val="0"/>
          <w:sz w:val="28"/>
          <w:szCs w:val="26"/>
        </w:rPr>
        <w:t>平均數均高於</w:t>
      </w:r>
      <w:r>
        <w:rPr>
          <w:rFonts w:eastAsia="標楷體"/>
          <w:color w:val="000000"/>
          <w:spacing w:val="4"/>
          <w:kern w:val="0"/>
          <w:sz w:val="28"/>
          <w:szCs w:val="28"/>
        </w:rPr>
        <w:t>中位數，顯示國內薪資呈現右偏的非對稱分布型態，且低薪者比重較高。</w:t>
      </w:r>
      <w:r>
        <w:rPr>
          <w:rFonts w:eastAsia="標楷體"/>
          <w:color w:val="000000"/>
          <w:spacing w:val="4"/>
          <w:kern w:val="0"/>
          <w:sz w:val="28"/>
          <w:szCs w:val="26"/>
        </w:rPr>
        <w:t>以</w:t>
      </w:r>
      <w:r>
        <w:rPr>
          <w:rFonts w:eastAsia="標楷體"/>
          <w:color w:val="000000"/>
          <w:spacing w:val="4"/>
          <w:kern w:val="0"/>
          <w:sz w:val="28"/>
          <w:szCs w:val="26"/>
        </w:rPr>
        <w:t>100</w:t>
      </w:r>
      <w:r>
        <w:rPr>
          <w:rFonts w:eastAsia="標楷體"/>
          <w:color w:val="000000"/>
          <w:spacing w:val="4"/>
          <w:kern w:val="0"/>
          <w:sz w:val="28"/>
          <w:szCs w:val="26"/>
        </w:rPr>
        <w:t>年</w:t>
      </w:r>
      <w:r>
        <w:rPr>
          <w:rFonts w:eastAsia="標楷體"/>
          <w:color w:val="000000"/>
          <w:spacing w:val="4"/>
          <w:kern w:val="0"/>
          <w:sz w:val="28"/>
          <w:szCs w:val="26"/>
        </w:rPr>
        <w:t>5</w:t>
      </w:r>
      <w:r>
        <w:rPr>
          <w:rFonts w:eastAsia="標楷體"/>
          <w:color w:val="000000"/>
          <w:spacing w:val="4"/>
          <w:kern w:val="0"/>
          <w:sz w:val="28"/>
          <w:szCs w:val="26"/>
        </w:rPr>
        <w:t>月受僱員工經常性薪資而言，平均數</w:t>
      </w:r>
      <w:r>
        <w:rPr>
          <w:rFonts w:eastAsia="標楷體"/>
          <w:color w:val="000000"/>
          <w:spacing w:val="4"/>
          <w:kern w:val="0"/>
          <w:sz w:val="28"/>
          <w:szCs w:val="26"/>
        </w:rPr>
        <w:t>3</w:t>
      </w:r>
      <w:r>
        <w:rPr>
          <w:rFonts w:eastAsia="標楷體"/>
          <w:color w:val="000000"/>
          <w:spacing w:val="4"/>
          <w:kern w:val="0"/>
          <w:sz w:val="28"/>
          <w:szCs w:val="26"/>
        </w:rPr>
        <w:t>萬</w:t>
      </w:r>
      <w:r>
        <w:rPr>
          <w:rFonts w:eastAsia="標楷體"/>
          <w:color w:val="000000"/>
          <w:spacing w:val="4"/>
          <w:kern w:val="0"/>
          <w:sz w:val="28"/>
          <w:szCs w:val="26"/>
        </w:rPr>
        <w:t>6,746</w:t>
      </w:r>
      <w:r>
        <w:rPr>
          <w:rFonts w:eastAsia="標楷體"/>
          <w:color w:val="000000"/>
          <w:spacing w:val="4"/>
          <w:kern w:val="0"/>
          <w:sz w:val="28"/>
          <w:szCs w:val="26"/>
        </w:rPr>
        <w:t>元，高於中位數</w:t>
      </w:r>
      <w:r>
        <w:rPr>
          <w:rFonts w:eastAsia="標楷體"/>
          <w:color w:val="000000"/>
          <w:spacing w:val="4"/>
          <w:kern w:val="0"/>
          <w:sz w:val="28"/>
          <w:szCs w:val="26"/>
        </w:rPr>
        <w:t>3</w:t>
      </w:r>
      <w:r>
        <w:rPr>
          <w:rFonts w:eastAsia="標楷體"/>
          <w:color w:val="000000"/>
          <w:spacing w:val="4"/>
          <w:kern w:val="0"/>
          <w:sz w:val="28"/>
          <w:szCs w:val="26"/>
        </w:rPr>
        <w:t>萬</w:t>
      </w:r>
      <w:r>
        <w:rPr>
          <w:rFonts w:eastAsia="標楷體"/>
          <w:color w:val="000000"/>
          <w:spacing w:val="4"/>
          <w:kern w:val="0"/>
          <w:sz w:val="28"/>
          <w:szCs w:val="26"/>
        </w:rPr>
        <w:t>2,244</w:t>
      </w:r>
      <w:r>
        <w:rPr>
          <w:rFonts w:eastAsia="標楷體"/>
          <w:color w:val="000000"/>
          <w:spacing w:val="4"/>
          <w:kern w:val="0"/>
          <w:sz w:val="28"/>
          <w:szCs w:val="26"/>
        </w:rPr>
        <w:t>元，且約有</w:t>
      </w:r>
      <w:r>
        <w:rPr>
          <w:rFonts w:eastAsia="標楷體"/>
          <w:color w:val="000000"/>
          <w:spacing w:val="4"/>
          <w:kern w:val="0"/>
          <w:sz w:val="28"/>
          <w:szCs w:val="26"/>
        </w:rPr>
        <w:t>6</w:t>
      </w:r>
      <w:r>
        <w:rPr>
          <w:rFonts w:eastAsia="標楷體"/>
          <w:color w:val="000000"/>
          <w:spacing w:val="4"/>
          <w:kern w:val="0"/>
          <w:sz w:val="28"/>
          <w:szCs w:val="26"/>
        </w:rPr>
        <w:t>成受僱者的薪資低於平均數。國內薪資不均程度加深，為國人未能實際感受經濟成長的重要原因。另</w:t>
      </w:r>
      <w:r>
        <w:rPr>
          <w:rFonts w:eastAsia="標楷體"/>
          <w:color w:val="000000"/>
          <w:spacing w:val="4"/>
          <w:kern w:val="0"/>
          <w:sz w:val="28"/>
          <w:szCs w:val="26"/>
        </w:rPr>
        <w:t>98</w:t>
      </w:r>
      <w:r>
        <w:rPr>
          <w:rFonts w:eastAsia="標楷體"/>
          <w:color w:val="000000"/>
          <w:spacing w:val="4"/>
          <w:kern w:val="0"/>
          <w:sz w:val="28"/>
          <w:szCs w:val="26"/>
        </w:rPr>
        <w:t>至</w:t>
      </w:r>
      <w:r>
        <w:rPr>
          <w:rFonts w:eastAsia="標楷體"/>
          <w:color w:val="000000"/>
          <w:spacing w:val="4"/>
          <w:kern w:val="0"/>
          <w:sz w:val="28"/>
          <w:szCs w:val="26"/>
        </w:rPr>
        <w:t>100</w:t>
      </w:r>
      <w:r>
        <w:rPr>
          <w:rFonts w:eastAsia="標楷體"/>
          <w:color w:val="000000"/>
          <w:spacing w:val="4"/>
          <w:kern w:val="0"/>
          <w:sz w:val="28"/>
          <w:szCs w:val="26"/>
        </w:rPr>
        <w:t>年國內薪資離散指數</w:t>
      </w:r>
      <w:r>
        <w:rPr>
          <w:rFonts w:eastAsia="標楷體"/>
          <w:color w:val="000000"/>
          <w:spacing w:val="4"/>
          <w:kern w:val="0"/>
          <w:sz w:val="28"/>
          <w:szCs w:val="26"/>
          <w:vertAlign w:val="superscript"/>
        </w:rPr>
        <w:footnoteReference w:customMarkFollows="1" w:id="16"/>
        <w:t>16</w:t>
      </w:r>
      <w:r>
        <w:rPr>
          <w:rFonts w:eastAsia="標楷體"/>
          <w:color w:val="000000"/>
          <w:spacing w:val="4"/>
          <w:kern w:val="0"/>
          <w:sz w:val="28"/>
          <w:szCs w:val="26"/>
        </w:rPr>
        <w:t>約在</w:t>
      </w:r>
      <w:r>
        <w:rPr>
          <w:rFonts w:eastAsia="標楷體"/>
          <w:color w:val="000000"/>
          <w:spacing w:val="4"/>
          <w:kern w:val="0"/>
          <w:sz w:val="28"/>
          <w:szCs w:val="26"/>
        </w:rPr>
        <w:t>53%</w:t>
      </w:r>
      <w:r>
        <w:rPr>
          <w:rFonts w:eastAsia="標楷體"/>
          <w:color w:val="000000"/>
          <w:spacing w:val="4"/>
          <w:kern w:val="0"/>
          <w:sz w:val="28"/>
          <w:szCs w:val="26"/>
        </w:rPr>
        <w:t>至</w:t>
      </w:r>
      <w:r>
        <w:rPr>
          <w:rFonts w:eastAsia="標楷體"/>
          <w:color w:val="000000"/>
          <w:spacing w:val="4"/>
          <w:kern w:val="0"/>
          <w:sz w:val="28"/>
          <w:szCs w:val="26"/>
        </w:rPr>
        <w:t>56%</w:t>
      </w:r>
      <w:r>
        <w:rPr>
          <w:rFonts w:eastAsia="標楷體"/>
          <w:color w:val="000000"/>
          <w:spacing w:val="4"/>
          <w:kern w:val="0"/>
          <w:sz w:val="28"/>
          <w:szCs w:val="26"/>
        </w:rPr>
        <w:t>之間，其中，以臨時性或派遣人員之薪資分散程度較高。</w:t>
      </w:r>
    </w:p>
    <w:p w14:paraId="0DEC781C" w14:textId="77777777" w:rsidR="00052596" w:rsidRDefault="00000000">
      <w:pPr>
        <w:widowControl/>
        <w:spacing w:line="240" w:lineRule="atLeast"/>
      </w:pPr>
      <w:r>
        <w:rPr>
          <w:noProof/>
        </w:rPr>
        <mc:AlternateContent>
          <mc:Choice Requires="wps">
            <w:drawing>
              <wp:anchor distT="0" distB="0" distL="114300" distR="114300" simplePos="0" relativeHeight="251647488" behindDoc="0" locked="0" layoutInCell="1" allowOverlap="1" wp14:anchorId="44684CFB" wp14:editId="705E0D66">
                <wp:simplePos x="0" y="0"/>
                <wp:positionH relativeFrom="column">
                  <wp:posOffset>671827</wp:posOffset>
                </wp:positionH>
                <wp:positionV relativeFrom="paragraph">
                  <wp:posOffset>2322832</wp:posOffset>
                </wp:positionV>
                <wp:extent cx="3324228" cy="323853"/>
                <wp:effectExtent l="0" t="0" r="0" b="0"/>
                <wp:wrapNone/>
                <wp:docPr id="147" name="文字方塊 43017"/>
                <wp:cNvGraphicFramePr/>
                <a:graphic xmlns:a="http://schemas.openxmlformats.org/drawingml/2006/main">
                  <a:graphicData uri="http://schemas.microsoft.com/office/word/2010/wordprocessingShape">
                    <wps:wsp>
                      <wps:cNvSpPr txBox="1"/>
                      <wps:spPr>
                        <a:xfrm>
                          <a:off x="0" y="0"/>
                          <a:ext cx="3324228" cy="323853"/>
                        </a:xfrm>
                        <a:prstGeom prst="rect">
                          <a:avLst/>
                        </a:prstGeom>
                        <a:noFill/>
                        <a:ln>
                          <a:noFill/>
                          <a:prstDash/>
                        </a:ln>
                      </wps:spPr>
                      <wps:txbx>
                        <w:txbxContent>
                          <w:p w14:paraId="582F3AB7" w14:textId="77777777" w:rsidR="00052596" w:rsidRDefault="00000000">
                            <w:pPr>
                              <w:overflowPunct w:val="0"/>
                              <w:autoSpaceDE w:val="0"/>
                              <w:spacing w:line="320" w:lineRule="exact"/>
                              <w:ind w:left="1087" w:hanging="1087"/>
                              <w:jc w:val="both"/>
                              <w:textAlignment w:val="center"/>
                              <w:rPr>
                                <w:rFonts w:eastAsia="標楷體"/>
                                <w:color w:val="000000"/>
                                <w:sz w:val="22"/>
                                <w:szCs w:val="22"/>
                              </w:rPr>
                            </w:pPr>
                            <w:r>
                              <w:rPr>
                                <w:rFonts w:eastAsia="標楷體"/>
                                <w:color w:val="000000"/>
                                <w:sz w:val="22"/>
                                <w:szCs w:val="22"/>
                              </w:rPr>
                              <w:t>資料來源：行政院主計總處。</w:t>
                            </w:r>
                          </w:p>
                        </w:txbxContent>
                      </wps:txbx>
                      <wps:bodyPr wrap="square" lIns="35999" tIns="45720" rIns="91440" bIns="45720" anchor="t">
                        <a:noAutofit/>
                      </wps:bodyPr>
                    </wps:wsp>
                  </a:graphicData>
                </a:graphic>
              </wp:anchor>
            </w:drawing>
          </mc:Choice>
          <mc:Fallback>
            <w:pict>
              <v:shape w14:anchorId="44684CFB" id="文字方塊 43017" o:spid="_x0000_s1073" type="#_x0000_t202" style="position:absolute;margin-left:52.9pt;margin-top:182.9pt;width:261.75pt;height:25.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" filled="f" stroked="f">
                <v:textbox inset=".99997mm">
                  <w:txbxContent>
                    <w:p w14:paraId="582F3AB7" w14:textId="77777777" w:rsidR="00052596" w:rsidRDefault="00000000">
                      <w:pPr>
                        <w:overflowPunct w:val="0"/>
                        <w:autoSpaceDE w:val="0"/>
                        <w:spacing w:line="320" w:lineRule="exact"/>
                        <w:ind w:left="1087" w:hanging="1087"/>
                        <w:jc w:val="both"/>
                        <w:textAlignment w:val="center"/>
                        <w:rPr>
                          <w:rFonts w:eastAsia="標楷體"/>
                          <w:color w:val="000000"/>
                          <w:sz w:val="22"/>
                          <w:szCs w:val="22"/>
                        </w:rPr>
                      </w:pPr>
                      <w:r>
                        <w:rPr>
                          <w:rFonts w:eastAsia="標楷體"/>
                          <w:color w:val="000000"/>
                          <w:sz w:val="22"/>
                          <w:szCs w:val="22"/>
                        </w:rPr>
                        <w:t>資料來源：行政院主計總處。</w:t>
                      </w:r>
                    </w:p>
                  </w:txbxContent>
                </v:textbox>
              </v:shape>
            </w:pict>
          </mc:Fallback>
        </mc:AlternateContent>
      </w:r>
      <w:r>
        <w:rPr>
          <w:noProof/>
        </w:rPr>
        <mc:AlternateContent>
          <mc:Choice Requires="wpg">
            <w:drawing>
              <wp:anchor distT="0" distB="0" distL="114300" distR="114300" simplePos="0" relativeHeight="251664896" behindDoc="0" locked="0" layoutInCell="1" allowOverlap="1" wp14:anchorId="6335088D" wp14:editId="0495E4DD">
                <wp:simplePos x="0" y="0"/>
                <wp:positionH relativeFrom="column">
                  <wp:posOffset>434340</wp:posOffset>
                </wp:positionH>
                <wp:positionV relativeFrom="paragraph">
                  <wp:posOffset>29846</wp:posOffset>
                </wp:positionV>
                <wp:extent cx="4712332" cy="2298060"/>
                <wp:effectExtent l="0" t="0" r="0" b="6990"/>
                <wp:wrapNone/>
                <wp:docPr id="148" name="群組 17482"/>
                <wp:cNvGraphicFramePr/>
                <a:graphic xmlns:a="http://schemas.openxmlformats.org/drawingml/2006/main">
                  <a:graphicData uri="http://schemas.microsoft.com/office/word/2010/wordprocessingGroup">
                    <wpg:wgp>
                      <wpg:cNvGrpSpPr/>
                      <wpg:grpSpPr>
                        <a:xfrm>
                          <a:off x="0" y="0"/>
                          <a:ext cx="4712332" cy="2298060"/>
                          <a:chOff x="0" y="0"/>
                          <a:chExt cx="4712332" cy="2298060"/>
                        </a:xfrm>
                      </wpg:grpSpPr>
                      <wps:wsp>
                        <wps:cNvPr id="149" name="文字方塊 43016"/>
                        <wps:cNvSpPr txBox="1"/>
                        <wps:spPr>
                          <a:xfrm>
                            <a:off x="238128" y="0"/>
                            <a:ext cx="4304666" cy="342900"/>
                          </a:xfrm>
                          <a:prstGeom prst="rect">
                            <a:avLst/>
                          </a:prstGeom>
                        </wps:spPr>
                        <wps:txbx>
                          <w:txbxContent>
                            <w:p w14:paraId="57972A56" w14:textId="77777777" w:rsidR="00052596" w:rsidRDefault="00000000">
                              <w:r>
                                <w:rPr>
                                  <w:rFonts w:eastAsia="標楷體"/>
                                  <w:b/>
                                  <w:color w:val="0000FF"/>
                                  <w:sz w:val="25"/>
                                  <w:szCs w:val="25"/>
                                </w:rPr>
                                <w:t>圖</w:t>
                              </w:r>
                              <w:r>
                                <w:rPr>
                                  <w:rFonts w:eastAsia="標楷體"/>
                                  <w:b/>
                                  <w:color w:val="0000FF"/>
                                  <w:sz w:val="25"/>
                                  <w:szCs w:val="25"/>
                                </w:rPr>
                                <w:t>1.2.8</w:t>
                              </w:r>
                              <w:r>
                                <w:rPr>
                                  <w:rFonts w:eastAsia="標楷體"/>
                                  <w:b/>
                                  <w:color w:val="0000FF"/>
                                  <w:sz w:val="25"/>
                                  <w:szCs w:val="25"/>
                                </w:rPr>
                                <w:t xml:space="preserve">　臺灣實質薪資成長率與經濟成長率之變動趨勢</w:t>
                              </w:r>
                            </w:p>
                          </w:txbxContent>
                        </wps:txbx>
                        <wps:bodyPr wrap="square" lIns="91440" tIns="45720" rIns="91440" bIns="45720" anchor="t">
                          <a:noAutofit/>
                        </wps:bodyPr>
                      </wps:wsp>
                      <pic:pic xmlns:pic="http://schemas.openxmlformats.org/drawingml/2006/picture">
                        <pic:nvPicPr>
                          <pic:cNvPr id="150" name="圖表 29"/>
                          <pic:cNvPicPr>
                            <a:picLocks noChangeAspect="1"/>
                          </pic:cNvPicPr>
                        </pic:nvPicPr>
                        <pic:blipFill>
                          <a:blip r:embed="rId47"/>
                          <a:srcRect/>
                          <a:stretch>
                            <a:fillRect/>
                          </a:stretch>
                        </pic:blipFill>
                        <pic:spPr>
                          <a:xfrm>
                            <a:off x="0" y="267964"/>
                            <a:ext cx="4712332" cy="2030096"/>
                          </a:xfrm>
                          <a:prstGeom prst="rect">
                            <a:avLst/>
                          </a:prstGeom>
                          <a:noFill/>
                          <a:ln>
                            <a:noFill/>
                            <a:prstDash/>
                          </a:ln>
                        </pic:spPr>
                      </pic:pic>
                    </wpg:wgp>
                  </a:graphicData>
                </a:graphic>
              </wp:anchor>
            </w:drawing>
          </mc:Choice>
          <mc:Fallback>
            <w:pict>
              <v:group w14:anchorId="6335088D" id="群組 17482" o:spid="_x0000_s1074" style="position:absolute;margin-left:34.2pt;margin-top:2.35pt;width:371.05pt;height:180.95pt;z-index:251664896" coordsize="47123,2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">
                <v:shape id="文字方塊 43016" o:spid="_x0000_s1075" type="#_x0000_t202" style="position:absolute;left:2381;width:430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57972A56" w14:textId="77777777" w:rsidR="00052596" w:rsidRDefault="00000000">
                        <w:r>
                          <w:rPr>
                            <w:rFonts w:eastAsia="標楷體"/>
                            <w:b/>
                            <w:color w:val="0000FF"/>
                            <w:sz w:val="25"/>
                            <w:szCs w:val="25"/>
                          </w:rPr>
                          <w:t>圖</w:t>
                        </w:r>
                        <w:r>
                          <w:rPr>
                            <w:rFonts w:eastAsia="標楷體"/>
                            <w:b/>
                            <w:color w:val="0000FF"/>
                            <w:sz w:val="25"/>
                            <w:szCs w:val="25"/>
                          </w:rPr>
                          <w:t>1.2.8</w:t>
                        </w:r>
                        <w:r>
                          <w:rPr>
                            <w:rFonts w:eastAsia="標楷體"/>
                            <w:b/>
                            <w:color w:val="0000FF"/>
                            <w:sz w:val="25"/>
                            <w:szCs w:val="25"/>
                          </w:rPr>
                          <w:t xml:space="preserve">　臺灣實質薪資成長率與經濟成長率之變動趨勢</w:t>
                        </w:r>
                      </w:p>
                    </w:txbxContent>
                  </v:textbox>
                </v:shape>
                <v:shape id="圖表 29" o:spid="_x0000_s1076" type="#_x0000_t75" style="position:absolute;top:2679;width:47123;height:2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">
                  <v:imagedata r:id="rId48" o:title=""/>
                </v:shape>
              </v:group>
            </w:pict>
          </mc:Fallback>
        </mc:AlternateContent>
      </w:r>
    </w:p>
    <w:p w14:paraId="43C874A8" w14:textId="77777777" w:rsidR="00052596" w:rsidRDefault="00000000">
      <w:pPr>
        <w:pageBreakBefore/>
        <w:widowControl/>
      </w:pPr>
      <w:r>
        <w:rPr>
          <w:noProof/>
        </w:rPr>
        <w:lastRenderedPageBreak/>
        <mc:AlternateContent>
          <mc:Choice Requires="wps">
            <w:drawing>
              <wp:anchor distT="0" distB="0" distL="114300" distR="114300" simplePos="0" relativeHeight="251644416" behindDoc="1" locked="0" layoutInCell="1" allowOverlap="1" wp14:anchorId="0579AB62" wp14:editId="27B091D0">
                <wp:simplePos x="0" y="0"/>
                <wp:positionH relativeFrom="page">
                  <wp:posOffset>1152528</wp:posOffset>
                </wp:positionH>
                <wp:positionV relativeFrom="paragraph">
                  <wp:posOffset>36191</wp:posOffset>
                </wp:positionV>
                <wp:extent cx="5255898" cy="8136258"/>
                <wp:effectExtent l="0" t="0" r="20952" b="17142"/>
                <wp:wrapNone/>
                <wp:docPr id="151" name="文字方塊 17481"/>
                <wp:cNvGraphicFramePr/>
                <a:graphic xmlns:a="http://schemas.openxmlformats.org/drawingml/2006/main">
                  <a:graphicData uri="http://schemas.microsoft.com/office/word/2010/wordprocessingShape">
                    <wps:wsp>
                      <wps:cNvSpPr txBox="1"/>
                      <wps:spPr>
                        <a:xfrm>
                          <a:off x="0" y="0"/>
                          <a:ext cx="5255898" cy="8136258"/>
                        </a:xfrm>
                        <a:prstGeom prst="rect">
                          <a:avLst/>
                        </a:prstGeom>
                        <a:solidFill>
                          <a:srgbClr val="EFF5FF"/>
                        </a:solidFill>
                        <a:ln w="9528">
                          <a:solidFill>
                            <a:srgbClr val="000000"/>
                          </a:solidFill>
                          <a:prstDash val="solid"/>
                        </a:ln>
                      </wps:spPr>
                      <wps:txbx>
                        <w:txbxContent>
                          <w:p w14:paraId="7A2CA5AE" w14:textId="77777777" w:rsidR="00052596" w:rsidRDefault="00000000">
                            <w:pPr>
                              <w:pStyle w:val="t12"/>
                              <w:spacing w:before="120" w:after="120"/>
                              <w:rPr>
                                <w:color w:val="0000FF"/>
                              </w:rPr>
                            </w:pPr>
                            <w:r>
                              <w:rPr>
                                <w:color w:val="0000FF"/>
                              </w:rPr>
                              <w:t>增強青年就業力，紓緩青年失業問題</w:t>
                            </w:r>
                          </w:p>
                          <w:p w14:paraId="1DDCEEFC" w14:textId="77777777" w:rsidR="00052596" w:rsidRDefault="00000000">
                            <w:pPr>
                              <w:pStyle w:val="t11"/>
                              <w:spacing w:line="330" w:lineRule="exact"/>
                              <w:ind w:left="72" w:right="72" w:firstLine="472"/>
                            </w:pPr>
                            <w:r>
                              <w:t>國際勞工組織(ILO)估計，2012年全球失業人口將超過2億人，其中，青年失業人口近7千5百萬人，約占全球失業人口的37%。ILO「2012全球青年就業趨勢」強調，直至2016年，青年失業率都難以改善，顯示全球青年失業問題嚴峻。另世界銀行「2013世界發展報告」指出，全球有6.21億青年處於「閒置(idle)」狀態(不上學或接受培訓，也沒就業，也不尋找工作)。我國青年失業問題不若歐美國家嚴重，但100年青年失業率已達12.5%，且相對於整體失業率已達2.8倍，亟需改善。</w:t>
                            </w:r>
                          </w:p>
                          <w:p w14:paraId="3FC90D3E" w14:textId="77777777" w:rsidR="00052596" w:rsidRDefault="00000000">
                            <w:pPr>
                              <w:pStyle w:val="t11"/>
                              <w:spacing w:line="330" w:lineRule="exact"/>
                              <w:ind w:left="72" w:right="72" w:firstLine="472"/>
                            </w:pPr>
                            <w:r>
                              <w:t>就長期趨勢觀察，我國青年就業率由71至80年平均的45.2%，降至81至90年平均的35.3%，再降至91至100年平均的27.7%；同期間，青年失業率由5.7%增至6.6%，再提升至11.8%，顯示國內青年失業問題已是長期趨勢。而在此趨勢演變下，有三個現象值得關注：</w:t>
                            </w:r>
                          </w:p>
                          <w:p w14:paraId="1F0DD93E" w14:textId="77777777" w:rsidR="00052596" w:rsidRDefault="00000000">
                            <w:pPr>
                              <w:pStyle w:val="t11"/>
                              <w:spacing w:line="330" w:lineRule="exact"/>
                              <w:ind w:left="309" w:right="72" w:hanging="189"/>
                            </w:pPr>
                            <w:r>
                              <w:t>1.經濟興衰對青年就業市場影響深遠，青年就業率呈現速降緩升趨勢：97及98年受全球金融海嘯衝擊，青年就業率由96年的27.8%分別降至26.6%及24.5%；99及100年經濟復甦期間，青年就業率雖略回升至25.0%，然仍不及金融海嘯前的水準。</w:t>
                            </w:r>
                          </w:p>
                          <w:p w14:paraId="7153F191" w14:textId="77777777" w:rsidR="00052596" w:rsidRDefault="00000000">
                            <w:pPr>
                              <w:pStyle w:val="t11"/>
                              <w:spacing w:line="330" w:lineRule="exact"/>
                              <w:ind w:left="309" w:right="72" w:hanging="189"/>
                            </w:pPr>
                            <w:r>
                              <w:t>2.青年長期失業人口比率快速上升：由82至90年平均的5.5%增加至91至100年平均的9.1%。同期間，青年平均失業週數由16.0週增至20.6週。</w:t>
                            </w:r>
                          </w:p>
                          <w:p w14:paraId="3C6743E8" w14:textId="77777777" w:rsidR="00052596" w:rsidRDefault="00000000">
                            <w:pPr>
                              <w:pStyle w:val="t11"/>
                              <w:spacing w:line="330" w:lineRule="exact"/>
                              <w:ind w:left="309" w:right="72" w:hanging="189"/>
                            </w:pPr>
                            <w:r>
                              <w:t>3.</w:t>
                            </w:r>
                            <w:r>
                              <w:rPr>
                                <w:spacing w:val="4"/>
                              </w:rPr>
                              <w:t>青年勞動條件呈現低薪及非典型就業特質：依行政院主計總處調查資料顯示，100年5月國內青年受僱就業者每月主要工作經常性收入不到3萬元的人數達59萬8千人，占整體青年受僱就業者比率84.82%；同期間，青年非典型就業者占該年齡層就業者比率由97年5月的19.21%增至25.44%。</w:t>
                            </w:r>
                          </w:p>
                          <w:p w14:paraId="60A4FB6A" w14:textId="77777777" w:rsidR="00052596" w:rsidRDefault="00000000">
                            <w:pPr>
                              <w:pStyle w:val="t11"/>
                              <w:spacing w:line="330" w:lineRule="exact"/>
                              <w:ind w:left="72" w:right="72" w:firstLine="472"/>
                            </w:pPr>
                            <w:r>
                              <w:t>為促進青年就業，政府將賡續推動「青年就業促進方案」，並加強青年人力資源培育，縮短學訓用落差，提升青年就業力。另加速結合各項勞動市場供需的全面性服務方案，提供青年更多創業及就業機會。</w:t>
                            </w:r>
                          </w:p>
                          <w:p w14:paraId="344DED12" w14:textId="77777777" w:rsidR="00052596" w:rsidRDefault="00000000">
                            <w:pPr>
                              <w:pStyle w:val="t11"/>
                              <w:spacing w:before="60" w:line="320" w:lineRule="exact"/>
                              <w:ind w:left="72" w:right="72" w:firstLine="472"/>
                              <w:jc w:val="center"/>
                              <w:rPr>
                                <w:b/>
                                <w:color w:val="0000FF"/>
                              </w:rPr>
                            </w:pPr>
                            <w:r>
                              <w:rPr>
                                <w:b/>
                                <w:color w:val="0000FF"/>
                              </w:rPr>
                              <w:t>我國15至24歲青年勞動市場概況</w:t>
                            </w:r>
                          </w:p>
                          <w:p w14:paraId="2C8CA408" w14:textId="77777777" w:rsidR="00052596" w:rsidRDefault="00000000">
                            <w:pPr>
                              <w:pStyle w:val="t115"/>
                              <w:spacing w:after="36" w:line="220" w:lineRule="exact"/>
                              <w:ind w:left="0" w:right="240" w:firstLine="0"/>
                              <w:jc w:val="right"/>
                              <w:rPr>
                                <w:sz w:val="20"/>
                              </w:rPr>
                            </w:pPr>
                            <w:r>
                              <w:rPr>
                                <w:sz w:val="20"/>
                              </w:rPr>
                              <w:t>單位：%</w:t>
                            </w:r>
                          </w:p>
                          <w:tbl>
                            <w:tblPr>
                              <w:tblW w:w="7399" w:type="dxa"/>
                              <w:jc w:val="center"/>
                              <w:tblCellMar>
                                <w:left w:w="10" w:type="dxa"/>
                                <w:right w:w="10" w:type="dxa"/>
                              </w:tblCellMar>
                              <w:tblLook w:val="04A0" w:firstRow="1" w:lastRow="0" w:firstColumn="1" w:lastColumn="0" w:noHBand="0" w:noVBand="1"/>
                            </w:tblPr>
                            <w:tblGrid>
                              <w:gridCol w:w="922"/>
                              <w:gridCol w:w="769"/>
                              <w:gridCol w:w="768"/>
                              <w:gridCol w:w="872"/>
                              <w:gridCol w:w="1233"/>
                              <w:gridCol w:w="1417"/>
                              <w:gridCol w:w="1418"/>
                            </w:tblGrid>
                            <w:tr w:rsidR="00052596" w14:paraId="564B82A9" w14:textId="77777777">
                              <w:tblPrEx>
                                <w:tblCellMar>
                                  <w:top w:w="0" w:type="dxa"/>
                                  <w:bottom w:w="0" w:type="dxa"/>
                                </w:tblCellMar>
                              </w:tblPrEx>
                              <w:trPr>
                                <w:trHeight w:val="490"/>
                                <w:jc w:val="center"/>
                              </w:trPr>
                              <w:tc>
                                <w:tcPr>
                                  <w:tcW w:w="92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8E3D" w14:textId="77777777" w:rsidR="00052596" w:rsidRDefault="00000000">
                                  <w:pPr>
                                    <w:pStyle w:val="t115"/>
                                    <w:spacing w:line="360" w:lineRule="exact"/>
                                    <w:ind w:left="0" w:right="0" w:firstLine="0"/>
                                    <w:jc w:val="center"/>
                                    <w:rPr>
                                      <w:spacing w:val="0"/>
                                      <w:sz w:val="20"/>
                                    </w:rPr>
                                  </w:pPr>
                                  <w:r>
                                    <w:rPr>
                                      <w:spacing w:val="0"/>
                                      <w:sz w:val="20"/>
                                    </w:rPr>
                                    <w:t>年  別</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C69101" w14:textId="77777777" w:rsidR="00052596" w:rsidRDefault="00000000">
                                  <w:pPr>
                                    <w:pStyle w:val="t115"/>
                                    <w:spacing w:line="360" w:lineRule="exact"/>
                                    <w:ind w:left="0" w:right="0" w:firstLine="0"/>
                                    <w:jc w:val="center"/>
                                    <w:rPr>
                                      <w:spacing w:val="0"/>
                                      <w:sz w:val="20"/>
                                    </w:rPr>
                                  </w:pPr>
                                  <w:r>
                                    <w:rPr>
                                      <w:spacing w:val="0"/>
                                      <w:sz w:val="20"/>
                                    </w:rPr>
                                    <w:t>勞動力</w:t>
                                  </w:r>
                                </w:p>
                                <w:p w14:paraId="35B59AD9" w14:textId="77777777" w:rsidR="00052596" w:rsidRDefault="00000000">
                                  <w:pPr>
                                    <w:pStyle w:val="t115"/>
                                    <w:spacing w:line="360" w:lineRule="exact"/>
                                    <w:ind w:left="0" w:right="0" w:firstLine="0"/>
                                    <w:jc w:val="center"/>
                                    <w:rPr>
                                      <w:spacing w:val="0"/>
                                      <w:sz w:val="20"/>
                                    </w:rPr>
                                  </w:pPr>
                                  <w:r>
                                    <w:rPr>
                                      <w:spacing w:val="0"/>
                                      <w:sz w:val="20"/>
                                    </w:rPr>
                                    <w:t>參與率</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3023540" w14:textId="77777777" w:rsidR="00052596" w:rsidRDefault="00000000">
                                  <w:pPr>
                                    <w:pStyle w:val="t115"/>
                                    <w:spacing w:before="120" w:line="360" w:lineRule="exact"/>
                                    <w:ind w:left="0" w:right="0" w:firstLine="0"/>
                                    <w:jc w:val="center"/>
                                    <w:rPr>
                                      <w:spacing w:val="0"/>
                                      <w:sz w:val="20"/>
                                    </w:rPr>
                                  </w:pPr>
                                  <w:r>
                                    <w:rPr>
                                      <w:spacing w:val="0"/>
                                      <w:sz w:val="20"/>
                                    </w:rPr>
                                    <w:t>就業率</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C1977D" w14:textId="77777777" w:rsidR="00052596" w:rsidRDefault="00000000">
                                  <w:pPr>
                                    <w:pStyle w:val="t115"/>
                                    <w:spacing w:before="120" w:line="360" w:lineRule="exact"/>
                                    <w:ind w:left="0" w:right="0" w:firstLine="0"/>
                                    <w:jc w:val="center"/>
                                    <w:rPr>
                                      <w:spacing w:val="0"/>
                                      <w:sz w:val="20"/>
                                    </w:rPr>
                                  </w:pPr>
                                  <w:r>
                                    <w:rPr>
                                      <w:spacing w:val="0"/>
                                      <w:sz w:val="20"/>
                                    </w:rPr>
                                    <w:t>失業率</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BDD7BF0" w14:textId="77777777" w:rsidR="00052596" w:rsidRDefault="00000000">
                                  <w:pPr>
                                    <w:pStyle w:val="t115"/>
                                    <w:spacing w:before="24" w:line="200" w:lineRule="exact"/>
                                    <w:ind w:left="0" w:right="0" w:firstLine="0"/>
                                    <w:jc w:val="center"/>
                                    <w:rPr>
                                      <w:spacing w:val="-4"/>
                                      <w:sz w:val="20"/>
                                    </w:rPr>
                                  </w:pPr>
                                  <w:r>
                                    <w:rPr>
                                      <w:spacing w:val="-4"/>
                                      <w:sz w:val="20"/>
                                    </w:rPr>
                                    <w:t>長期失業占</w:t>
                                  </w:r>
                                </w:p>
                                <w:p w14:paraId="5AE884BF" w14:textId="77777777" w:rsidR="00052596" w:rsidRDefault="00000000">
                                  <w:pPr>
                                    <w:pStyle w:val="t115"/>
                                    <w:spacing w:before="24" w:line="200" w:lineRule="exact"/>
                                    <w:ind w:left="0" w:right="0" w:firstLine="0"/>
                                    <w:jc w:val="center"/>
                                    <w:rPr>
                                      <w:spacing w:val="-4"/>
                                      <w:sz w:val="20"/>
                                    </w:rPr>
                                  </w:pPr>
                                  <w:r>
                                    <w:rPr>
                                      <w:spacing w:val="-4"/>
                                      <w:sz w:val="20"/>
                                    </w:rPr>
                                    <w:t>該年齡層失</w:t>
                                  </w:r>
                                </w:p>
                                <w:p w14:paraId="25397612" w14:textId="77777777" w:rsidR="00052596" w:rsidRDefault="00000000">
                                  <w:pPr>
                                    <w:pStyle w:val="t115"/>
                                    <w:spacing w:before="24" w:line="200" w:lineRule="exact"/>
                                    <w:ind w:left="0" w:right="0" w:firstLine="0"/>
                                    <w:jc w:val="center"/>
                                    <w:rPr>
                                      <w:spacing w:val="-4"/>
                                      <w:sz w:val="20"/>
                                    </w:rPr>
                                  </w:pPr>
                                  <w:r>
                                    <w:rPr>
                                      <w:spacing w:val="-4"/>
                                      <w:sz w:val="20"/>
                                    </w:rPr>
                                    <w:t>業人口比率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34C7C" w14:textId="77777777" w:rsidR="00052596" w:rsidRDefault="00000000">
                                  <w:pPr>
                                    <w:pStyle w:val="t115"/>
                                    <w:spacing w:line="360" w:lineRule="exact"/>
                                    <w:ind w:left="0" w:right="0" w:firstLine="0"/>
                                    <w:jc w:val="center"/>
                                    <w:rPr>
                                      <w:spacing w:val="0"/>
                                      <w:sz w:val="20"/>
                                    </w:rPr>
                                  </w:pPr>
                                  <w:r>
                                    <w:rPr>
                                      <w:spacing w:val="0"/>
                                      <w:sz w:val="20"/>
                                    </w:rPr>
                                    <w:t>平均失業週數</w:t>
                                  </w:r>
                                </w:p>
                                <w:p w14:paraId="6A49F082" w14:textId="77777777" w:rsidR="00052596" w:rsidRDefault="00000000">
                                  <w:pPr>
                                    <w:pStyle w:val="t115"/>
                                    <w:spacing w:line="360" w:lineRule="exact"/>
                                    <w:ind w:left="0" w:right="0" w:firstLine="0"/>
                                    <w:jc w:val="center"/>
                                    <w:rPr>
                                      <w:spacing w:val="0"/>
                                      <w:sz w:val="20"/>
                                    </w:rPr>
                                  </w:pPr>
                                  <w:r>
                                    <w:rPr>
                                      <w:spacing w:val="0"/>
                                      <w:sz w:val="20"/>
                                    </w:rPr>
                                    <w:t>(週)</w:t>
                                  </w:r>
                                </w:p>
                              </w:tc>
                              <w:tc>
                                <w:tcPr>
                                  <w:tcW w:w="1418"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14:paraId="319CA5A9" w14:textId="77777777" w:rsidR="00052596" w:rsidRDefault="00000000">
                                  <w:pPr>
                                    <w:pStyle w:val="t115"/>
                                    <w:spacing w:line="360" w:lineRule="exact"/>
                                    <w:ind w:left="0" w:right="0" w:firstLine="0"/>
                                    <w:rPr>
                                      <w:spacing w:val="0"/>
                                      <w:sz w:val="20"/>
                                    </w:rPr>
                                  </w:pPr>
                                  <w:r>
                                    <w:rPr>
                                      <w:spacing w:val="0"/>
                                      <w:sz w:val="20"/>
                                    </w:rPr>
                                    <w:t>非典型就業占</w:t>
                                  </w:r>
                                </w:p>
                                <w:p w14:paraId="618C1697" w14:textId="77777777" w:rsidR="00052596" w:rsidRDefault="00000000">
                                  <w:pPr>
                                    <w:pStyle w:val="t115"/>
                                    <w:spacing w:line="360" w:lineRule="exact"/>
                                    <w:ind w:left="0" w:right="0" w:firstLine="0"/>
                                  </w:pPr>
                                  <w:r>
                                    <w:rPr>
                                      <w:spacing w:val="0"/>
                                      <w:sz w:val="20"/>
                                    </w:rPr>
                                    <w:t>青年就業比率</w:t>
                                  </w:r>
                                  <w:r>
                                    <w:rPr>
                                      <w:rFonts w:cs="新細明體"/>
                                      <w:sz w:val="20"/>
                                    </w:rPr>
                                    <w:t>*</w:t>
                                  </w:r>
                                </w:p>
                              </w:tc>
                            </w:tr>
                            <w:tr w:rsidR="00052596" w14:paraId="10EF5BC5" w14:textId="77777777">
                              <w:tblPrEx>
                                <w:tblCellMar>
                                  <w:top w:w="0" w:type="dxa"/>
                                  <w:bottom w:w="0" w:type="dxa"/>
                                </w:tblCellMar>
                              </w:tblPrEx>
                              <w:trPr>
                                <w:trHeight w:val="255"/>
                                <w:jc w:val="center"/>
                              </w:trPr>
                              <w:tc>
                                <w:tcPr>
                                  <w:tcW w:w="922" w:type="dxa"/>
                                  <w:tcBorders>
                                    <w:top w:val="single" w:sz="4" w:space="0" w:color="000000"/>
                                    <w:right w:val="single" w:sz="4" w:space="0" w:color="000000"/>
                                  </w:tcBorders>
                                  <w:shd w:val="clear" w:color="auto" w:fill="auto"/>
                                  <w:tcMar>
                                    <w:top w:w="0" w:type="dxa"/>
                                    <w:left w:w="28" w:type="dxa"/>
                                    <w:bottom w:w="0" w:type="dxa"/>
                                    <w:right w:w="28" w:type="dxa"/>
                                  </w:tcMar>
                                  <w:vAlign w:val="center"/>
                                </w:tcPr>
                                <w:p w14:paraId="29E06523" w14:textId="77777777" w:rsidR="00052596" w:rsidRDefault="00000000">
                                  <w:pPr>
                                    <w:pStyle w:val="t115"/>
                                    <w:spacing w:line="220" w:lineRule="exact"/>
                                    <w:ind w:left="0" w:right="0" w:firstLine="0"/>
                                    <w:jc w:val="center"/>
                                    <w:rPr>
                                      <w:spacing w:val="0"/>
                                      <w:sz w:val="20"/>
                                    </w:rPr>
                                  </w:pPr>
                                  <w:r>
                                    <w:rPr>
                                      <w:spacing w:val="0"/>
                                      <w:sz w:val="20"/>
                                    </w:rPr>
                                    <w:t xml:space="preserve">96 </w:t>
                                  </w:r>
                                </w:p>
                              </w:tc>
                              <w:tc>
                                <w:tcPr>
                                  <w:tcW w:w="76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94BE18" w14:textId="77777777" w:rsidR="00052596" w:rsidRDefault="00000000">
                                  <w:pPr>
                                    <w:pStyle w:val="t115"/>
                                    <w:spacing w:line="220" w:lineRule="exact"/>
                                    <w:ind w:left="0" w:right="0" w:firstLine="0"/>
                                    <w:jc w:val="center"/>
                                    <w:rPr>
                                      <w:spacing w:val="0"/>
                                      <w:sz w:val="20"/>
                                    </w:rPr>
                                  </w:pPr>
                                  <w:r>
                                    <w:rPr>
                                      <w:spacing w:val="0"/>
                                      <w:sz w:val="20"/>
                                    </w:rPr>
                                    <w:t>31.1</w:t>
                                  </w:r>
                                </w:p>
                              </w:tc>
                              <w:tc>
                                <w:tcPr>
                                  <w:tcW w:w="76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4D520C" w14:textId="77777777" w:rsidR="00052596" w:rsidRDefault="00000000">
                                  <w:pPr>
                                    <w:pStyle w:val="t115"/>
                                    <w:spacing w:line="220" w:lineRule="exact"/>
                                    <w:ind w:left="0" w:right="0" w:firstLine="0"/>
                                    <w:jc w:val="center"/>
                                    <w:rPr>
                                      <w:spacing w:val="0"/>
                                      <w:sz w:val="20"/>
                                    </w:rPr>
                                  </w:pPr>
                                  <w:r>
                                    <w:rPr>
                                      <w:spacing w:val="0"/>
                                      <w:sz w:val="20"/>
                                    </w:rPr>
                                    <w:t>27.8</w:t>
                                  </w:r>
                                </w:p>
                              </w:tc>
                              <w:tc>
                                <w:tcPr>
                                  <w:tcW w:w="87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2515A19" w14:textId="77777777" w:rsidR="00052596" w:rsidRDefault="00000000">
                                  <w:pPr>
                                    <w:pStyle w:val="t115"/>
                                    <w:tabs>
                                      <w:tab w:val="decimal" w:pos="338"/>
                                    </w:tabs>
                                    <w:spacing w:line="220" w:lineRule="exact"/>
                                    <w:ind w:left="0" w:right="0" w:firstLine="0"/>
                                    <w:jc w:val="left"/>
                                    <w:rPr>
                                      <w:spacing w:val="0"/>
                                      <w:sz w:val="20"/>
                                    </w:rPr>
                                  </w:pPr>
                                  <w:r>
                                    <w:rPr>
                                      <w:spacing w:val="0"/>
                                      <w:sz w:val="20"/>
                                    </w:rPr>
                                    <w:t>10.7</w:t>
                                  </w:r>
                                </w:p>
                              </w:tc>
                              <w:tc>
                                <w:tcPr>
                                  <w:tcW w:w="123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FA2C5B" w14:textId="77777777" w:rsidR="00052596" w:rsidRDefault="00000000">
                                  <w:pPr>
                                    <w:pStyle w:val="t115"/>
                                    <w:spacing w:line="220" w:lineRule="exact"/>
                                    <w:ind w:left="0" w:right="0" w:firstLine="0"/>
                                    <w:jc w:val="center"/>
                                    <w:rPr>
                                      <w:spacing w:val="0"/>
                                      <w:sz w:val="20"/>
                                    </w:rPr>
                                  </w:pPr>
                                  <w:r>
                                    <w:rPr>
                                      <w:spacing w:val="0"/>
                                      <w:sz w:val="20"/>
                                    </w:rPr>
                                    <w:t>7.2</w:t>
                                  </w:r>
                                </w:p>
                              </w:tc>
                              <w:tc>
                                <w:tcPr>
                                  <w:tcW w:w="141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84462C" w14:textId="77777777" w:rsidR="00052596" w:rsidRDefault="00000000">
                                  <w:pPr>
                                    <w:pStyle w:val="t115"/>
                                    <w:spacing w:line="220" w:lineRule="exact"/>
                                    <w:ind w:left="0" w:right="0" w:firstLine="0"/>
                                    <w:jc w:val="center"/>
                                    <w:rPr>
                                      <w:spacing w:val="0"/>
                                      <w:sz w:val="20"/>
                                    </w:rPr>
                                  </w:pPr>
                                  <w:r>
                                    <w:rPr>
                                      <w:spacing w:val="0"/>
                                      <w:sz w:val="20"/>
                                    </w:rPr>
                                    <w:t>17.72</w:t>
                                  </w:r>
                                </w:p>
                              </w:tc>
                              <w:tc>
                                <w:tcPr>
                                  <w:tcW w:w="1418"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1284EFC7" w14:textId="77777777" w:rsidR="00052596" w:rsidRDefault="00000000">
                                  <w:pPr>
                                    <w:pStyle w:val="t115"/>
                                    <w:spacing w:line="220" w:lineRule="exact"/>
                                    <w:ind w:left="0" w:right="0" w:firstLine="0"/>
                                    <w:jc w:val="center"/>
                                    <w:rPr>
                                      <w:spacing w:val="0"/>
                                      <w:sz w:val="20"/>
                                    </w:rPr>
                                  </w:pPr>
                                  <w:r>
                                    <w:rPr>
                                      <w:spacing w:val="0"/>
                                      <w:sz w:val="20"/>
                                    </w:rPr>
                                    <w:t>－</w:t>
                                  </w:r>
                                </w:p>
                              </w:tc>
                            </w:tr>
                            <w:tr w:rsidR="00052596" w14:paraId="0D7B981B" w14:textId="77777777">
                              <w:tblPrEx>
                                <w:tblCellMar>
                                  <w:top w:w="0" w:type="dxa"/>
                                  <w:bottom w:w="0" w:type="dxa"/>
                                </w:tblCellMar>
                              </w:tblPrEx>
                              <w:trPr>
                                <w:trHeight w:val="255"/>
                                <w:jc w:val="center"/>
                              </w:trPr>
                              <w:tc>
                                <w:tcPr>
                                  <w:tcW w:w="922" w:type="dxa"/>
                                  <w:tcBorders>
                                    <w:right w:val="single" w:sz="4" w:space="0" w:color="000000"/>
                                  </w:tcBorders>
                                  <w:shd w:val="clear" w:color="auto" w:fill="auto"/>
                                  <w:tcMar>
                                    <w:top w:w="0" w:type="dxa"/>
                                    <w:left w:w="28" w:type="dxa"/>
                                    <w:bottom w:w="0" w:type="dxa"/>
                                    <w:right w:w="28" w:type="dxa"/>
                                  </w:tcMar>
                                  <w:vAlign w:val="center"/>
                                </w:tcPr>
                                <w:p w14:paraId="49A04A11" w14:textId="77777777" w:rsidR="00052596" w:rsidRDefault="00000000">
                                  <w:pPr>
                                    <w:pStyle w:val="t115"/>
                                    <w:spacing w:line="220" w:lineRule="exact"/>
                                    <w:ind w:left="0" w:right="0" w:firstLine="0"/>
                                    <w:jc w:val="center"/>
                                    <w:rPr>
                                      <w:spacing w:val="0"/>
                                      <w:sz w:val="20"/>
                                    </w:rPr>
                                  </w:pPr>
                                  <w:r>
                                    <w:rPr>
                                      <w:spacing w:val="0"/>
                                      <w:sz w:val="20"/>
                                    </w:rPr>
                                    <w:t>97</w:t>
                                  </w:r>
                                </w:p>
                              </w:tc>
                              <w:tc>
                                <w:tcPr>
                                  <w:tcW w:w="76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463C2E" w14:textId="77777777" w:rsidR="00052596" w:rsidRDefault="00000000">
                                  <w:pPr>
                                    <w:pStyle w:val="t115"/>
                                    <w:spacing w:line="220" w:lineRule="exact"/>
                                    <w:ind w:left="0" w:right="0" w:firstLine="0"/>
                                    <w:jc w:val="center"/>
                                    <w:rPr>
                                      <w:spacing w:val="0"/>
                                      <w:sz w:val="20"/>
                                    </w:rPr>
                                  </w:pPr>
                                  <w:r>
                                    <w:rPr>
                                      <w:spacing w:val="0"/>
                                      <w:sz w:val="20"/>
                                    </w:rPr>
                                    <w:t>30.2</w:t>
                                  </w:r>
                                </w:p>
                              </w:tc>
                              <w:tc>
                                <w:tcPr>
                                  <w:tcW w:w="76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7F6790" w14:textId="77777777" w:rsidR="00052596" w:rsidRDefault="00000000">
                                  <w:pPr>
                                    <w:pStyle w:val="t115"/>
                                    <w:spacing w:line="220" w:lineRule="exact"/>
                                    <w:ind w:left="0" w:right="0" w:firstLine="0"/>
                                    <w:jc w:val="center"/>
                                    <w:rPr>
                                      <w:spacing w:val="0"/>
                                      <w:sz w:val="20"/>
                                    </w:rPr>
                                  </w:pPr>
                                  <w:r>
                                    <w:rPr>
                                      <w:spacing w:val="0"/>
                                      <w:sz w:val="20"/>
                                    </w:rPr>
                                    <w:t>26.6</w:t>
                                  </w: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B4B14A" w14:textId="77777777" w:rsidR="00052596" w:rsidRDefault="00000000">
                                  <w:pPr>
                                    <w:pStyle w:val="t115"/>
                                    <w:tabs>
                                      <w:tab w:val="decimal" w:pos="338"/>
                                    </w:tabs>
                                    <w:spacing w:line="220" w:lineRule="exact"/>
                                    <w:ind w:left="0" w:right="0" w:firstLine="0"/>
                                    <w:jc w:val="left"/>
                                    <w:rPr>
                                      <w:spacing w:val="0"/>
                                      <w:sz w:val="20"/>
                                    </w:rPr>
                                  </w:pPr>
                                  <w:r>
                                    <w:rPr>
                                      <w:spacing w:val="0"/>
                                      <w:sz w:val="20"/>
                                    </w:rPr>
                                    <w:t>11.8</w:t>
                                  </w:r>
                                </w:p>
                              </w:tc>
                              <w:tc>
                                <w:tcPr>
                                  <w:tcW w:w="123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0243A3" w14:textId="77777777" w:rsidR="00052596" w:rsidRDefault="00000000">
                                  <w:pPr>
                                    <w:pStyle w:val="t115"/>
                                    <w:spacing w:line="220" w:lineRule="exact"/>
                                    <w:ind w:left="0" w:right="0" w:firstLine="0"/>
                                    <w:jc w:val="center"/>
                                    <w:rPr>
                                      <w:spacing w:val="0"/>
                                      <w:sz w:val="20"/>
                                    </w:rPr>
                                  </w:pPr>
                                  <w:r>
                                    <w:rPr>
                                      <w:spacing w:val="0"/>
                                      <w:sz w:val="20"/>
                                    </w:rPr>
                                    <w:t>8.2</w:t>
                                  </w:r>
                                </w:p>
                              </w:tc>
                              <w:tc>
                                <w:tcPr>
                                  <w:tcW w:w="141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E9C9AA" w14:textId="77777777" w:rsidR="00052596" w:rsidRDefault="00000000">
                                  <w:pPr>
                                    <w:pStyle w:val="t115"/>
                                    <w:spacing w:line="220" w:lineRule="exact"/>
                                    <w:ind w:left="0" w:right="0" w:firstLine="0"/>
                                    <w:jc w:val="center"/>
                                    <w:rPr>
                                      <w:spacing w:val="0"/>
                                      <w:sz w:val="20"/>
                                    </w:rPr>
                                  </w:pPr>
                                  <w:r>
                                    <w:rPr>
                                      <w:spacing w:val="0"/>
                                      <w:sz w:val="20"/>
                                    </w:rPr>
                                    <w:t>19.32</w:t>
                                  </w:r>
                                </w:p>
                              </w:tc>
                              <w:tc>
                                <w:tcPr>
                                  <w:tcW w:w="1418" w:type="dxa"/>
                                  <w:tcBorders>
                                    <w:left w:val="single" w:sz="4" w:space="0" w:color="000000"/>
                                  </w:tcBorders>
                                  <w:shd w:val="clear" w:color="auto" w:fill="auto"/>
                                  <w:tcMar>
                                    <w:top w:w="0" w:type="dxa"/>
                                    <w:left w:w="108" w:type="dxa"/>
                                    <w:bottom w:w="0" w:type="dxa"/>
                                    <w:right w:w="108" w:type="dxa"/>
                                  </w:tcMar>
                                  <w:vAlign w:val="center"/>
                                </w:tcPr>
                                <w:p w14:paraId="43EA4591" w14:textId="77777777" w:rsidR="00052596" w:rsidRDefault="00000000">
                                  <w:pPr>
                                    <w:pStyle w:val="t115"/>
                                    <w:spacing w:line="220" w:lineRule="exact"/>
                                    <w:ind w:left="0" w:right="0" w:firstLine="0"/>
                                    <w:jc w:val="center"/>
                                    <w:rPr>
                                      <w:spacing w:val="0"/>
                                      <w:sz w:val="20"/>
                                    </w:rPr>
                                  </w:pPr>
                                  <w:r>
                                    <w:rPr>
                                      <w:spacing w:val="0"/>
                                      <w:sz w:val="20"/>
                                    </w:rPr>
                                    <w:t>19.21</w:t>
                                  </w:r>
                                </w:p>
                              </w:tc>
                            </w:tr>
                            <w:tr w:rsidR="00052596" w14:paraId="53A25F2A" w14:textId="77777777">
                              <w:tblPrEx>
                                <w:tblCellMar>
                                  <w:top w:w="0" w:type="dxa"/>
                                  <w:bottom w:w="0" w:type="dxa"/>
                                </w:tblCellMar>
                              </w:tblPrEx>
                              <w:trPr>
                                <w:trHeight w:val="255"/>
                                <w:jc w:val="center"/>
                              </w:trPr>
                              <w:tc>
                                <w:tcPr>
                                  <w:tcW w:w="922" w:type="dxa"/>
                                  <w:tcBorders>
                                    <w:right w:val="single" w:sz="4" w:space="0" w:color="000000"/>
                                  </w:tcBorders>
                                  <w:shd w:val="clear" w:color="auto" w:fill="auto"/>
                                  <w:tcMar>
                                    <w:top w:w="0" w:type="dxa"/>
                                    <w:left w:w="28" w:type="dxa"/>
                                    <w:bottom w:w="0" w:type="dxa"/>
                                    <w:right w:w="28" w:type="dxa"/>
                                  </w:tcMar>
                                  <w:vAlign w:val="center"/>
                                </w:tcPr>
                                <w:p w14:paraId="598701C6" w14:textId="77777777" w:rsidR="00052596" w:rsidRDefault="00000000">
                                  <w:pPr>
                                    <w:pStyle w:val="t115"/>
                                    <w:spacing w:line="220" w:lineRule="exact"/>
                                    <w:ind w:left="0" w:right="0" w:firstLine="0"/>
                                    <w:jc w:val="center"/>
                                    <w:rPr>
                                      <w:spacing w:val="0"/>
                                      <w:sz w:val="20"/>
                                    </w:rPr>
                                  </w:pPr>
                                  <w:r>
                                    <w:rPr>
                                      <w:spacing w:val="0"/>
                                      <w:sz w:val="20"/>
                                    </w:rPr>
                                    <w:t>98</w:t>
                                  </w:r>
                                </w:p>
                              </w:tc>
                              <w:tc>
                                <w:tcPr>
                                  <w:tcW w:w="76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5BEB16" w14:textId="77777777" w:rsidR="00052596" w:rsidRDefault="00000000">
                                  <w:pPr>
                                    <w:pStyle w:val="t115"/>
                                    <w:spacing w:line="220" w:lineRule="exact"/>
                                    <w:ind w:left="0" w:right="0" w:firstLine="0"/>
                                    <w:jc w:val="center"/>
                                    <w:rPr>
                                      <w:spacing w:val="0"/>
                                      <w:sz w:val="20"/>
                                    </w:rPr>
                                  </w:pPr>
                                  <w:r>
                                    <w:rPr>
                                      <w:spacing w:val="0"/>
                                      <w:sz w:val="20"/>
                                    </w:rPr>
                                    <w:t>28.6</w:t>
                                  </w:r>
                                </w:p>
                              </w:tc>
                              <w:tc>
                                <w:tcPr>
                                  <w:tcW w:w="76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5682E3" w14:textId="77777777" w:rsidR="00052596" w:rsidRDefault="00000000">
                                  <w:pPr>
                                    <w:pStyle w:val="t115"/>
                                    <w:spacing w:line="220" w:lineRule="exact"/>
                                    <w:ind w:left="0" w:right="0" w:firstLine="0"/>
                                    <w:jc w:val="center"/>
                                    <w:rPr>
                                      <w:spacing w:val="0"/>
                                      <w:sz w:val="20"/>
                                    </w:rPr>
                                  </w:pPr>
                                  <w:r>
                                    <w:rPr>
                                      <w:spacing w:val="0"/>
                                      <w:sz w:val="20"/>
                                    </w:rPr>
                                    <w:t>24.5</w:t>
                                  </w: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E7F46B" w14:textId="77777777" w:rsidR="00052596" w:rsidRDefault="00000000">
                                  <w:pPr>
                                    <w:pStyle w:val="t115"/>
                                    <w:tabs>
                                      <w:tab w:val="decimal" w:pos="338"/>
                                    </w:tabs>
                                    <w:spacing w:line="220" w:lineRule="exact"/>
                                    <w:ind w:left="0" w:right="0" w:firstLine="0"/>
                                    <w:jc w:val="left"/>
                                    <w:rPr>
                                      <w:spacing w:val="0"/>
                                      <w:sz w:val="20"/>
                                    </w:rPr>
                                  </w:pPr>
                                  <w:r>
                                    <w:rPr>
                                      <w:spacing w:val="0"/>
                                      <w:sz w:val="20"/>
                                    </w:rPr>
                                    <w:t>14.5</w:t>
                                  </w:r>
                                </w:p>
                              </w:tc>
                              <w:tc>
                                <w:tcPr>
                                  <w:tcW w:w="123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9857F6" w14:textId="77777777" w:rsidR="00052596" w:rsidRDefault="00000000">
                                  <w:pPr>
                                    <w:pStyle w:val="t115"/>
                                    <w:spacing w:line="220" w:lineRule="exact"/>
                                    <w:ind w:left="0" w:right="0" w:firstLine="0"/>
                                    <w:jc w:val="center"/>
                                    <w:rPr>
                                      <w:spacing w:val="0"/>
                                      <w:sz w:val="20"/>
                                    </w:rPr>
                                  </w:pPr>
                                  <w:r>
                                    <w:rPr>
                                      <w:spacing w:val="0"/>
                                      <w:sz w:val="20"/>
                                    </w:rPr>
                                    <w:t>10.3</w:t>
                                  </w:r>
                                </w:p>
                              </w:tc>
                              <w:tc>
                                <w:tcPr>
                                  <w:tcW w:w="141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7324DC" w14:textId="77777777" w:rsidR="00052596" w:rsidRDefault="00000000">
                                  <w:pPr>
                                    <w:pStyle w:val="t115"/>
                                    <w:spacing w:line="220" w:lineRule="exact"/>
                                    <w:ind w:left="0" w:right="0" w:firstLine="0"/>
                                    <w:jc w:val="center"/>
                                    <w:rPr>
                                      <w:spacing w:val="0"/>
                                      <w:sz w:val="20"/>
                                    </w:rPr>
                                  </w:pPr>
                                  <w:r>
                                    <w:rPr>
                                      <w:spacing w:val="0"/>
                                      <w:sz w:val="20"/>
                                    </w:rPr>
                                    <w:t>23.03</w:t>
                                  </w:r>
                                </w:p>
                              </w:tc>
                              <w:tc>
                                <w:tcPr>
                                  <w:tcW w:w="1418" w:type="dxa"/>
                                  <w:tcBorders>
                                    <w:left w:val="single" w:sz="4" w:space="0" w:color="000000"/>
                                  </w:tcBorders>
                                  <w:shd w:val="clear" w:color="auto" w:fill="auto"/>
                                  <w:tcMar>
                                    <w:top w:w="0" w:type="dxa"/>
                                    <w:left w:w="108" w:type="dxa"/>
                                    <w:bottom w:w="0" w:type="dxa"/>
                                    <w:right w:w="108" w:type="dxa"/>
                                  </w:tcMar>
                                  <w:vAlign w:val="center"/>
                                </w:tcPr>
                                <w:p w14:paraId="0959C334" w14:textId="77777777" w:rsidR="00052596" w:rsidRDefault="00000000">
                                  <w:pPr>
                                    <w:pStyle w:val="t115"/>
                                    <w:spacing w:line="220" w:lineRule="exact"/>
                                    <w:ind w:left="0" w:right="0" w:firstLine="0"/>
                                    <w:jc w:val="center"/>
                                    <w:rPr>
                                      <w:spacing w:val="0"/>
                                      <w:sz w:val="20"/>
                                    </w:rPr>
                                  </w:pPr>
                                  <w:r>
                                    <w:rPr>
                                      <w:spacing w:val="0"/>
                                      <w:sz w:val="20"/>
                                    </w:rPr>
                                    <w:t>22.81</w:t>
                                  </w:r>
                                </w:p>
                              </w:tc>
                            </w:tr>
                            <w:tr w:rsidR="00052596" w14:paraId="5F0F52A5" w14:textId="77777777">
                              <w:tblPrEx>
                                <w:tblCellMar>
                                  <w:top w:w="0" w:type="dxa"/>
                                  <w:bottom w:w="0" w:type="dxa"/>
                                </w:tblCellMar>
                              </w:tblPrEx>
                              <w:trPr>
                                <w:trHeight w:val="255"/>
                                <w:jc w:val="center"/>
                              </w:trPr>
                              <w:tc>
                                <w:tcPr>
                                  <w:tcW w:w="922" w:type="dxa"/>
                                  <w:tcBorders>
                                    <w:right w:val="single" w:sz="4" w:space="0" w:color="000000"/>
                                  </w:tcBorders>
                                  <w:shd w:val="clear" w:color="auto" w:fill="auto"/>
                                  <w:tcMar>
                                    <w:top w:w="0" w:type="dxa"/>
                                    <w:left w:w="28" w:type="dxa"/>
                                    <w:bottom w:w="0" w:type="dxa"/>
                                    <w:right w:w="28" w:type="dxa"/>
                                  </w:tcMar>
                                  <w:vAlign w:val="center"/>
                                </w:tcPr>
                                <w:p w14:paraId="17299FEA" w14:textId="77777777" w:rsidR="00052596" w:rsidRDefault="00000000">
                                  <w:pPr>
                                    <w:pStyle w:val="t115"/>
                                    <w:spacing w:line="220" w:lineRule="exact"/>
                                    <w:ind w:left="0" w:right="0" w:firstLine="0"/>
                                    <w:jc w:val="center"/>
                                    <w:rPr>
                                      <w:spacing w:val="0"/>
                                      <w:sz w:val="20"/>
                                    </w:rPr>
                                  </w:pPr>
                                  <w:r>
                                    <w:rPr>
                                      <w:spacing w:val="0"/>
                                      <w:sz w:val="20"/>
                                    </w:rPr>
                                    <w:t>99</w:t>
                                  </w:r>
                                </w:p>
                              </w:tc>
                              <w:tc>
                                <w:tcPr>
                                  <w:tcW w:w="76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E88EE7" w14:textId="77777777" w:rsidR="00052596" w:rsidRDefault="00000000">
                                  <w:pPr>
                                    <w:pStyle w:val="t115"/>
                                    <w:spacing w:line="220" w:lineRule="exact"/>
                                    <w:ind w:left="0" w:right="0" w:firstLine="0"/>
                                    <w:jc w:val="center"/>
                                    <w:rPr>
                                      <w:spacing w:val="0"/>
                                      <w:sz w:val="20"/>
                                    </w:rPr>
                                  </w:pPr>
                                  <w:r>
                                    <w:rPr>
                                      <w:spacing w:val="0"/>
                                      <w:sz w:val="20"/>
                                    </w:rPr>
                                    <w:t>28.8</w:t>
                                  </w:r>
                                </w:p>
                              </w:tc>
                              <w:tc>
                                <w:tcPr>
                                  <w:tcW w:w="76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BF04EB" w14:textId="77777777" w:rsidR="00052596" w:rsidRDefault="00000000">
                                  <w:pPr>
                                    <w:pStyle w:val="t115"/>
                                    <w:spacing w:line="220" w:lineRule="exact"/>
                                    <w:ind w:left="0" w:right="0" w:firstLine="0"/>
                                    <w:jc w:val="center"/>
                                    <w:rPr>
                                      <w:spacing w:val="0"/>
                                      <w:sz w:val="20"/>
                                    </w:rPr>
                                  </w:pPr>
                                  <w:r>
                                    <w:rPr>
                                      <w:spacing w:val="0"/>
                                      <w:sz w:val="20"/>
                                    </w:rPr>
                                    <w:t>25.0</w:t>
                                  </w: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2C6C69" w14:textId="77777777" w:rsidR="00052596" w:rsidRDefault="00000000">
                                  <w:pPr>
                                    <w:pStyle w:val="t115"/>
                                    <w:tabs>
                                      <w:tab w:val="decimal" w:pos="338"/>
                                    </w:tabs>
                                    <w:spacing w:line="220" w:lineRule="exact"/>
                                    <w:ind w:left="0" w:right="0" w:firstLine="0"/>
                                    <w:jc w:val="left"/>
                                    <w:rPr>
                                      <w:spacing w:val="0"/>
                                      <w:sz w:val="20"/>
                                    </w:rPr>
                                  </w:pPr>
                                  <w:r>
                                    <w:rPr>
                                      <w:spacing w:val="0"/>
                                      <w:sz w:val="20"/>
                                    </w:rPr>
                                    <w:t>13.1</w:t>
                                  </w:r>
                                </w:p>
                              </w:tc>
                              <w:tc>
                                <w:tcPr>
                                  <w:tcW w:w="123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47C519" w14:textId="77777777" w:rsidR="00052596" w:rsidRDefault="00000000">
                                  <w:pPr>
                                    <w:pStyle w:val="t115"/>
                                    <w:spacing w:line="220" w:lineRule="exact"/>
                                    <w:ind w:left="0" w:right="0" w:firstLine="0"/>
                                    <w:jc w:val="center"/>
                                    <w:rPr>
                                      <w:spacing w:val="0"/>
                                      <w:sz w:val="20"/>
                                    </w:rPr>
                                  </w:pPr>
                                  <w:r>
                                    <w:rPr>
                                      <w:spacing w:val="0"/>
                                      <w:sz w:val="20"/>
                                    </w:rPr>
                                    <w:t>8.7</w:t>
                                  </w:r>
                                </w:p>
                              </w:tc>
                              <w:tc>
                                <w:tcPr>
                                  <w:tcW w:w="141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611877" w14:textId="77777777" w:rsidR="00052596" w:rsidRDefault="00000000">
                                  <w:pPr>
                                    <w:pStyle w:val="t115"/>
                                    <w:spacing w:line="220" w:lineRule="exact"/>
                                    <w:ind w:left="0" w:right="0" w:firstLine="0"/>
                                    <w:jc w:val="center"/>
                                    <w:rPr>
                                      <w:spacing w:val="0"/>
                                      <w:sz w:val="20"/>
                                    </w:rPr>
                                  </w:pPr>
                                  <w:r>
                                    <w:rPr>
                                      <w:spacing w:val="0"/>
                                      <w:sz w:val="20"/>
                                    </w:rPr>
                                    <w:t>21.26</w:t>
                                  </w:r>
                                </w:p>
                              </w:tc>
                              <w:tc>
                                <w:tcPr>
                                  <w:tcW w:w="1418" w:type="dxa"/>
                                  <w:tcBorders>
                                    <w:left w:val="single" w:sz="4" w:space="0" w:color="000000"/>
                                  </w:tcBorders>
                                  <w:shd w:val="clear" w:color="auto" w:fill="auto"/>
                                  <w:tcMar>
                                    <w:top w:w="0" w:type="dxa"/>
                                    <w:left w:w="108" w:type="dxa"/>
                                    <w:bottom w:w="0" w:type="dxa"/>
                                    <w:right w:w="108" w:type="dxa"/>
                                  </w:tcMar>
                                  <w:vAlign w:val="center"/>
                                </w:tcPr>
                                <w:p w14:paraId="53F4528A" w14:textId="77777777" w:rsidR="00052596" w:rsidRDefault="00000000">
                                  <w:pPr>
                                    <w:pStyle w:val="t115"/>
                                    <w:spacing w:line="220" w:lineRule="exact"/>
                                    <w:ind w:left="0" w:right="0" w:firstLine="0"/>
                                    <w:jc w:val="center"/>
                                    <w:rPr>
                                      <w:spacing w:val="0"/>
                                      <w:sz w:val="20"/>
                                    </w:rPr>
                                  </w:pPr>
                                  <w:r>
                                    <w:rPr>
                                      <w:spacing w:val="0"/>
                                      <w:sz w:val="20"/>
                                    </w:rPr>
                                    <w:t>24.77</w:t>
                                  </w:r>
                                </w:p>
                              </w:tc>
                            </w:tr>
                            <w:tr w:rsidR="00052596" w14:paraId="25AC7E34" w14:textId="77777777">
                              <w:tblPrEx>
                                <w:tblCellMar>
                                  <w:top w:w="0" w:type="dxa"/>
                                  <w:bottom w:w="0" w:type="dxa"/>
                                </w:tblCellMar>
                              </w:tblPrEx>
                              <w:trPr>
                                <w:trHeight w:val="255"/>
                                <w:jc w:val="center"/>
                              </w:trPr>
                              <w:tc>
                                <w:tcPr>
                                  <w:tcW w:w="9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9E26DF6" w14:textId="77777777" w:rsidR="00052596" w:rsidRDefault="00000000">
                                  <w:pPr>
                                    <w:pStyle w:val="t115"/>
                                    <w:spacing w:line="220" w:lineRule="exact"/>
                                    <w:ind w:left="0" w:right="0" w:firstLine="0"/>
                                    <w:jc w:val="center"/>
                                    <w:rPr>
                                      <w:spacing w:val="0"/>
                                      <w:sz w:val="20"/>
                                    </w:rPr>
                                  </w:pPr>
                                  <w:r>
                                    <w:rPr>
                                      <w:spacing w:val="0"/>
                                      <w:sz w:val="20"/>
                                    </w:rPr>
                                    <w:t>100</w:t>
                                  </w:r>
                                </w:p>
                              </w:tc>
                              <w:tc>
                                <w:tcPr>
                                  <w:tcW w:w="7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17765" w14:textId="77777777" w:rsidR="00052596" w:rsidRDefault="00000000">
                                  <w:pPr>
                                    <w:pStyle w:val="t115"/>
                                    <w:spacing w:line="220" w:lineRule="exact"/>
                                    <w:ind w:left="0" w:right="0" w:firstLine="0"/>
                                    <w:jc w:val="center"/>
                                    <w:rPr>
                                      <w:spacing w:val="0"/>
                                      <w:sz w:val="20"/>
                                    </w:rPr>
                                  </w:pPr>
                                  <w:r>
                                    <w:rPr>
                                      <w:spacing w:val="0"/>
                                      <w:sz w:val="20"/>
                                    </w:rPr>
                                    <w:t>28.6</w:t>
                                  </w:r>
                                </w:p>
                              </w:tc>
                              <w:tc>
                                <w:tcPr>
                                  <w:tcW w:w="7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E2F4B" w14:textId="77777777" w:rsidR="00052596" w:rsidRDefault="00000000">
                                  <w:pPr>
                                    <w:pStyle w:val="t115"/>
                                    <w:spacing w:line="220" w:lineRule="exact"/>
                                    <w:ind w:left="0" w:right="0" w:firstLine="0"/>
                                    <w:jc w:val="center"/>
                                    <w:rPr>
                                      <w:spacing w:val="0"/>
                                      <w:sz w:val="20"/>
                                    </w:rPr>
                                  </w:pPr>
                                  <w:r>
                                    <w:rPr>
                                      <w:spacing w:val="0"/>
                                      <w:sz w:val="20"/>
                                    </w:rPr>
                                    <w:t>25.0</w:t>
                                  </w:r>
                                </w:p>
                              </w:tc>
                              <w:tc>
                                <w:tcPr>
                                  <w:tcW w:w="8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8FC4E" w14:textId="77777777" w:rsidR="00052596" w:rsidRDefault="00000000">
                                  <w:pPr>
                                    <w:pStyle w:val="t115"/>
                                    <w:tabs>
                                      <w:tab w:val="decimal" w:pos="338"/>
                                    </w:tabs>
                                    <w:spacing w:line="220" w:lineRule="exact"/>
                                    <w:ind w:left="0" w:right="0" w:firstLine="0"/>
                                    <w:jc w:val="left"/>
                                    <w:rPr>
                                      <w:spacing w:val="0"/>
                                      <w:sz w:val="20"/>
                                    </w:rPr>
                                  </w:pPr>
                                  <w:r>
                                    <w:rPr>
                                      <w:spacing w:val="0"/>
                                      <w:sz w:val="20"/>
                                    </w:rPr>
                                    <w:t>12.5</w:t>
                                  </w:r>
                                </w:p>
                              </w:tc>
                              <w:tc>
                                <w:tcPr>
                                  <w:tcW w:w="123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40EAF" w14:textId="77777777" w:rsidR="00052596" w:rsidRDefault="00000000">
                                  <w:pPr>
                                    <w:pStyle w:val="t115"/>
                                    <w:spacing w:line="220" w:lineRule="exact"/>
                                    <w:ind w:left="0" w:right="0" w:firstLine="0"/>
                                    <w:jc w:val="center"/>
                                    <w:rPr>
                                      <w:spacing w:val="0"/>
                                      <w:sz w:val="20"/>
                                    </w:rPr>
                                  </w:pPr>
                                  <w:r>
                                    <w:rPr>
                                      <w:spacing w:val="0"/>
                                      <w:sz w:val="20"/>
                                    </w:rPr>
                                    <w:t>6.7</w:t>
                                  </w:r>
                                </w:p>
                              </w:tc>
                              <w:tc>
                                <w:tcPr>
                                  <w:tcW w:w="14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41AF4" w14:textId="77777777" w:rsidR="00052596" w:rsidRDefault="00000000">
                                  <w:pPr>
                                    <w:pStyle w:val="t115"/>
                                    <w:spacing w:line="220" w:lineRule="exact"/>
                                    <w:ind w:left="0" w:right="0" w:firstLine="0"/>
                                    <w:jc w:val="center"/>
                                    <w:rPr>
                                      <w:spacing w:val="0"/>
                                      <w:sz w:val="20"/>
                                    </w:rPr>
                                  </w:pPr>
                                  <w:r>
                                    <w:rPr>
                                      <w:spacing w:val="0"/>
                                      <w:sz w:val="20"/>
                                    </w:rPr>
                                    <w:t>19.75</w:t>
                                  </w:r>
                                </w:p>
                              </w:tc>
                              <w:tc>
                                <w:tcPr>
                                  <w:tcW w:w="14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18AD223" w14:textId="77777777" w:rsidR="00052596" w:rsidRDefault="00000000">
                                  <w:pPr>
                                    <w:pStyle w:val="t115"/>
                                    <w:spacing w:line="220" w:lineRule="exact"/>
                                    <w:ind w:left="0" w:right="0" w:firstLine="0"/>
                                    <w:jc w:val="center"/>
                                    <w:rPr>
                                      <w:spacing w:val="0"/>
                                      <w:sz w:val="20"/>
                                    </w:rPr>
                                  </w:pPr>
                                  <w:r>
                                    <w:rPr>
                                      <w:spacing w:val="0"/>
                                      <w:sz w:val="20"/>
                                    </w:rPr>
                                    <w:t>25.44</w:t>
                                  </w:r>
                                </w:p>
                              </w:tc>
                            </w:tr>
                            <w:tr w:rsidR="00052596" w14:paraId="2C82A280" w14:textId="77777777">
                              <w:tblPrEx>
                                <w:tblCellMar>
                                  <w:top w:w="0" w:type="dxa"/>
                                  <w:bottom w:w="0" w:type="dxa"/>
                                </w:tblCellMar>
                              </w:tblPrEx>
                              <w:trPr>
                                <w:trHeight w:val="255"/>
                                <w:jc w:val="center"/>
                              </w:trPr>
                              <w:tc>
                                <w:tcPr>
                                  <w:tcW w:w="922" w:type="dxa"/>
                                  <w:tcBorders>
                                    <w:top w:val="single" w:sz="4" w:space="0" w:color="000000"/>
                                    <w:right w:val="single" w:sz="4" w:space="0" w:color="000000"/>
                                  </w:tcBorders>
                                  <w:shd w:val="clear" w:color="auto" w:fill="auto"/>
                                  <w:tcMar>
                                    <w:top w:w="0" w:type="dxa"/>
                                    <w:left w:w="28" w:type="dxa"/>
                                    <w:bottom w:w="0" w:type="dxa"/>
                                    <w:right w:w="28" w:type="dxa"/>
                                  </w:tcMar>
                                  <w:vAlign w:val="center"/>
                                </w:tcPr>
                                <w:p w14:paraId="65726389" w14:textId="77777777" w:rsidR="00052596" w:rsidRDefault="00000000">
                                  <w:pPr>
                                    <w:pStyle w:val="t115"/>
                                    <w:spacing w:line="240" w:lineRule="auto"/>
                                    <w:ind w:left="0" w:right="0" w:firstLine="0"/>
                                    <w:jc w:val="center"/>
                                    <w:rPr>
                                      <w:spacing w:val="0"/>
                                      <w:sz w:val="20"/>
                                    </w:rPr>
                                  </w:pPr>
                                  <w:r>
                                    <w:rPr>
                                      <w:spacing w:val="0"/>
                                      <w:sz w:val="20"/>
                                    </w:rPr>
                                    <w:t>71-80年</w:t>
                                  </w:r>
                                </w:p>
                              </w:tc>
                              <w:tc>
                                <w:tcPr>
                                  <w:tcW w:w="76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616605" w14:textId="77777777" w:rsidR="00052596" w:rsidRDefault="00000000">
                                  <w:pPr>
                                    <w:pStyle w:val="t115"/>
                                    <w:spacing w:line="240" w:lineRule="auto"/>
                                    <w:ind w:left="0" w:right="0" w:firstLine="0"/>
                                    <w:jc w:val="center"/>
                                    <w:rPr>
                                      <w:spacing w:val="0"/>
                                      <w:sz w:val="20"/>
                                    </w:rPr>
                                  </w:pPr>
                                  <w:r>
                                    <w:rPr>
                                      <w:spacing w:val="0"/>
                                      <w:sz w:val="20"/>
                                    </w:rPr>
                                    <w:t>47.9</w:t>
                                  </w:r>
                                </w:p>
                              </w:tc>
                              <w:tc>
                                <w:tcPr>
                                  <w:tcW w:w="76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393B331" w14:textId="77777777" w:rsidR="00052596" w:rsidRDefault="00000000">
                                  <w:pPr>
                                    <w:pStyle w:val="t115"/>
                                    <w:spacing w:line="240" w:lineRule="auto"/>
                                    <w:ind w:left="0" w:right="0" w:firstLine="0"/>
                                    <w:jc w:val="center"/>
                                    <w:rPr>
                                      <w:spacing w:val="0"/>
                                      <w:sz w:val="20"/>
                                    </w:rPr>
                                  </w:pPr>
                                  <w:r>
                                    <w:rPr>
                                      <w:spacing w:val="0"/>
                                      <w:sz w:val="20"/>
                                    </w:rPr>
                                    <w:t>45.2</w:t>
                                  </w:r>
                                </w:p>
                              </w:tc>
                              <w:tc>
                                <w:tcPr>
                                  <w:tcW w:w="87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4E55DD" w14:textId="77777777" w:rsidR="00052596" w:rsidRDefault="00000000">
                                  <w:pPr>
                                    <w:pStyle w:val="t115"/>
                                    <w:tabs>
                                      <w:tab w:val="decimal" w:pos="338"/>
                                    </w:tabs>
                                    <w:spacing w:line="240" w:lineRule="auto"/>
                                    <w:ind w:left="0" w:right="0" w:firstLine="0"/>
                                    <w:jc w:val="left"/>
                                    <w:rPr>
                                      <w:spacing w:val="0"/>
                                      <w:sz w:val="20"/>
                                    </w:rPr>
                                  </w:pPr>
                                  <w:r>
                                    <w:rPr>
                                      <w:spacing w:val="0"/>
                                      <w:sz w:val="20"/>
                                    </w:rPr>
                                    <w:t>5.7</w:t>
                                  </w:r>
                                </w:p>
                              </w:tc>
                              <w:tc>
                                <w:tcPr>
                                  <w:tcW w:w="123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40CAD0" w14:textId="77777777" w:rsidR="00052596" w:rsidRDefault="00000000">
                                  <w:pPr>
                                    <w:pStyle w:val="t115"/>
                                    <w:spacing w:line="240" w:lineRule="auto"/>
                                    <w:ind w:left="0" w:right="0" w:firstLine="0"/>
                                    <w:jc w:val="center"/>
                                    <w:rPr>
                                      <w:spacing w:val="0"/>
                                      <w:sz w:val="20"/>
                                    </w:rPr>
                                  </w:pPr>
                                  <w:r>
                                    <w:rPr>
                                      <w:spacing w:val="0"/>
                                      <w:sz w:val="20"/>
                                    </w:rPr>
                                    <w:t>－</w:t>
                                  </w:r>
                                </w:p>
                              </w:tc>
                              <w:tc>
                                <w:tcPr>
                                  <w:tcW w:w="141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CB16B00" w14:textId="77777777" w:rsidR="00052596" w:rsidRDefault="00000000">
                                  <w:pPr>
                                    <w:pStyle w:val="t115"/>
                                    <w:spacing w:line="240" w:lineRule="auto"/>
                                    <w:ind w:left="0" w:right="0" w:firstLine="0"/>
                                    <w:jc w:val="center"/>
                                    <w:rPr>
                                      <w:spacing w:val="0"/>
                                      <w:sz w:val="20"/>
                                    </w:rPr>
                                  </w:pPr>
                                  <w:r>
                                    <w:rPr>
                                      <w:spacing w:val="0"/>
                                      <w:sz w:val="20"/>
                                    </w:rPr>
                                    <w:t>－</w:t>
                                  </w:r>
                                </w:p>
                              </w:tc>
                              <w:tc>
                                <w:tcPr>
                                  <w:tcW w:w="1418"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5D62A5E1" w14:textId="77777777" w:rsidR="00052596" w:rsidRDefault="00000000">
                                  <w:pPr>
                                    <w:pStyle w:val="t115"/>
                                    <w:spacing w:line="240" w:lineRule="auto"/>
                                    <w:ind w:left="0" w:right="0" w:firstLine="0"/>
                                    <w:jc w:val="center"/>
                                    <w:rPr>
                                      <w:spacing w:val="0"/>
                                      <w:sz w:val="20"/>
                                    </w:rPr>
                                  </w:pPr>
                                  <w:r>
                                    <w:rPr>
                                      <w:spacing w:val="0"/>
                                      <w:sz w:val="20"/>
                                    </w:rPr>
                                    <w:t>－</w:t>
                                  </w:r>
                                </w:p>
                              </w:tc>
                            </w:tr>
                            <w:tr w:rsidR="00052596" w14:paraId="5024ABE6" w14:textId="77777777">
                              <w:tblPrEx>
                                <w:tblCellMar>
                                  <w:top w:w="0" w:type="dxa"/>
                                  <w:bottom w:w="0" w:type="dxa"/>
                                </w:tblCellMar>
                              </w:tblPrEx>
                              <w:trPr>
                                <w:trHeight w:val="255"/>
                                <w:jc w:val="center"/>
                              </w:trPr>
                              <w:tc>
                                <w:tcPr>
                                  <w:tcW w:w="922" w:type="dxa"/>
                                  <w:tcBorders>
                                    <w:right w:val="single" w:sz="4" w:space="0" w:color="000000"/>
                                  </w:tcBorders>
                                  <w:shd w:val="clear" w:color="auto" w:fill="auto"/>
                                  <w:tcMar>
                                    <w:top w:w="0" w:type="dxa"/>
                                    <w:left w:w="28" w:type="dxa"/>
                                    <w:bottom w:w="0" w:type="dxa"/>
                                    <w:right w:w="28" w:type="dxa"/>
                                  </w:tcMar>
                                  <w:vAlign w:val="center"/>
                                </w:tcPr>
                                <w:p w14:paraId="2AA0C259" w14:textId="77777777" w:rsidR="00052596" w:rsidRDefault="00000000">
                                  <w:pPr>
                                    <w:pStyle w:val="t115"/>
                                    <w:spacing w:line="240" w:lineRule="auto"/>
                                    <w:ind w:left="0" w:right="0" w:firstLine="0"/>
                                    <w:jc w:val="center"/>
                                    <w:rPr>
                                      <w:spacing w:val="0"/>
                                      <w:sz w:val="20"/>
                                    </w:rPr>
                                  </w:pPr>
                                  <w:r>
                                    <w:rPr>
                                      <w:spacing w:val="0"/>
                                      <w:sz w:val="20"/>
                                    </w:rPr>
                                    <w:t>81-90年</w:t>
                                  </w:r>
                                </w:p>
                              </w:tc>
                              <w:tc>
                                <w:tcPr>
                                  <w:tcW w:w="76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4C8C7F" w14:textId="77777777" w:rsidR="00052596" w:rsidRDefault="00000000">
                                  <w:pPr>
                                    <w:pStyle w:val="t115"/>
                                    <w:spacing w:line="240" w:lineRule="auto"/>
                                    <w:ind w:left="0" w:right="0" w:firstLine="0"/>
                                    <w:jc w:val="center"/>
                                    <w:rPr>
                                      <w:spacing w:val="0"/>
                                      <w:sz w:val="20"/>
                                    </w:rPr>
                                  </w:pPr>
                                  <w:r>
                                    <w:rPr>
                                      <w:spacing w:val="0"/>
                                      <w:sz w:val="20"/>
                                    </w:rPr>
                                    <w:t>37.8</w:t>
                                  </w:r>
                                </w:p>
                              </w:tc>
                              <w:tc>
                                <w:tcPr>
                                  <w:tcW w:w="76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B6DEDF" w14:textId="77777777" w:rsidR="00052596" w:rsidRDefault="00000000">
                                  <w:pPr>
                                    <w:pStyle w:val="t115"/>
                                    <w:spacing w:line="240" w:lineRule="auto"/>
                                    <w:ind w:left="0" w:right="0" w:firstLine="0"/>
                                    <w:jc w:val="center"/>
                                    <w:rPr>
                                      <w:spacing w:val="0"/>
                                      <w:sz w:val="20"/>
                                    </w:rPr>
                                  </w:pPr>
                                  <w:r>
                                    <w:rPr>
                                      <w:spacing w:val="0"/>
                                      <w:sz w:val="20"/>
                                    </w:rPr>
                                    <w:t>35.3</w:t>
                                  </w: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90D8DD" w14:textId="77777777" w:rsidR="00052596" w:rsidRDefault="00000000">
                                  <w:pPr>
                                    <w:pStyle w:val="t115"/>
                                    <w:tabs>
                                      <w:tab w:val="decimal" w:pos="338"/>
                                    </w:tabs>
                                    <w:spacing w:line="240" w:lineRule="auto"/>
                                    <w:ind w:left="0" w:right="0" w:firstLine="0"/>
                                    <w:jc w:val="left"/>
                                    <w:rPr>
                                      <w:spacing w:val="0"/>
                                      <w:sz w:val="20"/>
                                    </w:rPr>
                                  </w:pPr>
                                  <w:r>
                                    <w:rPr>
                                      <w:spacing w:val="0"/>
                                      <w:sz w:val="20"/>
                                    </w:rPr>
                                    <w:t>6.6</w:t>
                                  </w:r>
                                </w:p>
                              </w:tc>
                              <w:tc>
                                <w:tcPr>
                                  <w:tcW w:w="123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DC9DE8" w14:textId="77777777" w:rsidR="00052596" w:rsidRDefault="00000000">
                                  <w:pPr>
                                    <w:pStyle w:val="t115"/>
                                    <w:spacing w:line="240" w:lineRule="auto"/>
                                    <w:ind w:left="0" w:right="0" w:firstLine="0"/>
                                    <w:jc w:val="center"/>
                                    <w:rPr>
                                      <w:spacing w:val="0"/>
                                      <w:sz w:val="20"/>
                                    </w:rPr>
                                  </w:pPr>
                                  <w:r>
                                    <w:rPr>
                                      <w:spacing w:val="0"/>
                                      <w:sz w:val="20"/>
                                    </w:rPr>
                                    <w:t>5.5(82-90年)</w:t>
                                  </w:r>
                                </w:p>
                              </w:tc>
                              <w:tc>
                                <w:tcPr>
                                  <w:tcW w:w="141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A29E6F" w14:textId="77777777" w:rsidR="00052596" w:rsidRDefault="00000000">
                                  <w:pPr>
                                    <w:pStyle w:val="t115"/>
                                    <w:spacing w:line="240" w:lineRule="auto"/>
                                    <w:ind w:left="0" w:right="0" w:firstLine="0"/>
                                    <w:jc w:val="center"/>
                                    <w:rPr>
                                      <w:spacing w:val="0"/>
                                      <w:sz w:val="20"/>
                                    </w:rPr>
                                  </w:pPr>
                                  <w:r>
                                    <w:rPr>
                                      <w:spacing w:val="0"/>
                                      <w:sz w:val="20"/>
                                    </w:rPr>
                                    <w:t>16.0(82-90年)</w:t>
                                  </w:r>
                                </w:p>
                              </w:tc>
                              <w:tc>
                                <w:tcPr>
                                  <w:tcW w:w="1418" w:type="dxa"/>
                                  <w:tcBorders>
                                    <w:left w:val="single" w:sz="4" w:space="0" w:color="000000"/>
                                  </w:tcBorders>
                                  <w:shd w:val="clear" w:color="auto" w:fill="auto"/>
                                  <w:tcMar>
                                    <w:top w:w="0" w:type="dxa"/>
                                    <w:left w:w="108" w:type="dxa"/>
                                    <w:bottom w:w="0" w:type="dxa"/>
                                    <w:right w:w="108" w:type="dxa"/>
                                  </w:tcMar>
                                  <w:vAlign w:val="center"/>
                                </w:tcPr>
                                <w:p w14:paraId="33A4B0F0" w14:textId="77777777" w:rsidR="00052596" w:rsidRDefault="00000000">
                                  <w:pPr>
                                    <w:pStyle w:val="t115"/>
                                    <w:spacing w:line="240" w:lineRule="auto"/>
                                    <w:ind w:left="0" w:right="0" w:firstLine="0"/>
                                    <w:jc w:val="center"/>
                                    <w:rPr>
                                      <w:spacing w:val="0"/>
                                      <w:sz w:val="20"/>
                                    </w:rPr>
                                  </w:pPr>
                                  <w:r>
                                    <w:rPr>
                                      <w:spacing w:val="0"/>
                                      <w:sz w:val="20"/>
                                    </w:rPr>
                                    <w:t>－</w:t>
                                  </w:r>
                                </w:p>
                              </w:tc>
                            </w:tr>
                            <w:tr w:rsidR="00052596" w14:paraId="79EC4E4E" w14:textId="77777777">
                              <w:tblPrEx>
                                <w:tblCellMar>
                                  <w:top w:w="0" w:type="dxa"/>
                                  <w:bottom w:w="0" w:type="dxa"/>
                                </w:tblCellMar>
                              </w:tblPrEx>
                              <w:trPr>
                                <w:trHeight w:val="255"/>
                                <w:jc w:val="center"/>
                              </w:trPr>
                              <w:tc>
                                <w:tcPr>
                                  <w:tcW w:w="9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E376B0" w14:textId="77777777" w:rsidR="00052596" w:rsidRDefault="00000000">
                                  <w:pPr>
                                    <w:pStyle w:val="t115"/>
                                    <w:spacing w:line="240" w:lineRule="auto"/>
                                    <w:ind w:left="0" w:right="0" w:firstLine="0"/>
                                    <w:jc w:val="center"/>
                                    <w:rPr>
                                      <w:spacing w:val="0"/>
                                      <w:sz w:val="20"/>
                                    </w:rPr>
                                  </w:pPr>
                                  <w:r>
                                    <w:rPr>
                                      <w:spacing w:val="0"/>
                                      <w:sz w:val="20"/>
                                    </w:rPr>
                                    <w:t>91-100年</w:t>
                                  </w:r>
                                </w:p>
                              </w:tc>
                              <w:tc>
                                <w:tcPr>
                                  <w:tcW w:w="7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D1981" w14:textId="77777777" w:rsidR="00052596" w:rsidRDefault="00000000">
                                  <w:pPr>
                                    <w:pStyle w:val="t115"/>
                                    <w:spacing w:line="240" w:lineRule="auto"/>
                                    <w:ind w:left="0" w:right="0" w:firstLine="0"/>
                                    <w:jc w:val="center"/>
                                    <w:rPr>
                                      <w:spacing w:val="0"/>
                                      <w:sz w:val="20"/>
                                    </w:rPr>
                                  </w:pPr>
                                  <w:r>
                                    <w:rPr>
                                      <w:spacing w:val="0"/>
                                      <w:sz w:val="20"/>
                                    </w:rPr>
                                    <w:t>31.4</w:t>
                                  </w:r>
                                </w:p>
                              </w:tc>
                              <w:tc>
                                <w:tcPr>
                                  <w:tcW w:w="7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81BFE" w14:textId="77777777" w:rsidR="00052596" w:rsidRDefault="00000000">
                                  <w:pPr>
                                    <w:pStyle w:val="t115"/>
                                    <w:spacing w:line="240" w:lineRule="auto"/>
                                    <w:ind w:left="0" w:right="0" w:firstLine="0"/>
                                    <w:jc w:val="center"/>
                                    <w:rPr>
                                      <w:spacing w:val="0"/>
                                      <w:sz w:val="20"/>
                                    </w:rPr>
                                  </w:pPr>
                                  <w:r>
                                    <w:rPr>
                                      <w:spacing w:val="0"/>
                                      <w:sz w:val="20"/>
                                    </w:rPr>
                                    <w:t>27.7</w:t>
                                  </w:r>
                                </w:p>
                              </w:tc>
                              <w:tc>
                                <w:tcPr>
                                  <w:tcW w:w="8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6A69B" w14:textId="77777777" w:rsidR="00052596" w:rsidRDefault="00000000">
                                  <w:pPr>
                                    <w:pStyle w:val="t115"/>
                                    <w:tabs>
                                      <w:tab w:val="decimal" w:pos="338"/>
                                    </w:tabs>
                                    <w:spacing w:line="240" w:lineRule="auto"/>
                                    <w:ind w:left="0" w:right="0" w:firstLine="0"/>
                                    <w:jc w:val="left"/>
                                    <w:rPr>
                                      <w:spacing w:val="0"/>
                                      <w:sz w:val="20"/>
                                    </w:rPr>
                                  </w:pPr>
                                  <w:r>
                                    <w:rPr>
                                      <w:spacing w:val="0"/>
                                      <w:sz w:val="20"/>
                                    </w:rPr>
                                    <w:t>11.8</w:t>
                                  </w:r>
                                </w:p>
                              </w:tc>
                              <w:tc>
                                <w:tcPr>
                                  <w:tcW w:w="123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25F27" w14:textId="77777777" w:rsidR="00052596" w:rsidRDefault="00000000">
                                  <w:pPr>
                                    <w:pStyle w:val="t115"/>
                                    <w:spacing w:line="240" w:lineRule="auto"/>
                                    <w:ind w:left="0" w:right="0" w:firstLine="0"/>
                                    <w:jc w:val="center"/>
                                    <w:rPr>
                                      <w:spacing w:val="0"/>
                                      <w:sz w:val="20"/>
                                    </w:rPr>
                                  </w:pPr>
                                  <w:r>
                                    <w:rPr>
                                      <w:spacing w:val="0"/>
                                      <w:sz w:val="20"/>
                                    </w:rPr>
                                    <w:t>9.1</w:t>
                                  </w:r>
                                </w:p>
                              </w:tc>
                              <w:tc>
                                <w:tcPr>
                                  <w:tcW w:w="14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922A6" w14:textId="77777777" w:rsidR="00052596" w:rsidRDefault="00000000">
                                  <w:pPr>
                                    <w:pStyle w:val="t115"/>
                                    <w:spacing w:line="240" w:lineRule="auto"/>
                                    <w:ind w:left="0" w:right="0" w:firstLine="0"/>
                                    <w:jc w:val="center"/>
                                    <w:rPr>
                                      <w:spacing w:val="0"/>
                                      <w:sz w:val="20"/>
                                    </w:rPr>
                                  </w:pPr>
                                  <w:r>
                                    <w:rPr>
                                      <w:spacing w:val="0"/>
                                      <w:sz w:val="20"/>
                                    </w:rPr>
                                    <w:t>20.6</w:t>
                                  </w:r>
                                </w:p>
                              </w:tc>
                              <w:tc>
                                <w:tcPr>
                                  <w:tcW w:w="1418" w:type="dxa"/>
                                  <w:tcBorders>
                                    <w:left w:val="single" w:sz="4" w:space="0" w:color="000000"/>
                                    <w:bottom w:val="single" w:sz="4" w:space="0" w:color="000000"/>
                                  </w:tcBorders>
                                  <w:shd w:val="clear" w:color="auto" w:fill="auto"/>
                                  <w:tcMar>
                                    <w:top w:w="0" w:type="dxa"/>
                                    <w:left w:w="57" w:type="dxa"/>
                                    <w:bottom w:w="0" w:type="dxa"/>
                                    <w:right w:w="57" w:type="dxa"/>
                                  </w:tcMar>
                                  <w:vAlign w:val="center"/>
                                </w:tcPr>
                                <w:p w14:paraId="51A31F15" w14:textId="77777777" w:rsidR="00052596" w:rsidRDefault="00000000">
                                  <w:pPr>
                                    <w:pStyle w:val="t115"/>
                                    <w:spacing w:line="240" w:lineRule="auto"/>
                                    <w:ind w:left="0" w:right="0" w:firstLine="0"/>
                                    <w:jc w:val="center"/>
                                    <w:rPr>
                                      <w:spacing w:val="0"/>
                                      <w:sz w:val="20"/>
                                    </w:rPr>
                                  </w:pPr>
                                  <w:r>
                                    <w:rPr>
                                      <w:spacing w:val="0"/>
                                      <w:sz w:val="20"/>
                                    </w:rPr>
                                    <w:t>23.06(97-100年)</w:t>
                                  </w:r>
                                </w:p>
                              </w:tc>
                            </w:tr>
                          </w:tbl>
                          <w:p w14:paraId="7984F2D4" w14:textId="77777777" w:rsidR="00052596" w:rsidRDefault="00000000">
                            <w:pPr>
                              <w:pStyle w:val="t115"/>
                              <w:spacing w:before="72" w:line="200" w:lineRule="exact"/>
                              <w:ind w:left="1332" w:right="324" w:hanging="288"/>
                              <w:rPr>
                                <w:sz w:val="19"/>
                                <w:szCs w:val="19"/>
                              </w:rPr>
                            </w:pPr>
                            <w:r>
                              <w:rPr>
                                <w:sz w:val="19"/>
                                <w:szCs w:val="19"/>
                              </w:rPr>
                              <w:t>*：為每年5月調查資料，非典型就業指從事部分時間、臨時性或人力派遣工作者。</w:t>
                            </w:r>
                          </w:p>
                          <w:p w14:paraId="7C64AFD0" w14:textId="77777777" w:rsidR="00052596" w:rsidRDefault="00000000">
                            <w:pPr>
                              <w:pStyle w:val="t115"/>
                              <w:spacing w:line="200" w:lineRule="exact"/>
                              <w:ind w:left="62" w:right="72" w:firstLine="210"/>
                              <w:rPr>
                                <w:sz w:val="19"/>
                                <w:szCs w:val="19"/>
                              </w:rPr>
                            </w:pPr>
                            <w:r>
                              <w:rPr>
                                <w:sz w:val="19"/>
                                <w:szCs w:val="19"/>
                              </w:rPr>
                              <w:t>資料來源：行政院主計總處。</w:t>
                            </w:r>
                          </w:p>
                        </w:txbxContent>
                      </wps:txbx>
                      <wps:bodyPr wrap="square" lIns="90004" tIns="0" rIns="90004" bIns="0" anchor="t">
                        <a:noAutofit/>
                      </wps:bodyPr>
                    </wps:wsp>
                  </a:graphicData>
                </a:graphic>
              </wp:anchor>
            </w:drawing>
          </mc:Choice>
          <mc:Fallback>
            <w:pict>
              <v:shape w14:anchorId="0579AB62" id="文字方塊 17481" o:spid="_x0000_s1077" type="#_x0000_t202" style="position:absolute;margin-left:90.75pt;margin-top:2.85pt;width:413.85pt;height:640.65pt;z-index:-2516720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" fillcolor="#eff5ff" strokeweight=".26467mm">
                <v:textbox inset="2.50011mm,0,2.50011mm,0">
                  <w:txbxContent>
                    <w:p w14:paraId="7A2CA5AE" w14:textId="77777777" w:rsidR="00052596" w:rsidRDefault="00000000">
                      <w:pPr>
                        <w:pStyle w:val="t12"/>
                        <w:spacing w:before="120" w:after="120"/>
                        <w:rPr>
                          <w:color w:val="0000FF"/>
                        </w:rPr>
                      </w:pPr>
                      <w:r>
                        <w:rPr>
                          <w:color w:val="0000FF"/>
                        </w:rPr>
                        <w:t>增強青年就業力，紓緩青年失業問題</w:t>
                      </w:r>
                    </w:p>
                    <w:p w14:paraId="1DDCEEFC" w14:textId="77777777" w:rsidR="00052596" w:rsidRDefault="00000000">
                      <w:pPr>
                        <w:pStyle w:val="t11"/>
                        <w:spacing w:line="330" w:lineRule="exact"/>
                        <w:ind w:left="72" w:right="72" w:firstLine="472"/>
                      </w:pPr>
                      <w:r>
                        <w:t>國際勞工組織(ILO)估計，2012年全球失業人口將超過2億人，其中，青年失業人口近7千5百萬人，約占全球失業人口的37%。ILO「2012全球青年就業趨勢」強調，直至2016年，青年失業率都難以改善，顯示全球青年失業問題嚴峻。另世界銀行「2013世界發展報告」指出，全球有6.21億青年處於「閒置(idle)」狀態(不上學或接受培訓，也沒就業，也不尋找工作)。我國青年失業問題不若歐美國家嚴重，但100年青年失業率已達12.5%，且相對於整體失業率已達2.8倍，亟需改善。</w:t>
                      </w:r>
                    </w:p>
                    <w:p w14:paraId="3FC90D3E" w14:textId="77777777" w:rsidR="00052596" w:rsidRDefault="00000000">
                      <w:pPr>
                        <w:pStyle w:val="t11"/>
                        <w:spacing w:line="330" w:lineRule="exact"/>
                        <w:ind w:left="72" w:right="72" w:firstLine="472"/>
                      </w:pPr>
                      <w:r>
                        <w:t>就長期趨勢觀察，我國青年就業率由71至80年平均的45.2%，降至81至90年平均的35.3%，再降至91至100年平均的27.7%；同期間，青年失業率由5.7%增至6.6%，再提升至11.8%，顯示國內青年失業問題已是長期趨勢。而在此趨勢演變下，有三個現象值得關注：</w:t>
                      </w:r>
                    </w:p>
                    <w:p w14:paraId="1F0DD93E" w14:textId="77777777" w:rsidR="00052596" w:rsidRDefault="00000000">
                      <w:pPr>
                        <w:pStyle w:val="t11"/>
                        <w:spacing w:line="330" w:lineRule="exact"/>
                        <w:ind w:left="309" w:right="72" w:hanging="189"/>
                      </w:pPr>
                      <w:r>
                        <w:t>1.經濟興衰對青年就業市場影響深遠，青年就業率呈現速降緩升趨勢：97及98年受全球金融海嘯衝擊，青年就業率由96年的27.8%分別降至26.6%及24.5%；99及100年經濟復甦期間，青年就業率雖略回升至25.0%，然仍不及金融海嘯前的水準。</w:t>
                      </w:r>
                    </w:p>
                    <w:p w14:paraId="7153F191" w14:textId="77777777" w:rsidR="00052596" w:rsidRDefault="00000000">
                      <w:pPr>
                        <w:pStyle w:val="t11"/>
                        <w:spacing w:line="330" w:lineRule="exact"/>
                        <w:ind w:left="309" w:right="72" w:hanging="189"/>
                      </w:pPr>
                      <w:r>
                        <w:t>2.青年長期失業人口比率快速上升：由82至90年平均的5.5%增加至91至100年平均的9.1%。同期間，青年平均失業週數由16.0週增至20.6週。</w:t>
                      </w:r>
                    </w:p>
                    <w:p w14:paraId="3C6743E8" w14:textId="77777777" w:rsidR="00052596" w:rsidRDefault="00000000">
                      <w:pPr>
                        <w:pStyle w:val="t11"/>
                        <w:spacing w:line="330" w:lineRule="exact"/>
                        <w:ind w:left="309" w:right="72" w:hanging="189"/>
                      </w:pPr>
                      <w:r>
                        <w:t>3.</w:t>
                      </w:r>
                      <w:r>
                        <w:rPr>
                          <w:spacing w:val="4"/>
                        </w:rPr>
                        <w:t>青年勞動條件呈現低薪及非典型就業特質：依行政院主計總處調查資料顯示，100年5月國內青年受僱就業者每月主要工作經常性收入不到3萬元的人數達59萬8千人，占整體青年受僱就業者比率84.82%；同期間，青年非典型就業者占該年齡層就業者比率由97年5月的19.21%增至25.44%。</w:t>
                      </w:r>
                    </w:p>
                    <w:p w14:paraId="60A4FB6A" w14:textId="77777777" w:rsidR="00052596" w:rsidRDefault="00000000">
                      <w:pPr>
                        <w:pStyle w:val="t11"/>
                        <w:spacing w:line="330" w:lineRule="exact"/>
                        <w:ind w:left="72" w:right="72" w:firstLine="472"/>
                      </w:pPr>
                      <w:r>
                        <w:t>為促進青年就業，政府將賡續推動「青年就業促進方案」，並加強青年人力資源培育，縮短學訓用落差，提升青年就業力。另加速結合各項勞動市場供需的全面性服務方案，提供青年更多創業及就業機會。</w:t>
                      </w:r>
                    </w:p>
                    <w:p w14:paraId="344DED12" w14:textId="77777777" w:rsidR="00052596" w:rsidRDefault="00000000">
                      <w:pPr>
                        <w:pStyle w:val="t11"/>
                        <w:spacing w:before="60" w:line="320" w:lineRule="exact"/>
                        <w:ind w:left="72" w:right="72" w:firstLine="472"/>
                        <w:jc w:val="center"/>
                        <w:rPr>
                          <w:b/>
                          <w:color w:val="0000FF"/>
                        </w:rPr>
                      </w:pPr>
                      <w:r>
                        <w:rPr>
                          <w:b/>
                          <w:color w:val="0000FF"/>
                        </w:rPr>
                        <w:t>我國15至24歲青年勞動市場概況</w:t>
                      </w:r>
                    </w:p>
                    <w:p w14:paraId="2C8CA408" w14:textId="77777777" w:rsidR="00052596" w:rsidRDefault="00000000">
                      <w:pPr>
                        <w:pStyle w:val="t115"/>
                        <w:spacing w:after="36" w:line="220" w:lineRule="exact"/>
                        <w:ind w:left="0" w:right="240" w:firstLine="0"/>
                        <w:jc w:val="right"/>
                        <w:rPr>
                          <w:sz w:val="20"/>
                        </w:rPr>
                      </w:pPr>
                      <w:r>
                        <w:rPr>
                          <w:sz w:val="20"/>
                        </w:rPr>
                        <w:t>單位：%</w:t>
                      </w:r>
                    </w:p>
                    <w:tbl>
                      <w:tblPr>
                        <w:tblW w:w="7399" w:type="dxa"/>
                        <w:jc w:val="center"/>
                        <w:tblCellMar>
                          <w:left w:w="10" w:type="dxa"/>
                          <w:right w:w="10" w:type="dxa"/>
                        </w:tblCellMar>
                        <w:tblLook w:val="04A0" w:firstRow="1" w:lastRow="0" w:firstColumn="1" w:lastColumn="0" w:noHBand="0" w:noVBand="1"/>
                      </w:tblPr>
                      <w:tblGrid>
                        <w:gridCol w:w="922"/>
                        <w:gridCol w:w="769"/>
                        <w:gridCol w:w="768"/>
                        <w:gridCol w:w="872"/>
                        <w:gridCol w:w="1233"/>
                        <w:gridCol w:w="1417"/>
                        <w:gridCol w:w="1418"/>
                      </w:tblGrid>
                      <w:tr w:rsidR="00052596" w14:paraId="564B82A9" w14:textId="77777777">
                        <w:tblPrEx>
                          <w:tblCellMar>
                            <w:top w:w="0" w:type="dxa"/>
                            <w:bottom w:w="0" w:type="dxa"/>
                          </w:tblCellMar>
                        </w:tblPrEx>
                        <w:trPr>
                          <w:trHeight w:val="490"/>
                          <w:jc w:val="center"/>
                        </w:trPr>
                        <w:tc>
                          <w:tcPr>
                            <w:tcW w:w="92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8E3D" w14:textId="77777777" w:rsidR="00052596" w:rsidRDefault="00000000">
                            <w:pPr>
                              <w:pStyle w:val="t115"/>
                              <w:spacing w:line="360" w:lineRule="exact"/>
                              <w:ind w:left="0" w:right="0" w:firstLine="0"/>
                              <w:jc w:val="center"/>
                              <w:rPr>
                                <w:spacing w:val="0"/>
                                <w:sz w:val="20"/>
                              </w:rPr>
                            </w:pPr>
                            <w:r>
                              <w:rPr>
                                <w:spacing w:val="0"/>
                                <w:sz w:val="20"/>
                              </w:rPr>
                              <w:t>年  別</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C69101" w14:textId="77777777" w:rsidR="00052596" w:rsidRDefault="00000000">
                            <w:pPr>
                              <w:pStyle w:val="t115"/>
                              <w:spacing w:line="360" w:lineRule="exact"/>
                              <w:ind w:left="0" w:right="0" w:firstLine="0"/>
                              <w:jc w:val="center"/>
                              <w:rPr>
                                <w:spacing w:val="0"/>
                                <w:sz w:val="20"/>
                              </w:rPr>
                            </w:pPr>
                            <w:r>
                              <w:rPr>
                                <w:spacing w:val="0"/>
                                <w:sz w:val="20"/>
                              </w:rPr>
                              <w:t>勞動力</w:t>
                            </w:r>
                          </w:p>
                          <w:p w14:paraId="35B59AD9" w14:textId="77777777" w:rsidR="00052596" w:rsidRDefault="00000000">
                            <w:pPr>
                              <w:pStyle w:val="t115"/>
                              <w:spacing w:line="360" w:lineRule="exact"/>
                              <w:ind w:left="0" w:right="0" w:firstLine="0"/>
                              <w:jc w:val="center"/>
                              <w:rPr>
                                <w:spacing w:val="0"/>
                                <w:sz w:val="20"/>
                              </w:rPr>
                            </w:pPr>
                            <w:r>
                              <w:rPr>
                                <w:spacing w:val="0"/>
                                <w:sz w:val="20"/>
                              </w:rPr>
                              <w:t>參與率</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3023540" w14:textId="77777777" w:rsidR="00052596" w:rsidRDefault="00000000">
                            <w:pPr>
                              <w:pStyle w:val="t115"/>
                              <w:spacing w:before="120" w:line="360" w:lineRule="exact"/>
                              <w:ind w:left="0" w:right="0" w:firstLine="0"/>
                              <w:jc w:val="center"/>
                              <w:rPr>
                                <w:spacing w:val="0"/>
                                <w:sz w:val="20"/>
                              </w:rPr>
                            </w:pPr>
                            <w:r>
                              <w:rPr>
                                <w:spacing w:val="0"/>
                                <w:sz w:val="20"/>
                              </w:rPr>
                              <w:t>就業率</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C1977D" w14:textId="77777777" w:rsidR="00052596" w:rsidRDefault="00000000">
                            <w:pPr>
                              <w:pStyle w:val="t115"/>
                              <w:spacing w:before="120" w:line="360" w:lineRule="exact"/>
                              <w:ind w:left="0" w:right="0" w:firstLine="0"/>
                              <w:jc w:val="center"/>
                              <w:rPr>
                                <w:spacing w:val="0"/>
                                <w:sz w:val="20"/>
                              </w:rPr>
                            </w:pPr>
                            <w:r>
                              <w:rPr>
                                <w:spacing w:val="0"/>
                                <w:sz w:val="20"/>
                              </w:rPr>
                              <w:t>失業率</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BDD7BF0" w14:textId="77777777" w:rsidR="00052596" w:rsidRDefault="00000000">
                            <w:pPr>
                              <w:pStyle w:val="t115"/>
                              <w:spacing w:before="24" w:line="200" w:lineRule="exact"/>
                              <w:ind w:left="0" w:right="0" w:firstLine="0"/>
                              <w:jc w:val="center"/>
                              <w:rPr>
                                <w:spacing w:val="-4"/>
                                <w:sz w:val="20"/>
                              </w:rPr>
                            </w:pPr>
                            <w:r>
                              <w:rPr>
                                <w:spacing w:val="-4"/>
                                <w:sz w:val="20"/>
                              </w:rPr>
                              <w:t>長期失業占</w:t>
                            </w:r>
                          </w:p>
                          <w:p w14:paraId="5AE884BF" w14:textId="77777777" w:rsidR="00052596" w:rsidRDefault="00000000">
                            <w:pPr>
                              <w:pStyle w:val="t115"/>
                              <w:spacing w:before="24" w:line="200" w:lineRule="exact"/>
                              <w:ind w:left="0" w:right="0" w:firstLine="0"/>
                              <w:jc w:val="center"/>
                              <w:rPr>
                                <w:spacing w:val="-4"/>
                                <w:sz w:val="20"/>
                              </w:rPr>
                            </w:pPr>
                            <w:r>
                              <w:rPr>
                                <w:spacing w:val="-4"/>
                                <w:sz w:val="20"/>
                              </w:rPr>
                              <w:t>該年齡層失</w:t>
                            </w:r>
                          </w:p>
                          <w:p w14:paraId="25397612" w14:textId="77777777" w:rsidR="00052596" w:rsidRDefault="00000000">
                            <w:pPr>
                              <w:pStyle w:val="t115"/>
                              <w:spacing w:before="24" w:line="200" w:lineRule="exact"/>
                              <w:ind w:left="0" w:right="0" w:firstLine="0"/>
                              <w:jc w:val="center"/>
                              <w:rPr>
                                <w:spacing w:val="-4"/>
                                <w:sz w:val="20"/>
                              </w:rPr>
                            </w:pPr>
                            <w:r>
                              <w:rPr>
                                <w:spacing w:val="-4"/>
                                <w:sz w:val="20"/>
                              </w:rPr>
                              <w:t>業人口比率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34C7C" w14:textId="77777777" w:rsidR="00052596" w:rsidRDefault="00000000">
                            <w:pPr>
                              <w:pStyle w:val="t115"/>
                              <w:spacing w:line="360" w:lineRule="exact"/>
                              <w:ind w:left="0" w:right="0" w:firstLine="0"/>
                              <w:jc w:val="center"/>
                              <w:rPr>
                                <w:spacing w:val="0"/>
                                <w:sz w:val="20"/>
                              </w:rPr>
                            </w:pPr>
                            <w:r>
                              <w:rPr>
                                <w:spacing w:val="0"/>
                                <w:sz w:val="20"/>
                              </w:rPr>
                              <w:t>平均失業週數</w:t>
                            </w:r>
                          </w:p>
                          <w:p w14:paraId="6A49F082" w14:textId="77777777" w:rsidR="00052596" w:rsidRDefault="00000000">
                            <w:pPr>
                              <w:pStyle w:val="t115"/>
                              <w:spacing w:line="360" w:lineRule="exact"/>
                              <w:ind w:left="0" w:right="0" w:firstLine="0"/>
                              <w:jc w:val="center"/>
                              <w:rPr>
                                <w:spacing w:val="0"/>
                                <w:sz w:val="20"/>
                              </w:rPr>
                            </w:pPr>
                            <w:r>
                              <w:rPr>
                                <w:spacing w:val="0"/>
                                <w:sz w:val="20"/>
                              </w:rPr>
                              <w:t>(週)</w:t>
                            </w:r>
                          </w:p>
                        </w:tc>
                        <w:tc>
                          <w:tcPr>
                            <w:tcW w:w="1418"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14:paraId="319CA5A9" w14:textId="77777777" w:rsidR="00052596" w:rsidRDefault="00000000">
                            <w:pPr>
                              <w:pStyle w:val="t115"/>
                              <w:spacing w:line="360" w:lineRule="exact"/>
                              <w:ind w:left="0" w:right="0" w:firstLine="0"/>
                              <w:rPr>
                                <w:spacing w:val="0"/>
                                <w:sz w:val="20"/>
                              </w:rPr>
                            </w:pPr>
                            <w:r>
                              <w:rPr>
                                <w:spacing w:val="0"/>
                                <w:sz w:val="20"/>
                              </w:rPr>
                              <w:t>非典型就業占</w:t>
                            </w:r>
                          </w:p>
                          <w:p w14:paraId="618C1697" w14:textId="77777777" w:rsidR="00052596" w:rsidRDefault="00000000">
                            <w:pPr>
                              <w:pStyle w:val="t115"/>
                              <w:spacing w:line="360" w:lineRule="exact"/>
                              <w:ind w:left="0" w:right="0" w:firstLine="0"/>
                            </w:pPr>
                            <w:r>
                              <w:rPr>
                                <w:spacing w:val="0"/>
                                <w:sz w:val="20"/>
                              </w:rPr>
                              <w:t>青年就業比率</w:t>
                            </w:r>
                            <w:r>
                              <w:rPr>
                                <w:rFonts w:cs="新細明體"/>
                                <w:sz w:val="20"/>
                              </w:rPr>
                              <w:t>*</w:t>
                            </w:r>
                          </w:p>
                        </w:tc>
                      </w:tr>
                      <w:tr w:rsidR="00052596" w14:paraId="10EF5BC5" w14:textId="77777777">
                        <w:tblPrEx>
                          <w:tblCellMar>
                            <w:top w:w="0" w:type="dxa"/>
                            <w:bottom w:w="0" w:type="dxa"/>
                          </w:tblCellMar>
                        </w:tblPrEx>
                        <w:trPr>
                          <w:trHeight w:val="255"/>
                          <w:jc w:val="center"/>
                        </w:trPr>
                        <w:tc>
                          <w:tcPr>
                            <w:tcW w:w="922" w:type="dxa"/>
                            <w:tcBorders>
                              <w:top w:val="single" w:sz="4" w:space="0" w:color="000000"/>
                              <w:right w:val="single" w:sz="4" w:space="0" w:color="000000"/>
                            </w:tcBorders>
                            <w:shd w:val="clear" w:color="auto" w:fill="auto"/>
                            <w:tcMar>
                              <w:top w:w="0" w:type="dxa"/>
                              <w:left w:w="28" w:type="dxa"/>
                              <w:bottom w:w="0" w:type="dxa"/>
                              <w:right w:w="28" w:type="dxa"/>
                            </w:tcMar>
                            <w:vAlign w:val="center"/>
                          </w:tcPr>
                          <w:p w14:paraId="29E06523" w14:textId="77777777" w:rsidR="00052596" w:rsidRDefault="00000000">
                            <w:pPr>
                              <w:pStyle w:val="t115"/>
                              <w:spacing w:line="220" w:lineRule="exact"/>
                              <w:ind w:left="0" w:right="0" w:firstLine="0"/>
                              <w:jc w:val="center"/>
                              <w:rPr>
                                <w:spacing w:val="0"/>
                                <w:sz w:val="20"/>
                              </w:rPr>
                            </w:pPr>
                            <w:r>
                              <w:rPr>
                                <w:spacing w:val="0"/>
                                <w:sz w:val="20"/>
                              </w:rPr>
                              <w:t xml:space="preserve">96 </w:t>
                            </w:r>
                          </w:p>
                        </w:tc>
                        <w:tc>
                          <w:tcPr>
                            <w:tcW w:w="76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94BE18" w14:textId="77777777" w:rsidR="00052596" w:rsidRDefault="00000000">
                            <w:pPr>
                              <w:pStyle w:val="t115"/>
                              <w:spacing w:line="220" w:lineRule="exact"/>
                              <w:ind w:left="0" w:right="0" w:firstLine="0"/>
                              <w:jc w:val="center"/>
                              <w:rPr>
                                <w:spacing w:val="0"/>
                                <w:sz w:val="20"/>
                              </w:rPr>
                            </w:pPr>
                            <w:r>
                              <w:rPr>
                                <w:spacing w:val="0"/>
                                <w:sz w:val="20"/>
                              </w:rPr>
                              <w:t>31.1</w:t>
                            </w:r>
                          </w:p>
                        </w:tc>
                        <w:tc>
                          <w:tcPr>
                            <w:tcW w:w="76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4D520C" w14:textId="77777777" w:rsidR="00052596" w:rsidRDefault="00000000">
                            <w:pPr>
                              <w:pStyle w:val="t115"/>
                              <w:spacing w:line="220" w:lineRule="exact"/>
                              <w:ind w:left="0" w:right="0" w:firstLine="0"/>
                              <w:jc w:val="center"/>
                              <w:rPr>
                                <w:spacing w:val="0"/>
                                <w:sz w:val="20"/>
                              </w:rPr>
                            </w:pPr>
                            <w:r>
                              <w:rPr>
                                <w:spacing w:val="0"/>
                                <w:sz w:val="20"/>
                              </w:rPr>
                              <w:t>27.8</w:t>
                            </w:r>
                          </w:p>
                        </w:tc>
                        <w:tc>
                          <w:tcPr>
                            <w:tcW w:w="87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2515A19" w14:textId="77777777" w:rsidR="00052596" w:rsidRDefault="00000000">
                            <w:pPr>
                              <w:pStyle w:val="t115"/>
                              <w:tabs>
                                <w:tab w:val="decimal" w:pos="338"/>
                              </w:tabs>
                              <w:spacing w:line="220" w:lineRule="exact"/>
                              <w:ind w:left="0" w:right="0" w:firstLine="0"/>
                              <w:jc w:val="left"/>
                              <w:rPr>
                                <w:spacing w:val="0"/>
                                <w:sz w:val="20"/>
                              </w:rPr>
                            </w:pPr>
                            <w:r>
                              <w:rPr>
                                <w:spacing w:val="0"/>
                                <w:sz w:val="20"/>
                              </w:rPr>
                              <w:t>10.7</w:t>
                            </w:r>
                          </w:p>
                        </w:tc>
                        <w:tc>
                          <w:tcPr>
                            <w:tcW w:w="123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FA2C5B" w14:textId="77777777" w:rsidR="00052596" w:rsidRDefault="00000000">
                            <w:pPr>
                              <w:pStyle w:val="t115"/>
                              <w:spacing w:line="220" w:lineRule="exact"/>
                              <w:ind w:left="0" w:right="0" w:firstLine="0"/>
                              <w:jc w:val="center"/>
                              <w:rPr>
                                <w:spacing w:val="0"/>
                                <w:sz w:val="20"/>
                              </w:rPr>
                            </w:pPr>
                            <w:r>
                              <w:rPr>
                                <w:spacing w:val="0"/>
                                <w:sz w:val="20"/>
                              </w:rPr>
                              <w:t>7.2</w:t>
                            </w:r>
                          </w:p>
                        </w:tc>
                        <w:tc>
                          <w:tcPr>
                            <w:tcW w:w="141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84462C" w14:textId="77777777" w:rsidR="00052596" w:rsidRDefault="00000000">
                            <w:pPr>
                              <w:pStyle w:val="t115"/>
                              <w:spacing w:line="220" w:lineRule="exact"/>
                              <w:ind w:left="0" w:right="0" w:firstLine="0"/>
                              <w:jc w:val="center"/>
                              <w:rPr>
                                <w:spacing w:val="0"/>
                                <w:sz w:val="20"/>
                              </w:rPr>
                            </w:pPr>
                            <w:r>
                              <w:rPr>
                                <w:spacing w:val="0"/>
                                <w:sz w:val="20"/>
                              </w:rPr>
                              <w:t>17.72</w:t>
                            </w:r>
                          </w:p>
                        </w:tc>
                        <w:tc>
                          <w:tcPr>
                            <w:tcW w:w="1418"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1284EFC7" w14:textId="77777777" w:rsidR="00052596" w:rsidRDefault="00000000">
                            <w:pPr>
                              <w:pStyle w:val="t115"/>
                              <w:spacing w:line="220" w:lineRule="exact"/>
                              <w:ind w:left="0" w:right="0" w:firstLine="0"/>
                              <w:jc w:val="center"/>
                              <w:rPr>
                                <w:spacing w:val="0"/>
                                <w:sz w:val="20"/>
                              </w:rPr>
                            </w:pPr>
                            <w:r>
                              <w:rPr>
                                <w:spacing w:val="0"/>
                                <w:sz w:val="20"/>
                              </w:rPr>
                              <w:t>－</w:t>
                            </w:r>
                          </w:p>
                        </w:tc>
                      </w:tr>
                      <w:tr w:rsidR="00052596" w14:paraId="0D7B981B" w14:textId="77777777">
                        <w:tblPrEx>
                          <w:tblCellMar>
                            <w:top w:w="0" w:type="dxa"/>
                            <w:bottom w:w="0" w:type="dxa"/>
                          </w:tblCellMar>
                        </w:tblPrEx>
                        <w:trPr>
                          <w:trHeight w:val="255"/>
                          <w:jc w:val="center"/>
                        </w:trPr>
                        <w:tc>
                          <w:tcPr>
                            <w:tcW w:w="922" w:type="dxa"/>
                            <w:tcBorders>
                              <w:right w:val="single" w:sz="4" w:space="0" w:color="000000"/>
                            </w:tcBorders>
                            <w:shd w:val="clear" w:color="auto" w:fill="auto"/>
                            <w:tcMar>
                              <w:top w:w="0" w:type="dxa"/>
                              <w:left w:w="28" w:type="dxa"/>
                              <w:bottom w:w="0" w:type="dxa"/>
                              <w:right w:w="28" w:type="dxa"/>
                            </w:tcMar>
                            <w:vAlign w:val="center"/>
                          </w:tcPr>
                          <w:p w14:paraId="49A04A11" w14:textId="77777777" w:rsidR="00052596" w:rsidRDefault="00000000">
                            <w:pPr>
                              <w:pStyle w:val="t115"/>
                              <w:spacing w:line="220" w:lineRule="exact"/>
                              <w:ind w:left="0" w:right="0" w:firstLine="0"/>
                              <w:jc w:val="center"/>
                              <w:rPr>
                                <w:spacing w:val="0"/>
                                <w:sz w:val="20"/>
                              </w:rPr>
                            </w:pPr>
                            <w:r>
                              <w:rPr>
                                <w:spacing w:val="0"/>
                                <w:sz w:val="20"/>
                              </w:rPr>
                              <w:t>97</w:t>
                            </w:r>
                          </w:p>
                        </w:tc>
                        <w:tc>
                          <w:tcPr>
                            <w:tcW w:w="76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463C2E" w14:textId="77777777" w:rsidR="00052596" w:rsidRDefault="00000000">
                            <w:pPr>
                              <w:pStyle w:val="t115"/>
                              <w:spacing w:line="220" w:lineRule="exact"/>
                              <w:ind w:left="0" w:right="0" w:firstLine="0"/>
                              <w:jc w:val="center"/>
                              <w:rPr>
                                <w:spacing w:val="0"/>
                                <w:sz w:val="20"/>
                              </w:rPr>
                            </w:pPr>
                            <w:r>
                              <w:rPr>
                                <w:spacing w:val="0"/>
                                <w:sz w:val="20"/>
                              </w:rPr>
                              <w:t>30.2</w:t>
                            </w:r>
                          </w:p>
                        </w:tc>
                        <w:tc>
                          <w:tcPr>
                            <w:tcW w:w="76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7F6790" w14:textId="77777777" w:rsidR="00052596" w:rsidRDefault="00000000">
                            <w:pPr>
                              <w:pStyle w:val="t115"/>
                              <w:spacing w:line="220" w:lineRule="exact"/>
                              <w:ind w:left="0" w:right="0" w:firstLine="0"/>
                              <w:jc w:val="center"/>
                              <w:rPr>
                                <w:spacing w:val="0"/>
                                <w:sz w:val="20"/>
                              </w:rPr>
                            </w:pPr>
                            <w:r>
                              <w:rPr>
                                <w:spacing w:val="0"/>
                                <w:sz w:val="20"/>
                              </w:rPr>
                              <w:t>26.6</w:t>
                            </w: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B4B14A" w14:textId="77777777" w:rsidR="00052596" w:rsidRDefault="00000000">
                            <w:pPr>
                              <w:pStyle w:val="t115"/>
                              <w:tabs>
                                <w:tab w:val="decimal" w:pos="338"/>
                              </w:tabs>
                              <w:spacing w:line="220" w:lineRule="exact"/>
                              <w:ind w:left="0" w:right="0" w:firstLine="0"/>
                              <w:jc w:val="left"/>
                              <w:rPr>
                                <w:spacing w:val="0"/>
                                <w:sz w:val="20"/>
                              </w:rPr>
                            </w:pPr>
                            <w:r>
                              <w:rPr>
                                <w:spacing w:val="0"/>
                                <w:sz w:val="20"/>
                              </w:rPr>
                              <w:t>11.8</w:t>
                            </w:r>
                          </w:p>
                        </w:tc>
                        <w:tc>
                          <w:tcPr>
                            <w:tcW w:w="123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0243A3" w14:textId="77777777" w:rsidR="00052596" w:rsidRDefault="00000000">
                            <w:pPr>
                              <w:pStyle w:val="t115"/>
                              <w:spacing w:line="220" w:lineRule="exact"/>
                              <w:ind w:left="0" w:right="0" w:firstLine="0"/>
                              <w:jc w:val="center"/>
                              <w:rPr>
                                <w:spacing w:val="0"/>
                                <w:sz w:val="20"/>
                              </w:rPr>
                            </w:pPr>
                            <w:r>
                              <w:rPr>
                                <w:spacing w:val="0"/>
                                <w:sz w:val="20"/>
                              </w:rPr>
                              <w:t>8.2</w:t>
                            </w:r>
                          </w:p>
                        </w:tc>
                        <w:tc>
                          <w:tcPr>
                            <w:tcW w:w="141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E9C9AA" w14:textId="77777777" w:rsidR="00052596" w:rsidRDefault="00000000">
                            <w:pPr>
                              <w:pStyle w:val="t115"/>
                              <w:spacing w:line="220" w:lineRule="exact"/>
                              <w:ind w:left="0" w:right="0" w:firstLine="0"/>
                              <w:jc w:val="center"/>
                              <w:rPr>
                                <w:spacing w:val="0"/>
                                <w:sz w:val="20"/>
                              </w:rPr>
                            </w:pPr>
                            <w:r>
                              <w:rPr>
                                <w:spacing w:val="0"/>
                                <w:sz w:val="20"/>
                              </w:rPr>
                              <w:t>19.32</w:t>
                            </w:r>
                          </w:p>
                        </w:tc>
                        <w:tc>
                          <w:tcPr>
                            <w:tcW w:w="1418" w:type="dxa"/>
                            <w:tcBorders>
                              <w:left w:val="single" w:sz="4" w:space="0" w:color="000000"/>
                            </w:tcBorders>
                            <w:shd w:val="clear" w:color="auto" w:fill="auto"/>
                            <w:tcMar>
                              <w:top w:w="0" w:type="dxa"/>
                              <w:left w:w="108" w:type="dxa"/>
                              <w:bottom w:w="0" w:type="dxa"/>
                              <w:right w:w="108" w:type="dxa"/>
                            </w:tcMar>
                            <w:vAlign w:val="center"/>
                          </w:tcPr>
                          <w:p w14:paraId="43EA4591" w14:textId="77777777" w:rsidR="00052596" w:rsidRDefault="00000000">
                            <w:pPr>
                              <w:pStyle w:val="t115"/>
                              <w:spacing w:line="220" w:lineRule="exact"/>
                              <w:ind w:left="0" w:right="0" w:firstLine="0"/>
                              <w:jc w:val="center"/>
                              <w:rPr>
                                <w:spacing w:val="0"/>
                                <w:sz w:val="20"/>
                              </w:rPr>
                            </w:pPr>
                            <w:r>
                              <w:rPr>
                                <w:spacing w:val="0"/>
                                <w:sz w:val="20"/>
                              </w:rPr>
                              <w:t>19.21</w:t>
                            </w:r>
                          </w:p>
                        </w:tc>
                      </w:tr>
                      <w:tr w:rsidR="00052596" w14:paraId="53A25F2A" w14:textId="77777777">
                        <w:tblPrEx>
                          <w:tblCellMar>
                            <w:top w:w="0" w:type="dxa"/>
                            <w:bottom w:w="0" w:type="dxa"/>
                          </w:tblCellMar>
                        </w:tblPrEx>
                        <w:trPr>
                          <w:trHeight w:val="255"/>
                          <w:jc w:val="center"/>
                        </w:trPr>
                        <w:tc>
                          <w:tcPr>
                            <w:tcW w:w="922" w:type="dxa"/>
                            <w:tcBorders>
                              <w:right w:val="single" w:sz="4" w:space="0" w:color="000000"/>
                            </w:tcBorders>
                            <w:shd w:val="clear" w:color="auto" w:fill="auto"/>
                            <w:tcMar>
                              <w:top w:w="0" w:type="dxa"/>
                              <w:left w:w="28" w:type="dxa"/>
                              <w:bottom w:w="0" w:type="dxa"/>
                              <w:right w:w="28" w:type="dxa"/>
                            </w:tcMar>
                            <w:vAlign w:val="center"/>
                          </w:tcPr>
                          <w:p w14:paraId="598701C6" w14:textId="77777777" w:rsidR="00052596" w:rsidRDefault="00000000">
                            <w:pPr>
                              <w:pStyle w:val="t115"/>
                              <w:spacing w:line="220" w:lineRule="exact"/>
                              <w:ind w:left="0" w:right="0" w:firstLine="0"/>
                              <w:jc w:val="center"/>
                              <w:rPr>
                                <w:spacing w:val="0"/>
                                <w:sz w:val="20"/>
                              </w:rPr>
                            </w:pPr>
                            <w:r>
                              <w:rPr>
                                <w:spacing w:val="0"/>
                                <w:sz w:val="20"/>
                              </w:rPr>
                              <w:t>98</w:t>
                            </w:r>
                          </w:p>
                        </w:tc>
                        <w:tc>
                          <w:tcPr>
                            <w:tcW w:w="76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5BEB16" w14:textId="77777777" w:rsidR="00052596" w:rsidRDefault="00000000">
                            <w:pPr>
                              <w:pStyle w:val="t115"/>
                              <w:spacing w:line="220" w:lineRule="exact"/>
                              <w:ind w:left="0" w:right="0" w:firstLine="0"/>
                              <w:jc w:val="center"/>
                              <w:rPr>
                                <w:spacing w:val="0"/>
                                <w:sz w:val="20"/>
                              </w:rPr>
                            </w:pPr>
                            <w:r>
                              <w:rPr>
                                <w:spacing w:val="0"/>
                                <w:sz w:val="20"/>
                              </w:rPr>
                              <w:t>28.6</w:t>
                            </w:r>
                          </w:p>
                        </w:tc>
                        <w:tc>
                          <w:tcPr>
                            <w:tcW w:w="76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5682E3" w14:textId="77777777" w:rsidR="00052596" w:rsidRDefault="00000000">
                            <w:pPr>
                              <w:pStyle w:val="t115"/>
                              <w:spacing w:line="220" w:lineRule="exact"/>
                              <w:ind w:left="0" w:right="0" w:firstLine="0"/>
                              <w:jc w:val="center"/>
                              <w:rPr>
                                <w:spacing w:val="0"/>
                                <w:sz w:val="20"/>
                              </w:rPr>
                            </w:pPr>
                            <w:r>
                              <w:rPr>
                                <w:spacing w:val="0"/>
                                <w:sz w:val="20"/>
                              </w:rPr>
                              <w:t>24.5</w:t>
                            </w: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E7F46B" w14:textId="77777777" w:rsidR="00052596" w:rsidRDefault="00000000">
                            <w:pPr>
                              <w:pStyle w:val="t115"/>
                              <w:tabs>
                                <w:tab w:val="decimal" w:pos="338"/>
                              </w:tabs>
                              <w:spacing w:line="220" w:lineRule="exact"/>
                              <w:ind w:left="0" w:right="0" w:firstLine="0"/>
                              <w:jc w:val="left"/>
                              <w:rPr>
                                <w:spacing w:val="0"/>
                                <w:sz w:val="20"/>
                              </w:rPr>
                            </w:pPr>
                            <w:r>
                              <w:rPr>
                                <w:spacing w:val="0"/>
                                <w:sz w:val="20"/>
                              </w:rPr>
                              <w:t>14.5</w:t>
                            </w:r>
                          </w:p>
                        </w:tc>
                        <w:tc>
                          <w:tcPr>
                            <w:tcW w:w="123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9857F6" w14:textId="77777777" w:rsidR="00052596" w:rsidRDefault="00000000">
                            <w:pPr>
                              <w:pStyle w:val="t115"/>
                              <w:spacing w:line="220" w:lineRule="exact"/>
                              <w:ind w:left="0" w:right="0" w:firstLine="0"/>
                              <w:jc w:val="center"/>
                              <w:rPr>
                                <w:spacing w:val="0"/>
                                <w:sz w:val="20"/>
                              </w:rPr>
                            </w:pPr>
                            <w:r>
                              <w:rPr>
                                <w:spacing w:val="0"/>
                                <w:sz w:val="20"/>
                              </w:rPr>
                              <w:t>10.3</w:t>
                            </w:r>
                          </w:p>
                        </w:tc>
                        <w:tc>
                          <w:tcPr>
                            <w:tcW w:w="141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7324DC" w14:textId="77777777" w:rsidR="00052596" w:rsidRDefault="00000000">
                            <w:pPr>
                              <w:pStyle w:val="t115"/>
                              <w:spacing w:line="220" w:lineRule="exact"/>
                              <w:ind w:left="0" w:right="0" w:firstLine="0"/>
                              <w:jc w:val="center"/>
                              <w:rPr>
                                <w:spacing w:val="0"/>
                                <w:sz w:val="20"/>
                              </w:rPr>
                            </w:pPr>
                            <w:r>
                              <w:rPr>
                                <w:spacing w:val="0"/>
                                <w:sz w:val="20"/>
                              </w:rPr>
                              <w:t>23.03</w:t>
                            </w:r>
                          </w:p>
                        </w:tc>
                        <w:tc>
                          <w:tcPr>
                            <w:tcW w:w="1418" w:type="dxa"/>
                            <w:tcBorders>
                              <w:left w:val="single" w:sz="4" w:space="0" w:color="000000"/>
                            </w:tcBorders>
                            <w:shd w:val="clear" w:color="auto" w:fill="auto"/>
                            <w:tcMar>
                              <w:top w:w="0" w:type="dxa"/>
                              <w:left w:w="108" w:type="dxa"/>
                              <w:bottom w:w="0" w:type="dxa"/>
                              <w:right w:w="108" w:type="dxa"/>
                            </w:tcMar>
                            <w:vAlign w:val="center"/>
                          </w:tcPr>
                          <w:p w14:paraId="0959C334" w14:textId="77777777" w:rsidR="00052596" w:rsidRDefault="00000000">
                            <w:pPr>
                              <w:pStyle w:val="t115"/>
                              <w:spacing w:line="220" w:lineRule="exact"/>
                              <w:ind w:left="0" w:right="0" w:firstLine="0"/>
                              <w:jc w:val="center"/>
                              <w:rPr>
                                <w:spacing w:val="0"/>
                                <w:sz w:val="20"/>
                              </w:rPr>
                            </w:pPr>
                            <w:r>
                              <w:rPr>
                                <w:spacing w:val="0"/>
                                <w:sz w:val="20"/>
                              </w:rPr>
                              <w:t>22.81</w:t>
                            </w:r>
                          </w:p>
                        </w:tc>
                      </w:tr>
                      <w:tr w:rsidR="00052596" w14:paraId="5F0F52A5" w14:textId="77777777">
                        <w:tblPrEx>
                          <w:tblCellMar>
                            <w:top w:w="0" w:type="dxa"/>
                            <w:bottom w:w="0" w:type="dxa"/>
                          </w:tblCellMar>
                        </w:tblPrEx>
                        <w:trPr>
                          <w:trHeight w:val="255"/>
                          <w:jc w:val="center"/>
                        </w:trPr>
                        <w:tc>
                          <w:tcPr>
                            <w:tcW w:w="922" w:type="dxa"/>
                            <w:tcBorders>
                              <w:right w:val="single" w:sz="4" w:space="0" w:color="000000"/>
                            </w:tcBorders>
                            <w:shd w:val="clear" w:color="auto" w:fill="auto"/>
                            <w:tcMar>
                              <w:top w:w="0" w:type="dxa"/>
                              <w:left w:w="28" w:type="dxa"/>
                              <w:bottom w:w="0" w:type="dxa"/>
                              <w:right w:w="28" w:type="dxa"/>
                            </w:tcMar>
                            <w:vAlign w:val="center"/>
                          </w:tcPr>
                          <w:p w14:paraId="17299FEA" w14:textId="77777777" w:rsidR="00052596" w:rsidRDefault="00000000">
                            <w:pPr>
                              <w:pStyle w:val="t115"/>
                              <w:spacing w:line="220" w:lineRule="exact"/>
                              <w:ind w:left="0" w:right="0" w:firstLine="0"/>
                              <w:jc w:val="center"/>
                              <w:rPr>
                                <w:spacing w:val="0"/>
                                <w:sz w:val="20"/>
                              </w:rPr>
                            </w:pPr>
                            <w:r>
                              <w:rPr>
                                <w:spacing w:val="0"/>
                                <w:sz w:val="20"/>
                              </w:rPr>
                              <w:t>99</w:t>
                            </w:r>
                          </w:p>
                        </w:tc>
                        <w:tc>
                          <w:tcPr>
                            <w:tcW w:w="76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E88EE7" w14:textId="77777777" w:rsidR="00052596" w:rsidRDefault="00000000">
                            <w:pPr>
                              <w:pStyle w:val="t115"/>
                              <w:spacing w:line="220" w:lineRule="exact"/>
                              <w:ind w:left="0" w:right="0" w:firstLine="0"/>
                              <w:jc w:val="center"/>
                              <w:rPr>
                                <w:spacing w:val="0"/>
                                <w:sz w:val="20"/>
                              </w:rPr>
                            </w:pPr>
                            <w:r>
                              <w:rPr>
                                <w:spacing w:val="0"/>
                                <w:sz w:val="20"/>
                              </w:rPr>
                              <w:t>28.8</w:t>
                            </w:r>
                          </w:p>
                        </w:tc>
                        <w:tc>
                          <w:tcPr>
                            <w:tcW w:w="76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BF04EB" w14:textId="77777777" w:rsidR="00052596" w:rsidRDefault="00000000">
                            <w:pPr>
                              <w:pStyle w:val="t115"/>
                              <w:spacing w:line="220" w:lineRule="exact"/>
                              <w:ind w:left="0" w:right="0" w:firstLine="0"/>
                              <w:jc w:val="center"/>
                              <w:rPr>
                                <w:spacing w:val="0"/>
                                <w:sz w:val="20"/>
                              </w:rPr>
                            </w:pPr>
                            <w:r>
                              <w:rPr>
                                <w:spacing w:val="0"/>
                                <w:sz w:val="20"/>
                              </w:rPr>
                              <w:t>25.0</w:t>
                            </w: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2C6C69" w14:textId="77777777" w:rsidR="00052596" w:rsidRDefault="00000000">
                            <w:pPr>
                              <w:pStyle w:val="t115"/>
                              <w:tabs>
                                <w:tab w:val="decimal" w:pos="338"/>
                              </w:tabs>
                              <w:spacing w:line="220" w:lineRule="exact"/>
                              <w:ind w:left="0" w:right="0" w:firstLine="0"/>
                              <w:jc w:val="left"/>
                              <w:rPr>
                                <w:spacing w:val="0"/>
                                <w:sz w:val="20"/>
                              </w:rPr>
                            </w:pPr>
                            <w:r>
                              <w:rPr>
                                <w:spacing w:val="0"/>
                                <w:sz w:val="20"/>
                              </w:rPr>
                              <w:t>13.1</w:t>
                            </w:r>
                          </w:p>
                        </w:tc>
                        <w:tc>
                          <w:tcPr>
                            <w:tcW w:w="123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47C519" w14:textId="77777777" w:rsidR="00052596" w:rsidRDefault="00000000">
                            <w:pPr>
                              <w:pStyle w:val="t115"/>
                              <w:spacing w:line="220" w:lineRule="exact"/>
                              <w:ind w:left="0" w:right="0" w:firstLine="0"/>
                              <w:jc w:val="center"/>
                              <w:rPr>
                                <w:spacing w:val="0"/>
                                <w:sz w:val="20"/>
                              </w:rPr>
                            </w:pPr>
                            <w:r>
                              <w:rPr>
                                <w:spacing w:val="0"/>
                                <w:sz w:val="20"/>
                              </w:rPr>
                              <w:t>8.7</w:t>
                            </w:r>
                          </w:p>
                        </w:tc>
                        <w:tc>
                          <w:tcPr>
                            <w:tcW w:w="141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611877" w14:textId="77777777" w:rsidR="00052596" w:rsidRDefault="00000000">
                            <w:pPr>
                              <w:pStyle w:val="t115"/>
                              <w:spacing w:line="220" w:lineRule="exact"/>
                              <w:ind w:left="0" w:right="0" w:firstLine="0"/>
                              <w:jc w:val="center"/>
                              <w:rPr>
                                <w:spacing w:val="0"/>
                                <w:sz w:val="20"/>
                              </w:rPr>
                            </w:pPr>
                            <w:r>
                              <w:rPr>
                                <w:spacing w:val="0"/>
                                <w:sz w:val="20"/>
                              </w:rPr>
                              <w:t>21.26</w:t>
                            </w:r>
                          </w:p>
                        </w:tc>
                        <w:tc>
                          <w:tcPr>
                            <w:tcW w:w="1418" w:type="dxa"/>
                            <w:tcBorders>
                              <w:left w:val="single" w:sz="4" w:space="0" w:color="000000"/>
                            </w:tcBorders>
                            <w:shd w:val="clear" w:color="auto" w:fill="auto"/>
                            <w:tcMar>
                              <w:top w:w="0" w:type="dxa"/>
                              <w:left w:w="108" w:type="dxa"/>
                              <w:bottom w:w="0" w:type="dxa"/>
                              <w:right w:w="108" w:type="dxa"/>
                            </w:tcMar>
                            <w:vAlign w:val="center"/>
                          </w:tcPr>
                          <w:p w14:paraId="53F4528A" w14:textId="77777777" w:rsidR="00052596" w:rsidRDefault="00000000">
                            <w:pPr>
                              <w:pStyle w:val="t115"/>
                              <w:spacing w:line="220" w:lineRule="exact"/>
                              <w:ind w:left="0" w:right="0" w:firstLine="0"/>
                              <w:jc w:val="center"/>
                              <w:rPr>
                                <w:spacing w:val="0"/>
                                <w:sz w:val="20"/>
                              </w:rPr>
                            </w:pPr>
                            <w:r>
                              <w:rPr>
                                <w:spacing w:val="0"/>
                                <w:sz w:val="20"/>
                              </w:rPr>
                              <w:t>24.77</w:t>
                            </w:r>
                          </w:p>
                        </w:tc>
                      </w:tr>
                      <w:tr w:rsidR="00052596" w14:paraId="25AC7E34" w14:textId="77777777">
                        <w:tblPrEx>
                          <w:tblCellMar>
                            <w:top w:w="0" w:type="dxa"/>
                            <w:bottom w:w="0" w:type="dxa"/>
                          </w:tblCellMar>
                        </w:tblPrEx>
                        <w:trPr>
                          <w:trHeight w:val="255"/>
                          <w:jc w:val="center"/>
                        </w:trPr>
                        <w:tc>
                          <w:tcPr>
                            <w:tcW w:w="9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9E26DF6" w14:textId="77777777" w:rsidR="00052596" w:rsidRDefault="00000000">
                            <w:pPr>
                              <w:pStyle w:val="t115"/>
                              <w:spacing w:line="220" w:lineRule="exact"/>
                              <w:ind w:left="0" w:right="0" w:firstLine="0"/>
                              <w:jc w:val="center"/>
                              <w:rPr>
                                <w:spacing w:val="0"/>
                                <w:sz w:val="20"/>
                              </w:rPr>
                            </w:pPr>
                            <w:r>
                              <w:rPr>
                                <w:spacing w:val="0"/>
                                <w:sz w:val="20"/>
                              </w:rPr>
                              <w:t>100</w:t>
                            </w:r>
                          </w:p>
                        </w:tc>
                        <w:tc>
                          <w:tcPr>
                            <w:tcW w:w="7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17765" w14:textId="77777777" w:rsidR="00052596" w:rsidRDefault="00000000">
                            <w:pPr>
                              <w:pStyle w:val="t115"/>
                              <w:spacing w:line="220" w:lineRule="exact"/>
                              <w:ind w:left="0" w:right="0" w:firstLine="0"/>
                              <w:jc w:val="center"/>
                              <w:rPr>
                                <w:spacing w:val="0"/>
                                <w:sz w:val="20"/>
                              </w:rPr>
                            </w:pPr>
                            <w:r>
                              <w:rPr>
                                <w:spacing w:val="0"/>
                                <w:sz w:val="20"/>
                              </w:rPr>
                              <w:t>28.6</w:t>
                            </w:r>
                          </w:p>
                        </w:tc>
                        <w:tc>
                          <w:tcPr>
                            <w:tcW w:w="7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E2F4B" w14:textId="77777777" w:rsidR="00052596" w:rsidRDefault="00000000">
                            <w:pPr>
                              <w:pStyle w:val="t115"/>
                              <w:spacing w:line="220" w:lineRule="exact"/>
                              <w:ind w:left="0" w:right="0" w:firstLine="0"/>
                              <w:jc w:val="center"/>
                              <w:rPr>
                                <w:spacing w:val="0"/>
                                <w:sz w:val="20"/>
                              </w:rPr>
                            </w:pPr>
                            <w:r>
                              <w:rPr>
                                <w:spacing w:val="0"/>
                                <w:sz w:val="20"/>
                              </w:rPr>
                              <w:t>25.0</w:t>
                            </w:r>
                          </w:p>
                        </w:tc>
                        <w:tc>
                          <w:tcPr>
                            <w:tcW w:w="8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8FC4E" w14:textId="77777777" w:rsidR="00052596" w:rsidRDefault="00000000">
                            <w:pPr>
                              <w:pStyle w:val="t115"/>
                              <w:tabs>
                                <w:tab w:val="decimal" w:pos="338"/>
                              </w:tabs>
                              <w:spacing w:line="220" w:lineRule="exact"/>
                              <w:ind w:left="0" w:right="0" w:firstLine="0"/>
                              <w:jc w:val="left"/>
                              <w:rPr>
                                <w:spacing w:val="0"/>
                                <w:sz w:val="20"/>
                              </w:rPr>
                            </w:pPr>
                            <w:r>
                              <w:rPr>
                                <w:spacing w:val="0"/>
                                <w:sz w:val="20"/>
                              </w:rPr>
                              <w:t>12.5</w:t>
                            </w:r>
                          </w:p>
                        </w:tc>
                        <w:tc>
                          <w:tcPr>
                            <w:tcW w:w="123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40EAF" w14:textId="77777777" w:rsidR="00052596" w:rsidRDefault="00000000">
                            <w:pPr>
                              <w:pStyle w:val="t115"/>
                              <w:spacing w:line="220" w:lineRule="exact"/>
                              <w:ind w:left="0" w:right="0" w:firstLine="0"/>
                              <w:jc w:val="center"/>
                              <w:rPr>
                                <w:spacing w:val="0"/>
                                <w:sz w:val="20"/>
                              </w:rPr>
                            </w:pPr>
                            <w:r>
                              <w:rPr>
                                <w:spacing w:val="0"/>
                                <w:sz w:val="20"/>
                              </w:rPr>
                              <w:t>6.7</w:t>
                            </w:r>
                          </w:p>
                        </w:tc>
                        <w:tc>
                          <w:tcPr>
                            <w:tcW w:w="14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41AF4" w14:textId="77777777" w:rsidR="00052596" w:rsidRDefault="00000000">
                            <w:pPr>
                              <w:pStyle w:val="t115"/>
                              <w:spacing w:line="220" w:lineRule="exact"/>
                              <w:ind w:left="0" w:right="0" w:firstLine="0"/>
                              <w:jc w:val="center"/>
                              <w:rPr>
                                <w:spacing w:val="0"/>
                                <w:sz w:val="20"/>
                              </w:rPr>
                            </w:pPr>
                            <w:r>
                              <w:rPr>
                                <w:spacing w:val="0"/>
                                <w:sz w:val="20"/>
                              </w:rPr>
                              <w:t>19.75</w:t>
                            </w:r>
                          </w:p>
                        </w:tc>
                        <w:tc>
                          <w:tcPr>
                            <w:tcW w:w="14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18AD223" w14:textId="77777777" w:rsidR="00052596" w:rsidRDefault="00000000">
                            <w:pPr>
                              <w:pStyle w:val="t115"/>
                              <w:spacing w:line="220" w:lineRule="exact"/>
                              <w:ind w:left="0" w:right="0" w:firstLine="0"/>
                              <w:jc w:val="center"/>
                              <w:rPr>
                                <w:spacing w:val="0"/>
                                <w:sz w:val="20"/>
                              </w:rPr>
                            </w:pPr>
                            <w:r>
                              <w:rPr>
                                <w:spacing w:val="0"/>
                                <w:sz w:val="20"/>
                              </w:rPr>
                              <w:t>25.44</w:t>
                            </w:r>
                          </w:p>
                        </w:tc>
                      </w:tr>
                      <w:tr w:rsidR="00052596" w14:paraId="2C82A280" w14:textId="77777777">
                        <w:tblPrEx>
                          <w:tblCellMar>
                            <w:top w:w="0" w:type="dxa"/>
                            <w:bottom w:w="0" w:type="dxa"/>
                          </w:tblCellMar>
                        </w:tblPrEx>
                        <w:trPr>
                          <w:trHeight w:val="255"/>
                          <w:jc w:val="center"/>
                        </w:trPr>
                        <w:tc>
                          <w:tcPr>
                            <w:tcW w:w="922" w:type="dxa"/>
                            <w:tcBorders>
                              <w:top w:val="single" w:sz="4" w:space="0" w:color="000000"/>
                              <w:right w:val="single" w:sz="4" w:space="0" w:color="000000"/>
                            </w:tcBorders>
                            <w:shd w:val="clear" w:color="auto" w:fill="auto"/>
                            <w:tcMar>
                              <w:top w:w="0" w:type="dxa"/>
                              <w:left w:w="28" w:type="dxa"/>
                              <w:bottom w:w="0" w:type="dxa"/>
                              <w:right w:w="28" w:type="dxa"/>
                            </w:tcMar>
                            <w:vAlign w:val="center"/>
                          </w:tcPr>
                          <w:p w14:paraId="65726389" w14:textId="77777777" w:rsidR="00052596" w:rsidRDefault="00000000">
                            <w:pPr>
                              <w:pStyle w:val="t115"/>
                              <w:spacing w:line="240" w:lineRule="auto"/>
                              <w:ind w:left="0" w:right="0" w:firstLine="0"/>
                              <w:jc w:val="center"/>
                              <w:rPr>
                                <w:spacing w:val="0"/>
                                <w:sz w:val="20"/>
                              </w:rPr>
                            </w:pPr>
                            <w:r>
                              <w:rPr>
                                <w:spacing w:val="0"/>
                                <w:sz w:val="20"/>
                              </w:rPr>
                              <w:t>71-80年</w:t>
                            </w:r>
                          </w:p>
                        </w:tc>
                        <w:tc>
                          <w:tcPr>
                            <w:tcW w:w="76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616605" w14:textId="77777777" w:rsidR="00052596" w:rsidRDefault="00000000">
                            <w:pPr>
                              <w:pStyle w:val="t115"/>
                              <w:spacing w:line="240" w:lineRule="auto"/>
                              <w:ind w:left="0" w:right="0" w:firstLine="0"/>
                              <w:jc w:val="center"/>
                              <w:rPr>
                                <w:spacing w:val="0"/>
                                <w:sz w:val="20"/>
                              </w:rPr>
                            </w:pPr>
                            <w:r>
                              <w:rPr>
                                <w:spacing w:val="0"/>
                                <w:sz w:val="20"/>
                              </w:rPr>
                              <w:t>47.9</w:t>
                            </w:r>
                          </w:p>
                        </w:tc>
                        <w:tc>
                          <w:tcPr>
                            <w:tcW w:w="76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393B331" w14:textId="77777777" w:rsidR="00052596" w:rsidRDefault="00000000">
                            <w:pPr>
                              <w:pStyle w:val="t115"/>
                              <w:spacing w:line="240" w:lineRule="auto"/>
                              <w:ind w:left="0" w:right="0" w:firstLine="0"/>
                              <w:jc w:val="center"/>
                              <w:rPr>
                                <w:spacing w:val="0"/>
                                <w:sz w:val="20"/>
                              </w:rPr>
                            </w:pPr>
                            <w:r>
                              <w:rPr>
                                <w:spacing w:val="0"/>
                                <w:sz w:val="20"/>
                              </w:rPr>
                              <w:t>45.2</w:t>
                            </w:r>
                          </w:p>
                        </w:tc>
                        <w:tc>
                          <w:tcPr>
                            <w:tcW w:w="87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4E55DD" w14:textId="77777777" w:rsidR="00052596" w:rsidRDefault="00000000">
                            <w:pPr>
                              <w:pStyle w:val="t115"/>
                              <w:tabs>
                                <w:tab w:val="decimal" w:pos="338"/>
                              </w:tabs>
                              <w:spacing w:line="240" w:lineRule="auto"/>
                              <w:ind w:left="0" w:right="0" w:firstLine="0"/>
                              <w:jc w:val="left"/>
                              <w:rPr>
                                <w:spacing w:val="0"/>
                                <w:sz w:val="20"/>
                              </w:rPr>
                            </w:pPr>
                            <w:r>
                              <w:rPr>
                                <w:spacing w:val="0"/>
                                <w:sz w:val="20"/>
                              </w:rPr>
                              <w:t>5.7</w:t>
                            </w:r>
                          </w:p>
                        </w:tc>
                        <w:tc>
                          <w:tcPr>
                            <w:tcW w:w="123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40CAD0" w14:textId="77777777" w:rsidR="00052596" w:rsidRDefault="00000000">
                            <w:pPr>
                              <w:pStyle w:val="t115"/>
                              <w:spacing w:line="240" w:lineRule="auto"/>
                              <w:ind w:left="0" w:right="0" w:firstLine="0"/>
                              <w:jc w:val="center"/>
                              <w:rPr>
                                <w:spacing w:val="0"/>
                                <w:sz w:val="20"/>
                              </w:rPr>
                            </w:pPr>
                            <w:r>
                              <w:rPr>
                                <w:spacing w:val="0"/>
                                <w:sz w:val="20"/>
                              </w:rPr>
                              <w:t>－</w:t>
                            </w:r>
                          </w:p>
                        </w:tc>
                        <w:tc>
                          <w:tcPr>
                            <w:tcW w:w="141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CB16B00" w14:textId="77777777" w:rsidR="00052596" w:rsidRDefault="00000000">
                            <w:pPr>
                              <w:pStyle w:val="t115"/>
                              <w:spacing w:line="240" w:lineRule="auto"/>
                              <w:ind w:left="0" w:right="0" w:firstLine="0"/>
                              <w:jc w:val="center"/>
                              <w:rPr>
                                <w:spacing w:val="0"/>
                                <w:sz w:val="20"/>
                              </w:rPr>
                            </w:pPr>
                            <w:r>
                              <w:rPr>
                                <w:spacing w:val="0"/>
                                <w:sz w:val="20"/>
                              </w:rPr>
                              <w:t>－</w:t>
                            </w:r>
                          </w:p>
                        </w:tc>
                        <w:tc>
                          <w:tcPr>
                            <w:tcW w:w="1418"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5D62A5E1" w14:textId="77777777" w:rsidR="00052596" w:rsidRDefault="00000000">
                            <w:pPr>
                              <w:pStyle w:val="t115"/>
                              <w:spacing w:line="240" w:lineRule="auto"/>
                              <w:ind w:left="0" w:right="0" w:firstLine="0"/>
                              <w:jc w:val="center"/>
                              <w:rPr>
                                <w:spacing w:val="0"/>
                                <w:sz w:val="20"/>
                              </w:rPr>
                            </w:pPr>
                            <w:r>
                              <w:rPr>
                                <w:spacing w:val="0"/>
                                <w:sz w:val="20"/>
                              </w:rPr>
                              <w:t>－</w:t>
                            </w:r>
                          </w:p>
                        </w:tc>
                      </w:tr>
                      <w:tr w:rsidR="00052596" w14:paraId="5024ABE6" w14:textId="77777777">
                        <w:tblPrEx>
                          <w:tblCellMar>
                            <w:top w:w="0" w:type="dxa"/>
                            <w:bottom w:w="0" w:type="dxa"/>
                          </w:tblCellMar>
                        </w:tblPrEx>
                        <w:trPr>
                          <w:trHeight w:val="255"/>
                          <w:jc w:val="center"/>
                        </w:trPr>
                        <w:tc>
                          <w:tcPr>
                            <w:tcW w:w="922" w:type="dxa"/>
                            <w:tcBorders>
                              <w:right w:val="single" w:sz="4" w:space="0" w:color="000000"/>
                            </w:tcBorders>
                            <w:shd w:val="clear" w:color="auto" w:fill="auto"/>
                            <w:tcMar>
                              <w:top w:w="0" w:type="dxa"/>
                              <w:left w:w="28" w:type="dxa"/>
                              <w:bottom w:w="0" w:type="dxa"/>
                              <w:right w:w="28" w:type="dxa"/>
                            </w:tcMar>
                            <w:vAlign w:val="center"/>
                          </w:tcPr>
                          <w:p w14:paraId="2AA0C259" w14:textId="77777777" w:rsidR="00052596" w:rsidRDefault="00000000">
                            <w:pPr>
                              <w:pStyle w:val="t115"/>
                              <w:spacing w:line="240" w:lineRule="auto"/>
                              <w:ind w:left="0" w:right="0" w:firstLine="0"/>
                              <w:jc w:val="center"/>
                              <w:rPr>
                                <w:spacing w:val="0"/>
                                <w:sz w:val="20"/>
                              </w:rPr>
                            </w:pPr>
                            <w:r>
                              <w:rPr>
                                <w:spacing w:val="0"/>
                                <w:sz w:val="20"/>
                              </w:rPr>
                              <w:t>81-90年</w:t>
                            </w:r>
                          </w:p>
                        </w:tc>
                        <w:tc>
                          <w:tcPr>
                            <w:tcW w:w="76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4C8C7F" w14:textId="77777777" w:rsidR="00052596" w:rsidRDefault="00000000">
                            <w:pPr>
                              <w:pStyle w:val="t115"/>
                              <w:spacing w:line="240" w:lineRule="auto"/>
                              <w:ind w:left="0" w:right="0" w:firstLine="0"/>
                              <w:jc w:val="center"/>
                              <w:rPr>
                                <w:spacing w:val="0"/>
                                <w:sz w:val="20"/>
                              </w:rPr>
                            </w:pPr>
                            <w:r>
                              <w:rPr>
                                <w:spacing w:val="0"/>
                                <w:sz w:val="20"/>
                              </w:rPr>
                              <w:t>37.8</w:t>
                            </w:r>
                          </w:p>
                        </w:tc>
                        <w:tc>
                          <w:tcPr>
                            <w:tcW w:w="76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B6DEDF" w14:textId="77777777" w:rsidR="00052596" w:rsidRDefault="00000000">
                            <w:pPr>
                              <w:pStyle w:val="t115"/>
                              <w:spacing w:line="240" w:lineRule="auto"/>
                              <w:ind w:left="0" w:right="0" w:firstLine="0"/>
                              <w:jc w:val="center"/>
                              <w:rPr>
                                <w:spacing w:val="0"/>
                                <w:sz w:val="20"/>
                              </w:rPr>
                            </w:pPr>
                            <w:r>
                              <w:rPr>
                                <w:spacing w:val="0"/>
                                <w:sz w:val="20"/>
                              </w:rPr>
                              <w:t>35.3</w:t>
                            </w: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90D8DD" w14:textId="77777777" w:rsidR="00052596" w:rsidRDefault="00000000">
                            <w:pPr>
                              <w:pStyle w:val="t115"/>
                              <w:tabs>
                                <w:tab w:val="decimal" w:pos="338"/>
                              </w:tabs>
                              <w:spacing w:line="240" w:lineRule="auto"/>
                              <w:ind w:left="0" w:right="0" w:firstLine="0"/>
                              <w:jc w:val="left"/>
                              <w:rPr>
                                <w:spacing w:val="0"/>
                                <w:sz w:val="20"/>
                              </w:rPr>
                            </w:pPr>
                            <w:r>
                              <w:rPr>
                                <w:spacing w:val="0"/>
                                <w:sz w:val="20"/>
                              </w:rPr>
                              <w:t>6.6</w:t>
                            </w:r>
                          </w:p>
                        </w:tc>
                        <w:tc>
                          <w:tcPr>
                            <w:tcW w:w="1233"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DC9DE8" w14:textId="77777777" w:rsidR="00052596" w:rsidRDefault="00000000">
                            <w:pPr>
                              <w:pStyle w:val="t115"/>
                              <w:spacing w:line="240" w:lineRule="auto"/>
                              <w:ind w:left="0" w:right="0" w:firstLine="0"/>
                              <w:jc w:val="center"/>
                              <w:rPr>
                                <w:spacing w:val="0"/>
                                <w:sz w:val="20"/>
                              </w:rPr>
                            </w:pPr>
                            <w:r>
                              <w:rPr>
                                <w:spacing w:val="0"/>
                                <w:sz w:val="20"/>
                              </w:rPr>
                              <w:t>5.5(82-90年)</w:t>
                            </w:r>
                          </w:p>
                        </w:tc>
                        <w:tc>
                          <w:tcPr>
                            <w:tcW w:w="141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A29E6F" w14:textId="77777777" w:rsidR="00052596" w:rsidRDefault="00000000">
                            <w:pPr>
                              <w:pStyle w:val="t115"/>
                              <w:spacing w:line="240" w:lineRule="auto"/>
                              <w:ind w:left="0" w:right="0" w:firstLine="0"/>
                              <w:jc w:val="center"/>
                              <w:rPr>
                                <w:spacing w:val="0"/>
                                <w:sz w:val="20"/>
                              </w:rPr>
                            </w:pPr>
                            <w:r>
                              <w:rPr>
                                <w:spacing w:val="0"/>
                                <w:sz w:val="20"/>
                              </w:rPr>
                              <w:t>16.0(82-90年)</w:t>
                            </w:r>
                          </w:p>
                        </w:tc>
                        <w:tc>
                          <w:tcPr>
                            <w:tcW w:w="1418" w:type="dxa"/>
                            <w:tcBorders>
                              <w:left w:val="single" w:sz="4" w:space="0" w:color="000000"/>
                            </w:tcBorders>
                            <w:shd w:val="clear" w:color="auto" w:fill="auto"/>
                            <w:tcMar>
                              <w:top w:w="0" w:type="dxa"/>
                              <w:left w:w="108" w:type="dxa"/>
                              <w:bottom w:w="0" w:type="dxa"/>
                              <w:right w:w="108" w:type="dxa"/>
                            </w:tcMar>
                            <w:vAlign w:val="center"/>
                          </w:tcPr>
                          <w:p w14:paraId="33A4B0F0" w14:textId="77777777" w:rsidR="00052596" w:rsidRDefault="00000000">
                            <w:pPr>
                              <w:pStyle w:val="t115"/>
                              <w:spacing w:line="240" w:lineRule="auto"/>
                              <w:ind w:left="0" w:right="0" w:firstLine="0"/>
                              <w:jc w:val="center"/>
                              <w:rPr>
                                <w:spacing w:val="0"/>
                                <w:sz w:val="20"/>
                              </w:rPr>
                            </w:pPr>
                            <w:r>
                              <w:rPr>
                                <w:spacing w:val="0"/>
                                <w:sz w:val="20"/>
                              </w:rPr>
                              <w:t>－</w:t>
                            </w:r>
                          </w:p>
                        </w:tc>
                      </w:tr>
                      <w:tr w:rsidR="00052596" w14:paraId="79EC4E4E" w14:textId="77777777">
                        <w:tblPrEx>
                          <w:tblCellMar>
                            <w:top w:w="0" w:type="dxa"/>
                            <w:bottom w:w="0" w:type="dxa"/>
                          </w:tblCellMar>
                        </w:tblPrEx>
                        <w:trPr>
                          <w:trHeight w:val="255"/>
                          <w:jc w:val="center"/>
                        </w:trPr>
                        <w:tc>
                          <w:tcPr>
                            <w:tcW w:w="9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E376B0" w14:textId="77777777" w:rsidR="00052596" w:rsidRDefault="00000000">
                            <w:pPr>
                              <w:pStyle w:val="t115"/>
                              <w:spacing w:line="240" w:lineRule="auto"/>
                              <w:ind w:left="0" w:right="0" w:firstLine="0"/>
                              <w:jc w:val="center"/>
                              <w:rPr>
                                <w:spacing w:val="0"/>
                                <w:sz w:val="20"/>
                              </w:rPr>
                            </w:pPr>
                            <w:r>
                              <w:rPr>
                                <w:spacing w:val="0"/>
                                <w:sz w:val="20"/>
                              </w:rPr>
                              <w:t>91-100年</w:t>
                            </w:r>
                          </w:p>
                        </w:tc>
                        <w:tc>
                          <w:tcPr>
                            <w:tcW w:w="7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D1981" w14:textId="77777777" w:rsidR="00052596" w:rsidRDefault="00000000">
                            <w:pPr>
                              <w:pStyle w:val="t115"/>
                              <w:spacing w:line="240" w:lineRule="auto"/>
                              <w:ind w:left="0" w:right="0" w:firstLine="0"/>
                              <w:jc w:val="center"/>
                              <w:rPr>
                                <w:spacing w:val="0"/>
                                <w:sz w:val="20"/>
                              </w:rPr>
                            </w:pPr>
                            <w:r>
                              <w:rPr>
                                <w:spacing w:val="0"/>
                                <w:sz w:val="20"/>
                              </w:rPr>
                              <w:t>31.4</w:t>
                            </w:r>
                          </w:p>
                        </w:tc>
                        <w:tc>
                          <w:tcPr>
                            <w:tcW w:w="7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81BFE" w14:textId="77777777" w:rsidR="00052596" w:rsidRDefault="00000000">
                            <w:pPr>
                              <w:pStyle w:val="t115"/>
                              <w:spacing w:line="240" w:lineRule="auto"/>
                              <w:ind w:left="0" w:right="0" w:firstLine="0"/>
                              <w:jc w:val="center"/>
                              <w:rPr>
                                <w:spacing w:val="0"/>
                                <w:sz w:val="20"/>
                              </w:rPr>
                            </w:pPr>
                            <w:r>
                              <w:rPr>
                                <w:spacing w:val="0"/>
                                <w:sz w:val="20"/>
                              </w:rPr>
                              <w:t>27.7</w:t>
                            </w:r>
                          </w:p>
                        </w:tc>
                        <w:tc>
                          <w:tcPr>
                            <w:tcW w:w="8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6A69B" w14:textId="77777777" w:rsidR="00052596" w:rsidRDefault="00000000">
                            <w:pPr>
                              <w:pStyle w:val="t115"/>
                              <w:tabs>
                                <w:tab w:val="decimal" w:pos="338"/>
                              </w:tabs>
                              <w:spacing w:line="240" w:lineRule="auto"/>
                              <w:ind w:left="0" w:right="0" w:firstLine="0"/>
                              <w:jc w:val="left"/>
                              <w:rPr>
                                <w:spacing w:val="0"/>
                                <w:sz w:val="20"/>
                              </w:rPr>
                            </w:pPr>
                            <w:r>
                              <w:rPr>
                                <w:spacing w:val="0"/>
                                <w:sz w:val="20"/>
                              </w:rPr>
                              <w:t>11.8</w:t>
                            </w:r>
                          </w:p>
                        </w:tc>
                        <w:tc>
                          <w:tcPr>
                            <w:tcW w:w="123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25F27" w14:textId="77777777" w:rsidR="00052596" w:rsidRDefault="00000000">
                            <w:pPr>
                              <w:pStyle w:val="t115"/>
                              <w:spacing w:line="240" w:lineRule="auto"/>
                              <w:ind w:left="0" w:right="0" w:firstLine="0"/>
                              <w:jc w:val="center"/>
                              <w:rPr>
                                <w:spacing w:val="0"/>
                                <w:sz w:val="20"/>
                              </w:rPr>
                            </w:pPr>
                            <w:r>
                              <w:rPr>
                                <w:spacing w:val="0"/>
                                <w:sz w:val="20"/>
                              </w:rPr>
                              <w:t>9.1</w:t>
                            </w:r>
                          </w:p>
                        </w:tc>
                        <w:tc>
                          <w:tcPr>
                            <w:tcW w:w="14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922A6" w14:textId="77777777" w:rsidR="00052596" w:rsidRDefault="00000000">
                            <w:pPr>
                              <w:pStyle w:val="t115"/>
                              <w:spacing w:line="240" w:lineRule="auto"/>
                              <w:ind w:left="0" w:right="0" w:firstLine="0"/>
                              <w:jc w:val="center"/>
                              <w:rPr>
                                <w:spacing w:val="0"/>
                                <w:sz w:val="20"/>
                              </w:rPr>
                            </w:pPr>
                            <w:r>
                              <w:rPr>
                                <w:spacing w:val="0"/>
                                <w:sz w:val="20"/>
                              </w:rPr>
                              <w:t>20.6</w:t>
                            </w:r>
                          </w:p>
                        </w:tc>
                        <w:tc>
                          <w:tcPr>
                            <w:tcW w:w="1418" w:type="dxa"/>
                            <w:tcBorders>
                              <w:left w:val="single" w:sz="4" w:space="0" w:color="000000"/>
                              <w:bottom w:val="single" w:sz="4" w:space="0" w:color="000000"/>
                            </w:tcBorders>
                            <w:shd w:val="clear" w:color="auto" w:fill="auto"/>
                            <w:tcMar>
                              <w:top w:w="0" w:type="dxa"/>
                              <w:left w:w="57" w:type="dxa"/>
                              <w:bottom w:w="0" w:type="dxa"/>
                              <w:right w:w="57" w:type="dxa"/>
                            </w:tcMar>
                            <w:vAlign w:val="center"/>
                          </w:tcPr>
                          <w:p w14:paraId="51A31F15" w14:textId="77777777" w:rsidR="00052596" w:rsidRDefault="00000000">
                            <w:pPr>
                              <w:pStyle w:val="t115"/>
                              <w:spacing w:line="240" w:lineRule="auto"/>
                              <w:ind w:left="0" w:right="0" w:firstLine="0"/>
                              <w:jc w:val="center"/>
                              <w:rPr>
                                <w:spacing w:val="0"/>
                                <w:sz w:val="20"/>
                              </w:rPr>
                            </w:pPr>
                            <w:r>
                              <w:rPr>
                                <w:spacing w:val="0"/>
                                <w:sz w:val="20"/>
                              </w:rPr>
                              <w:t>23.06(97-100年)</w:t>
                            </w:r>
                          </w:p>
                        </w:tc>
                      </w:tr>
                    </w:tbl>
                    <w:p w14:paraId="7984F2D4" w14:textId="77777777" w:rsidR="00052596" w:rsidRDefault="00000000">
                      <w:pPr>
                        <w:pStyle w:val="t115"/>
                        <w:spacing w:before="72" w:line="200" w:lineRule="exact"/>
                        <w:ind w:left="1332" w:right="324" w:hanging="288"/>
                        <w:rPr>
                          <w:sz w:val="19"/>
                          <w:szCs w:val="19"/>
                        </w:rPr>
                      </w:pPr>
                      <w:r>
                        <w:rPr>
                          <w:sz w:val="19"/>
                          <w:szCs w:val="19"/>
                        </w:rPr>
                        <w:t>*：為每年5月調查資料，非典型就業指從事部分時間、臨時性或人力派遣工作者。</w:t>
                      </w:r>
                    </w:p>
                    <w:p w14:paraId="7C64AFD0" w14:textId="77777777" w:rsidR="00052596" w:rsidRDefault="00000000">
                      <w:pPr>
                        <w:pStyle w:val="t115"/>
                        <w:spacing w:line="200" w:lineRule="exact"/>
                        <w:ind w:left="62" w:right="72" w:firstLine="210"/>
                        <w:rPr>
                          <w:sz w:val="19"/>
                          <w:szCs w:val="19"/>
                        </w:rPr>
                      </w:pPr>
                      <w:r>
                        <w:rPr>
                          <w:sz w:val="19"/>
                          <w:szCs w:val="19"/>
                        </w:rPr>
                        <w:t>資料來源：行政院主計總處。</w:t>
                      </w:r>
                    </w:p>
                  </w:txbxContent>
                </v:textbox>
                <w10:wrap anchorx="page"/>
              </v:shape>
            </w:pict>
          </mc:Fallback>
        </mc:AlternateContent>
      </w:r>
    </w:p>
    <w:p w14:paraId="7C302A7E" w14:textId="77777777" w:rsidR="00052596" w:rsidRDefault="00052596">
      <w:pPr>
        <w:widowControl/>
        <w:rPr>
          <w:rFonts w:ascii="Calibri" w:hAnsi="Calibri"/>
          <w:kern w:val="0"/>
          <w:szCs w:val="24"/>
        </w:rPr>
      </w:pPr>
    </w:p>
    <w:p w14:paraId="5EDB1F54" w14:textId="77777777" w:rsidR="00052596" w:rsidRDefault="00052596">
      <w:pPr>
        <w:widowControl/>
        <w:rPr>
          <w:rFonts w:ascii="Calibri" w:hAnsi="Calibri"/>
          <w:kern w:val="0"/>
          <w:szCs w:val="24"/>
        </w:rPr>
      </w:pPr>
    </w:p>
    <w:p w14:paraId="174DC797" w14:textId="77777777" w:rsidR="00052596" w:rsidRDefault="00052596">
      <w:pPr>
        <w:pageBreakBefore/>
        <w:widowControl/>
      </w:pPr>
    </w:p>
    <w:p w14:paraId="1DEE98D1"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肆、經濟成長與所得分配</w:t>
      </w:r>
    </w:p>
    <w:p w14:paraId="65693CCD"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14E6B2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隨著科技創新、全球化以及專業分工的趨勢，所得分配差距擴大已成為全球大多數國家共同面臨的課題，我國也不例外。從總體經濟觀察，勞動報酬與資本收入之間的分配，攸關民間消費與投資動能，且兩者配置比例所蘊含的分配問題，也會影響政府的租稅與社會安全福利政策。鑒於所得分配的公平性是社會穩定的基礎，政府將積極活絡經濟、創造就業，並建立完善的社會安全機制，讓大多數民眾都有參與市場經濟活動及分享經濟成長果實的機會。</w:t>
      </w:r>
    </w:p>
    <w:p w14:paraId="08707EA0"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288" w:hanging="288"/>
        <w:jc w:val="both"/>
        <w:textAlignment w:val="center"/>
        <w:rPr>
          <w:rFonts w:eastAsia="標楷體"/>
          <w:b/>
          <w:color w:val="0000FF"/>
          <w:spacing w:val="4"/>
          <w:kern w:val="0"/>
          <w:sz w:val="28"/>
          <w:szCs w:val="22"/>
        </w:rPr>
      </w:pPr>
      <w:r>
        <w:rPr>
          <w:rFonts w:eastAsia="標楷體"/>
          <w:b/>
          <w:color w:val="0000FF"/>
          <w:spacing w:val="4"/>
          <w:kern w:val="0"/>
          <w:sz w:val="28"/>
          <w:szCs w:val="22"/>
        </w:rPr>
        <w:t>一、國民所得初次分配</w:t>
      </w:r>
    </w:p>
    <w:p w14:paraId="5EB664FD" w14:textId="77777777" w:rsidR="00052596" w:rsidRDefault="00000000">
      <w:pPr>
        <w:overflowPunct w:val="0"/>
        <w:autoSpaceDE w:val="0"/>
        <w:spacing w:line="400" w:lineRule="exact"/>
        <w:ind w:left="240" w:firstLine="576"/>
        <w:jc w:val="both"/>
        <w:textAlignment w:val="center"/>
        <w:rPr>
          <w:rFonts w:eastAsia="標楷體"/>
          <w:spacing w:val="4"/>
          <w:kern w:val="0"/>
          <w:sz w:val="28"/>
          <w:szCs w:val="26"/>
        </w:rPr>
      </w:pPr>
      <w:r>
        <w:rPr>
          <w:rFonts w:eastAsia="標楷體"/>
          <w:spacing w:val="4"/>
          <w:kern w:val="0"/>
          <w:sz w:val="28"/>
          <w:szCs w:val="26"/>
        </w:rPr>
        <w:t>國民所得初次分配係指從所得面衡量</w:t>
      </w:r>
      <w:r>
        <w:rPr>
          <w:rFonts w:eastAsia="標楷體"/>
          <w:spacing w:val="4"/>
          <w:kern w:val="0"/>
          <w:sz w:val="28"/>
          <w:szCs w:val="26"/>
        </w:rPr>
        <w:t>GDP</w:t>
      </w:r>
      <w:r>
        <w:rPr>
          <w:rFonts w:eastAsia="標楷體"/>
          <w:spacing w:val="4"/>
          <w:kern w:val="0"/>
          <w:sz w:val="28"/>
          <w:szCs w:val="26"/>
        </w:rPr>
        <w:t>，亦即由勞動與資本兩項生產要素的貢獻觀察</w:t>
      </w:r>
      <w:r>
        <w:rPr>
          <w:rFonts w:eastAsia="標楷體"/>
          <w:spacing w:val="4"/>
          <w:kern w:val="0"/>
          <w:sz w:val="28"/>
          <w:szCs w:val="26"/>
        </w:rPr>
        <w:t>GDP</w:t>
      </w:r>
      <w:r>
        <w:rPr>
          <w:rFonts w:eastAsia="標楷體"/>
          <w:spacing w:val="4"/>
          <w:kern w:val="0"/>
          <w:sz w:val="28"/>
          <w:szCs w:val="26"/>
        </w:rPr>
        <w:t>的分配，其結構包括受僱人員報酬、營業盈餘、間接稅淨額及固定資本消耗等四項。</w:t>
      </w:r>
    </w:p>
    <w:p w14:paraId="164D25D7"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816"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現況與趨勢</w:t>
      </w:r>
    </w:p>
    <w:p w14:paraId="28B15A1C" w14:textId="77777777" w:rsidR="00052596" w:rsidRDefault="00000000">
      <w:pPr>
        <w:overflowPunct w:val="0"/>
        <w:autoSpaceDE w:val="0"/>
        <w:spacing w:line="400" w:lineRule="exact"/>
        <w:ind w:left="792" w:firstLine="576"/>
        <w:jc w:val="both"/>
        <w:textAlignment w:val="center"/>
      </w:pPr>
      <w:r>
        <w:rPr>
          <w:rFonts w:eastAsia="標楷體"/>
          <w:spacing w:val="4"/>
          <w:kern w:val="0"/>
          <w:sz w:val="28"/>
          <w:szCs w:val="26"/>
        </w:rPr>
        <w:t>我國國民所得初次分配結構自民國</w:t>
      </w:r>
      <w:r>
        <w:rPr>
          <w:rFonts w:eastAsia="標楷體"/>
          <w:spacing w:val="4"/>
          <w:kern w:val="0"/>
          <w:sz w:val="28"/>
          <w:szCs w:val="26"/>
        </w:rPr>
        <w:t>80</w:t>
      </w:r>
      <w:r>
        <w:rPr>
          <w:rFonts w:eastAsia="標楷體"/>
          <w:spacing w:val="4"/>
          <w:kern w:val="0"/>
          <w:sz w:val="28"/>
          <w:szCs w:val="26"/>
        </w:rPr>
        <w:t>年代中期出現明顯轉折，受僱人員報酬</w:t>
      </w:r>
      <w:r>
        <w:rPr>
          <w:rFonts w:ascii="標楷體" w:eastAsia="標楷體" w:hAnsi="標楷體"/>
          <w:spacing w:val="4"/>
          <w:kern w:val="0"/>
          <w:sz w:val="28"/>
          <w:szCs w:val="26"/>
        </w:rPr>
        <w:t>向居</w:t>
      </w:r>
      <w:r>
        <w:rPr>
          <w:rFonts w:eastAsia="標楷體"/>
          <w:spacing w:val="4"/>
          <w:kern w:val="0"/>
          <w:sz w:val="28"/>
          <w:szCs w:val="26"/>
        </w:rPr>
        <w:t>GDP</w:t>
      </w:r>
      <w:r>
        <w:rPr>
          <w:rFonts w:ascii="標楷體" w:eastAsia="標楷體" w:hAnsi="標楷體"/>
          <w:spacing w:val="4"/>
          <w:kern w:val="0"/>
          <w:sz w:val="28"/>
          <w:szCs w:val="26"/>
        </w:rPr>
        <w:t>最大分配項目，</w:t>
      </w:r>
      <w:r>
        <w:rPr>
          <w:rFonts w:eastAsia="標楷體"/>
          <w:spacing w:val="4"/>
          <w:kern w:val="0"/>
          <w:sz w:val="28"/>
          <w:szCs w:val="26"/>
        </w:rPr>
        <w:t>占名目</w:t>
      </w:r>
      <w:r>
        <w:rPr>
          <w:rFonts w:eastAsia="標楷體"/>
          <w:spacing w:val="4"/>
          <w:kern w:val="0"/>
          <w:sz w:val="28"/>
          <w:szCs w:val="26"/>
        </w:rPr>
        <w:t>GDP</w:t>
      </w:r>
      <w:r>
        <w:rPr>
          <w:rFonts w:eastAsia="標楷體"/>
          <w:spacing w:val="4"/>
          <w:kern w:val="0"/>
          <w:sz w:val="28"/>
          <w:szCs w:val="26"/>
        </w:rPr>
        <w:t>比率</w:t>
      </w:r>
      <w:r>
        <w:rPr>
          <w:rFonts w:ascii="標楷體" w:eastAsia="標楷體" w:hAnsi="標楷體"/>
          <w:spacing w:val="4"/>
          <w:kern w:val="0"/>
          <w:sz w:val="28"/>
          <w:szCs w:val="26"/>
        </w:rPr>
        <w:t>自</w:t>
      </w:r>
      <w:r>
        <w:rPr>
          <w:rFonts w:eastAsia="標楷體"/>
          <w:spacing w:val="4"/>
          <w:kern w:val="0"/>
          <w:sz w:val="28"/>
          <w:szCs w:val="26"/>
        </w:rPr>
        <w:t>79</w:t>
      </w:r>
      <w:r>
        <w:rPr>
          <w:rFonts w:ascii="標楷體" w:eastAsia="標楷體" w:hAnsi="標楷體"/>
          <w:spacing w:val="4"/>
          <w:kern w:val="0"/>
          <w:sz w:val="28"/>
          <w:szCs w:val="26"/>
        </w:rPr>
        <w:t>年達</w:t>
      </w:r>
      <w:r>
        <w:rPr>
          <w:rFonts w:eastAsia="標楷體"/>
          <w:spacing w:val="4"/>
          <w:kern w:val="0"/>
          <w:sz w:val="28"/>
          <w:szCs w:val="26"/>
        </w:rPr>
        <w:t>51.71%</w:t>
      </w:r>
      <w:r>
        <w:rPr>
          <w:rFonts w:ascii="標楷體" w:eastAsia="標楷體" w:hAnsi="標楷體"/>
          <w:spacing w:val="4"/>
          <w:kern w:val="0"/>
          <w:sz w:val="28"/>
          <w:szCs w:val="26"/>
        </w:rPr>
        <w:t>高點後，即持續下滑，</w:t>
      </w:r>
      <w:r>
        <w:rPr>
          <w:rFonts w:eastAsia="標楷體"/>
          <w:spacing w:val="4"/>
          <w:kern w:val="0"/>
          <w:sz w:val="28"/>
          <w:szCs w:val="26"/>
        </w:rPr>
        <w:t>86</w:t>
      </w:r>
      <w:r>
        <w:rPr>
          <w:rFonts w:ascii="標楷體" w:eastAsia="標楷體" w:hAnsi="標楷體"/>
          <w:spacing w:val="4"/>
          <w:kern w:val="0"/>
          <w:sz w:val="28"/>
          <w:szCs w:val="26"/>
        </w:rPr>
        <w:t>年降至</w:t>
      </w:r>
      <w:r>
        <w:rPr>
          <w:rFonts w:eastAsia="標楷體"/>
          <w:spacing w:val="4"/>
          <w:kern w:val="0"/>
          <w:sz w:val="28"/>
          <w:szCs w:val="26"/>
        </w:rPr>
        <w:t>50%</w:t>
      </w:r>
      <w:r>
        <w:rPr>
          <w:rFonts w:ascii="標楷體" w:eastAsia="標楷體" w:hAnsi="標楷體"/>
          <w:spacing w:val="4"/>
          <w:kern w:val="0"/>
          <w:sz w:val="28"/>
          <w:szCs w:val="26"/>
        </w:rPr>
        <w:t>以下，</w:t>
      </w:r>
      <w:r>
        <w:rPr>
          <w:rFonts w:eastAsia="標楷體"/>
          <w:spacing w:val="4"/>
          <w:kern w:val="0"/>
          <w:sz w:val="28"/>
          <w:szCs w:val="26"/>
        </w:rPr>
        <w:t>99</w:t>
      </w:r>
      <w:r>
        <w:rPr>
          <w:rFonts w:ascii="標楷體" w:eastAsia="標楷體" w:hAnsi="標楷體"/>
          <w:spacing w:val="4"/>
          <w:kern w:val="0"/>
          <w:sz w:val="28"/>
          <w:szCs w:val="26"/>
        </w:rPr>
        <w:t>年更降至</w:t>
      </w:r>
      <w:r>
        <w:rPr>
          <w:rFonts w:eastAsia="標楷體"/>
          <w:spacing w:val="4"/>
          <w:kern w:val="0"/>
          <w:sz w:val="28"/>
          <w:szCs w:val="26"/>
        </w:rPr>
        <w:t>44.55%</w:t>
      </w:r>
      <w:r>
        <w:rPr>
          <w:rFonts w:eastAsia="標楷體"/>
          <w:spacing w:val="4"/>
          <w:kern w:val="0"/>
          <w:sz w:val="28"/>
          <w:szCs w:val="26"/>
        </w:rPr>
        <w:t>的歷史新低，</w:t>
      </w:r>
      <w:r>
        <w:rPr>
          <w:rFonts w:eastAsia="標楷體"/>
          <w:spacing w:val="4"/>
          <w:kern w:val="0"/>
          <w:sz w:val="28"/>
          <w:szCs w:val="26"/>
        </w:rPr>
        <w:t>100</w:t>
      </w:r>
      <w:r>
        <w:rPr>
          <w:rFonts w:eastAsia="標楷體"/>
          <w:spacing w:val="4"/>
          <w:kern w:val="0"/>
          <w:sz w:val="28"/>
          <w:szCs w:val="26"/>
        </w:rPr>
        <w:t>年回升至</w:t>
      </w:r>
      <w:r>
        <w:rPr>
          <w:rFonts w:eastAsia="標楷體"/>
          <w:spacing w:val="4"/>
          <w:kern w:val="0"/>
          <w:sz w:val="28"/>
          <w:szCs w:val="26"/>
        </w:rPr>
        <w:t>45.72%</w:t>
      </w:r>
      <w:r>
        <w:rPr>
          <w:rFonts w:ascii="標楷體" w:eastAsia="標楷體" w:hAnsi="標楷體"/>
          <w:spacing w:val="4"/>
          <w:kern w:val="0"/>
          <w:sz w:val="28"/>
          <w:szCs w:val="26"/>
        </w:rPr>
        <w:t>；營業盈餘及固定資本消耗份額則相對提高。</w:t>
      </w:r>
      <w:r>
        <w:rPr>
          <w:rFonts w:eastAsia="標楷體"/>
          <w:spacing w:val="4"/>
          <w:kern w:val="0"/>
          <w:sz w:val="28"/>
          <w:szCs w:val="26"/>
        </w:rPr>
        <w:t>90</w:t>
      </w:r>
      <w:r>
        <w:rPr>
          <w:rFonts w:eastAsia="標楷體"/>
          <w:spacing w:val="4"/>
          <w:kern w:val="0"/>
          <w:sz w:val="28"/>
          <w:szCs w:val="26"/>
        </w:rPr>
        <w:t>年以來受僱人員報酬與營業盈餘所占比重互為消長，相關變動趨勢如次：</w:t>
      </w:r>
    </w:p>
    <w:p w14:paraId="36DAB612"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128" w:hanging="288"/>
        <w:jc w:val="both"/>
        <w:textAlignment w:val="center"/>
      </w:pPr>
      <w:r>
        <w:rPr>
          <w:rFonts w:eastAsia="標楷體"/>
          <w:spacing w:val="4"/>
          <w:kern w:val="0"/>
          <w:sz w:val="28"/>
          <w:szCs w:val="26"/>
        </w:rPr>
        <w:t>－</w:t>
      </w:r>
      <w:r>
        <w:rPr>
          <w:rFonts w:eastAsia="標楷體"/>
          <w:kern w:val="0"/>
          <w:sz w:val="28"/>
          <w:szCs w:val="26"/>
        </w:rPr>
        <w:t>受僱人員報酬是我國家戶所得的主要來源，</w:t>
      </w:r>
      <w:r>
        <w:rPr>
          <w:rFonts w:eastAsia="標楷體"/>
          <w:kern w:val="0"/>
          <w:sz w:val="28"/>
          <w:szCs w:val="26"/>
        </w:rPr>
        <w:t>100</w:t>
      </w:r>
      <w:r>
        <w:rPr>
          <w:rFonts w:eastAsia="標楷體"/>
          <w:kern w:val="0"/>
          <w:sz w:val="28"/>
          <w:szCs w:val="26"/>
        </w:rPr>
        <w:t>年受僱人員報酬</w:t>
      </w:r>
      <w:r>
        <w:rPr>
          <w:rFonts w:eastAsia="標楷體"/>
          <w:kern w:val="0"/>
          <w:sz w:val="28"/>
          <w:szCs w:val="26"/>
        </w:rPr>
        <w:t>6.3</w:t>
      </w:r>
      <w:r>
        <w:rPr>
          <w:rFonts w:eastAsia="標楷體"/>
          <w:kern w:val="0"/>
          <w:sz w:val="28"/>
          <w:szCs w:val="26"/>
        </w:rPr>
        <w:t>兆元，為歷史新高；所占份額較</w:t>
      </w:r>
      <w:r>
        <w:rPr>
          <w:rFonts w:eastAsia="標楷體"/>
          <w:kern w:val="0"/>
          <w:sz w:val="28"/>
          <w:szCs w:val="26"/>
        </w:rPr>
        <w:t>99</w:t>
      </w:r>
      <w:r>
        <w:rPr>
          <w:rFonts w:eastAsia="標楷體"/>
          <w:kern w:val="0"/>
          <w:sz w:val="28"/>
          <w:szCs w:val="26"/>
        </w:rPr>
        <w:t>年增加</w:t>
      </w:r>
      <w:r>
        <w:rPr>
          <w:rFonts w:eastAsia="標楷體"/>
          <w:kern w:val="0"/>
          <w:sz w:val="28"/>
          <w:szCs w:val="26"/>
        </w:rPr>
        <w:t>1.17</w:t>
      </w:r>
      <w:r>
        <w:rPr>
          <w:rFonts w:eastAsia="標楷體"/>
          <w:kern w:val="0"/>
          <w:sz w:val="28"/>
          <w:szCs w:val="26"/>
        </w:rPr>
        <w:t>個百分點。</w:t>
      </w:r>
    </w:p>
    <w:p w14:paraId="7F879877"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128" w:hanging="288"/>
        <w:jc w:val="both"/>
        <w:textAlignment w:val="center"/>
        <w:rPr>
          <w:rFonts w:eastAsia="標楷體"/>
          <w:spacing w:val="4"/>
          <w:kern w:val="0"/>
          <w:sz w:val="28"/>
          <w:szCs w:val="26"/>
        </w:rPr>
      </w:pPr>
      <w:r>
        <w:rPr>
          <w:rFonts w:eastAsia="標楷體"/>
          <w:spacing w:val="4"/>
          <w:kern w:val="0"/>
          <w:sz w:val="28"/>
          <w:szCs w:val="26"/>
        </w:rPr>
        <w:t>－營業盈餘大致三成上下水準，占</w:t>
      </w:r>
      <w:r>
        <w:rPr>
          <w:rFonts w:eastAsia="標楷體"/>
          <w:spacing w:val="4"/>
          <w:kern w:val="0"/>
          <w:sz w:val="28"/>
          <w:szCs w:val="26"/>
        </w:rPr>
        <w:t>GDP</w:t>
      </w:r>
      <w:r>
        <w:rPr>
          <w:rFonts w:eastAsia="標楷體"/>
          <w:spacing w:val="4"/>
          <w:kern w:val="0"/>
          <w:sz w:val="28"/>
          <w:szCs w:val="26"/>
        </w:rPr>
        <w:t>比率由</w:t>
      </w:r>
      <w:r>
        <w:rPr>
          <w:rFonts w:eastAsia="標楷體"/>
          <w:spacing w:val="4"/>
          <w:kern w:val="0"/>
          <w:sz w:val="28"/>
          <w:szCs w:val="26"/>
        </w:rPr>
        <w:t>90</w:t>
      </w:r>
      <w:r>
        <w:rPr>
          <w:rFonts w:eastAsia="標楷體"/>
          <w:spacing w:val="4"/>
          <w:kern w:val="0"/>
          <w:sz w:val="28"/>
          <w:szCs w:val="26"/>
        </w:rPr>
        <w:t>年的</w:t>
      </w:r>
      <w:r>
        <w:rPr>
          <w:rFonts w:eastAsia="標楷體"/>
          <w:spacing w:val="4"/>
          <w:kern w:val="0"/>
          <w:sz w:val="28"/>
          <w:szCs w:val="26"/>
        </w:rPr>
        <w:t>33.56%</w:t>
      </w:r>
      <w:r>
        <w:rPr>
          <w:rFonts w:eastAsia="標楷體"/>
          <w:spacing w:val="4"/>
          <w:kern w:val="0"/>
          <w:sz w:val="28"/>
          <w:szCs w:val="26"/>
        </w:rPr>
        <w:t>增至</w:t>
      </w:r>
      <w:r>
        <w:rPr>
          <w:rFonts w:eastAsia="標楷體"/>
          <w:spacing w:val="4"/>
          <w:kern w:val="0"/>
          <w:sz w:val="28"/>
          <w:szCs w:val="26"/>
        </w:rPr>
        <w:t>99</w:t>
      </w:r>
      <w:r>
        <w:rPr>
          <w:rFonts w:eastAsia="標楷體"/>
          <w:spacing w:val="4"/>
          <w:kern w:val="0"/>
          <w:sz w:val="28"/>
          <w:szCs w:val="26"/>
        </w:rPr>
        <w:t>年的</w:t>
      </w:r>
      <w:r>
        <w:rPr>
          <w:rFonts w:eastAsia="標楷體"/>
          <w:spacing w:val="4"/>
          <w:kern w:val="0"/>
          <w:sz w:val="28"/>
          <w:szCs w:val="26"/>
        </w:rPr>
        <w:t>35.41%</w:t>
      </w:r>
      <w:r>
        <w:rPr>
          <w:rFonts w:eastAsia="標楷體"/>
          <w:spacing w:val="4"/>
          <w:kern w:val="0"/>
          <w:sz w:val="28"/>
          <w:szCs w:val="26"/>
        </w:rPr>
        <w:t>，</w:t>
      </w:r>
      <w:r>
        <w:rPr>
          <w:rFonts w:eastAsia="標楷體"/>
          <w:spacing w:val="4"/>
          <w:kern w:val="0"/>
          <w:sz w:val="28"/>
          <w:szCs w:val="26"/>
        </w:rPr>
        <w:t>100</w:t>
      </w:r>
      <w:r>
        <w:rPr>
          <w:rFonts w:eastAsia="標楷體"/>
          <w:spacing w:val="4"/>
          <w:kern w:val="0"/>
          <w:sz w:val="28"/>
          <w:szCs w:val="26"/>
        </w:rPr>
        <w:t>年受景氣走緩影響，營業盈餘負成長</w:t>
      </w:r>
      <w:r>
        <w:rPr>
          <w:rFonts w:eastAsia="標楷體"/>
          <w:spacing w:val="4"/>
          <w:kern w:val="0"/>
          <w:sz w:val="28"/>
          <w:szCs w:val="26"/>
        </w:rPr>
        <w:t>4.05%</w:t>
      </w:r>
      <w:r>
        <w:rPr>
          <w:rFonts w:eastAsia="標楷體"/>
          <w:spacing w:val="4"/>
          <w:kern w:val="0"/>
          <w:sz w:val="28"/>
          <w:szCs w:val="26"/>
        </w:rPr>
        <w:t>，占</w:t>
      </w:r>
      <w:r>
        <w:rPr>
          <w:rFonts w:eastAsia="標楷體"/>
          <w:spacing w:val="4"/>
          <w:kern w:val="0"/>
          <w:sz w:val="28"/>
          <w:szCs w:val="26"/>
        </w:rPr>
        <w:t>GDP</w:t>
      </w:r>
      <w:r>
        <w:rPr>
          <w:rFonts w:eastAsia="標楷體"/>
          <w:spacing w:val="4"/>
          <w:kern w:val="0"/>
          <w:sz w:val="28"/>
          <w:szCs w:val="26"/>
        </w:rPr>
        <w:t>比率</w:t>
      </w:r>
      <w:r>
        <w:rPr>
          <w:rFonts w:eastAsia="標楷體"/>
          <w:spacing w:val="4"/>
          <w:kern w:val="0"/>
          <w:sz w:val="28"/>
          <w:szCs w:val="26"/>
        </w:rPr>
        <w:t>33.52%</w:t>
      </w:r>
      <w:r>
        <w:rPr>
          <w:rFonts w:eastAsia="標楷體"/>
          <w:spacing w:val="4"/>
          <w:kern w:val="0"/>
          <w:sz w:val="28"/>
          <w:szCs w:val="26"/>
        </w:rPr>
        <w:t>，較</w:t>
      </w:r>
      <w:r>
        <w:rPr>
          <w:rFonts w:eastAsia="標楷體"/>
          <w:spacing w:val="4"/>
          <w:kern w:val="0"/>
          <w:sz w:val="28"/>
          <w:szCs w:val="26"/>
        </w:rPr>
        <w:t>99</w:t>
      </w:r>
      <w:r>
        <w:rPr>
          <w:rFonts w:eastAsia="標楷體"/>
          <w:spacing w:val="4"/>
          <w:kern w:val="0"/>
          <w:sz w:val="28"/>
          <w:szCs w:val="26"/>
        </w:rPr>
        <w:t>年減少</w:t>
      </w:r>
      <w:r>
        <w:rPr>
          <w:rFonts w:eastAsia="標楷體"/>
          <w:spacing w:val="4"/>
          <w:kern w:val="0"/>
          <w:sz w:val="28"/>
          <w:szCs w:val="26"/>
        </w:rPr>
        <w:t>1.89</w:t>
      </w:r>
      <w:r>
        <w:rPr>
          <w:rFonts w:eastAsia="標楷體"/>
          <w:spacing w:val="4"/>
          <w:kern w:val="0"/>
          <w:sz w:val="28"/>
          <w:szCs w:val="26"/>
        </w:rPr>
        <w:t>個百分點。</w:t>
      </w:r>
    </w:p>
    <w:p w14:paraId="0FF11BD3"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128" w:hanging="288"/>
        <w:jc w:val="both"/>
        <w:textAlignment w:val="center"/>
        <w:rPr>
          <w:rFonts w:eastAsia="標楷體"/>
          <w:spacing w:val="4"/>
          <w:kern w:val="0"/>
          <w:sz w:val="28"/>
          <w:szCs w:val="26"/>
        </w:rPr>
      </w:pPr>
      <w:r>
        <w:rPr>
          <w:rFonts w:eastAsia="標楷體"/>
          <w:spacing w:val="4"/>
          <w:kern w:val="0"/>
          <w:sz w:val="28"/>
          <w:szCs w:val="26"/>
        </w:rPr>
        <w:t>－隨著國內產業結構趨向資本密集，企業提列的固定資本消耗大幅升高，占名目</w:t>
      </w:r>
      <w:r>
        <w:rPr>
          <w:rFonts w:eastAsia="標楷體"/>
          <w:spacing w:val="4"/>
          <w:kern w:val="0"/>
          <w:sz w:val="28"/>
          <w:szCs w:val="26"/>
        </w:rPr>
        <w:t>GDP</w:t>
      </w:r>
      <w:r>
        <w:rPr>
          <w:rFonts w:eastAsia="標楷體"/>
          <w:spacing w:val="4"/>
          <w:kern w:val="0"/>
          <w:sz w:val="28"/>
          <w:szCs w:val="26"/>
        </w:rPr>
        <w:t>比率由</w:t>
      </w:r>
      <w:r>
        <w:rPr>
          <w:rFonts w:eastAsia="標楷體"/>
          <w:spacing w:val="4"/>
          <w:kern w:val="0"/>
          <w:sz w:val="28"/>
          <w:szCs w:val="26"/>
        </w:rPr>
        <w:t>90</w:t>
      </w:r>
      <w:r>
        <w:rPr>
          <w:rFonts w:eastAsia="標楷體"/>
          <w:spacing w:val="4"/>
          <w:kern w:val="0"/>
          <w:sz w:val="28"/>
          <w:szCs w:val="26"/>
        </w:rPr>
        <w:t>年的</w:t>
      </w:r>
      <w:r>
        <w:rPr>
          <w:rFonts w:eastAsia="標楷體"/>
          <w:spacing w:val="4"/>
          <w:kern w:val="0"/>
          <w:sz w:val="28"/>
          <w:szCs w:val="26"/>
        </w:rPr>
        <w:t>12.02%</w:t>
      </w:r>
      <w:r>
        <w:rPr>
          <w:rFonts w:eastAsia="標楷體"/>
          <w:spacing w:val="4"/>
          <w:kern w:val="0"/>
          <w:sz w:val="28"/>
          <w:szCs w:val="26"/>
        </w:rPr>
        <w:t>上升至</w:t>
      </w:r>
      <w:r>
        <w:rPr>
          <w:rFonts w:eastAsia="標楷體"/>
          <w:spacing w:val="4"/>
          <w:kern w:val="0"/>
          <w:sz w:val="28"/>
          <w:szCs w:val="26"/>
        </w:rPr>
        <w:t>100</w:t>
      </w:r>
      <w:r>
        <w:rPr>
          <w:rFonts w:eastAsia="標楷體"/>
          <w:spacing w:val="4"/>
          <w:kern w:val="0"/>
          <w:sz w:val="28"/>
          <w:szCs w:val="26"/>
        </w:rPr>
        <w:t>年的</w:t>
      </w:r>
      <w:r>
        <w:rPr>
          <w:rFonts w:eastAsia="標楷體"/>
          <w:spacing w:val="4"/>
          <w:kern w:val="0"/>
          <w:sz w:val="28"/>
          <w:szCs w:val="26"/>
        </w:rPr>
        <w:t>15.11%</w:t>
      </w:r>
      <w:r>
        <w:rPr>
          <w:rFonts w:eastAsia="標楷體"/>
          <w:spacing w:val="4"/>
          <w:kern w:val="0"/>
          <w:sz w:val="28"/>
          <w:szCs w:val="26"/>
        </w:rPr>
        <w:t>。</w:t>
      </w:r>
    </w:p>
    <w:p w14:paraId="2FC5143E"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128" w:hanging="288"/>
        <w:jc w:val="both"/>
        <w:textAlignment w:val="center"/>
        <w:rPr>
          <w:rFonts w:eastAsia="標楷體"/>
          <w:spacing w:val="4"/>
          <w:kern w:val="0"/>
          <w:sz w:val="28"/>
          <w:szCs w:val="26"/>
        </w:rPr>
      </w:pPr>
      <w:r>
        <w:rPr>
          <w:rFonts w:eastAsia="標楷體"/>
          <w:spacing w:val="4"/>
          <w:kern w:val="0"/>
          <w:sz w:val="28"/>
          <w:szCs w:val="26"/>
        </w:rPr>
        <w:t>－因關稅、貨物稅增加，且政府對產業補助減少</w:t>
      </w:r>
      <w:r>
        <w:rPr>
          <w:rFonts w:eastAsia="標楷體"/>
          <w:spacing w:val="4"/>
          <w:kern w:val="0"/>
          <w:sz w:val="28"/>
          <w:szCs w:val="26"/>
        </w:rPr>
        <w:t>41</w:t>
      </w:r>
      <w:r>
        <w:rPr>
          <w:rFonts w:eastAsia="標楷體"/>
          <w:spacing w:val="4"/>
          <w:kern w:val="0"/>
          <w:sz w:val="28"/>
          <w:szCs w:val="26"/>
        </w:rPr>
        <w:t>億元，</w:t>
      </w:r>
      <w:r>
        <w:rPr>
          <w:rFonts w:eastAsia="標楷體"/>
          <w:spacing w:val="4"/>
          <w:kern w:val="0"/>
          <w:sz w:val="28"/>
          <w:szCs w:val="26"/>
        </w:rPr>
        <w:t>100</w:t>
      </w:r>
      <w:r>
        <w:rPr>
          <w:rFonts w:eastAsia="標楷體"/>
          <w:spacing w:val="4"/>
          <w:kern w:val="0"/>
          <w:sz w:val="28"/>
          <w:szCs w:val="26"/>
        </w:rPr>
        <w:lastRenderedPageBreak/>
        <w:t>年間接稅淨額增加</w:t>
      </w:r>
      <w:r>
        <w:rPr>
          <w:rFonts w:eastAsia="標楷體"/>
          <w:spacing w:val="4"/>
          <w:kern w:val="0"/>
          <w:sz w:val="28"/>
          <w:szCs w:val="26"/>
        </w:rPr>
        <w:t>7.03%</w:t>
      </w:r>
      <w:r>
        <w:rPr>
          <w:rFonts w:eastAsia="標楷體"/>
          <w:spacing w:val="4"/>
          <w:kern w:val="0"/>
          <w:sz w:val="28"/>
          <w:szCs w:val="26"/>
        </w:rPr>
        <w:t>，占名目</w:t>
      </w:r>
      <w:r>
        <w:rPr>
          <w:rFonts w:eastAsia="標楷體"/>
          <w:spacing w:val="4"/>
          <w:kern w:val="0"/>
          <w:sz w:val="28"/>
          <w:szCs w:val="26"/>
        </w:rPr>
        <w:t>GDP</w:t>
      </w:r>
      <w:r>
        <w:rPr>
          <w:rFonts w:eastAsia="標楷體"/>
          <w:spacing w:val="4"/>
          <w:kern w:val="0"/>
          <w:sz w:val="28"/>
          <w:szCs w:val="26"/>
        </w:rPr>
        <w:t>比率</w:t>
      </w:r>
      <w:r>
        <w:rPr>
          <w:rFonts w:eastAsia="標楷體"/>
          <w:spacing w:val="4"/>
          <w:kern w:val="0"/>
          <w:sz w:val="28"/>
          <w:szCs w:val="26"/>
        </w:rPr>
        <w:t>5.65%</w:t>
      </w:r>
      <w:r>
        <w:rPr>
          <w:rFonts w:eastAsia="標楷體"/>
          <w:spacing w:val="4"/>
          <w:kern w:val="0"/>
          <w:sz w:val="28"/>
          <w:szCs w:val="26"/>
        </w:rPr>
        <w:t>，較</w:t>
      </w:r>
      <w:r>
        <w:rPr>
          <w:rFonts w:eastAsia="標楷體"/>
          <w:spacing w:val="4"/>
          <w:kern w:val="0"/>
          <w:sz w:val="28"/>
          <w:szCs w:val="26"/>
        </w:rPr>
        <w:t>99</w:t>
      </w:r>
      <w:r>
        <w:rPr>
          <w:rFonts w:eastAsia="標楷體"/>
          <w:spacing w:val="4"/>
          <w:kern w:val="0"/>
          <w:sz w:val="28"/>
          <w:szCs w:val="26"/>
        </w:rPr>
        <w:t>年增加</w:t>
      </w:r>
      <w:r>
        <w:rPr>
          <w:rFonts w:eastAsia="標楷體"/>
          <w:spacing w:val="4"/>
          <w:kern w:val="0"/>
          <w:sz w:val="28"/>
          <w:szCs w:val="26"/>
        </w:rPr>
        <w:t>0.3</w:t>
      </w:r>
      <w:r>
        <w:rPr>
          <w:rFonts w:eastAsia="標楷體"/>
          <w:spacing w:val="4"/>
          <w:kern w:val="0"/>
          <w:sz w:val="28"/>
          <w:szCs w:val="26"/>
        </w:rPr>
        <w:t>個百分點。</w:t>
      </w:r>
    </w:p>
    <w:p w14:paraId="36A656E8" w14:textId="77777777" w:rsidR="00052596" w:rsidRDefault="00000000">
      <w:pPr>
        <w:overflowPunct w:val="0"/>
        <w:autoSpaceDE w:val="0"/>
        <w:snapToGrid w:val="0"/>
        <w:spacing w:before="120" w:line="280" w:lineRule="exact"/>
        <w:jc w:val="center"/>
        <w:textAlignment w:val="center"/>
      </w:pPr>
      <w:r>
        <w:rPr>
          <w:rFonts w:eastAsia="標楷體"/>
          <w:b/>
          <w:color w:val="0000FF"/>
          <w:kern w:val="0"/>
          <w:sz w:val="25"/>
          <w:szCs w:val="22"/>
        </w:rPr>
        <w:t>圖</w:t>
      </w:r>
      <w:r>
        <w:rPr>
          <w:rFonts w:eastAsia="標楷體"/>
          <w:b/>
          <w:color w:val="0000FF"/>
          <w:kern w:val="0"/>
          <w:sz w:val="25"/>
          <w:szCs w:val="22"/>
        </w:rPr>
        <w:t>1.2.9</w:t>
      </w:r>
      <w:r>
        <w:rPr>
          <w:rFonts w:eastAsia="標楷體"/>
          <w:b/>
          <w:color w:val="0000FF"/>
          <w:kern w:val="0"/>
          <w:sz w:val="25"/>
          <w:szCs w:val="22"/>
        </w:rPr>
        <w:t xml:space="preserve">　我國國民所得初次分配結構變動趨勢</w:t>
      </w:r>
      <w:r>
        <w:rPr>
          <w:rFonts w:eastAsia="標楷體"/>
          <w:b/>
          <w:color w:val="0000FF"/>
          <w:kern w:val="0"/>
          <w:sz w:val="25"/>
          <w:szCs w:val="22"/>
        </w:rPr>
        <w:br/>
      </w:r>
      <w:r>
        <w:rPr>
          <w:rFonts w:ascii="標楷體" w:eastAsia="標楷體" w:hAnsi="標楷體"/>
          <w:b/>
          <w:color w:val="0000FF"/>
          <w:kern w:val="0"/>
          <w:sz w:val="25"/>
          <w:szCs w:val="22"/>
        </w:rPr>
        <w:t>(</w:t>
      </w:r>
      <w:r>
        <w:rPr>
          <w:rFonts w:eastAsia="標楷體"/>
          <w:b/>
          <w:color w:val="0000FF"/>
          <w:kern w:val="0"/>
          <w:sz w:val="25"/>
          <w:szCs w:val="22"/>
        </w:rPr>
        <w:t>占名目</w:t>
      </w:r>
      <w:r>
        <w:rPr>
          <w:rFonts w:eastAsia="標楷體"/>
          <w:b/>
          <w:color w:val="0000FF"/>
          <w:kern w:val="0"/>
          <w:sz w:val="25"/>
          <w:szCs w:val="22"/>
        </w:rPr>
        <w:t>GDP</w:t>
      </w:r>
      <w:r>
        <w:rPr>
          <w:rFonts w:eastAsia="標楷體"/>
          <w:b/>
          <w:color w:val="0000FF"/>
          <w:kern w:val="0"/>
          <w:sz w:val="25"/>
          <w:szCs w:val="22"/>
        </w:rPr>
        <w:t>比率</w:t>
      </w:r>
      <w:r>
        <w:rPr>
          <w:rFonts w:ascii="標楷體" w:eastAsia="標楷體" w:hAnsi="標楷體"/>
          <w:b/>
          <w:color w:val="0000FF"/>
          <w:kern w:val="0"/>
          <w:sz w:val="25"/>
          <w:szCs w:val="22"/>
        </w:rPr>
        <w:t>)</w:t>
      </w:r>
    </w:p>
    <w:p w14:paraId="2660C798" w14:textId="77777777" w:rsidR="00052596" w:rsidRDefault="00000000">
      <w:pPr>
        <w:overflowPunct w:val="0"/>
        <w:autoSpaceDE w:val="0"/>
        <w:snapToGrid w:val="0"/>
        <w:ind w:left="240"/>
        <w:jc w:val="center"/>
        <w:textAlignment w:val="center"/>
      </w:pPr>
      <w:r>
        <w:rPr>
          <w:noProof/>
          <w:kern w:val="0"/>
          <w:szCs w:val="24"/>
        </w:rPr>
        <w:drawing>
          <wp:inline distT="0" distB="0" distL="0" distR="0" wp14:anchorId="3BD6AFC8" wp14:editId="36224F9E">
            <wp:extent cx="5103495" cy="2147568"/>
            <wp:effectExtent l="0" t="0" r="1905" b="5082"/>
            <wp:docPr id="152" name="圖表 430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5103495" cy="2147568"/>
                    </a:xfrm>
                    <a:prstGeom prst="rect">
                      <a:avLst/>
                    </a:prstGeom>
                    <a:noFill/>
                    <a:ln>
                      <a:noFill/>
                      <a:prstDash/>
                    </a:ln>
                  </pic:spPr>
                </pic:pic>
              </a:graphicData>
            </a:graphic>
          </wp:inline>
        </w:drawing>
      </w:r>
    </w:p>
    <w:p w14:paraId="69D5C65E" w14:textId="77777777" w:rsidR="00052596" w:rsidRDefault="00000000">
      <w:pPr>
        <w:overflowPunct w:val="0"/>
        <w:autoSpaceDE w:val="0"/>
        <w:snapToGrid w:val="0"/>
        <w:spacing w:before="60" w:line="240" w:lineRule="exact"/>
        <w:ind w:left="1699" w:hanging="1080"/>
        <w:jc w:val="both"/>
        <w:textAlignment w:val="center"/>
        <w:rPr>
          <w:rFonts w:eastAsia="標楷體"/>
          <w:spacing w:val="-2"/>
          <w:kern w:val="0"/>
          <w:sz w:val="22"/>
          <w:szCs w:val="22"/>
        </w:rPr>
      </w:pPr>
      <w:r>
        <w:rPr>
          <w:rFonts w:eastAsia="標楷體"/>
          <w:spacing w:val="-2"/>
          <w:kern w:val="0"/>
          <w:sz w:val="22"/>
          <w:szCs w:val="22"/>
        </w:rPr>
        <w:t xml:space="preserve">　　　註：名目</w:t>
      </w:r>
      <w:r>
        <w:rPr>
          <w:rFonts w:eastAsia="標楷體"/>
          <w:spacing w:val="-2"/>
          <w:kern w:val="0"/>
          <w:sz w:val="22"/>
          <w:szCs w:val="22"/>
        </w:rPr>
        <w:t>GDP</w:t>
      </w:r>
      <w:r>
        <w:rPr>
          <w:rFonts w:eastAsia="標楷體"/>
          <w:spacing w:val="-2"/>
          <w:kern w:val="0"/>
          <w:sz w:val="22"/>
          <w:szCs w:val="22"/>
        </w:rPr>
        <w:t>不含統計差異。</w:t>
      </w:r>
    </w:p>
    <w:p w14:paraId="4927EE2C" w14:textId="77777777" w:rsidR="00052596" w:rsidRDefault="00000000">
      <w:pPr>
        <w:overflowPunct w:val="0"/>
        <w:autoSpaceDE w:val="0"/>
        <w:snapToGrid w:val="0"/>
        <w:spacing w:before="60" w:line="240" w:lineRule="exact"/>
        <w:ind w:left="1699" w:hanging="1080"/>
        <w:jc w:val="both"/>
        <w:textAlignment w:val="center"/>
        <w:rPr>
          <w:rFonts w:eastAsia="標楷體"/>
          <w:spacing w:val="-2"/>
          <w:kern w:val="0"/>
          <w:sz w:val="22"/>
          <w:szCs w:val="22"/>
        </w:rPr>
      </w:pPr>
      <w:r>
        <w:rPr>
          <w:rFonts w:eastAsia="標楷體"/>
          <w:spacing w:val="-2"/>
          <w:kern w:val="0"/>
          <w:sz w:val="22"/>
          <w:szCs w:val="22"/>
        </w:rPr>
        <w:t>資料來源：行政院主計總處。</w:t>
      </w:r>
    </w:p>
    <w:p w14:paraId="1BE8E8A6" w14:textId="77777777" w:rsidR="00052596" w:rsidRDefault="00000000">
      <w:pPr>
        <w:overflowPunct w:val="0"/>
        <w:autoSpaceDE w:val="0"/>
        <w:snapToGrid w:val="0"/>
        <w:spacing w:before="300" w:after="300" w:line="280" w:lineRule="exact"/>
        <w:jc w:val="center"/>
        <w:textAlignment w:val="center"/>
      </w:pPr>
      <w:r>
        <w:rPr>
          <w:noProof/>
        </w:rPr>
        <mc:AlternateContent>
          <mc:Choice Requires="wps">
            <w:drawing>
              <wp:anchor distT="0" distB="0" distL="114300" distR="114300" simplePos="0" relativeHeight="251679232" behindDoc="0" locked="0" layoutInCell="1" allowOverlap="1" wp14:anchorId="5D553092" wp14:editId="28353884">
                <wp:simplePos x="0" y="0"/>
                <wp:positionH relativeFrom="column">
                  <wp:posOffset>1014727</wp:posOffset>
                </wp:positionH>
                <wp:positionV relativeFrom="paragraph">
                  <wp:posOffset>398778</wp:posOffset>
                </wp:positionV>
                <wp:extent cx="771525" cy="275591"/>
                <wp:effectExtent l="0" t="0" r="0" b="0"/>
                <wp:wrapNone/>
                <wp:docPr id="153" name="文字方塊 353"/>
                <wp:cNvGraphicFramePr/>
                <a:graphic xmlns:a="http://schemas.openxmlformats.org/drawingml/2006/main">
                  <a:graphicData uri="http://schemas.microsoft.com/office/word/2010/wordprocessingShape">
                    <wps:wsp>
                      <wps:cNvSpPr txBox="1"/>
                      <wps:spPr>
                        <a:xfrm>
                          <a:off x="0" y="0"/>
                          <a:ext cx="771525" cy="275591"/>
                        </a:xfrm>
                        <a:prstGeom prst="rect">
                          <a:avLst/>
                        </a:prstGeom>
                        <a:noFill/>
                        <a:ln>
                          <a:noFill/>
                          <a:prstDash/>
                        </a:ln>
                      </wps:spPr>
                      <wps:txbx>
                        <w:txbxContent>
                          <w:p w14:paraId="1B3CA6EB" w14:textId="77777777" w:rsidR="00052596" w:rsidRDefault="00000000">
                            <w:pPr>
                              <w:pStyle w:val="k02"/>
                              <w:spacing w:line="240" w:lineRule="auto"/>
                              <w:ind w:firstLine="0"/>
                              <w:jc w:val="center"/>
                              <w:rPr>
                                <w:b/>
                                <w:color w:val="800000"/>
                                <w:sz w:val="22"/>
                                <w:szCs w:val="22"/>
                                <w:u w:val="single"/>
                              </w:rPr>
                            </w:pPr>
                            <w:r>
                              <w:rPr>
                                <w:b/>
                                <w:color w:val="800000"/>
                                <w:sz w:val="22"/>
                                <w:szCs w:val="22"/>
                                <w:u w:val="single"/>
                              </w:rPr>
                              <w:t xml:space="preserve"> 90</w:t>
                            </w:r>
                            <w:r>
                              <w:rPr>
                                <w:b/>
                                <w:color w:val="800000"/>
                                <w:sz w:val="22"/>
                                <w:szCs w:val="22"/>
                                <w:u w:val="single"/>
                              </w:rPr>
                              <w:t>年</w:t>
                            </w:r>
                            <w:r>
                              <w:rPr>
                                <w:b/>
                                <w:color w:val="800000"/>
                                <w:sz w:val="22"/>
                                <w:szCs w:val="22"/>
                                <w:u w:val="single"/>
                              </w:rPr>
                              <w:t xml:space="preserve"> </w:t>
                            </w:r>
                          </w:p>
                          <w:p w14:paraId="00DC3315" w14:textId="77777777" w:rsidR="00052596" w:rsidRDefault="00052596">
                            <w:pPr>
                              <w:pStyle w:val="k02"/>
                              <w:spacing w:line="240" w:lineRule="auto"/>
                              <w:ind w:right="208" w:firstLine="0"/>
                              <w:jc w:val="right"/>
                              <w:rPr>
                                <w:b/>
                                <w:sz w:val="22"/>
                                <w:szCs w:val="22"/>
                                <w:u w:val="single"/>
                              </w:rPr>
                            </w:pPr>
                          </w:p>
                        </w:txbxContent>
                      </wps:txbx>
                      <wps:bodyPr wrap="square" lIns="54004" tIns="45720" rIns="54004" bIns="45720" anchor="t">
                        <a:noAutofit/>
                      </wps:bodyPr>
                    </wps:wsp>
                  </a:graphicData>
                </a:graphic>
              </wp:anchor>
            </w:drawing>
          </mc:Choice>
          <mc:Fallback>
            <w:pict>
              <v:shape w14:anchorId="5D553092" id="文字方塊 353" o:spid="_x0000_s1078" type="#_x0000_t202" style="position:absolute;left:0;text-align:left;margin-left:79.9pt;margin-top:31.4pt;width:60.75pt;height:21.7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" filled="f" stroked="f">
                <v:textbox inset="1.50011mm,,1.50011mm">
                  <w:txbxContent>
                    <w:p w14:paraId="1B3CA6EB" w14:textId="77777777" w:rsidR="00052596" w:rsidRDefault="00000000">
                      <w:pPr>
                        <w:pStyle w:val="k02"/>
                        <w:spacing w:line="240" w:lineRule="auto"/>
                        <w:ind w:firstLine="0"/>
                        <w:jc w:val="center"/>
                        <w:rPr>
                          <w:b/>
                          <w:color w:val="800000"/>
                          <w:sz w:val="22"/>
                          <w:szCs w:val="22"/>
                          <w:u w:val="single"/>
                        </w:rPr>
                      </w:pPr>
                      <w:r>
                        <w:rPr>
                          <w:b/>
                          <w:color w:val="800000"/>
                          <w:sz w:val="22"/>
                          <w:szCs w:val="22"/>
                          <w:u w:val="single"/>
                        </w:rPr>
                        <w:t xml:space="preserve"> 90</w:t>
                      </w:r>
                      <w:r>
                        <w:rPr>
                          <w:b/>
                          <w:color w:val="800000"/>
                          <w:sz w:val="22"/>
                          <w:szCs w:val="22"/>
                          <w:u w:val="single"/>
                        </w:rPr>
                        <w:t>年</w:t>
                      </w:r>
                      <w:r>
                        <w:rPr>
                          <w:b/>
                          <w:color w:val="800000"/>
                          <w:sz w:val="22"/>
                          <w:szCs w:val="22"/>
                          <w:u w:val="single"/>
                        </w:rPr>
                        <w:t xml:space="preserve"> </w:t>
                      </w:r>
                    </w:p>
                    <w:p w14:paraId="00DC3315" w14:textId="77777777" w:rsidR="00052596" w:rsidRDefault="00052596">
                      <w:pPr>
                        <w:pStyle w:val="k02"/>
                        <w:spacing w:line="240" w:lineRule="auto"/>
                        <w:ind w:right="208" w:firstLine="0"/>
                        <w:jc w:val="right"/>
                        <w:rPr>
                          <w:b/>
                          <w:sz w:val="22"/>
                          <w:szCs w:val="22"/>
                          <w:u w:val="single"/>
                        </w:rPr>
                      </w:pP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1CC5F3E0" wp14:editId="71299CA2">
                <wp:simplePos x="0" y="0"/>
                <wp:positionH relativeFrom="column">
                  <wp:posOffset>3497579</wp:posOffset>
                </wp:positionH>
                <wp:positionV relativeFrom="paragraph">
                  <wp:posOffset>415293</wp:posOffset>
                </wp:positionV>
                <wp:extent cx="771525" cy="275591"/>
                <wp:effectExtent l="0" t="0" r="0" b="0"/>
                <wp:wrapNone/>
                <wp:docPr id="154" name="文字方塊 354"/>
                <wp:cNvGraphicFramePr/>
                <a:graphic xmlns:a="http://schemas.openxmlformats.org/drawingml/2006/main">
                  <a:graphicData uri="http://schemas.microsoft.com/office/word/2010/wordprocessingShape">
                    <wps:wsp>
                      <wps:cNvSpPr txBox="1"/>
                      <wps:spPr>
                        <a:xfrm>
                          <a:off x="0" y="0"/>
                          <a:ext cx="771525" cy="275591"/>
                        </a:xfrm>
                        <a:prstGeom prst="rect">
                          <a:avLst/>
                        </a:prstGeom>
                        <a:noFill/>
                        <a:ln>
                          <a:noFill/>
                          <a:prstDash/>
                        </a:ln>
                      </wps:spPr>
                      <wps:txbx>
                        <w:txbxContent>
                          <w:p w14:paraId="146E8AAD" w14:textId="77777777" w:rsidR="00052596" w:rsidRDefault="00000000">
                            <w:pPr>
                              <w:pStyle w:val="k02"/>
                              <w:spacing w:line="240" w:lineRule="auto"/>
                              <w:ind w:firstLine="0"/>
                              <w:jc w:val="center"/>
                              <w:rPr>
                                <w:b/>
                                <w:color w:val="800000"/>
                                <w:sz w:val="22"/>
                                <w:szCs w:val="22"/>
                                <w:u w:val="single"/>
                              </w:rPr>
                            </w:pPr>
                            <w:r>
                              <w:rPr>
                                <w:b/>
                                <w:color w:val="800000"/>
                                <w:sz w:val="22"/>
                                <w:szCs w:val="22"/>
                                <w:u w:val="single"/>
                              </w:rPr>
                              <w:t xml:space="preserve"> 100</w:t>
                            </w:r>
                            <w:r>
                              <w:rPr>
                                <w:b/>
                                <w:color w:val="800000"/>
                                <w:sz w:val="22"/>
                                <w:szCs w:val="22"/>
                                <w:u w:val="single"/>
                              </w:rPr>
                              <w:t>年</w:t>
                            </w:r>
                            <w:r>
                              <w:rPr>
                                <w:b/>
                                <w:color w:val="800000"/>
                                <w:sz w:val="22"/>
                                <w:szCs w:val="22"/>
                                <w:u w:val="single"/>
                              </w:rPr>
                              <w:t xml:space="preserve"> </w:t>
                            </w:r>
                          </w:p>
                          <w:p w14:paraId="6FCACBB9" w14:textId="77777777" w:rsidR="00052596" w:rsidRDefault="00052596">
                            <w:pPr>
                              <w:pStyle w:val="k02"/>
                              <w:spacing w:line="240" w:lineRule="auto"/>
                              <w:ind w:right="208" w:firstLine="0"/>
                              <w:jc w:val="right"/>
                              <w:rPr>
                                <w:b/>
                                <w:sz w:val="22"/>
                                <w:szCs w:val="22"/>
                                <w:u w:val="single"/>
                              </w:rPr>
                            </w:pPr>
                          </w:p>
                        </w:txbxContent>
                      </wps:txbx>
                      <wps:bodyPr wrap="square" lIns="54004" tIns="45720" rIns="54004" bIns="45720" anchor="t">
                        <a:noAutofit/>
                      </wps:bodyPr>
                    </wps:wsp>
                  </a:graphicData>
                </a:graphic>
              </wp:anchor>
            </w:drawing>
          </mc:Choice>
          <mc:Fallback>
            <w:pict>
              <v:shape w14:anchorId="1CC5F3E0" id="文字方塊 354" o:spid="_x0000_s1079" type="#_x0000_t202" style="position:absolute;left:0;text-align:left;margin-left:275.4pt;margin-top:32.7pt;width:60.75pt;height:21.7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" filled="f" stroked="f">
                <v:textbox inset="1.50011mm,,1.50011mm">
                  <w:txbxContent>
                    <w:p w14:paraId="146E8AAD" w14:textId="77777777" w:rsidR="00052596" w:rsidRDefault="00000000">
                      <w:pPr>
                        <w:pStyle w:val="k02"/>
                        <w:spacing w:line="240" w:lineRule="auto"/>
                        <w:ind w:firstLine="0"/>
                        <w:jc w:val="center"/>
                        <w:rPr>
                          <w:b/>
                          <w:color w:val="800000"/>
                          <w:sz w:val="22"/>
                          <w:szCs w:val="22"/>
                          <w:u w:val="single"/>
                        </w:rPr>
                      </w:pPr>
                      <w:r>
                        <w:rPr>
                          <w:b/>
                          <w:color w:val="800000"/>
                          <w:sz w:val="22"/>
                          <w:szCs w:val="22"/>
                          <w:u w:val="single"/>
                        </w:rPr>
                        <w:t xml:space="preserve"> 100</w:t>
                      </w:r>
                      <w:r>
                        <w:rPr>
                          <w:b/>
                          <w:color w:val="800000"/>
                          <w:sz w:val="22"/>
                          <w:szCs w:val="22"/>
                          <w:u w:val="single"/>
                        </w:rPr>
                        <w:t>年</w:t>
                      </w:r>
                      <w:r>
                        <w:rPr>
                          <w:b/>
                          <w:color w:val="800000"/>
                          <w:sz w:val="22"/>
                          <w:szCs w:val="22"/>
                          <w:u w:val="single"/>
                        </w:rPr>
                        <w:t xml:space="preserve"> </w:t>
                      </w:r>
                    </w:p>
                    <w:p w14:paraId="6FCACBB9" w14:textId="77777777" w:rsidR="00052596" w:rsidRDefault="00052596">
                      <w:pPr>
                        <w:pStyle w:val="k02"/>
                        <w:spacing w:line="240" w:lineRule="auto"/>
                        <w:ind w:right="208" w:firstLine="0"/>
                        <w:jc w:val="right"/>
                        <w:rPr>
                          <w:b/>
                          <w:sz w:val="22"/>
                          <w:szCs w:val="22"/>
                          <w:u w:val="single"/>
                        </w:rPr>
                      </w:pP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46ADEE5" wp14:editId="72F5F4B2">
                <wp:simplePos x="0" y="0"/>
                <wp:positionH relativeFrom="column">
                  <wp:posOffset>514980</wp:posOffset>
                </wp:positionH>
                <wp:positionV relativeFrom="paragraph">
                  <wp:posOffset>732150</wp:posOffset>
                </wp:positionV>
                <wp:extent cx="619121" cy="458471"/>
                <wp:effectExtent l="0" t="0" r="0" b="0"/>
                <wp:wrapNone/>
                <wp:docPr id="155" name="文字方塊 345"/>
                <wp:cNvGraphicFramePr/>
                <a:graphic xmlns:a="http://schemas.openxmlformats.org/drawingml/2006/main">
                  <a:graphicData uri="http://schemas.microsoft.com/office/word/2010/wordprocessingShape">
                    <wps:wsp>
                      <wps:cNvSpPr txBox="1"/>
                      <wps:spPr>
                        <a:xfrm>
                          <a:off x="0" y="0"/>
                          <a:ext cx="619121" cy="458471"/>
                        </a:xfrm>
                        <a:prstGeom prst="rect">
                          <a:avLst/>
                        </a:prstGeom>
                        <a:noFill/>
                        <a:ln>
                          <a:noFill/>
                          <a:prstDash/>
                        </a:ln>
                      </wps:spPr>
                      <wps:txbx>
                        <w:txbxContent>
                          <w:p w14:paraId="77F0505B" w14:textId="77777777" w:rsidR="00052596" w:rsidRDefault="00000000">
                            <w:pPr>
                              <w:pStyle w:val="Web"/>
                              <w:overflowPunct w:val="0"/>
                              <w:autoSpaceDE w:val="0"/>
                              <w:snapToGrid w:val="0"/>
                              <w:textAlignment w:val="center"/>
                            </w:pPr>
                            <w:r>
                              <w:rPr>
                                <w:rFonts w:ascii="標楷體" w:eastAsia="標楷體" w:hAnsi="標楷體"/>
                                <w:color w:val="000000"/>
                                <w:sz w:val="20"/>
                                <w:szCs w:val="20"/>
                              </w:rPr>
                              <w:t>間接稅淨額</w:t>
                            </w:r>
                          </w:p>
                        </w:txbxContent>
                      </wps:txbx>
                      <wps:bodyPr wrap="square" lIns="54004" tIns="45720" rIns="54004" bIns="45720" anchor="t">
                        <a:noAutofit/>
                      </wps:bodyPr>
                    </wps:wsp>
                  </a:graphicData>
                </a:graphic>
              </wp:anchor>
            </w:drawing>
          </mc:Choice>
          <mc:Fallback>
            <w:pict>
              <v:shape w14:anchorId="646ADEE5" id="文字方塊 345" o:spid="_x0000_s1080" type="#_x0000_t202" style="position:absolute;left:0;text-align:left;margin-left:40.55pt;margin-top:57.65pt;width:48.75pt;height:36.1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" filled="f" stroked="f">
                <v:textbox inset="1.50011mm,,1.50011mm">
                  <w:txbxContent>
                    <w:p w14:paraId="77F0505B" w14:textId="77777777" w:rsidR="00052596" w:rsidRDefault="00000000">
                      <w:pPr>
                        <w:pStyle w:val="Web"/>
                        <w:overflowPunct w:val="0"/>
                        <w:autoSpaceDE w:val="0"/>
                        <w:snapToGrid w:val="0"/>
                        <w:textAlignment w:val="center"/>
                      </w:pPr>
                      <w:r>
                        <w:rPr>
                          <w:rFonts w:ascii="標楷體" w:eastAsia="標楷體" w:hAnsi="標楷體"/>
                          <w:color w:val="000000"/>
                          <w:sz w:val="20"/>
                          <w:szCs w:val="20"/>
                        </w:rPr>
                        <w:t>間接稅淨額</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60B93404" wp14:editId="3C0D7843">
                <wp:simplePos x="0" y="0"/>
                <wp:positionH relativeFrom="column">
                  <wp:posOffset>2934967</wp:posOffset>
                </wp:positionH>
                <wp:positionV relativeFrom="paragraph">
                  <wp:posOffset>772155</wp:posOffset>
                </wp:positionV>
                <wp:extent cx="619121" cy="458471"/>
                <wp:effectExtent l="0" t="0" r="0" b="0"/>
                <wp:wrapNone/>
                <wp:docPr id="156" name="文字方塊 43041"/>
                <wp:cNvGraphicFramePr/>
                <a:graphic xmlns:a="http://schemas.openxmlformats.org/drawingml/2006/main">
                  <a:graphicData uri="http://schemas.microsoft.com/office/word/2010/wordprocessingShape">
                    <wps:wsp>
                      <wps:cNvSpPr txBox="1"/>
                      <wps:spPr>
                        <a:xfrm>
                          <a:off x="0" y="0"/>
                          <a:ext cx="619121" cy="458471"/>
                        </a:xfrm>
                        <a:prstGeom prst="rect">
                          <a:avLst/>
                        </a:prstGeom>
                        <a:noFill/>
                        <a:ln>
                          <a:noFill/>
                          <a:prstDash/>
                        </a:ln>
                      </wps:spPr>
                      <wps:txbx>
                        <w:txbxContent>
                          <w:p w14:paraId="2BE9235D" w14:textId="77777777" w:rsidR="00052596" w:rsidRDefault="00000000">
                            <w:pPr>
                              <w:pStyle w:val="Web"/>
                              <w:snapToGrid w:val="0"/>
                            </w:pPr>
                            <w:r>
                              <w:rPr>
                                <w:rFonts w:ascii="標楷體" w:eastAsia="標楷體" w:hAnsi="標楷體"/>
                                <w:color w:val="000000"/>
                                <w:sz w:val="20"/>
                                <w:szCs w:val="20"/>
                              </w:rPr>
                              <w:t>間接稅淨額</w:t>
                            </w:r>
                          </w:p>
                        </w:txbxContent>
                      </wps:txbx>
                      <wps:bodyPr wrap="square" lIns="54004" tIns="45720" rIns="54004" bIns="45720" anchor="t">
                        <a:noAutofit/>
                      </wps:bodyPr>
                    </wps:wsp>
                  </a:graphicData>
                </a:graphic>
              </wp:anchor>
            </w:drawing>
          </mc:Choice>
          <mc:Fallback>
            <w:pict>
              <v:shape w14:anchorId="60B93404" id="文字方塊 43041" o:spid="_x0000_s1081" type="#_x0000_t202" style="position:absolute;left:0;text-align:left;margin-left:231.1pt;margin-top:60.8pt;width:48.75pt;height:36.1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" filled="f" stroked="f">
                <v:textbox inset="1.50011mm,,1.50011mm">
                  <w:txbxContent>
                    <w:p w14:paraId="2BE9235D" w14:textId="77777777" w:rsidR="00052596" w:rsidRDefault="00000000">
                      <w:pPr>
                        <w:pStyle w:val="Web"/>
                        <w:snapToGrid w:val="0"/>
                      </w:pPr>
                      <w:r>
                        <w:rPr>
                          <w:rFonts w:ascii="標楷體" w:eastAsia="標楷體" w:hAnsi="標楷體"/>
                          <w:color w:val="000000"/>
                          <w:sz w:val="20"/>
                          <w:szCs w:val="20"/>
                        </w:rPr>
                        <w:t>間接稅淨額</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6BCB7103" wp14:editId="76BB75A6">
                <wp:simplePos x="0" y="0"/>
                <wp:positionH relativeFrom="column">
                  <wp:posOffset>4672327</wp:posOffset>
                </wp:positionH>
                <wp:positionV relativeFrom="paragraph">
                  <wp:posOffset>655323</wp:posOffset>
                </wp:positionV>
                <wp:extent cx="771525" cy="275591"/>
                <wp:effectExtent l="0" t="0" r="0" b="0"/>
                <wp:wrapNone/>
                <wp:docPr id="157" name="文字方塊 352"/>
                <wp:cNvGraphicFramePr/>
                <a:graphic xmlns:a="http://schemas.openxmlformats.org/drawingml/2006/main">
                  <a:graphicData uri="http://schemas.microsoft.com/office/word/2010/wordprocessingShape">
                    <wps:wsp>
                      <wps:cNvSpPr txBox="1"/>
                      <wps:spPr>
                        <a:xfrm>
                          <a:off x="0" y="0"/>
                          <a:ext cx="771525" cy="275591"/>
                        </a:xfrm>
                        <a:prstGeom prst="rect">
                          <a:avLst/>
                        </a:prstGeom>
                        <a:noFill/>
                        <a:ln>
                          <a:noFill/>
                          <a:prstDash/>
                        </a:ln>
                      </wps:spPr>
                      <wps:txbx>
                        <w:txbxContent>
                          <w:p w14:paraId="242BE534" w14:textId="77777777" w:rsidR="00052596" w:rsidRDefault="00000000">
                            <w:pPr>
                              <w:pStyle w:val="k02"/>
                              <w:spacing w:line="240" w:lineRule="auto"/>
                              <w:ind w:firstLine="0"/>
                              <w:jc w:val="right"/>
                            </w:pPr>
                            <w:r>
                              <w:rPr>
                                <w:color w:val="000000"/>
                                <w:sz w:val="20"/>
                                <w:szCs w:val="20"/>
                              </w:rPr>
                              <w:t>單位：</w:t>
                            </w:r>
                            <w:r>
                              <w:rPr>
                                <w:color w:val="000000"/>
                                <w:sz w:val="20"/>
                                <w:szCs w:val="20"/>
                              </w:rPr>
                              <w:t>%</w:t>
                            </w:r>
                          </w:p>
                        </w:txbxContent>
                      </wps:txbx>
                      <wps:bodyPr wrap="square" lIns="54004" tIns="45720" rIns="54004" bIns="45720" anchor="t">
                        <a:noAutofit/>
                      </wps:bodyPr>
                    </wps:wsp>
                  </a:graphicData>
                </a:graphic>
              </wp:anchor>
            </w:drawing>
          </mc:Choice>
          <mc:Fallback>
            <w:pict>
              <v:shape w14:anchorId="6BCB7103" id="文字方塊 352" o:spid="_x0000_s1082" type="#_x0000_t202" style="position:absolute;left:0;text-align:left;margin-left:367.9pt;margin-top:51.6pt;width:60.75pt;height:21.7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" filled="f" stroked="f">
                <v:textbox inset="1.50011mm,,1.50011mm">
                  <w:txbxContent>
                    <w:p w14:paraId="242BE534" w14:textId="77777777" w:rsidR="00052596" w:rsidRDefault="00000000">
                      <w:pPr>
                        <w:pStyle w:val="k02"/>
                        <w:spacing w:line="240" w:lineRule="auto"/>
                        <w:ind w:firstLine="0"/>
                        <w:jc w:val="right"/>
                      </w:pPr>
                      <w:r>
                        <w:rPr>
                          <w:color w:val="000000"/>
                          <w:sz w:val="20"/>
                          <w:szCs w:val="20"/>
                        </w:rPr>
                        <w:t>單位：</w:t>
                      </w:r>
                      <w:r>
                        <w:rPr>
                          <w:color w:val="000000"/>
                          <w:sz w:val="20"/>
                          <w:szCs w:val="20"/>
                        </w:rPr>
                        <w:t>%</w:t>
                      </w:r>
                    </w:p>
                  </w:txbxContent>
                </v:textbox>
              </v:shape>
            </w:pict>
          </mc:Fallback>
        </mc:AlternateContent>
      </w:r>
      <w:r>
        <w:rPr>
          <w:rFonts w:eastAsia="標楷體"/>
          <w:b/>
          <w:color w:val="0000FF"/>
          <w:kern w:val="0"/>
          <w:sz w:val="25"/>
          <w:szCs w:val="22"/>
        </w:rPr>
        <w:t>圖</w:t>
      </w:r>
      <w:r>
        <w:rPr>
          <w:rFonts w:eastAsia="標楷體"/>
          <w:b/>
          <w:color w:val="0000FF"/>
          <w:kern w:val="0"/>
          <w:sz w:val="25"/>
          <w:szCs w:val="22"/>
        </w:rPr>
        <w:t>1.2.10</w:t>
      </w:r>
      <w:r>
        <w:rPr>
          <w:rFonts w:eastAsia="標楷體"/>
          <w:b/>
          <w:color w:val="0000FF"/>
          <w:kern w:val="0"/>
          <w:sz w:val="25"/>
          <w:szCs w:val="22"/>
        </w:rPr>
        <w:t xml:space="preserve">　</w:t>
      </w:r>
      <w:r>
        <w:rPr>
          <w:rFonts w:eastAsia="標楷體"/>
          <w:b/>
          <w:color w:val="0000FF"/>
          <w:kern w:val="0"/>
          <w:sz w:val="25"/>
          <w:szCs w:val="22"/>
        </w:rPr>
        <w:t>GDP</w:t>
      </w:r>
      <w:r>
        <w:rPr>
          <w:rFonts w:eastAsia="標楷體"/>
          <w:b/>
          <w:color w:val="0000FF"/>
          <w:kern w:val="0"/>
          <w:sz w:val="25"/>
          <w:szCs w:val="22"/>
        </w:rPr>
        <w:t>分配面結構變化</w:t>
      </w:r>
    </w:p>
    <w:p w14:paraId="5131F9E7" w14:textId="77777777" w:rsidR="00052596" w:rsidRDefault="00000000">
      <w:pPr>
        <w:widowControl/>
      </w:pPr>
      <w:r>
        <w:rPr>
          <w:noProof/>
        </w:rPr>
        <mc:AlternateContent>
          <mc:Choice Requires="wps">
            <w:drawing>
              <wp:anchor distT="0" distB="0" distL="114300" distR="114300" simplePos="0" relativeHeight="251672064" behindDoc="0" locked="0" layoutInCell="1" allowOverlap="1" wp14:anchorId="109D615C" wp14:editId="00ACCA3C">
                <wp:simplePos x="0" y="0"/>
                <wp:positionH relativeFrom="column">
                  <wp:posOffset>991867</wp:posOffset>
                </wp:positionH>
                <wp:positionV relativeFrom="paragraph">
                  <wp:posOffset>76196</wp:posOffset>
                </wp:positionV>
                <wp:extent cx="1219196" cy="275591"/>
                <wp:effectExtent l="0" t="0" r="4" b="0"/>
                <wp:wrapNone/>
                <wp:docPr id="158" name="文字方塊 346"/>
                <wp:cNvGraphicFramePr/>
                <a:graphic xmlns:a="http://schemas.openxmlformats.org/drawingml/2006/main">
                  <a:graphicData uri="http://schemas.microsoft.com/office/word/2010/wordprocessingShape">
                    <wps:wsp>
                      <wps:cNvSpPr txBox="1"/>
                      <wps:spPr>
                        <a:xfrm>
                          <a:off x="0" y="0"/>
                          <a:ext cx="1219196" cy="275591"/>
                        </a:xfrm>
                        <a:prstGeom prst="rect">
                          <a:avLst/>
                        </a:prstGeom>
                        <a:noFill/>
                        <a:ln>
                          <a:noFill/>
                          <a:prstDash/>
                        </a:ln>
                      </wps:spPr>
                      <wps:txbx>
                        <w:txbxContent>
                          <w:p w14:paraId="28B6B911" w14:textId="77777777" w:rsidR="00052596" w:rsidRDefault="00000000">
                            <w:pPr>
                              <w:pStyle w:val="Web"/>
                              <w:overflowPunct w:val="0"/>
                              <w:autoSpaceDE w:val="0"/>
                              <w:snapToGrid w:val="0"/>
                              <w:jc w:val="both"/>
                              <w:textAlignment w:val="center"/>
                            </w:pPr>
                            <w:r>
                              <w:rPr>
                                <w:rFonts w:ascii="標楷體" w:eastAsia="標楷體" w:hAnsi="標楷體"/>
                                <w:color w:val="000000"/>
                                <w:sz w:val="20"/>
                                <w:szCs w:val="20"/>
                              </w:rPr>
                              <w:t>固定資本消耗</w:t>
                            </w:r>
                          </w:p>
                        </w:txbxContent>
                      </wps:txbx>
                      <wps:bodyPr wrap="square" lIns="54004" tIns="45720" rIns="54004" bIns="45720" anchor="t">
                        <a:noAutofit/>
                      </wps:bodyPr>
                    </wps:wsp>
                  </a:graphicData>
                </a:graphic>
              </wp:anchor>
            </w:drawing>
          </mc:Choice>
          <mc:Fallback>
            <w:pict>
              <v:shape w14:anchorId="109D615C" id="文字方塊 346" o:spid="_x0000_s1083" type="#_x0000_t202" style="position:absolute;margin-left:78.1pt;margin-top:6pt;width:96pt;height:21.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" filled="f" stroked="f">
                <v:textbox inset="1.50011mm,,1.50011mm">
                  <w:txbxContent>
                    <w:p w14:paraId="28B6B911" w14:textId="77777777" w:rsidR="00052596" w:rsidRDefault="00000000">
                      <w:pPr>
                        <w:pStyle w:val="Web"/>
                        <w:overflowPunct w:val="0"/>
                        <w:autoSpaceDE w:val="0"/>
                        <w:snapToGrid w:val="0"/>
                        <w:jc w:val="both"/>
                        <w:textAlignment w:val="center"/>
                      </w:pPr>
                      <w:r>
                        <w:rPr>
                          <w:rFonts w:ascii="標楷體" w:eastAsia="標楷體" w:hAnsi="標楷體"/>
                          <w:color w:val="000000"/>
                          <w:sz w:val="20"/>
                          <w:szCs w:val="20"/>
                        </w:rPr>
                        <w:t>固定資本消耗</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7FD72208" wp14:editId="7B417C9F">
                <wp:simplePos x="0" y="0"/>
                <wp:positionH relativeFrom="column">
                  <wp:posOffset>3430901</wp:posOffset>
                </wp:positionH>
                <wp:positionV relativeFrom="paragraph">
                  <wp:posOffset>74925</wp:posOffset>
                </wp:positionV>
                <wp:extent cx="1219196" cy="275591"/>
                <wp:effectExtent l="0" t="0" r="4" b="0"/>
                <wp:wrapNone/>
                <wp:docPr id="159" name="文字方塊 43040"/>
                <wp:cNvGraphicFramePr/>
                <a:graphic xmlns:a="http://schemas.openxmlformats.org/drawingml/2006/main">
                  <a:graphicData uri="http://schemas.microsoft.com/office/word/2010/wordprocessingShape">
                    <wps:wsp>
                      <wps:cNvSpPr txBox="1"/>
                      <wps:spPr>
                        <a:xfrm>
                          <a:off x="0" y="0"/>
                          <a:ext cx="1219196" cy="275591"/>
                        </a:xfrm>
                        <a:prstGeom prst="rect">
                          <a:avLst/>
                        </a:prstGeom>
                        <a:noFill/>
                        <a:ln>
                          <a:noFill/>
                          <a:prstDash/>
                        </a:ln>
                      </wps:spPr>
                      <wps:txbx>
                        <w:txbxContent>
                          <w:p w14:paraId="1D8DDD5C" w14:textId="77777777" w:rsidR="00052596" w:rsidRDefault="00000000">
                            <w:pPr>
                              <w:pStyle w:val="Web"/>
                              <w:snapToGrid w:val="0"/>
                            </w:pPr>
                            <w:r>
                              <w:rPr>
                                <w:rFonts w:ascii="標楷體" w:eastAsia="標楷體" w:hAnsi="標楷體"/>
                                <w:color w:val="000000"/>
                                <w:sz w:val="20"/>
                                <w:szCs w:val="20"/>
                              </w:rPr>
                              <w:t>固定資本消耗</w:t>
                            </w:r>
                          </w:p>
                        </w:txbxContent>
                      </wps:txbx>
                      <wps:bodyPr wrap="square" lIns="54004" tIns="45720" rIns="54004" bIns="45720" anchor="t">
                        <a:noAutofit/>
                      </wps:bodyPr>
                    </wps:wsp>
                  </a:graphicData>
                </a:graphic>
              </wp:anchor>
            </w:drawing>
          </mc:Choice>
          <mc:Fallback>
            <w:pict>
              <v:shape w14:anchorId="7FD72208" id="文字方塊 43040" o:spid="_x0000_s1084" type="#_x0000_t202" style="position:absolute;margin-left:270.15pt;margin-top:5.9pt;width:96pt;height:21.7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" filled="f" stroked="f">
                <v:textbox inset="1.50011mm,,1.50011mm">
                  <w:txbxContent>
                    <w:p w14:paraId="1D8DDD5C" w14:textId="77777777" w:rsidR="00052596" w:rsidRDefault="00000000">
                      <w:pPr>
                        <w:pStyle w:val="Web"/>
                        <w:snapToGrid w:val="0"/>
                      </w:pPr>
                      <w:r>
                        <w:rPr>
                          <w:rFonts w:ascii="標楷體" w:eastAsia="標楷體" w:hAnsi="標楷體"/>
                          <w:color w:val="000000"/>
                          <w:sz w:val="20"/>
                          <w:szCs w:val="20"/>
                        </w:rPr>
                        <w:t>固定資本消耗</w:t>
                      </w:r>
                    </w:p>
                  </w:txbxContent>
                </v:textbox>
              </v:shape>
            </w:pict>
          </mc:Fallback>
        </mc:AlternateContent>
      </w:r>
    </w:p>
    <w:p w14:paraId="054CE558" w14:textId="77777777" w:rsidR="00052596" w:rsidRDefault="00000000">
      <w:pPr>
        <w:overflowPunct w:val="0"/>
        <w:autoSpaceDE w:val="0"/>
        <w:snapToGrid w:val="0"/>
        <w:jc w:val="center"/>
        <w:textAlignment w:val="center"/>
      </w:pPr>
      <w:r>
        <w:rPr>
          <w:noProof/>
        </w:rPr>
        <mc:AlternateContent>
          <mc:Choice Requires="wps">
            <w:drawing>
              <wp:anchor distT="0" distB="0" distL="114300" distR="114300" simplePos="0" relativeHeight="251674112" behindDoc="0" locked="0" layoutInCell="1" allowOverlap="1" wp14:anchorId="1A56E4E9" wp14:editId="12988FF2">
                <wp:simplePos x="0" y="0"/>
                <wp:positionH relativeFrom="column">
                  <wp:posOffset>2786377</wp:posOffset>
                </wp:positionH>
                <wp:positionV relativeFrom="paragraph">
                  <wp:posOffset>830576</wp:posOffset>
                </wp:positionV>
                <wp:extent cx="828675" cy="275591"/>
                <wp:effectExtent l="0" t="0" r="0" b="0"/>
                <wp:wrapNone/>
                <wp:docPr id="160" name="文字方塊 348"/>
                <wp:cNvGraphicFramePr/>
                <a:graphic xmlns:a="http://schemas.openxmlformats.org/drawingml/2006/main">
                  <a:graphicData uri="http://schemas.microsoft.com/office/word/2010/wordprocessingShape">
                    <wps:wsp>
                      <wps:cNvSpPr txBox="1"/>
                      <wps:spPr>
                        <a:xfrm>
                          <a:off x="0" y="0"/>
                          <a:ext cx="828675" cy="275591"/>
                        </a:xfrm>
                        <a:prstGeom prst="rect">
                          <a:avLst/>
                        </a:prstGeom>
                        <a:noFill/>
                        <a:ln>
                          <a:noFill/>
                          <a:prstDash/>
                        </a:ln>
                      </wps:spPr>
                      <wps:txbx>
                        <w:txbxContent>
                          <w:p w14:paraId="39A18D9C" w14:textId="77777777" w:rsidR="00052596" w:rsidRDefault="00000000">
                            <w:pPr>
                              <w:pStyle w:val="Web"/>
                              <w:snapToGrid w:val="0"/>
                            </w:pPr>
                            <w:r>
                              <w:rPr>
                                <w:rFonts w:ascii="標楷體" w:eastAsia="標楷體" w:hAnsi="標楷體"/>
                                <w:color w:val="000000"/>
                                <w:sz w:val="20"/>
                                <w:szCs w:val="20"/>
                              </w:rPr>
                              <w:t>營業盈餘</w:t>
                            </w:r>
                          </w:p>
                        </w:txbxContent>
                      </wps:txbx>
                      <wps:bodyPr wrap="square" lIns="54004" tIns="45720" rIns="54004" bIns="45720" anchor="t">
                        <a:noAutofit/>
                      </wps:bodyPr>
                    </wps:wsp>
                  </a:graphicData>
                </a:graphic>
              </wp:anchor>
            </w:drawing>
          </mc:Choice>
          <mc:Fallback>
            <w:pict>
              <v:shape w14:anchorId="1A56E4E9" id="文字方塊 348" o:spid="_x0000_s1085" type="#_x0000_t202" style="position:absolute;left:0;text-align:left;margin-left:219.4pt;margin-top:65.4pt;width:65.25pt;height:21.7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" filled="f" stroked="f">
                <v:textbox inset="1.50011mm,,1.50011mm">
                  <w:txbxContent>
                    <w:p w14:paraId="39A18D9C" w14:textId="77777777" w:rsidR="00052596" w:rsidRDefault="00000000">
                      <w:pPr>
                        <w:pStyle w:val="Web"/>
                        <w:snapToGrid w:val="0"/>
                      </w:pPr>
                      <w:r>
                        <w:rPr>
                          <w:rFonts w:ascii="標楷體" w:eastAsia="標楷體" w:hAnsi="標楷體"/>
                          <w:color w:val="000000"/>
                          <w:sz w:val="20"/>
                          <w:szCs w:val="20"/>
                        </w:rPr>
                        <w:t>營業盈餘</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1D6ED77" wp14:editId="2D60AAB3">
                <wp:simplePos x="0" y="0"/>
                <wp:positionH relativeFrom="column">
                  <wp:posOffset>4584060</wp:posOffset>
                </wp:positionH>
                <wp:positionV relativeFrom="paragraph">
                  <wp:posOffset>762637</wp:posOffset>
                </wp:positionV>
                <wp:extent cx="923287" cy="421638"/>
                <wp:effectExtent l="0" t="0" r="0" b="0"/>
                <wp:wrapNone/>
                <wp:docPr id="161" name="文字方塊 43039"/>
                <wp:cNvGraphicFramePr/>
                <a:graphic xmlns:a="http://schemas.openxmlformats.org/drawingml/2006/main">
                  <a:graphicData uri="http://schemas.microsoft.com/office/word/2010/wordprocessingShape">
                    <wps:wsp>
                      <wps:cNvSpPr txBox="1"/>
                      <wps:spPr>
                        <a:xfrm>
                          <a:off x="0" y="0"/>
                          <a:ext cx="923287" cy="421638"/>
                        </a:xfrm>
                        <a:prstGeom prst="rect">
                          <a:avLst/>
                        </a:prstGeom>
                        <a:noFill/>
                        <a:ln>
                          <a:noFill/>
                          <a:prstDash/>
                        </a:ln>
                      </wps:spPr>
                      <wps:txbx>
                        <w:txbxContent>
                          <w:p w14:paraId="0F6BDF0D" w14:textId="77777777" w:rsidR="00052596" w:rsidRDefault="00000000">
                            <w:pPr>
                              <w:pStyle w:val="Web"/>
                              <w:snapToGrid w:val="0"/>
                              <w:rPr>
                                <w:rFonts w:ascii="標楷體" w:eastAsia="標楷體" w:hAnsi="標楷體"/>
                                <w:color w:val="000000"/>
                                <w:sz w:val="20"/>
                                <w:szCs w:val="20"/>
                              </w:rPr>
                            </w:pPr>
                            <w:r>
                              <w:rPr>
                                <w:rFonts w:ascii="標楷體" w:eastAsia="標楷體" w:hAnsi="標楷體"/>
                                <w:color w:val="000000"/>
                                <w:sz w:val="20"/>
                                <w:szCs w:val="20"/>
                              </w:rPr>
                              <w:t>受僱人員</w:t>
                            </w:r>
                          </w:p>
                          <w:p w14:paraId="3858A7C7" w14:textId="77777777" w:rsidR="00052596" w:rsidRDefault="00000000">
                            <w:pPr>
                              <w:pStyle w:val="Web"/>
                              <w:snapToGrid w:val="0"/>
                            </w:pPr>
                            <w:r>
                              <w:rPr>
                                <w:rFonts w:ascii="標楷體" w:eastAsia="標楷體" w:hAnsi="標楷體"/>
                                <w:color w:val="000000"/>
                                <w:sz w:val="20"/>
                                <w:szCs w:val="20"/>
                              </w:rPr>
                              <w:t>報酬</w:t>
                            </w:r>
                          </w:p>
                        </w:txbxContent>
                      </wps:txbx>
                      <wps:bodyPr wrap="square" lIns="54004" tIns="45720" rIns="54004" bIns="45720" anchor="t">
                        <a:spAutoFit/>
                      </wps:bodyPr>
                    </wps:wsp>
                  </a:graphicData>
                </a:graphic>
              </wp:anchor>
            </w:drawing>
          </mc:Choice>
          <mc:Fallback>
            <w:pict>
              <v:shape w14:anchorId="01D6ED77" id="文字方塊 43039" o:spid="_x0000_s1086" type="#_x0000_t202" style="position:absolute;left:0;text-align:left;margin-left:360.95pt;margin-top:60.05pt;width:72.7pt;height:33.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" filled="f" stroked="f">
                <v:textbox style="mso-fit-shape-to-text:t" inset="1.50011mm,,1.50011mm">
                  <w:txbxContent>
                    <w:p w14:paraId="0F6BDF0D" w14:textId="77777777" w:rsidR="00052596" w:rsidRDefault="00000000">
                      <w:pPr>
                        <w:pStyle w:val="Web"/>
                        <w:snapToGrid w:val="0"/>
                        <w:rPr>
                          <w:rFonts w:ascii="標楷體" w:eastAsia="標楷體" w:hAnsi="標楷體"/>
                          <w:color w:val="000000"/>
                          <w:sz w:val="20"/>
                          <w:szCs w:val="20"/>
                        </w:rPr>
                      </w:pPr>
                      <w:r>
                        <w:rPr>
                          <w:rFonts w:ascii="標楷體" w:eastAsia="標楷體" w:hAnsi="標楷體"/>
                          <w:color w:val="000000"/>
                          <w:sz w:val="20"/>
                          <w:szCs w:val="20"/>
                        </w:rPr>
                        <w:t>受僱人員</w:t>
                      </w:r>
                    </w:p>
                    <w:p w14:paraId="3858A7C7" w14:textId="77777777" w:rsidR="00052596" w:rsidRDefault="00000000">
                      <w:pPr>
                        <w:pStyle w:val="Web"/>
                        <w:snapToGrid w:val="0"/>
                      </w:pPr>
                      <w:r>
                        <w:rPr>
                          <w:rFonts w:ascii="標楷體" w:eastAsia="標楷體" w:hAnsi="標楷體"/>
                          <w:color w:val="000000"/>
                          <w:sz w:val="20"/>
                          <w:szCs w:val="20"/>
                        </w:rPr>
                        <w:t>報酬</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70815EE8" wp14:editId="2E22DEDF">
                <wp:simplePos x="0" y="0"/>
                <wp:positionH relativeFrom="column">
                  <wp:posOffset>276862</wp:posOffset>
                </wp:positionH>
                <wp:positionV relativeFrom="paragraph">
                  <wp:posOffset>814702</wp:posOffset>
                </wp:positionV>
                <wp:extent cx="828675" cy="256544"/>
                <wp:effectExtent l="0" t="0" r="0" b="0"/>
                <wp:wrapNone/>
                <wp:docPr id="162" name="文字方塊 351"/>
                <wp:cNvGraphicFramePr/>
                <a:graphic xmlns:a="http://schemas.openxmlformats.org/drawingml/2006/main">
                  <a:graphicData uri="http://schemas.microsoft.com/office/word/2010/wordprocessingShape">
                    <wps:wsp>
                      <wps:cNvSpPr txBox="1"/>
                      <wps:spPr>
                        <a:xfrm>
                          <a:off x="0" y="0"/>
                          <a:ext cx="828675" cy="256544"/>
                        </a:xfrm>
                        <a:prstGeom prst="rect">
                          <a:avLst/>
                        </a:prstGeom>
                        <a:noFill/>
                        <a:ln>
                          <a:noFill/>
                          <a:prstDash/>
                        </a:ln>
                      </wps:spPr>
                      <wps:txbx>
                        <w:txbxContent>
                          <w:p w14:paraId="152F30FF" w14:textId="77777777" w:rsidR="00052596" w:rsidRDefault="00000000">
                            <w:pPr>
                              <w:pStyle w:val="k02"/>
                              <w:spacing w:line="240" w:lineRule="auto"/>
                              <w:ind w:firstLine="0"/>
                            </w:pPr>
                            <w:r>
                              <w:rPr>
                                <w:rFonts w:ascii="標楷體" w:hAnsi="標楷體"/>
                                <w:color w:val="000000"/>
                                <w:sz w:val="20"/>
                                <w:szCs w:val="20"/>
                              </w:rPr>
                              <w:t>營業盈餘</w:t>
                            </w:r>
                          </w:p>
                        </w:txbxContent>
                      </wps:txbx>
                      <wps:bodyPr wrap="square" lIns="54004" tIns="45720" rIns="54004" bIns="45720" anchor="t">
                        <a:spAutoFit/>
                      </wps:bodyPr>
                    </wps:wsp>
                  </a:graphicData>
                </a:graphic>
              </wp:anchor>
            </w:drawing>
          </mc:Choice>
          <mc:Fallback>
            <w:pict>
              <v:shape w14:anchorId="70815EE8" id="文字方塊 351" o:spid="_x0000_s1087" type="#_x0000_t202" style="position:absolute;left:0;text-align:left;margin-left:21.8pt;margin-top:64.15pt;width:65.25pt;height:20.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" filled="f" stroked="f">
                <v:textbox style="mso-fit-shape-to-text:t" inset="1.50011mm,,1.50011mm">
                  <w:txbxContent>
                    <w:p w14:paraId="152F30FF" w14:textId="77777777" w:rsidR="00052596" w:rsidRDefault="00000000">
                      <w:pPr>
                        <w:pStyle w:val="k02"/>
                        <w:spacing w:line="240" w:lineRule="auto"/>
                        <w:ind w:firstLine="0"/>
                      </w:pPr>
                      <w:r>
                        <w:rPr>
                          <w:rFonts w:ascii="標楷體" w:hAnsi="標楷體"/>
                          <w:color w:val="000000"/>
                          <w:sz w:val="20"/>
                          <w:szCs w:val="20"/>
                        </w:rPr>
                        <w:t>營業盈餘</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0ACCDCC5" wp14:editId="703E172E">
                <wp:simplePos x="0" y="0"/>
                <wp:positionH relativeFrom="column">
                  <wp:posOffset>2167886</wp:posOffset>
                </wp:positionH>
                <wp:positionV relativeFrom="paragraph">
                  <wp:posOffset>776609</wp:posOffset>
                </wp:positionV>
                <wp:extent cx="999494" cy="414652"/>
                <wp:effectExtent l="0" t="0" r="0" b="4448"/>
                <wp:wrapNone/>
                <wp:docPr id="163" name="文字方塊 343"/>
                <wp:cNvGraphicFramePr/>
                <a:graphic xmlns:a="http://schemas.openxmlformats.org/drawingml/2006/main">
                  <a:graphicData uri="http://schemas.microsoft.com/office/word/2010/wordprocessingShape">
                    <wps:wsp>
                      <wps:cNvSpPr txBox="1"/>
                      <wps:spPr>
                        <a:xfrm>
                          <a:off x="0" y="0"/>
                          <a:ext cx="999494" cy="414652"/>
                        </a:xfrm>
                        <a:prstGeom prst="rect">
                          <a:avLst/>
                        </a:prstGeom>
                        <a:noFill/>
                        <a:ln>
                          <a:noFill/>
                          <a:prstDash/>
                        </a:ln>
                      </wps:spPr>
                      <wps:txbx>
                        <w:txbxContent>
                          <w:p w14:paraId="56B9FA53" w14:textId="77777777" w:rsidR="00052596" w:rsidRDefault="00000000">
                            <w:pPr>
                              <w:pStyle w:val="Web"/>
                              <w:overflowPunct w:val="0"/>
                              <w:autoSpaceDE w:val="0"/>
                              <w:snapToGrid w:val="0"/>
                              <w:jc w:val="both"/>
                              <w:textAlignment w:val="center"/>
                              <w:rPr>
                                <w:rFonts w:ascii="標楷體" w:eastAsia="標楷體" w:hAnsi="標楷體"/>
                                <w:color w:val="000000"/>
                                <w:sz w:val="20"/>
                                <w:szCs w:val="20"/>
                              </w:rPr>
                            </w:pPr>
                            <w:r>
                              <w:rPr>
                                <w:rFonts w:ascii="標楷體" w:eastAsia="標楷體" w:hAnsi="標楷體"/>
                                <w:color w:val="000000"/>
                                <w:sz w:val="20"/>
                                <w:szCs w:val="20"/>
                              </w:rPr>
                              <w:t>受僱人員</w:t>
                            </w:r>
                          </w:p>
                          <w:p w14:paraId="37C515FF" w14:textId="77777777" w:rsidR="00052596" w:rsidRDefault="00000000">
                            <w:pPr>
                              <w:pStyle w:val="Web"/>
                              <w:overflowPunct w:val="0"/>
                              <w:autoSpaceDE w:val="0"/>
                              <w:snapToGrid w:val="0"/>
                              <w:jc w:val="both"/>
                              <w:textAlignment w:val="center"/>
                            </w:pPr>
                            <w:r>
                              <w:rPr>
                                <w:rFonts w:ascii="標楷體" w:eastAsia="標楷體" w:hAnsi="標楷體"/>
                                <w:color w:val="000000"/>
                                <w:sz w:val="20"/>
                                <w:szCs w:val="20"/>
                              </w:rPr>
                              <w:t>報酬</w:t>
                            </w:r>
                          </w:p>
                        </w:txbxContent>
                      </wps:txbx>
                      <wps:bodyPr wrap="square" lIns="54004" tIns="45720" rIns="54004" bIns="45720" anchor="t">
                        <a:noAutofit/>
                      </wps:bodyPr>
                    </wps:wsp>
                  </a:graphicData>
                </a:graphic>
              </wp:anchor>
            </w:drawing>
          </mc:Choice>
          <mc:Fallback>
            <w:pict>
              <v:shape w14:anchorId="0ACCDCC5" id="文字方塊 343" o:spid="_x0000_s1088" type="#_x0000_t202" style="position:absolute;left:0;text-align:left;margin-left:170.7pt;margin-top:61.15pt;width:78.7pt;height:32.6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" filled="f" stroked="f">
                <v:textbox inset="1.50011mm,,1.50011mm">
                  <w:txbxContent>
                    <w:p w14:paraId="56B9FA53" w14:textId="77777777" w:rsidR="00052596" w:rsidRDefault="00000000">
                      <w:pPr>
                        <w:pStyle w:val="Web"/>
                        <w:overflowPunct w:val="0"/>
                        <w:autoSpaceDE w:val="0"/>
                        <w:snapToGrid w:val="0"/>
                        <w:jc w:val="both"/>
                        <w:textAlignment w:val="center"/>
                        <w:rPr>
                          <w:rFonts w:ascii="標楷體" w:eastAsia="標楷體" w:hAnsi="標楷體"/>
                          <w:color w:val="000000"/>
                          <w:sz w:val="20"/>
                          <w:szCs w:val="20"/>
                        </w:rPr>
                      </w:pPr>
                      <w:r>
                        <w:rPr>
                          <w:rFonts w:ascii="標楷體" w:eastAsia="標楷體" w:hAnsi="標楷體"/>
                          <w:color w:val="000000"/>
                          <w:sz w:val="20"/>
                          <w:szCs w:val="20"/>
                        </w:rPr>
                        <w:t>受僱人員</w:t>
                      </w:r>
                    </w:p>
                    <w:p w14:paraId="37C515FF" w14:textId="77777777" w:rsidR="00052596" w:rsidRDefault="00000000">
                      <w:pPr>
                        <w:pStyle w:val="Web"/>
                        <w:overflowPunct w:val="0"/>
                        <w:autoSpaceDE w:val="0"/>
                        <w:snapToGrid w:val="0"/>
                        <w:jc w:val="both"/>
                        <w:textAlignment w:val="center"/>
                      </w:pPr>
                      <w:r>
                        <w:rPr>
                          <w:rFonts w:ascii="標楷體" w:eastAsia="標楷體" w:hAnsi="標楷體"/>
                          <w:color w:val="000000"/>
                          <w:sz w:val="20"/>
                          <w:szCs w:val="20"/>
                        </w:rPr>
                        <w:t>報酬</w:t>
                      </w:r>
                    </w:p>
                  </w:txbxContent>
                </v:textbox>
              </v:shape>
            </w:pict>
          </mc:Fallback>
        </mc:AlternateContent>
      </w:r>
      <w:r>
        <w:rPr>
          <w:rFonts w:eastAsia="標楷體"/>
          <w:b/>
          <w:noProof/>
          <w:kern w:val="0"/>
          <w:sz w:val="25"/>
          <w:szCs w:val="22"/>
        </w:rPr>
        <w:drawing>
          <wp:inline distT="0" distB="0" distL="0" distR="0" wp14:anchorId="190C2099" wp14:editId="014B3BD1">
            <wp:extent cx="1956431" cy="1148084"/>
            <wp:effectExtent l="0" t="0" r="5719" b="0"/>
            <wp:docPr id="164" name="圖表 430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1956431" cy="1148084"/>
                    </a:xfrm>
                    <a:prstGeom prst="rect">
                      <a:avLst/>
                    </a:prstGeom>
                    <a:noFill/>
                    <a:ln>
                      <a:noFill/>
                      <a:prstDash/>
                    </a:ln>
                  </pic:spPr>
                </pic:pic>
              </a:graphicData>
            </a:graphic>
          </wp:inline>
        </w:drawing>
      </w:r>
      <w:r>
        <w:rPr>
          <w:rFonts w:eastAsia="標楷體"/>
          <w:b/>
          <w:kern w:val="0"/>
          <w:sz w:val="25"/>
          <w:szCs w:val="22"/>
        </w:rPr>
        <w:t xml:space="preserve">　　　</w:t>
      </w:r>
      <w:r>
        <w:rPr>
          <w:rFonts w:eastAsia="標楷體"/>
          <w:b/>
          <w:noProof/>
          <w:kern w:val="0"/>
          <w:sz w:val="25"/>
          <w:szCs w:val="22"/>
        </w:rPr>
        <w:drawing>
          <wp:inline distT="0" distB="0" distL="0" distR="0" wp14:anchorId="3E42772D" wp14:editId="16E2C04F">
            <wp:extent cx="1956431" cy="1148084"/>
            <wp:effectExtent l="0" t="0" r="5719" b="0"/>
            <wp:docPr id="165" name="圖表 43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1956431" cy="1148084"/>
                    </a:xfrm>
                    <a:prstGeom prst="rect">
                      <a:avLst/>
                    </a:prstGeom>
                    <a:noFill/>
                    <a:ln>
                      <a:noFill/>
                      <a:prstDash/>
                    </a:ln>
                  </pic:spPr>
                </pic:pic>
              </a:graphicData>
            </a:graphic>
          </wp:inline>
        </w:drawing>
      </w:r>
    </w:p>
    <w:p w14:paraId="72070CF3" w14:textId="77777777" w:rsidR="00052596" w:rsidRDefault="00000000">
      <w:pPr>
        <w:overflowPunct w:val="0"/>
        <w:autoSpaceDE w:val="0"/>
        <w:snapToGrid w:val="0"/>
        <w:spacing w:before="180" w:line="240" w:lineRule="exact"/>
        <w:ind w:left="1699" w:hanging="1080"/>
        <w:jc w:val="both"/>
        <w:textAlignment w:val="center"/>
        <w:rPr>
          <w:rFonts w:eastAsia="標楷體"/>
          <w:spacing w:val="-2"/>
          <w:kern w:val="0"/>
          <w:sz w:val="22"/>
          <w:szCs w:val="22"/>
        </w:rPr>
      </w:pPr>
      <w:r>
        <w:rPr>
          <w:rFonts w:eastAsia="標楷體"/>
          <w:spacing w:val="-2"/>
          <w:kern w:val="0"/>
          <w:sz w:val="22"/>
          <w:szCs w:val="22"/>
        </w:rPr>
        <w:t>資料來源：行政院主計總處。</w:t>
      </w:r>
    </w:p>
    <w:p w14:paraId="1388B806" w14:textId="77777777" w:rsidR="00052596" w:rsidRDefault="00052596">
      <w:pPr>
        <w:overflowPunct w:val="0"/>
        <w:autoSpaceDE w:val="0"/>
        <w:snapToGrid w:val="0"/>
        <w:spacing w:before="60" w:line="240" w:lineRule="exact"/>
        <w:ind w:left="1699" w:hanging="1080"/>
        <w:jc w:val="both"/>
        <w:textAlignment w:val="center"/>
        <w:rPr>
          <w:rFonts w:eastAsia="標楷體"/>
          <w:spacing w:val="-2"/>
          <w:kern w:val="0"/>
          <w:sz w:val="22"/>
          <w:szCs w:val="22"/>
        </w:rPr>
      </w:pPr>
    </w:p>
    <w:p w14:paraId="7F08677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(二)受僱人員報酬趨降的原因</w:t>
      </w:r>
    </w:p>
    <w:p w14:paraId="00761D4C" w14:textId="77777777" w:rsidR="00052596" w:rsidRDefault="00000000">
      <w:pPr>
        <w:overflowPunct w:val="0"/>
        <w:autoSpaceDE w:val="0"/>
        <w:spacing w:line="420" w:lineRule="exact"/>
        <w:ind w:left="792" w:firstLine="576"/>
        <w:jc w:val="both"/>
        <w:textAlignment w:val="center"/>
        <w:rPr>
          <w:rFonts w:eastAsia="標楷體"/>
          <w:spacing w:val="4"/>
          <w:kern w:val="0"/>
          <w:sz w:val="28"/>
          <w:szCs w:val="26"/>
        </w:rPr>
      </w:pPr>
      <w:r>
        <w:rPr>
          <w:rFonts w:eastAsia="標楷體"/>
          <w:spacing w:val="4"/>
          <w:kern w:val="0"/>
          <w:sz w:val="28"/>
          <w:szCs w:val="26"/>
        </w:rPr>
        <w:t>近</w:t>
      </w:r>
      <w:r>
        <w:rPr>
          <w:rFonts w:eastAsia="標楷體"/>
          <w:spacing w:val="4"/>
          <w:kern w:val="0"/>
          <w:sz w:val="28"/>
          <w:szCs w:val="26"/>
        </w:rPr>
        <w:t>10</w:t>
      </w:r>
      <w:r>
        <w:rPr>
          <w:rFonts w:eastAsia="標楷體"/>
          <w:spacing w:val="4"/>
          <w:kern w:val="0"/>
          <w:sz w:val="28"/>
          <w:szCs w:val="26"/>
        </w:rPr>
        <w:t>年來國內受僱人員報酬份額大體呈下降趨勢，且降幅高於多數先進國家，對國內薪資成長及消費動能影響深遠。導致受僱人員報酬份額下降的主要因素，包括勞動市場全球化、技術進步及產業結構轉型：</w:t>
      </w:r>
    </w:p>
    <w:p w14:paraId="4E4E90C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0"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全球化、技術進步與受僱人員報酬</w:t>
      </w:r>
    </w:p>
    <w:p w14:paraId="3715D80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358" w:hanging="288"/>
        <w:jc w:val="both"/>
        <w:textAlignment w:val="center"/>
        <w:rPr>
          <w:rFonts w:eastAsia="標楷體"/>
          <w:spacing w:val="4"/>
          <w:kern w:val="0"/>
          <w:sz w:val="28"/>
          <w:szCs w:val="22"/>
        </w:rPr>
      </w:pPr>
      <w:r>
        <w:rPr>
          <w:rFonts w:eastAsia="標楷體"/>
          <w:spacing w:val="4"/>
          <w:kern w:val="0"/>
          <w:sz w:val="28"/>
          <w:szCs w:val="22"/>
        </w:rPr>
        <w:t>－勞動市場全球化促使新興市場與開發中國家釋出大量廉價勞動力，國內就業面臨強大競爭，加以企業因應國際產業</w:t>
      </w:r>
      <w:r>
        <w:rPr>
          <w:rFonts w:eastAsia="標楷體"/>
          <w:spacing w:val="4"/>
          <w:kern w:val="0"/>
          <w:sz w:val="28"/>
          <w:szCs w:val="22"/>
        </w:rPr>
        <w:lastRenderedPageBreak/>
        <w:t>分工布局，大量外移，以及「臺灣接單、海外生產」模式比率逐漸提高，以致對國內就業機會增加及薪資調升的效果相對有限。</w:t>
      </w:r>
    </w:p>
    <w:p w14:paraId="5C0E25E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358" w:hanging="288"/>
        <w:jc w:val="both"/>
        <w:textAlignment w:val="center"/>
      </w:pPr>
      <w:r>
        <w:rPr>
          <w:rFonts w:eastAsia="標楷體"/>
          <w:spacing w:val="4"/>
          <w:kern w:val="0"/>
          <w:sz w:val="28"/>
          <w:szCs w:val="22"/>
        </w:rPr>
        <w:t>－在知識經濟及全球化進展下，技術進步使生產模式朝向資本、知識密集型態，壓抑受僱人員報酬成長，進一步影響所得分配。行政院主計總處</w:t>
      </w:r>
      <w:r>
        <w:rPr>
          <w:rFonts w:ascii="標楷體" w:eastAsia="標楷體" w:hAnsi="標楷體"/>
          <w:spacing w:val="4"/>
          <w:kern w:val="0"/>
          <w:sz w:val="28"/>
          <w:szCs w:val="22"/>
        </w:rPr>
        <w:t>(</w:t>
      </w:r>
      <w:r>
        <w:rPr>
          <w:rFonts w:eastAsia="標楷體"/>
          <w:spacing w:val="4"/>
          <w:kern w:val="0"/>
          <w:sz w:val="28"/>
          <w:szCs w:val="22"/>
        </w:rPr>
        <w:t>2008</w:t>
      </w:r>
      <w:r>
        <w:rPr>
          <w:rFonts w:ascii="標楷體" w:eastAsia="標楷體" w:hAnsi="標楷體"/>
          <w:spacing w:val="4"/>
          <w:kern w:val="0"/>
          <w:sz w:val="28"/>
          <w:szCs w:val="22"/>
        </w:rPr>
        <w:t>)</w:t>
      </w:r>
      <w:r>
        <w:rPr>
          <w:rFonts w:eastAsia="標楷體"/>
          <w:spacing w:val="4"/>
          <w:kern w:val="0"/>
          <w:sz w:val="28"/>
          <w:szCs w:val="22"/>
        </w:rPr>
        <w:t>研究指出，技術進步為影響我國所得分配差距擴大的主因之一。</w:t>
      </w:r>
    </w:p>
    <w:p w14:paraId="25D16EE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0"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產業轉型對受僱人員報酬份額之影響</w:t>
      </w:r>
    </w:p>
    <w:p w14:paraId="6E9784A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358" w:hanging="288"/>
        <w:jc w:val="both"/>
        <w:textAlignment w:val="center"/>
      </w:pPr>
      <w:r>
        <w:rPr>
          <w:rFonts w:eastAsia="標楷體"/>
          <w:spacing w:val="4"/>
          <w:kern w:val="0"/>
          <w:sz w:val="28"/>
          <w:szCs w:val="22"/>
        </w:rPr>
        <w:t>－根據</w:t>
      </w:r>
      <w:r>
        <w:rPr>
          <w:rFonts w:eastAsia="標楷體"/>
          <w:spacing w:val="4"/>
          <w:kern w:val="0"/>
          <w:sz w:val="28"/>
          <w:szCs w:val="22"/>
        </w:rPr>
        <w:t>OECD</w:t>
      </w:r>
      <w:r>
        <w:rPr>
          <w:rFonts w:ascii="新細明體" w:hAnsi="新細明體"/>
          <w:spacing w:val="4"/>
          <w:kern w:val="0"/>
          <w:sz w:val="28"/>
          <w:szCs w:val="22"/>
        </w:rPr>
        <w:t>「</w:t>
      </w:r>
      <w:r>
        <w:rPr>
          <w:rFonts w:eastAsia="標楷體"/>
          <w:spacing w:val="4"/>
          <w:kern w:val="0"/>
          <w:sz w:val="28"/>
          <w:szCs w:val="22"/>
        </w:rPr>
        <w:t>2012</w:t>
      </w:r>
      <w:r>
        <w:rPr>
          <w:rFonts w:eastAsia="標楷體"/>
          <w:spacing w:val="4"/>
          <w:kern w:val="0"/>
          <w:sz w:val="28"/>
          <w:szCs w:val="22"/>
        </w:rPr>
        <w:t>年</w:t>
      </w:r>
      <w:r>
        <w:rPr>
          <w:rFonts w:ascii="標楷體" w:eastAsia="標楷體" w:hAnsi="標楷體"/>
          <w:spacing w:val="4"/>
          <w:kern w:val="0"/>
          <w:sz w:val="28"/>
          <w:szCs w:val="22"/>
        </w:rPr>
        <w:t>就業展望報告</w:t>
      </w:r>
      <w:r>
        <w:rPr>
          <w:rFonts w:ascii="新細明體" w:hAnsi="新細明體"/>
          <w:spacing w:val="4"/>
          <w:kern w:val="0"/>
          <w:sz w:val="28"/>
          <w:szCs w:val="22"/>
        </w:rPr>
        <w:t>」</w:t>
      </w:r>
      <w:r>
        <w:rPr>
          <w:rFonts w:ascii="標楷體" w:eastAsia="標楷體" w:hAnsi="標楷體"/>
          <w:spacing w:val="4"/>
          <w:kern w:val="0"/>
          <w:sz w:val="28"/>
          <w:szCs w:val="22"/>
        </w:rPr>
        <w:t>，</w:t>
      </w:r>
      <w:r>
        <w:rPr>
          <w:rFonts w:eastAsia="標楷體"/>
          <w:spacing w:val="4"/>
          <w:kern w:val="0"/>
          <w:sz w:val="28"/>
          <w:szCs w:val="22"/>
        </w:rPr>
        <w:t>勞動報酬份額的變動效果可拆解為各產業內</w:t>
      </w:r>
      <w:r>
        <w:rPr>
          <w:rFonts w:ascii="標楷體" w:eastAsia="標楷體" w:hAnsi="標楷體"/>
          <w:spacing w:val="4"/>
          <w:kern w:val="0"/>
          <w:sz w:val="28"/>
          <w:szCs w:val="22"/>
        </w:rPr>
        <w:t>(</w:t>
      </w:r>
      <w:r>
        <w:rPr>
          <w:rFonts w:eastAsia="標楷體"/>
          <w:spacing w:val="4"/>
          <w:kern w:val="0"/>
          <w:sz w:val="28"/>
          <w:szCs w:val="22"/>
        </w:rPr>
        <w:t>within-industry</w:t>
      </w:r>
      <w:r>
        <w:rPr>
          <w:rFonts w:ascii="標楷體" w:eastAsia="標楷體" w:hAnsi="標楷體"/>
          <w:spacing w:val="4"/>
          <w:kern w:val="0"/>
          <w:sz w:val="28"/>
          <w:szCs w:val="22"/>
        </w:rPr>
        <w:t>)</w:t>
      </w:r>
      <w:r>
        <w:rPr>
          <w:rFonts w:eastAsia="標楷體"/>
          <w:spacing w:val="4"/>
          <w:kern w:val="0"/>
          <w:sz w:val="28"/>
          <w:szCs w:val="22"/>
        </w:rPr>
        <w:t>勞動報酬份額的變動，以及產業間</w:t>
      </w:r>
      <w:r>
        <w:rPr>
          <w:rFonts w:ascii="標楷體" w:eastAsia="標楷體" w:hAnsi="標楷體"/>
          <w:spacing w:val="4"/>
          <w:kern w:val="0"/>
          <w:sz w:val="28"/>
          <w:szCs w:val="22"/>
        </w:rPr>
        <w:t>(</w:t>
      </w:r>
      <w:r>
        <w:rPr>
          <w:rFonts w:eastAsia="標楷體"/>
          <w:spacing w:val="4"/>
          <w:kern w:val="0"/>
          <w:sz w:val="28"/>
          <w:szCs w:val="22"/>
        </w:rPr>
        <w:t>between-industry</w:t>
      </w:r>
      <w:r>
        <w:rPr>
          <w:rFonts w:ascii="標楷體" w:eastAsia="標楷體" w:hAnsi="標楷體"/>
          <w:spacing w:val="4"/>
          <w:kern w:val="0"/>
          <w:sz w:val="28"/>
          <w:szCs w:val="22"/>
        </w:rPr>
        <w:t>)</w:t>
      </w:r>
      <w:r>
        <w:rPr>
          <w:rFonts w:eastAsia="標楷體"/>
          <w:spacing w:val="4"/>
          <w:kern w:val="0"/>
          <w:sz w:val="28"/>
          <w:szCs w:val="22"/>
        </w:rPr>
        <w:t>結構重配置造成的勞動報酬份額變動。</w:t>
      </w:r>
      <w:r>
        <w:rPr>
          <w:rFonts w:eastAsia="標楷體"/>
          <w:spacing w:val="4"/>
          <w:kern w:val="0"/>
          <w:sz w:val="28"/>
          <w:szCs w:val="22"/>
        </w:rPr>
        <w:t>90</w:t>
      </w:r>
      <w:r>
        <w:rPr>
          <w:rFonts w:eastAsia="標楷體"/>
          <w:spacing w:val="4"/>
          <w:kern w:val="0"/>
          <w:sz w:val="28"/>
          <w:szCs w:val="22"/>
        </w:rPr>
        <w:t>至</w:t>
      </w:r>
      <w:r>
        <w:rPr>
          <w:rFonts w:eastAsia="標楷體"/>
          <w:spacing w:val="4"/>
          <w:kern w:val="0"/>
          <w:sz w:val="28"/>
          <w:szCs w:val="22"/>
        </w:rPr>
        <w:t>100</w:t>
      </w:r>
      <w:r>
        <w:rPr>
          <w:rFonts w:eastAsia="標楷體"/>
          <w:spacing w:val="4"/>
          <w:kern w:val="0"/>
          <w:sz w:val="28"/>
          <w:szCs w:val="22"/>
        </w:rPr>
        <w:t>年間國內受僱人員報酬份額下降</w:t>
      </w:r>
      <w:r>
        <w:rPr>
          <w:rFonts w:ascii="標楷體" w:eastAsia="標楷體" w:hAnsi="標楷體"/>
          <w:spacing w:val="4"/>
          <w:kern w:val="0"/>
          <w:sz w:val="28"/>
          <w:szCs w:val="22"/>
        </w:rPr>
        <w:t>(</w:t>
      </w:r>
      <w:r>
        <w:rPr>
          <w:rFonts w:eastAsia="標楷體"/>
          <w:spacing w:val="4"/>
          <w:kern w:val="0"/>
          <w:sz w:val="28"/>
          <w:szCs w:val="22"/>
        </w:rPr>
        <w:t>2.61</w:t>
      </w:r>
      <w:r>
        <w:rPr>
          <w:rFonts w:eastAsia="標楷體"/>
          <w:spacing w:val="4"/>
          <w:kern w:val="0"/>
          <w:sz w:val="28"/>
          <w:szCs w:val="22"/>
        </w:rPr>
        <w:t>個百分點</w:t>
      </w:r>
      <w:r>
        <w:rPr>
          <w:rFonts w:ascii="標楷體" w:eastAsia="標楷體" w:hAnsi="標楷體"/>
          <w:spacing w:val="4"/>
          <w:kern w:val="0"/>
          <w:sz w:val="28"/>
          <w:szCs w:val="22"/>
        </w:rPr>
        <w:t>)</w:t>
      </w:r>
      <w:r>
        <w:rPr>
          <w:rFonts w:eastAsia="標楷體"/>
          <w:spacing w:val="4"/>
          <w:kern w:val="0"/>
          <w:sz w:val="28"/>
          <w:szCs w:val="22"/>
        </w:rPr>
        <w:t>，主要係產業結構轉型至受僱人員報酬較高的產業，所能提升受僱者報酬份額的正向影響效果，明顯小於各產業內受僱人員報酬份額大幅下降的負向影響效果</w:t>
      </w:r>
      <w:r>
        <w:rPr>
          <w:rFonts w:ascii="標楷體" w:eastAsia="標楷體" w:hAnsi="標楷體"/>
          <w:spacing w:val="4"/>
          <w:kern w:val="0"/>
          <w:sz w:val="28"/>
          <w:szCs w:val="22"/>
        </w:rPr>
        <w:t>。</w:t>
      </w:r>
    </w:p>
    <w:p w14:paraId="45C8EF7B"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288" w:hanging="288"/>
        <w:jc w:val="both"/>
        <w:textAlignment w:val="center"/>
        <w:rPr>
          <w:rFonts w:eastAsia="標楷體"/>
          <w:b/>
          <w:color w:val="0000FF"/>
          <w:spacing w:val="4"/>
          <w:kern w:val="0"/>
          <w:sz w:val="28"/>
          <w:szCs w:val="22"/>
        </w:rPr>
      </w:pPr>
      <w:r>
        <w:rPr>
          <w:rFonts w:eastAsia="標楷體"/>
          <w:b/>
          <w:color w:val="0000FF"/>
          <w:spacing w:val="4"/>
          <w:kern w:val="0"/>
          <w:sz w:val="28"/>
          <w:szCs w:val="22"/>
        </w:rPr>
        <w:t>二、國民所得二次分配</w:t>
      </w:r>
    </w:p>
    <w:p w14:paraId="4898226A"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國民所得二次分配係指在初次分配結果的基礎上，透過政府租稅、社會保障及社會福利等措施，進行所得重分配的過程。</w:t>
      </w:r>
    </w:p>
    <w:p w14:paraId="0F6D29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現況與趨勢</w:t>
      </w:r>
    </w:p>
    <w:p w14:paraId="69DC2506" w14:textId="77777777" w:rsidR="00052596" w:rsidRDefault="00000000">
      <w:pPr>
        <w:overflowPunct w:val="0"/>
        <w:autoSpaceDE w:val="0"/>
        <w:spacing w:line="420" w:lineRule="exact"/>
        <w:ind w:left="792" w:firstLine="576"/>
        <w:jc w:val="both"/>
        <w:textAlignment w:val="center"/>
        <w:rPr>
          <w:rFonts w:eastAsia="標楷體"/>
          <w:spacing w:val="4"/>
          <w:kern w:val="0"/>
          <w:sz w:val="28"/>
          <w:szCs w:val="26"/>
        </w:rPr>
      </w:pPr>
      <w:r>
        <w:rPr>
          <w:rFonts w:eastAsia="標楷體"/>
          <w:spacing w:val="4"/>
          <w:kern w:val="0"/>
          <w:sz w:val="28"/>
          <w:szCs w:val="26"/>
        </w:rPr>
        <w:t>100</w:t>
      </w:r>
      <w:r>
        <w:rPr>
          <w:rFonts w:eastAsia="標楷體"/>
          <w:spacing w:val="4"/>
          <w:kern w:val="0"/>
          <w:sz w:val="28"/>
          <w:szCs w:val="26"/>
        </w:rPr>
        <w:t>年國內平均每戶可支配所得由</w:t>
      </w:r>
      <w:r>
        <w:rPr>
          <w:rFonts w:eastAsia="標楷體"/>
          <w:spacing w:val="4"/>
          <w:kern w:val="0"/>
          <w:sz w:val="28"/>
          <w:szCs w:val="26"/>
        </w:rPr>
        <w:t>90</w:t>
      </w:r>
      <w:r>
        <w:rPr>
          <w:rFonts w:eastAsia="標楷體"/>
          <w:spacing w:val="4"/>
          <w:kern w:val="0"/>
          <w:sz w:val="28"/>
          <w:szCs w:val="26"/>
        </w:rPr>
        <w:t>年的</w:t>
      </w:r>
      <w:r>
        <w:rPr>
          <w:rFonts w:eastAsia="標楷體"/>
          <w:spacing w:val="4"/>
          <w:kern w:val="0"/>
          <w:sz w:val="28"/>
          <w:szCs w:val="26"/>
        </w:rPr>
        <w:t>86.9</w:t>
      </w:r>
      <w:r>
        <w:rPr>
          <w:rFonts w:eastAsia="標楷體"/>
          <w:spacing w:val="4"/>
          <w:kern w:val="0"/>
          <w:sz w:val="28"/>
          <w:szCs w:val="26"/>
        </w:rPr>
        <w:t>萬元，增至</w:t>
      </w:r>
      <w:r>
        <w:rPr>
          <w:rFonts w:eastAsia="標楷體"/>
          <w:spacing w:val="4"/>
          <w:kern w:val="0"/>
          <w:sz w:val="28"/>
          <w:szCs w:val="26"/>
        </w:rPr>
        <w:t>90.8</w:t>
      </w:r>
      <w:r>
        <w:rPr>
          <w:rFonts w:eastAsia="標楷體"/>
          <w:spacing w:val="4"/>
          <w:kern w:val="0"/>
          <w:sz w:val="28"/>
          <w:szCs w:val="26"/>
        </w:rPr>
        <w:t>萬元；同期間，平均每人可支配所得則由</w:t>
      </w:r>
      <w:r>
        <w:rPr>
          <w:rFonts w:eastAsia="標楷體"/>
          <w:spacing w:val="4"/>
          <w:kern w:val="0"/>
          <w:sz w:val="28"/>
          <w:szCs w:val="26"/>
        </w:rPr>
        <w:t>24.3</w:t>
      </w:r>
      <w:r>
        <w:rPr>
          <w:rFonts w:eastAsia="標楷體"/>
          <w:spacing w:val="4"/>
          <w:kern w:val="0"/>
          <w:sz w:val="28"/>
          <w:szCs w:val="26"/>
        </w:rPr>
        <w:t>萬元增至</w:t>
      </w:r>
      <w:r>
        <w:rPr>
          <w:rFonts w:eastAsia="標楷體"/>
          <w:spacing w:val="4"/>
          <w:kern w:val="0"/>
          <w:sz w:val="28"/>
          <w:szCs w:val="26"/>
        </w:rPr>
        <w:t>27.6</w:t>
      </w:r>
      <w:r>
        <w:rPr>
          <w:rFonts w:eastAsia="標楷體"/>
          <w:spacing w:val="4"/>
          <w:kern w:val="0"/>
          <w:sz w:val="28"/>
          <w:szCs w:val="26"/>
        </w:rPr>
        <w:t>萬元，增幅明顯低於經濟成長率。此外，</w:t>
      </w:r>
      <w:r>
        <w:rPr>
          <w:rFonts w:eastAsia="標楷體"/>
          <w:spacing w:val="4"/>
          <w:kern w:val="0"/>
          <w:sz w:val="28"/>
          <w:szCs w:val="26"/>
        </w:rPr>
        <w:t>100</w:t>
      </w:r>
      <w:r>
        <w:rPr>
          <w:rFonts w:eastAsia="標楷體"/>
          <w:spacing w:val="4"/>
          <w:kern w:val="0"/>
          <w:sz w:val="28"/>
          <w:szCs w:val="26"/>
        </w:rPr>
        <w:t>年每戶吉尼係數及五等分位倍數</w:t>
      </w:r>
      <w:r>
        <w:rPr>
          <w:rFonts w:eastAsia="標楷體"/>
          <w:spacing w:val="4"/>
          <w:kern w:val="0"/>
          <w:sz w:val="28"/>
          <w:szCs w:val="26"/>
        </w:rPr>
        <w:t>0.342</w:t>
      </w:r>
      <w:r>
        <w:rPr>
          <w:rFonts w:eastAsia="標楷體"/>
          <w:spacing w:val="4"/>
          <w:kern w:val="0"/>
          <w:sz w:val="28"/>
          <w:szCs w:val="26"/>
        </w:rPr>
        <w:t>及</w:t>
      </w:r>
      <w:r>
        <w:rPr>
          <w:rFonts w:eastAsia="標楷體"/>
          <w:spacing w:val="4"/>
          <w:kern w:val="0"/>
          <w:sz w:val="28"/>
          <w:szCs w:val="26"/>
        </w:rPr>
        <w:t>6.17</w:t>
      </w:r>
      <w:r>
        <w:rPr>
          <w:rFonts w:eastAsia="標楷體"/>
          <w:spacing w:val="4"/>
          <w:kern w:val="0"/>
          <w:sz w:val="28"/>
          <w:szCs w:val="26"/>
        </w:rPr>
        <w:t>倍，雖已較</w:t>
      </w:r>
      <w:r>
        <w:rPr>
          <w:rFonts w:eastAsia="標楷體"/>
          <w:spacing w:val="4"/>
          <w:kern w:val="0"/>
          <w:sz w:val="28"/>
          <w:szCs w:val="26"/>
        </w:rPr>
        <w:t>90</w:t>
      </w:r>
      <w:r>
        <w:rPr>
          <w:rFonts w:eastAsia="標楷體"/>
          <w:spacing w:val="4"/>
          <w:kern w:val="0"/>
          <w:sz w:val="28"/>
          <w:szCs w:val="26"/>
        </w:rPr>
        <w:t>年的</w:t>
      </w:r>
      <w:r>
        <w:rPr>
          <w:rFonts w:eastAsia="標楷體"/>
          <w:spacing w:val="4"/>
          <w:kern w:val="0"/>
          <w:sz w:val="28"/>
          <w:szCs w:val="26"/>
        </w:rPr>
        <w:t>0.350</w:t>
      </w:r>
      <w:r>
        <w:rPr>
          <w:rFonts w:eastAsia="標楷體"/>
          <w:spacing w:val="4"/>
          <w:kern w:val="0"/>
          <w:sz w:val="28"/>
          <w:szCs w:val="26"/>
        </w:rPr>
        <w:t>及</w:t>
      </w:r>
      <w:r>
        <w:rPr>
          <w:rFonts w:eastAsia="標楷體"/>
          <w:spacing w:val="4"/>
          <w:kern w:val="0"/>
          <w:sz w:val="28"/>
          <w:szCs w:val="26"/>
        </w:rPr>
        <w:t>6.39</w:t>
      </w:r>
      <w:r>
        <w:rPr>
          <w:rFonts w:eastAsia="標楷體"/>
          <w:spacing w:val="4"/>
          <w:kern w:val="0"/>
          <w:sz w:val="28"/>
          <w:szCs w:val="26"/>
        </w:rPr>
        <w:t>倍降低，但仍高於</w:t>
      </w:r>
      <w:r>
        <w:rPr>
          <w:rFonts w:eastAsia="標楷體"/>
          <w:spacing w:val="4"/>
          <w:kern w:val="0"/>
          <w:sz w:val="28"/>
          <w:szCs w:val="26"/>
        </w:rPr>
        <w:t>80</w:t>
      </w:r>
      <w:r>
        <w:rPr>
          <w:rFonts w:eastAsia="標楷體"/>
          <w:spacing w:val="4"/>
          <w:kern w:val="0"/>
          <w:sz w:val="28"/>
          <w:szCs w:val="26"/>
        </w:rPr>
        <w:t>年代的水準。整體而言，近</w:t>
      </w:r>
      <w:r>
        <w:rPr>
          <w:rFonts w:eastAsia="標楷體"/>
          <w:spacing w:val="4"/>
          <w:kern w:val="0"/>
          <w:sz w:val="28"/>
          <w:szCs w:val="26"/>
        </w:rPr>
        <w:t>10</w:t>
      </w:r>
      <w:r>
        <w:rPr>
          <w:rFonts w:eastAsia="標楷體"/>
          <w:spacing w:val="4"/>
          <w:kern w:val="0"/>
          <w:sz w:val="28"/>
          <w:szCs w:val="26"/>
        </w:rPr>
        <w:t>年來我國經濟成長率與所得分配差距呈現兩項特點：</w:t>
      </w:r>
    </w:p>
    <w:p w14:paraId="3D8547D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0"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外部經貿衝擊重創經濟成長動能，衍生對所得差距的負面影響。</w:t>
      </w:r>
      <w:r>
        <w:rPr>
          <w:rFonts w:eastAsia="標楷體"/>
          <w:spacing w:val="4"/>
          <w:kern w:val="0"/>
          <w:sz w:val="28"/>
          <w:szCs w:val="26"/>
        </w:rPr>
        <w:t>90</w:t>
      </w:r>
      <w:r>
        <w:rPr>
          <w:rFonts w:eastAsia="標楷體"/>
          <w:spacing w:val="4"/>
          <w:kern w:val="0"/>
          <w:sz w:val="28"/>
          <w:szCs w:val="26"/>
        </w:rPr>
        <w:t>及</w:t>
      </w:r>
      <w:r>
        <w:rPr>
          <w:rFonts w:eastAsia="標楷體"/>
          <w:spacing w:val="4"/>
          <w:kern w:val="0"/>
          <w:sz w:val="28"/>
          <w:szCs w:val="26"/>
        </w:rPr>
        <w:t>98</w:t>
      </w:r>
      <w:r>
        <w:rPr>
          <w:rFonts w:eastAsia="標楷體"/>
          <w:spacing w:val="4"/>
          <w:kern w:val="0"/>
          <w:sz w:val="28"/>
          <w:szCs w:val="26"/>
        </w:rPr>
        <w:t>年台灣經濟分別遭受網路泡沫及全球金融海嘯衝擊，兩度呈現負成長</w:t>
      </w:r>
      <w:r>
        <w:rPr>
          <w:rFonts w:eastAsia="標楷體"/>
          <w:spacing w:val="4"/>
          <w:kern w:val="0"/>
          <w:sz w:val="28"/>
          <w:szCs w:val="26"/>
        </w:rPr>
        <w:t>1.65%</w:t>
      </w:r>
      <w:r>
        <w:rPr>
          <w:rFonts w:eastAsia="標楷體"/>
          <w:spacing w:val="4"/>
          <w:kern w:val="0"/>
          <w:sz w:val="28"/>
          <w:szCs w:val="26"/>
        </w:rPr>
        <w:t>及</w:t>
      </w:r>
      <w:r>
        <w:rPr>
          <w:rFonts w:eastAsia="標楷體"/>
          <w:spacing w:val="4"/>
          <w:kern w:val="0"/>
          <w:sz w:val="28"/>
          <w:szCs w:val="26"/>
        </w:rPr>
        <w:t>1.81%</w:t>
      </w:r>
      <w:r>
        <w:rPr>
          <w:rFonts w:eastAsia="標楷體"/>
          <w:spacing w:val="4"/>
          <w:kern w:val="0"/>
          <w:sz w:val="28"/>
          <w:szCs w:val="26"/>
        </w:rPr>
        <w:t>，且因伴隨著失業人數遽增，致所得差距明顯惡化。</w:t>
      </w:r>
      <w:r>
        <w:rPr>
          <w:rFonts w:eastAsia="標楷體"/>
          <w:spacing w:val="4"/>
          <w:kern w:val="0"/>
          <w:sz w:val="28"/>
          <w:szCs w:val="26"/>
        </w:rPr>
        <w:t>90</w:t>
      </w:r>
      <w:r>
        <w:rPr>
          <w:rFonts w:eastAsia="標楷體"/>
          <w:spacing w:val="4"/>
          <w:kern w:val="0"/>
          <w:sz w:val="28"/>
          <w:szCs w:val="26"/>
        </w:rPr>
        <w:t>年五等分位所得倍數達</w:t>
      </w:r>
      <w:r>
        <w:rPr>
          <w:rFonts w:eastAsia="標楷體"/>
          <w:spacing w:val="4"/>
          <w:kern w:val="0"/>
          <w:sz w:val="28"/>
          <w:szCs w:val="26"/>
        </w:rPr>
        <w:t>6.39</w:t>
      </w:r>
      <w:r>
        <w:rPr>
          <w:rFonts w:eastAsia="標楷體"/>
          <w:spacing w:val="4"/>
          <w:kern w:val="0"/>
          <w:sz w:val="28"/>
          <w:szCs w:val="26"/>
        </w:rPr>
        <w:lastRenderedPageBreak/>
        <w:t>倍，每戶吉尼係數亦攀升至</w:t>
      </w:r>
      <w:r>
        <w:rPr>
          <w:rFonts w:eastAsia="標楷體"/>
          <w:spacing w:val="4"/>
          <w:kern w:val="0"/>
          <w:sz w:val="28"/>
          <w:szCs w:val="26"/>
        </w:rPr>
        <w:t>0.350</w:t>
      </w:r>
      <w:r>
        <w:rPr>
          <w:rFonts w:eastAsia="標楷體"/>
          <w:spacing w:val="4"/>
          <w:kern w:val="0"/>
          <w:sz w:val="28"/>
          <w:szCs w:val="26"/>
        </w:rPr>
        <w:t>，皆為歷年最高；其後所得倍數與吉尼係數逐年改善，惟</w:t>
      </w:r>
      <w:r>
        <w:rPr>
          <w:rFonts w:eastAsia="標楷體"/>
          <w:spacing w:val="4"/>
          <w:kern w:val="0"/>
          <w:sz w:val="28"/>
          <w:szCs w:val="26"/>
        </w:rPr>
        <w:t>97</w:t>
      </w:r>
      <w:r>
        <w:rPr>
          <w:rFonts w:eastAsia="標楷體"/>
          <w:spacing w:val="4"/>
          <w:kern w:val="0"/>
          <w:sz w:val="28"/>
          <w:szCs w:val="26"/>
        </w:rPr>
        <w:t>年再次惡化，</w:t>
      </w:r>
      <w:r>
        <w:rPr>
          <w:rFonts w:eastAsia="標楷體"/>
          <w:spacing w:val="4"/>
          <w:kern w:val="0"/>
          <w:sz w:val="28"/>
          <w:szCs w:val="26"/>
        </w:rPr>
        <w:t>98</w:t>
      </w:r>
      <w:r>
        <w:rPr>
          <w:rFonts w:eastAsia="標楷體"/>
          <w:spacing w:val="4"/>
          <w:kern w:val="0"/>
          <w:sz w:val="28"/>
          <w:szCs w:val="26"/>
        </w:rPr>
        <w:t>年則達歷年次高的</w:t>
      </w:r>
      <w:r>
        <w:rPr>
          <w:rFonts w:eastAsia="標楷體"/>
          <w:spacing w:val="4"/>
          <w:kern w:val="0"/>
          <w:sz w:val="28"/>
          <w:szCs w:val="26"/>
        </w:rPr>
        <w:t>6.34</w:t>
      </w:r>
      <w:r>
        <w:rPr>
          <w:rFonts w:eastAsia="標楷體"/>
          <w:spacing w:val="4"/>
          <w:kern w:val="0"/>
          <w:sz w:val="28"/>
          <w:szCs w:val="26"/>
        </w:rPr>
        <w:t>倍及</w:t>
      </w:r>
      <w:r>
        <w:rPr>
          <w:rFonts w:eastAsia="標楷體"/>
          <w:spacing w:val="4"/>
          <w:kern w:val="0"/>
          <w:sz w:val="28"/>
          <w:szCs w:val="26"/>
        </w:rPr>
        <w:t>0.345</w:t>
      </w:r>
      <w:r>
        <w:rPr>
          <w:rFonts w:eastAsia="標楷體"/>
          <w:spacing w:val="4"/>
          <w:kern w:val="0"/>
          <w:sz w:val="28"/>
          <w:szCs w:val="26"/>
        </w:rPr>
        <w:t>。</w:t>
      </w:r>
    </w:p>
    <w:p w14:paraId="3D23170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0"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受人口老化及家庭結構小型化等因素影響，以「每戶」為單位衡量所得易受戶內人數消長影響。惟若以國際間較常採用的「每人」所得為基礎衡量，則國內所得分配變動仍相對穩定。根據行政院主計總處資料，以簡易法及等值化計算「每人」吉尼係數及五等分位倍數皆低於以「每戶」衡量的結果。例如：</w:t>
      </w:r>
      <w:r>
        <w:rPr>
          <w:rFonts w:eastAsia="標楷體"/>
          <w:spacing w:val="4"/>
          <w:kern w:val="0"/>
          <w:sz w:val="28"/>
          <w:szCs w:val="26"/>
        </w:rPr>
        <w:t>100</w:t>
      </w:r>
      <w:r>
        <w:rPr>
          <w:rFonts w:eastAsia="標楷體"/>
          <w:spacing w:val="4"/>
          <w:kern w:val="0"/>
          <w:sz w:val="28"/>
          <w:szCs w:val="26"/>
        </w:rPr>
        <w:t>年以等值化計算的「每人」所得五等分位倍數為</w:t>
      </w:r>
      <w:r>
        <w:rPr>
          <w:rFonts w:eastAsia="標楷體"/>
          <w:spacing w:val="4"/>
          <w:kern w:val="0"/>
          <w:sz w:val="28"/>
          <w:szCs w:val="26"/>
        </w:rPr>
        <w:t>4.14</w:t>
      </w:r>
      <w:r>
        <w:rPr>
          <w:rFonts w:eastAsia="標楷體"/>
          <w:spacing w:val="4"/>
          <w:kern w:val="0"/>
          <w:sz w:val="28"/>
          <w:szCs w:val="26"/>
        </w:rPr>
        <w:t>倍，較「每戶」計算之</w:t>
      </w:r>
      <w:r>
        <w:rPr>
          <w:rFonts w:eastAsia="標楷體"/>
          <w:spacing w:val="4"/>
          <w:kern w:val="0"/>
          <w:sz w:val="28"/>
          <w:szCs w:val="26"/>
        </w:rPr>
        <w:t>6.17</w:t>
      </w:r>
      <w:r>
        <w:rPr>
          <w:rFonts w:eastAsia="標楷體"/>
          <w:spacing w:val="4"/>
          <w:kern w:val="0"/>
          <w:sz w:val="28"/>
          <w:szCs w:val="26"/>
        </w:rPr>
        <w:t>倍，即縮小</w:t>
      </w:r>
      <w:r>
        <w:rPr>
          <w:rFonts w:eastAsia="標楷體"/>
          <w:spacing w:val="4"/>
          <w:kern w:val="0"/>
          <w:sz w:val="28"/>
          <w:szCs w:val="26"/>
        </w:rPr>
        <w:t>2.03</w:t>
      </w:r>
      <w:r>
        <w:rPr>
          <w:rFonts w:eastAsia="標楷體"/>
          <w:spacing w:val="4"/>
          <w:kern w:val="0"/>
          <w:sz w:val="28"/>
          <w:szCs w:val="26"/>
        </w:rPr>
        <w:t>倍。</w:t>
      </w:r>
    </w:p>
    <w:p w14:paraId="0637E375" w14:textId="77777777" w:rsidR="00052596" w:rsidRDefault="00000000">
      <w:pPr>
        <w:overflowPunct w:val="0"/>
        <w:autoSpaceDE w:val="0"/>
        <w:snapToGrid w:val="0"/>
        <w:spacing w:before="168" w:line="280" w:lineRule="exact"/>
        <w:jc w:val="center"/>
        <w:textAlignment w:val="center"/>
        <w:rPr>
          <w:rFonts w:eastAsia="標楷體"/>
          <w:b/>
          <w:color w:val="0000FF"/>
          <w:kern w:val="0"/>
          <w:sz w:val="25"/>
          <w:szCs w:val="22"/>
        </w:rPr>
      </w:pPr>
      <w:r>
        <w:rPr>
          <w:rFonts w:eastAsia="標楷體"/>
          <w:b/>
          <w:color w:val="0000FF"/>
          <w:kern w:val="0"/>
          <w:sz w:val="25"/>
          <w:szCs w:val="22"/>
        </w:rPr>
        <w:t>圖</w:t>
      </w:r>
      <w:r>
        <w:rPr>
          <w:rFonts w:eastAsia="標楷體"/>
          <w:b/>
          <w:color w:val="0000FF"/>
          <w:kern w:val="0"/>
          <w:sz w:val="25"/>
          <w:szCs w:val="22"/>
        </w:rPr>
        <w:t>1.2.11</w:t>
      </w:r>
      <w:r>
        <w:rPr>
          <w:rFonts w:eastAsia="標楷體"/>
          <w:b/>
          <w:color w:val="0000FF"/>
          <w:kern w:val="0"/>
          <w:sz w:val="25"/>
          <w:szCs w:val="22"/>
        </w:rPr>
        <w:t xml:space="preserve">　經濟成長率與吉尼係數</w:t>
      </w:r>
    </w:p>
    <w:p w14:paraId="291DA68B" w14:textId="77777777" w:rsidR="00052596" w:rsidRDefault="00000000">
      <w:pPr>
        <w:tabs>
          <w:tab w:val="left" w:pos="960"/>
          <w:tab w:val="left" w:pos="1920"/>
          <w:tab w:val="left" w:pos="2880"/>
          <w:tab w:val="left" w:pos="3840"/>
          <w:tab w:val="left" w:pos="4800"/>
          <w:tab w:val="left" w:pos="5760"/>
        </w:tabs>
        <w:overflowPunct w:val="0"/>
        <w:autoSpaceDE w:val="0"/>
        <w:snapToGrid w:val="0"/>
        <w:ind w:left="144" w:hanging="216"/>
        <w:jc w:val="both"/>
        <w:textAlignment w:val="center"/>
      </w:pPr>
      <w:r>
        <w:rPr>
          <w:noProof/>
          <w:kern w:val="0"/>
          <w:szCs w:val="24"/>
        </w:rPr>
        <w:drawing>
          <wp:inline distT="0" distB="0" distL="0" distR="0" wp14:anchorId="13F8562B" wp14:editId="390E5D54">
            <wp:extent cx="5475600" cy="2306958"/>
            <wp:effectExtent l="0" t="0" r="0" b="0"/>
            <wp:docPr id="166" name="圖表 43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5475600" cy="2306958"/>
                    </a:xfrm>
                    <a:prstGeom prst="rect">
                      <a:avLst/>
                    </a:prstGeom>
                    <a:noFill/>
                    <a:ln>
                      <a:noFill/>
                      <a:prstDash/>
                    </a:ln>
                  </pic:spPr>
                </pic:pic>
              </a:graphicData>
            </a:graphic>
          </wp:inline>
        </w:drawing>
      </w:r>
    </w:p>
    <w:p w14:paraId="718AEE52" w14:textId="77777777" w:rsidR="00052596" w:rsidRDefault="00000000">
      <w:pPr>
        <w:overflowPunct w:val="0"/>
        <w:autoSpaceDE w:val="0"/>
        <w:snapToGrid w:val="0"/>
        <w:spacing w:before="72" w:line="240" w:lineRule="exact"/>
        <w:ind w:left="1699" w:hanging="1080"/>
        <w:jc w:val="both"/>
        <w:textAlignment w:val="center"/>
        <w:rPr>
          <w:rFonts w:eastAsia="標楷體"/>
          <w:spacing w:val="-2"/>
          <w:kern w:val="0"/>
          <w:sz w:val="22"/>
          <w:szCs w:val="22"/>
        </w:rPr>
      </w:pPr>
      <w:r>
        <w:rPr>
          <w:rFonts w:eastAsia="標楷體"/>
          <w:spacing w:val="-2"/>
          <w:kern w:val="0"/>
          <w:sz w:val="22"/>
          <w:szCs w:val="22"/>
        </w:rPr>
        <w:t>資料來源：行政院主計總處。</w:t>
      </w:r>
    </w:p>
    <w:p w14:paraId="79E5B918" w14:textId="77777777" w:rsidR="00052596" w:rsidRDefault="00000000">
      <w:pPr>
        <w:overflowPunct w:val="0"/>
        <w:autoSpaceDE w:val="0"/>
        <w:snapToGrid w:val="0"/>
        <w:spacing w:before="264" w:after="120" w:line="280" w:lineRule="exact"/>
        <w:jc w:val="center"/>
        <w:textAlignment w:val="center"/>
        <w:rPr>
          <w:rFonts w:eastAsia="標楷體"/>
          <w:b/>
          <w:color w:val="0000FF"/>
          <w:kern w:val="0"/>
          <w:sz w:val="25"/>
        </w:rPr>
      </w:pPr>
      <w:r>
        <w:rPr>
          <w:rFonts w:eastAsia="標楷體"/>
          <w:b/>
          <w:color w:val="0000FF"/>
          <w:kern w:val="0"/>
          <w:sz w:val="25"/>
        </w:rPr>
        <w:t>表</w:t>
      </w:r>
      <w:r>
        <w:rPr>
          <w:rFonts w:eastAsia="標楷體"/>
          <w:b/>
          <w:color w:val="0000FF"/>
          <w:kern w:val="0"/>
          <w:sz w:val="25"/>
        </w:rPr>
        <w:t>1.2.8</w:t>
      </w:r>
      <w:r>
        <w:rPr>
          <w:rFonts w:eastAsia="標楷體"/>
          <w:b/>
          <w:color w:val="0000FF"/>
          <w:kern w:val="0"/>
          <w:sz w:val="25"/>
        </w:rPr>
        <w:t xml:space="preserve">　家庭可支配所得差距</w:t>
      </w:r>
    </w:p>
    <w:tbl>
      <w:tblPr>
        <w:tblW w:w="8496" w:type="dxa"/>
        <w:jc w:val="center"/>
        <w:tblCellMar>
          <w:left w:w="10" w:type="dxa"/>
          <w:right w:w="10" w:type="dxa"/>
        </w:tblCellMar>
        <w:tblLook w:val="04A0" w:firstRow="1" w:lastRow="0" w:firstColumn="1" w:lastColumn="0" w:noHBand="0" w:noVBand="1"/>
      </w:tblPr>
      <w:tblGrid>
        <w:gridCol w:w="1074"/>
        <w:gridCol w:w="1237"/>
        <w:gridCol w:w="1237"/>
        <w:gridCol w:w="1237"/>
        <w:gridCol w:w="1237"/>
        <w:gridCol w:w="1237"/>
        <w:gridCol w:w="1237"/>
      </w:tblGrid>
      <w:tr w:rsidR="00052596" w14:paraId="73AD7314" w14:textId="77777777">
        <w:tblPrEx>
          <w:tblCellMar>
            <w:top w:w="0" w:type="dxa"/>
            <w:bottom w:w="0" w:type="dxa"/>
          </w:tblCellMar>
        </w:tblPrEx>
        <w:trPr>
          <w:trHeight w:val="214"/>
          <w:jc w:val="center"/>
        </w:trPr>
        <w:tc>
          <w:tcPr>
            <w:tcW w:w="1074" w:type="dxa"/>
            <w:vMerge w:val="restart"/>
            <w:tcBorders>
              <w:top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7CFAD0EA" w14:textId="77777777" w:rsidR="00052596" w:rsidRDefault="00000000">
            <w:pPr>
              <w:overflowPunct w:val="0"/>
              <w:autoSpaceDE w:val="0"/>
              <w:snapToGrid w:val="0"/>
              <w:spacing w:line="300" w:lineRule="exact"/>
              <w:textAlignment w:val="center"/>
              <w:rPr>
                <w:rFonts w:ascii="Calibri" w:eastAsia="標楷體" w:hAnsi="Calibri"/>
                <w:kern w:val="0"/>
                <w:sz w:val="22"/>
                <w:szCs w:val="22"/>
              </w:rPr>
            </w:pPr>
            <w:r>
              <w:rPr>
                <w:rFonts w:ascii="Calibri" w:eastAsia="標楷體" w:hAnsi="Calibri"/>
                <w:kern w:val="0"/>
                <w:sz w:val="22"/>
                <w:szCs w:val="22"/>
              </w:rPr>
              <w:t>年別</w:t>
            </w:r>
          </w:p>
        </w:tc>
        <w:tc>
          <w:tcPr>
            <w:tcW w:w="371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3D2DA34F" w14:textId="77777777" w:rsidR="00052596" w:rsidRDefault="00000000">
            <w:pPr>
              <w:overflowPunct w:val="0"/>
              <w:autoSpaceDE w:val="0"/>
              <w:snapToGrid w:val="0"/>
              <w:spacing w:line="300" w:lineRule="exact"/>
              <w:textAlignment w:val="center"/>
            </w:pPr>
            <w:r>
              <w:rPr>
                <w:rFonts w:ascii="Calibri" w:eastAsia="標楷體" w:hAnsi="Calibri"/>
                <w:kern w:val="0"/>
                <w:sz w:val="22"/>
                <w:szCs w:val="22"/>
              </w:rPr>
              <w:t>五等分位倍數</w:t>
            </w:r>
            <w:r>
              <w:rPr>
                <w:rFonts w:ascii="標楷體" w:eastAsia="標楷體" w:hAnsi="標楷體"/>
                <w:kern w:val="0"/>
                <w:sz w:val="22"/>
                <w:szCs w:val="22"/>
              </w:rPr>
              <w:t>(</w:t>
            </w:r>
            <w:r>
              <w:rPr>
                <w:rFonts w:ascii="Calibri" w:eastAsia="標楷體" w:hAnsi="Calibri"/>
                <w:kern w:val="0"/>
                <w:sz w:val="22"/>
                <w:szCs w:val="22"/>
              </w:rPr>
              <w:t>倍</w:t>
            </w:r>
            <w:r>
              <w:rPr>
                <w:rFonts w:ascii="標楷體" w:eastAsia="標楷體" w:hAnsi="標楷體"/>
                <w:kern w:val="0"/>
                <w:sz w:val="22"/>
                <w:szCs w:val="22"/>
              </w:rPr>
              <w:t>)</w:t>
            </w:r>
          </w:p>
        </w:tc>
        <w:tc>
          <w:tcPr>
            <w:tcW w:w="3711" w:type="dxa"/>
            <w:gridSpan w:val="3"/>
            <w:tcBorders>
              <w:top w:val="single" w:sz="6" w:space="0" w:color="000000"/>
              <w:left w:val="single" w:sz="6" w:space="0" w:color="000000"/>
              <w:bottom w:val="single" w:sz="6" w:space="0" w:color="000000"/>
            </w:tcBorders>
            <w:shd w:val="clear" w:color="auto" w:fill="auto"/>
            <w:tcMar>
              <w:top w:w="0" w:type="dxa"/>
              <w:left w:w="85" w:type="dxa"/>
              <w:bottom w:w="0" w:type="dxa"/>
              <w:right w:w="85" w:type="dxa"/>
            </w:tcMar>
          </w:tcPr>
          <w:p w14:paraId="1ADEE2BF" w14:textId="77777777" w:rsidR="00052596" w:rsidRDefault="00000000">
            <w:pPr>
              <w:overflowPunct w:val="0"/>
              <w:autoSpaceDE w:val="0"/>
              <w:snapToGrid w:val="0"/>
              <w:spacing w:line="300" w:lineRule="exact"/>
              <w:textAlignment w:val="center"/>
              <w:rPr>
                <w:rFonts w:ascii="Calibri" w:eastAsia="標楷體" w:hAnsi="Calibri"/>
                <w:kern w:val="0"/>
                <w:sz w:val="22"/>
                <w:szCs w:val="22"/>
              </w:rPr>
            </w:pPr>
            <w:r>
              <w:rPr>
                <w:rFonts w:ascii="Calibri" w:eastAsia="標楷體" w:hAnsi="Calibri"/>
                <w:kern w:val="0"/>
                <w:sz w:val="22"/>
                <w:szCs w:val="22"/>
              </w:rPr>
              <w:t>吉尼係數</w:t>
            </w:r>
          </w:p>
        </w:tc>
      </w:tr>
      <w:tr w:rsidR="00052596" w14:paraId="79625E03" w14:textId="77777777">
        <w:tblPrEx>
          <w:tblCellMar>
            <w:top w:w="0" w:type="dxa"/>
            <w:bottom w:w="0" w:type="dxa"/>
          </w:tblCellMar>
        </w:tblPrEx>
        <w:trPr>
          <w:trHeight w:val="292"/>
          <w:jc w:val="center"/>
        </w:trPr>
        <w:tc>
          <w:tcPr>
            <w:tcW w:w="1074" w:type="dxa"/>
            <w:vMerge/>
            <w:tcBorders>
              <w:top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6024C139" w14:textId="77777777" w:rsidR="00052596" w:rsidRDefault="00052596">
            <w:pPr>
              <w:overflowPunct w:val="0"/>
              <w:autoSpaceDE w:val="0"/>
              <w:snapToGrid w:val="0"/>
              <w:spacing w:line="300" w:lineRule="exact"/>
              <w:textAlignment w:val="center"/>
              <w:rPr>
                <w:rFonts w:ascii="Calibri" w:eastAsia="標楷體" w:hAnsi="Calibri"/>
                <w:kern w:val="0"/>
                <w:sz w:val="22"/>
                <w:szCs w:val="22"/>
              </w:rPr>
            </w:pPr>
          </w:p>
        </w:tc>
        <w:tc>
          <w:tcPr>
            <w:tcW w:w="123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7D158464" w14:textId="77777777" w:rsidR="00052596" w:rsidRDefault="00000000">
            <w:pPr>
              <w:overflowPunct w:val="0"/>
              <w:autoSpaceDE w:val="0"/>
              <w:snapToGrid w:val="0"/>
              <w:spacing w:line="300" w:lineRule="exact"/>
              <w:textAlignment w:val="center"/>
              <w:rPr>
                <w:rFonts w:ascii="Calibri" w:eastAsia="標楷體" w:hAnsi="Calibri"/>
                <w:kern w:val="0"/>
                <w:sz w:val="22"/>
                <w:szCs w:val="22"/>
              </w:rPr>
            </w:pPr>
            <w:r>
              <w:rPr>
                <w:rFonts w:ascii="Calibri" w:eastAsia="標楷體" w:hAnsi="Calibri"/>
                <w:kern w:val="0"/>
                <w:sz w:val="22"/>
                <w:szCs w:val="22"/>
              </w:rPr>
              <w:t>每戶所得</w:t>
            </w:r>
          </w:p>
        </w:tc>
        <w:tc>
          <w:tcPr>
            <w:tcW w:w="247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3D84E49E" w14:textId="77777777" w:rsidR="00052596" w:rsidRDefault="00000000">
            <w:pPr>
              <w:overflowPunct w:val="0"/>
              <w:autoSpaceDE w:val="0"/>
              <w:snapToGrid w:val="0"/>
              <w:spacing w:line="300" w:lineRule="exact"/>
              <w:textAlignment w:val="center"/>
              <w:rPr>
                <w:rFonts w:ascii="Calibri" w:eastAsia="標楷體" w:hAnsi="Calibri"/>
                <w:kern w:val="0"/>
                <w:sz w:val="22"/>
                <w:szCs w:val="22"/>
              </w:rPr>
            </w:pPr>
            <w:r>
              <w:rPr>
                <w:rFonts w:ascii="Calibri" w:eastAsia="標楷體" w:hAnsi="Calibri"/>
                <w:kern w:val="0"/>
                <w:sz w:val="22"/>
                <w:szCs w:val="22"/>
              </w:rPr>
              <w:t>每人所得</w:t>
            </w:r>
          </w:p>
        </w:tc>
        <w:tc>
          <w:tcPr>
            <w:tcW w:w="123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2E4357A4" w14:textId="77777777" w:rsidR="00052596" w:rsidRDefault="00000000">
            <w:pPr>
              <w:overflowPunct w:val="0"/>
              <w:autoSpaceDE w:val="0"/>
              <w:snapToGrid w:val="0"/>
              <w:spacing w:line="300" w:lineRule="exact"/>
              <w:textAlignment w:val="center"/>
              <w:rPr>
                <w:rFonts w:ascii="Calibri" w:eastAsia="標楷體" w:hAnsi="Calibri"/>
                <w:kern w:val="0"/>
                <w:sz w:val="22"/>
                <w:szCs w:val="22"/>
              </w:rPr>
            </w:pPr>
            <w:r>
              <w:rPr>
                <w:rFonts w:ascii="Calibri" w:eastAsia="標楷體" w:hAnsi="Calibri"/>
                <w:kern w:val="0"/>
                <w:sz w:val="22"/>
                <w:szCs w:val="22"/>
              </w:rPr>
              <w:t>每戶所得</w:t>
            </w:r>
          </w:p>
        </w:tc>
        <w:tc>
          <w:tcPr>
            <w:tcW w:w="2474" w:type="dxa"/>
            <w:gridSpan w:val="2"/>
            <w:tcBorders>
              <w:top w:val="single" w:sz="6" w:space="0" w:color="000000"/>
              <w:left w:val="single" w:sz="6" w:space="0" w:color="000000"/>
              <w:bottom w:val="single" w:sz="6" w:space="0" w:color="000000"/>
            </w:tcBorders>
            <w:shd w:val="clear" w:color="auto" w:fill="auto"/>
            <w:tcMar>
              <w:top w:w="0" w:type="dxa"/>
              <w:left w:w="85" w:type="dxa"/>
              <w:bottom w:w="0" w:type="dxa"/>
              <w:right w:w="85" w:type="dxa"/>
            </w:tcMar>
            <w:vAlign w:val="center"/>
          </w:tcPr>
          <w:p w14:paraId="68860B0A" w14:textId="77777777" w:rsidR="00052596" w:rsidRDefault="00000000">
            <w:pPr>
              <w:overflowPunct w:val="0"/>
              <w:autoSpaceDE w:val="0"/>
              <w:snapToGrid w:val="0"/>
              <w:spacing w:line="300" w:lineRule="exact"/>
              <w:textAlignment w:val="center"/>
              <w:rPr>
                <w:rFonts w:ascii="Calibri" w:eastAsia="標楷體" w:hAnsi="Calibri"/>
                <w:kern w:val="0"/>
                <w:sz w:val="22"/>
                <w:szCs w:val="22"/>
              </w:rPr>
            </w:pPr>
            <w:r>
              <w:rPr>
                <w:rFonts w:ascii="Calibri" w:eastAsia="標楷體" w:hAnsi="Calibri"/>
                <w:kern w:val="0"/>
                <w:sz w:val="22"/>
                <w:szCs w:val="22"/>
              </w:rPr>
              <w:t>每人所得</w:t>
            </w:r>
          </w:p>
        </w:tc>
      </w:tr>
      <w:tr w:rsidR="00052596" w14:paraId="40B79C4D" w14:textId="77777777">
        <w:tblPrEx>
          <w:tblCellMar>
            <w:top w:w="0" w:type="dxa"/>
            <w:bottom w:w="0" w:type="dxa"/>
          </w:tblCellMar>
        </w:tblPrEx>
        <w:trPr>
          <w:trHeight w:val="666"/>
          <w:jc w:val="center"/>
        </w:trPr>
        <w:tc>
          <w:tcPr>
            <w:tcW w:w="1074" w:type="dxa"/>
            <w:vMerge/>
            <w:tcBorders>
              <w:top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4DBDA20F" w14:textId="77777777" w:rsidR="00052596" w:rsidRDefault="00052596">
            <w:pPr>
              <w:overflowPunct w:val="0"/>
              <w:autoSpaceDE w:val="0"/>
              <w:snapToGrid w:val="0"/>
              <w:spacing w:line="300" w:lineRule="exact"/>
              <w:textAlignment w:val="center"/>
              <w:rPr>
                <w:rFonts w:ascii="Calibri" w:eastAsia="標楷體" w:hAnsi="Calibri"/>
                <w:kern w:val="0"/>
                <w:sz w:val="22"/>
                <w:szCs w:val="22"/>
              </w:rPr>
            </w:pPr>
          </w:p>
        </w:tc>
        <w:tc>
          <w:tcPr>
            <w:tcW w:w="123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7EFEF4C9" w14:textId="77777777" w:rsidR="00052596" w:rsidRDefault="00052596">
            <w:pPr>
              <w:overflowPunct w:val="0"/>
              <w:autoSpaceDE w:val="0"/>
              <w:snapToGrid w:val="0"/>
              <w:spacing w:line="300" w:lineRule="exact"/>
              <w:textAlignment w:val="center"/>
              <w:rPr>
                <w:rFonts w:ascii="Calibri" w:eastAsia="標楷體" w:hAnsi="Calibri"/>
                <w:kern w:val="0"/>
                <w:sz w:val="22"/>
                <w:szCs w:val="22"/>
              </w:rPr>
            </w:pP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14:paraId="1601ACF9" w14:textId="77777777" w:rsidR="00052596" w:rsidRDefault="00000000">
            <w:pPr>
              <w:overflowPunct w:val="0"/>
              <w:autoSpaceDE w:val="0"/>
              <w:snapToGrid w:val="0"/>
              <w:spacing w:line="300" w:lineRule="exact"/>
              <w:textAlignment w:val="center"/>
            </w:pPr>
            <w:r>
              <w:rPr>
                <w:rFonts w:ascii="標楷體" w:eastAsia="標楷體" w:hAnsi="標楷體"/>
                <w:kern w:val="0"/>
                <w:sz w:val="20"/>
              </w:rPr>
              <w:t>簡易法</w:t>
            </w:r>
            <w:r>
              <w:rPr>
                <w:rFonts w:ascii="標楷體" w:eastAsia="標楷體" w:hAnsi="標楷體"/>
                <w:kern w:val="0"/>
                <w:sz w:val="20"/>
              </w:rPr>
              <w:br/>
              <w:t>(</w:t>
            </w:r>
            <w:r>
              <w:rPr>
                <w:rFonts w:ascii="Calibri" w:eastAsia="標楷體" w:hAnsi="Calibri"/>
                <w:kern w:val="0"/>
                <w:sz w:val="20"/>
              </w:rPr>
              <w:t>每戶所得</w:t>
            </w:r>
            <w:r>
              <w:rPr>
                <w:rFonts w:eastAsia="標楷體"/>
                <w:kern w:val="0"/>
                <w:sz w:val="20"/>
              </w:rPr>
              <w:t>/</w:t>
            </w:r>
            <w:r>
              <w:rPr>
                <w:rFonts w:ascii="Calibri" w:eastAsia="標楷體" w:hAnsi="Calibri"/>
                <w:kern w:val="0"/>
                <w:sz w:val="20"/>
              </w:rPr>
              <w:t>戶量</w:t>
            </w:r>
            <w:r>
              <w:rPr>
                <w:rFonts w:ascii="標楷體" w:eastAsia="標楷體" w:hAnsi="標楷體"/>
                <w:kern w:val="0"/>
                <w:sz w:val="20"/>
              </w:rPr>
              <w:t>)</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595579F0" w14:textId="77777777" w:rsidR="00052596" w:rsidRDefault="00000000">
            <w:pPr>
              <w:overflowPunct w:val="0"/>
              <w:autoSpaceDE w:val="0"/>
              <w:snapToGrid w:val="0"/>
              <w:spacing w:line="300" w:lineRule="exact"/>
              <w:textAlignment w:val="center"/>
            </w:pPr>
            <w:r>
              <w:rPr>
                <w:rFonts w:ascii="標楷體" w:eastAsia="標楷體" w:hAnsi="標楷體"/>
                <w:kern w:val="0"/>
                <w:sz w:val="20"/>
              </w:rPr>
              <w:t>等值化</w:t>
            </w:r>
            <w:r>
              <w:rPr>
                <w:rFonts w:ascii="標楷體" w:eastAsia="標楷體" w:hAnsi="標楷體"/>
                <w:kern w:val="0"/>
                <w:sz w:val="20"/>
              </w:rPr>
              <w:br/>
              <w:t>(</w:t>
            </w:r>
            <w:r>
              <w:rPr>
                <w:rFonts w:ascii="Calibri" w:eastAsia="標楷體" w:hAnsi="Calibri"/>
                <w:kern w:val="0"/>
                <w:sz w:val="20"/>
              </w:rPr>
              <w:t>每戶所得</w:t>
            </w:r>
            <w:r>
              <w:rPr>
                <w:rFonts w:eastAsia="標楷體"/>
                <w:kern w:val="0"/>
                <w:sz w:val="20"/>
              </w:rPr>
              <w:t>/</w:t>
            </w:r>
            <w:r>
              <w:rPr>
                <w:rFonts w:ascii="標楷體" w:eastAsia="標楷體" w:hAnsi="標楷體"/>
                <w:kern w:val="0"/>
                <w:sz w:val="22"/>
                <w:szCs w:val="22"/>
              </w:rPr>
              <w:object w:dxaOrig="653" w:dyaOrig="368" w14:anchorId="771F31B5">
                <v:shape id="Object 8" o:spid="_x0000_i1027" type="#_x0000_t75" style="width:32.65pt;height:18.4pt;visibility:visible;mso-wrap-style:square" o:ole="">
                  <v:imagedata r:id="rId53" o:title=""/>
                </v:shape>
                <o:OLEObject Type="Embed" ProgID="Unknown" ShapeID="Object 8" DrawAspect="Content" ObjectID="_1720853757" r:id="rId54"/>
              </w:object>
            </w:r>
            <w:r>
              <w:rPr>
                <w:rFonts w:ascii="標楷體" w:eastAsia="標楷體" w:hAnsi="標楷體"/>
                <w:kern w:val="0"/>
                <w:sz w:val="18"/>
                <w:szCs w:val="18"/>
              </w:rPr>
              <w:t>)</w:t>
            </w:r>
          </w:p>
        </w:tc>
        <w:tc>
          <w:tcPr>
            <w:tcW w:w="123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3F33CFD8" w14:textId="77777777" w:rsidR="00052596" w:rsidRDefault="00052596">
            <w:pPr>
              <w:overflowPunct w:val="0"/>
              <w:autoSpaceDE w:val="0"/>
              <w:snapToGrid w:val="0"/>
              <w:spacing w:line="300" w:lineRule="exact"/>
              <w:textAlignment w:val="center"/>
              <w:rPr>
                <w:rFonts w:ascii="Calibri" w:eastAsia="標楷體" w:hAnsi="Calibri"/>
                <w:kern w:val="0"/>
                <w:sz w:val="22"/>
                <w:szCs w:val="22"/>
              </w:rPr>
            </w:pP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14:paraId="41B95B46" w14:textId="77777777" w:rsidR="00052596" w:rsidRDefault="00000000">
            <w:pPr>
              <w:overflowPunct w:val="0"/>
              <w:autoSpaceDE w:val="0"/>
              <w:snapToGrid w:val="0"/>
              <w:spacing w:line="300" w:lineRule="exact"/>
              <w:textAlignment w:val="center"/>
            </w:pPr>
            <w:r>
              <w:rPr>
                <w:rFonts w:ascii="標楷體" w:eastAsia="標楷體" w:hAnsi="標楷體"/>
                <w:kern w:val="0"/>
                <w:sz w:val="20"/>
              </w:rPr>
              <w:t>簡易法</w:t>
            </w:r>
            <w:r>
              <w:rPr>
                <w:rFonts w:ascii="標楷體" w:eastAsia="標楷體" w:hAnsi="標楷體"/>
                <w:kern w:val="0"/>
                <w:sz w:val="20"/>
              </w:rPr>
              <w:br/>
              <w:t>(</w:t>
            </w:r>
            <w:r>
              <w:rPr>
                <w:rFonts w:ascii="Calibri" w:eastAsia="標楷體" w:hAnsi="Calibri"/>
                <w:kern w:val="0"/>
                <w:sz w:val="20"/>
              </w:rPr>
              <w:t>每戶所得</w:t>
            </w:r>
            <w:r>
              <w:rPr>
                <w:rFonts w:eastAsia="標楷體"/>
                <w:kern w:val="0"/>
                <w:sz w:val="20"/>
              </w:rPr>
              <w:t>/</w:t>
            </w:r>
            <w:r>
              <w:rPr>
                <w:rFonts w:ascii="Calibri" w:eastAsia="標楷體" w:hAnsi="Calibri"/>
                <w:kern w:val="0"/>
                <w:sz w:val="20"/>
              </w:rPr>
              <w:t>戶量</w:t>
            </w:r>
            <w:r>
              <w:rPr>
                <w:rFonts w:ascii="標楷體" w:eastAsia="標楷體" w:hAnsi="標楷體"/>
                <w:kern w:val="0"/>
                <w:sz w:val="20"/>
              </w:rPr>
              <w:t>)</w:t>
            </w:r>
          </w:p>
        </w:tc>
        <w:tc>
          <w:tcPr>
            <w:tcW w:w="1237" w:type="dxa"/>
            <w:tcBorders>
              <w:top w:val="single" w:sz="6" w:space="0" w:color="000000"/>
              <w:left w:val="single" w:sz="6" w:space="0" w:color="000000"/>
              <w:bottom w:val="single" w:sz="6" w:space="0" w:color="000000"/>
            </w:tcBorders>
            <w:shd w:val="clear" w:color="auto" w:fill="auto"/>
            <w:tcMar>
              <w:top w:w="0" w:type="dxa"/>
              <w:left w:w="85" w:type="dxa"/>
              <w:bottom w:w="0" w:type="dxa"/>
              <w:right w:w="85" w:type="dxa"/>
            </w:tcMar>
            <w:vAlign w:val="center"/>
          </w:tcPr>
          <w:p w14:paraId="7EEF630B" w14:textId="77777777" w:rsidR="00052596" w:rsidRDefault="00000000">
            <w:pPr>
              <w:overflowPunct w:val="0"/>
              <w:autoSpaceDE w:val="0"/>
              <w:snapToGrid w:val="0"/>
              <w:spacing w:line="300" w:lineRule="exact"/>
              <w:textAlignment w:val="center"/>
            </w:pPr>
            <w:r>
              <w:rPr>
                <w:rFonts w:ascii="標楷體" w:eastAsia="標楷體" w:hAnsi="標楷體"/>
                <w:kern w:val="0"/>
                <w:sz w:val="20"/>
              </w:rPr>
              <w:t>等值化</w:t>
            </w:r>
            <w:r>
              <w:rPr>
                <w:rFonts w:ascii="標楷體" w:eastAsia="標楷體" w:hAnsi="標楷體"/>
                <w:kern w:val="0"/>
                <w:sz w:val="20"/>
              </w:rPr>
              <w:br/>
              <w:t>(</w:t>
            </w:r>
            <w:r>
              <w:rPr>
                <w:rFonts w:ascii="Calibri" w:eastAsia="標楷體" w:hAnsi="Calibri"/>
                <w:kern w:val="0"/>
                <w:sz w:val="20"/>
              </w:rPr>
              <w:t>每戶所得</w:t>
            </w:r>
            <w:r>
              <w:rPr>
                <w:rFonts w:eastAsia="標楷體"/>
                <w:kern w:val="0"/>
                <w:sz w:val="20"/>
              </w:rPr>
              <w:t>/</w:t>
            </w:r>
            <w:r>
              <w:rPr>
                <w:rFonts w:ascii="標楷體" w:eastAsia="標楷體" w:hAnsi="標楷體"/>
                <w:kern w:val="0"/>
                <w:sz w:val="22"/>
                <w:szCs w:val="22"/>
              </w:rPr>
              <w:object w:dxaOrig="653" w:dyaOrig="368" w14:anchorId="02C2F6ED">
                <v:shape id="Object 9" o:spid="_x0000_i1028" type="#_x0000_t75" style="width:32.65pt;height:18.4pt;visibility:visible;mso-wrap-style:square" o:ole="">
                  <v:imagedata r:id="rId53" o:title=""/>
                </v:shape>
                <o:OLEObject Type="Embed" ProgID="Unknown" ShapeID="Object 9" DrawAspect="Content" ObjectID="_1720853758" r:id="rId55"/>
              </w:object>
            </w:r>
            <w:r>
              <w:rPr>
                <w:rFonts w:ascii="標楷體" w:eastAsia="標楷體" w:hAnsi="標楷體"/>
                <w:kern w:val="0"/>
                <w:sz w:val="18"/>
                <w:szCs w:val="18"/>
              </w:rPr>
              <w:t>)</w:t>
            </w:r>
          </w:p>
        </w:tc>
      </w:tr>
      <w:tr w:rsidR="00052596" w14:paraId="089790DA" w14:textId="77777777">
        <w:tblPrEx>
          <w:tblCellMar>
            <w:top w:w="0" w:type="dxa"/>
            <w:bottom w:w="0" w:type="dxa"/>
          </w:tblCellMar>
        </w:tblPrEx>
        <w:trPr>
          <w:jc w:val="center"/>
        </w:trPr>
        <w:tc>
          <w:tcPr>
            <w:tcW w:w="1074" w:type="dxa"/>
            <w:tcBorders>
              <w:top w:val="single" w:sz="6" w:space="0" w:color="000000"/>
              <w:right w:val="single" w:sz="6" w:space="0" w:color="000000"/>
            </w:tcBorders>
            <w:shd w:val="clear" w:color="auto" w:fill="auto"/>
            <w:tcMar>
              <w:top w:w="0" w:type="dxa"/>
              <w:left w:w="85" w:type="dxa"/>
              <w:bottom w:w="0" w:type="dxa"/>
              <w:right w:w="85" w:type="dxa"/>
            </w:tcMar>
            <w:vAlign w:val="center"/>
          </w:tcPr>
          <w:p w14:paraId="5EF400D3"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90</w:t>
            </w:r>
          </w:p>
        </w:tc>
        <w:tc>
          <w:tcPr>
            <w:tcW w:w="1237" w:type="dxa"/>
            <w:tcBorders>
              <w:top w:val="single" w:sz="6" w:space="0" w:color="000000"/>
              <w:left w:val="single" w:sz="6" w:space="0" w:color="000000"/>
              <w:right w:val="single" w:sz="6" w:space="0" w:color="000000"/>
            </w:tcBorders>
            <w:shd w:val="clear" w:color="auto" w:fill="auto"/>
            <w:tcMar>
              <w:top w:w="0" w:type="dxa"/>
              <w:left w:w="85" w:type="dxa"/>
              <w:bottom w:w="0" w:type="dxa"/>
              <w:right w:w="85" w:type="dxa"/>
            </w:tcMar>
            <w:vAlign w:val="center"/>
          </w:tcPr>
          <w:p w14:paraId="51D08A19"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6.39</w:t>
            </w:r>
          </w:p>
        </w:tc>
        <w:tc>
          <w:tcPr>
            <w:tcW w:w="1237" w:type="dxa"/>
            <w:tcBorders>
              <w:top w:val="single" w:sz="6" w:space="0" w:color="000000"/>
              <w:left w:val="single" w:sz="6" w:space="0" w:color="000000"/>
              <w:right w:val="single" w:sz="6" w:space="0" w:color="000000"/>
            </w:tcBorders>
            <w:shd w:val="clear" w:color="auto" w:fill="auto"/>
            <w:tcMar>
              <w:top w:w="0" w:type="dxa"/>
              <w:left w:w="85" w:type="dxa"/>
              <w:bottom w:w="0" w:type="dxa"/>
              <w:right w:w="85" w:type="dxa"/>
            </w:tcMar>
            <w:vAlign w:val="center"/>
          </w:tcPr>
          <w:p w14:paraId="484ECD0E"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4.57</w:t>
            </w:r>
          </w:p>
        </w:tc>
        <w:tc>
          <w:tcPr>
            <w:tcW w:w="1237" w:type="dxa"/>
            <w:tcBorders>
              <w:top w:val="single" w:sz="6" w:space="0" w:color="000000"/>
              <w:left w:val="single" w:sz="6" w:space="0" w:color="000000"/>
              <w:right w:val="single" w:sz="6" w:space="0" w:color="000000"/>
            </w:tcBorders>
            <w:shd w:val="clear" w:color="auto" w:fill="auto"/>
            <w:tcMar>
              <w:top w:w="0" w:type="dxa"/>
              <w:left w:w="85" w:type="dxa"/>
              <w:bottom w:w="0" w:type="dxa"/>
              <w:right w:w="85" w:type="dxa"/>
            </w:tcMar>
            <w:vAlign w:val="center"/>
          </w:tcPr>
          <w:p w14:paraId="121D621D"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4.31</w:t>
            </w:r>
          </w:p>
        </w:tc>
        <w:tc>
          <w:tcPr>
            <w:tcW w:w="1237" w:type="dxa"/>
            <w:tcBorders>
              <w:top w:val="single" w:sz="6" w:space="0" w:color="000000"/>
              <w:left w:val="single" w:sz="6" w:space="0" w:color="000000"/>
              <w:right w:val="single" w:sz="6" w:space="0" w:color="000000"/>
            </w:tcBorders>
            <w:shd w:val="clear" w:color="auto" w:fill="auto"/>
            <w:tcMar>
              <w:top w:w="0" w:type="dxa"/>
              <w:left w:w="85" w:type="dxa"/>
              <w:bottom w:w="0" w:type="dxa"/>
              <w:right w:w="85" w:type="dxa"/>
            </w:tcMar>
            <w:vAlign w:val="center"/>
          </w:tcPr>
          <w:p w14:paraId="0C49A5B7"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0.350</w:t>
            </w:r>
          </w:p>
        </w:tc>
        <w:tc>
          <w:tcPr>
            <w:tcW w:w="1237" w:type="dxa"/>
            <w:tcBorders>
              <w:top w:val="single" w:sz="6" w:space="0" w:color="000000"/>
              <w:left w:val="single" w:sz="6" w:space="0" w:color="000000"/>
              <w:right w:val="single" w:sz="6" w:space="0" w:color="000000"/>
            </w:tcBorders>
            <w:shd w:val="clear" w:color="auto" w:fill="auto"/>
            <w:tcMar>
              <w:top w:w="0" w:type="dxa"/>
              <w:left w:w="85" w:type="dxa"/>
              <w:bottom w:w="0" w:type="dxa"/>
              <w:right w:w="85" w:type="dxa"/>
            </w:tcMar>
            <w:vAlign w:val="center"/>
          </w:tcPr>
          <w:p w14:paraId="00671348"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0.312</w:t>
            </w:r>
          </w:p>
        </w:tc>
        <w:tc>
          <w:tcPr>
            <w:tcW w:w="1237" w:type="dxa"/>
            <w:tcBorders>
              <w:top w:val="single" w:sz="6" w:space="0" w:color="000000"/>
              <w:left w:val="single" w:sz="6" w:space="0" w:color="000000"/>
            </w:tcBorders>
            <w:shd w:val="clear" w:color="auto" w:fill="auto"/>
            <w:tcMar>
              <w:top w:w="0" w:type="dxa"/>
              <w:left w:w="85" w:type="dxa"/>
              <w:bottom w:w="0" w:type="dxa"/>
              <w:right w:w="85" w:type="dxa"/>
            </w:tcMar>
            <w:vAlign w:val="center"/>
          </w:tcPr>
          <w:p w14:paraId="0D5B74AC"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0.295</w:t>
            </w:r>
          </w:p>
        </w:tc>
      </w:tr>
      <w:tr w:rsidR="00052596" w14:paraId="7AC8EC3E" w14:textId="77777777">
        <w:tblPrEx>
          <w:tblCellMar>
            <w:top w:w="0" w:type="dxa"/>
            <w:bottom w:w="0" w:type="dxa"/>
          </w:tblCellMar>
        </w:tblPrEx>
        <w:trPr>
          <w:jc w:val="center"/>
        </w:trPr>
        <w:tc>
          <w:tcPr>
            <w:tcW w:w="1074" w:type="dxa"/>
            <w:tcBorders>
              <w:right w:val="single" w:sz="6" w:space="0" w:color="000000"/>
            </w:tcBorders>
            <w:shd w:val="clear" w:color="auto" w:fill="auto"/>
            <w:tcMar>
              <w:top w:w="0" w:type="dxa"/>
              <w:left w:w="85" w:type="dxa"/>
              <w:bottom w:w="0" w:type="dxa"/>
              <w:right w:w="85" w:type="dxa"/>
            </w:tcMar>
            <w:vAlign w:val="center"/>
          </w:tcPr>
          <w:p w14:paraId="399CBD0A"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95</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4D0CFD5C"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6.01</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06607E7A"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4.18</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3EE0CFCF"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3.98</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51910899"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0.339</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4403AB9A"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0.295</w:t>
            </w:r>
          </w:p>
        </w:tc>
        <w:tc>
          <w:tcPr>
            <w:tcW w:w="1237" w:type="dxa"/>
            <w:tcBorders>
              <w:left w:val="single" w:sz="6" w:space="0" w:color="000000"/>
            </w:tcBorders>
            <w:shd w:val="clear" w:color="auto" w:fill="auto"/>
            <w:tcMar>
              <w:top w:w="0" w:type="dxa"/>
              <w:left w:w="85" w:type="dxa"/>
              <w:bottom w:w="0" w:type="dxa"/>
              <w:right w:w="85" w:type="dxa"/>
            </w:tcMar>
            <w:vAlign w:val="center"/>
          </w:tcPr>
          <w:p w14:paraId="5BDAFA80"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0.281</w:t>
            </w:r>
          </w:p>
        </w:tc>
      </w:tr>
      <w:tr w:rsidR="00052596" w14:paraId="26309AC2" w14:textId="77777777">
        <w:tblPrEx>
          <w:tblCellMar>
            <w:top w:w="0" w:type="dxa"/>
            <w:bottom w:w="0" w:type="dxa"/>
          </w:tblCellMar>
        </w:tblPrEx>
        <w:trPr>
          <w:jc w:val="center"/>
        </w:trPr>
        <w:tc>
          <w:tcPr>
            <w:tcW w:w="1074" w:type="dxa"/>
            <w:tcBorders>
              <w:right w:val="single" w:sz="6" w:space="0" w:color="000000"/>
            </w:tcBorders>
            <w:shd w:val="clear" w:color="auto" w:fill="auto"/>
            <w:tcMar>
              <w:top w:w="0" w:type="dxa"/>
              <w:left w:w="85" w:type="dxa"/>
              <w:bottom w:w="0" w:type="dxa"/>
              <w:right w:w="85" w:type="dxa"/>
            </w:tcMar>
            <w:vAlign w:val="center"/>
          </w:tcPr>
          <w:p w14:paraId="091C0E5F"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96</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14601221"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5.98</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44A437A2"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4.16</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6AF70BCE"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4.03</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228CC264"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0.340</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0D0A472E"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0.296</w:t>
            </w:r>
          </w:p>
        </w:tc>
        <w:tc>
          <w:tcPr>
            <w:tcW w:w="1237" w:type="dxa"/>
            <w:tcBorders>
              <w:left w:val="single" w:sz="6" w:space="0" w:color="000000"/>
            </w:tcBorders>
            <w:shd w:val="clear" w:color="auto" w:fill="auto"/>
            <w:tcMar>
              <w:top w:w="0" w:type="dxa"/>
              <w:left w:w="85" w:type="dxa"/>
              <w:bottom w:w="0" w:type="dxa"/>
              <w:right w:w="85" w:type="dxa"/>
            </w:tcMar>
            <w:vAlign w:val="center"/>
          </w:tcPr>
          <w:p w14:paraId="5E5962CF"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0.284</w:t>
            </w:r>
          </w:p>
        </w:tc>
      </w:tr>
      <w:tr w:rsidR="00052596" w14:paraId="06FB43AE" w14:textId="77777777">
        <w:tblPrEx>
          <w:tblCellMar>
            <w:top w:w="0" w:type="dxa"/>
            <w:bottom w:w="0" w:type="dxa"/>
          </w:tblCellMar>
        </w:tblPrEx>
        <w:trPr>
          <w:jc w:val="center"/>
        </w:trPr>
        <w:tc>
          <w:tcPr>
            <w:tcW w:w="1074" w:type="dxa"/>
            <w:tcBorders>
              <w:right w:val="single" w:sz="6" w:space="0" w:color="000000"/>
            </w:tcBorders>
            <w:shd w:val="clear" w:color="auto" w:fill="auto"/>
            <w:tcMar>
              <w:top w:w="0" w:type="dxa"/>
              <w:left w:w="85" w:type="dxa"/>
              <w:bottom w:w="0" w:type="dxa"/>
              <w:right w:w="85" w:type="dxa"/>
            </w:tcMar>
            <w:vAlign w:val="center"/>
          </w:tcPr>
          <w:p w14:paraId="31ADCC1C"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97</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737C1A85"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6.05</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7B126409"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4.23</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0B94BA10"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4.02</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63B2B6FA"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0.341</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5A227361"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0.300</w:t>
            </w:r>
          </w:p>
        </w:tc>
        <w:tc>
          <w:tcPr>
            <w:tcW w:w="1237" w:type="dxa"/>
            <w:tcBorders>
              <w:left w:val="single" w:sz="6" w:space="0" w:color="000000"/>
            </w:tcBorders>
            <w:shd w:val="clear" w:color="auto" w:fill="auto"/>
            <w:tcMar>
              <w:top w:w="0" w:type="dxa"/>
              <w:left w:w="85" w:type="dxa"/>
              <w:bottom w:w="0" w:type="dxa"/>
              <w:right w:w="85" w:type="dxa"/>
            </w:tcMar>
            <w:vAlign w:val="center"/>
          </w:tcPr>
          <w:p w14:paraId="76B132EA"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0.284</w:t>
            </w:r>
          </w:p>
        </w:tc>
      </w:tr>
      <w:tr w:rsidR="00052596" w14:paraId="3D94865A" w14:textId="77777777">
        <w:tblPrEx>
          <w:tblCellMar>
            <w:top w:w="0" w:type="dxa"/>
            <w:bottom w:w="0" w:type="dxa"/>
          </w:tblCellMar>
        </w:tblPrEx>
        <w:trPr>
          <w:jc w:val="center"/>
        </w:trPr>
        <w:tc>
          <w:tcPr>
            <w:tcW w:w="1074" w:type="dxa"/>
            <w:tcBorders>
              <w:right w:val="single" w:sz="6" w:space="0" w:color="000000"/>
            </w:tcBorders>
            <w:shd w:val="clear" w:color="auto" w:fill="auto"/>
            <w:tcMar>
              <w:top w:w="0" w:type="dxa"/>
              <w:left w:w="85" w:type="dxa"/>
              <w:bottom w:w="0" w:type="dxa"/>
              <w:right w:w="85" w:type="dxa"/>
            </w:tcMar>
            <w:vAlign w:val="center"/>
          </w:tcPr>
          <w:p w14:paraId="706029AC"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98</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342BA5EB"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6.34</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0988FAB9"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4.35</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67073038"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4.18</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19D1CA35"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0.345</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20472261"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0.302</w:t>
            </w:r>
          </w:p>
        </w:tc>
        <w:tc>
          <w:tcPr>
            <w:tcW w:w="1237" w:type="dxa"/>
            <w:tcBorders>
              <w:left w:val="single" w:sz="6" w:space="0" w:color="000000"/>
            </w:tcBorders>
            <w:shd w:val="clear" w:color="auto" w:fill="auto"/>
            <w:tcMar>
              <w:top w:w="0" w:type="dxa"/>
              <w:left w:w="85" w:type="dxa"/>
              <w:bottom w:w="0" w:type="dxa"/>
              <w:right w:w="85" w:type="dxa"/>
            </w:tcMar>
            <w:vAlign w:val="center"/>
          </w:tcPr>
          <w:p w14:paraId="63FEB5E2"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0.286</w:t>
            </w:r>
          </w:p>
        </w:tc>
      </w:tr>
      <w:tr w:rsidR="00052596" w14:paraId="207D2391" w14:textId="77777777">
        <w:tblPrEx>
          <w:tblCellMar>
            <w:top w:w="0" w:type="dxa"/>
            <w:bottom w:w="0" w:type="dxa"/>
          </w:tblCellMar>
        </w:tblPrEx>
        <w:trPr>
          <w:jc w:val="center"/>
        </w:trPr>
        <w:tc>
          <w:tcPr>
            <w:tcW w:w="1074" w:type="dxa"/>
            <w:tcBorders>
              <w:right w:val="single" w:sz="6" w:space="0" w:color="000000"/>
            </w:tcBorders>
            <w:shd w:val="clear" w:color="auto" w:fill="auto"/>
            <w:tcMar>
              <w:top w:w="0" w:type="dxa"/>
              <w:left w:w="85" w:type="dxa"/>
              <w:bottom w:w="0" w:type="dxa"/>
              <w:right w:w="85" w:type="dxa"/>
            </w:tcMar>
            <w:vAlign w:val="center"/>
          </w:tcPr>
          <w:p w14:paraId="05F31014"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99</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58BC7986"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6.19</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518EF49A"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4.25</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744A9980"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4.10</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6CEFB05E"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0.342</w:t>
            </w:r>
          </w:p>
        </w:tc>
        <w:tc>
          <w:tcPr>
            <w:tcW w:w="1237" w:type="dxa"/>
            <w:tcBorders>
              <w:left w:val="single" w:sz="6" w:space="0" w:color="000000"/>
              <w:right w:val="single" w:sz="6" w:space="0" w:color="000000"/>
            </w:tcBorders>
            <w:shd w:val="clear" w:color="auto" w:fill="auto"/>
            <w:tcMar>
              <w:top w:w="0" w:type="dxa"/>
              <w:left w:w="85" w:type="dxa"/>
              <w:bottom w:w="0" w:type="dxa"/>
              <w:right w:w="85" w:type="dxa"/>
            </w:tcMar>
            <w:vAlign w:val="center"/>
          </w:tcPr>
          <w:p w14:paraId="424E0381"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0.296</w:t>
            </w:r>
          </w:p>
        </w:tc>
        <w:tc>
          <w:tcPr>
            <w:tcW w:w="1237" w:type="dxa"/>
            <w:tcBorders>
              <w:left w:val="single" w:sz="6" w:space="0" w:color="000000"/>
            </w:tcBorders>
            <w:shd w:val="clear" w:color="auto" w:fill="auto"/>
            <w:tcMar>
              <w:top w:w="0" w:type="dxa"/>
              <w:left w:w="85" w:type="dxa"/>
              <w:bottom w:w="0" w:type="dxa"/>
              <w:right w:w="85" w:type="dxa"/>
            </w:tcMar>
            <w:vAlign w:val="center"/>
          </w:tcPr>
          <w:p w14:paraId="45E9415B"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0.283</w:t>
            </w:r>
          </w:p>
        </w:tc>
      </w:tr>
      <w:tr w:rsidR="00052596" w14:paraId="23BD1037" w14:textId="77777777">
        <w:tblPrEx>
          <w:tblCellMar>
            <w:top w:w="0" w:type="dxa"/>
            <w:bottom w:w="0" w:type="dxa"/>
          </w:tblCellMar>
        </w:tblPrEx>
        <w:trPr>
          <w:jc w:val="center"/>
        </w:trPr>
        <w:tc>
          <w:tcPr>
            <w:tcW w:w="1074" w:type="dxa"/>
            <w:tcBorders>
              <w:bottom w:val="single" w:sz="6" w:space="0" w:color="000000"/>
              <w:right w:val="single" w:sz="6" w:space="0" w:color="000000"/>
            </w:tcBorders>
            <w:shd w:val="clear" w:color="auto" w:fill="auto"/>
            <w:tcMar>
              <w:top w:w="0" w:type="dxa"/>
              <w:left w:w="85" w:type="dxa"/>
              <w:bottom w:w="0" w:type="dxa"/>
              <w:right w:w="85" w:type="dxa"/>
            </w:tcMar>
            <w:vAlign w:val="center"/>
          </w:tcPr>
          <w:p w14:paraId="7BCA2D8A"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lastRenderedPageBreak/>
              <w:t>100</w:t>
            </w:r>
          </w:p>
        </w:tc>
        <w:tc>
          <w:tcPr>
            <w:tcW w:w="1237" w:type="dxa"/>
            <w:tcBorders>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16420C5C"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6.17</w:t>
            </w:r>
          </w:p>
        </w:tc>
        <w:tc>
          <w:tcPr>
            <w:tcW w:w="1237" w:type="dxa"/>
            <w:tcBorders>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7EE0D765"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4.29</w:t>
            </w:r>
          </w:p>
        </w:tc>
        <w:tc>
          <w:tcPr>
            <w:tcW w:w="1237" w:type="dxa"/>
            <w:tcBorders>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12B443D1"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4.14</w:t>
            </w:r>
          </w:p>
        </w:tc>
        <w:tc>
          <w:tcPr>
            <w:tcW w:w="1237" w:type="dxa"/>
            <w:tcBorders>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289A61CC"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0.342</w:t>
            </w:r>
          </w:p>
        </w:tc>
        <w:tc>
          <w:tcPr>
            <w:tcW w:w="1237" w:type="dxa"/>
            <w:tcBorders>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45A6A3C7"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0.296</w:t>
            </w:r>
          </w:p>
        </w:tc>
        <w:tc>
          <w:tcPr>
            <w:tcW w:w="1237" w:type="dxa"/>
            <w:tcBorders>
              <w:left w:val="single" w:sz="6" w:space="0" w:color="000000"/>
              <w:bottom w:val="single" w:sz="6" w:space="0" w:color="000000"/>
            </w:tcBorders>
            <w:shd w:val="clear" w:color="auto" w:fill="auto"/>
            <w:tcMar>
              <w:top w:w="0" w:type="dxa"/>
              <w:left w:w="85" w:type="dxa"/>
              <w:bottom w:w="0" w:type="dxa"/>
              <w:right w:w="85" w:type="dxa"/>
            </w:tcMar>
            <w:vAlign w:val="center"/>
          </w:tcPr>
          <w:p w14:paraId="24E5ECE0" w14:textId="77777777" w:rsidR="00052596" w:rsidRDefault="00000000">
            <w:pPr>
              <w:overflowPunct w:val="0"/>
              <w:autoSpaceDE w:val="0"/>
              <w:snapToGrid w:val="0"/>
              <w:spacing w:line="300" w:lineRule="exact"/>
              <w:textAlignment w:val="center"/>
              <w:rPr>
                <w:rFonts w:eastAsia="標楷體"/>
                <w:kern w:val="0"/>
                <w:sz w:val="22"/>
                <w:szCs w:val="22"/>
              </w:rPr>
            </w:pPr>
            <w:r>
              <w:rPr>
                <w:rFonts w:eastAsia="標楷體"/>
                <w:kern w:val="0"/>
                <w:sz w:val="22"/>
                <w:szCs w:val="22"/>
              </w:rPr>
              <w:t>0.283</w:t>
            </w:r>
          </w:p>
        </w:tc>
      </w:tr>
    </w:tbl>
    <w:p w14:paraId="2723C25B" w14:textId="77777777" w:rsidR="00052596" w:rsidRDefault="00000000">
      <w:pPr>
        <w:overflowPunct w:val="0"/>
        <w:autoSpaceDE w:val="0"/>
        <w:snapToGrid w:val="0"/>
        <w:spacing w:before="60" w:line="280" w:lineRule="exact"/>
        <w:ind w:left="1200" w:right="168" w:hanging="1080"/>
        <w:jc w:val="both"/>
        <w:textAlignment w:val="center"/>
      </w:pPr>
      <w:r>
        <w:rPr>
          <w:rFonts w:eastAsia="標楷體"/>
          <w:spacing w:val="-2"/>
          <w:kern w:val="0"/>
          <w:sz w:val="22"/>
          <w:szCs w:val="22"/>
        </w:rPr>
        <w:t xml:space="preserve">　　　註：每人所得的計算係剔除戶量</w:t>
      </w:r>
      <w:r>
        <w:rPr>
          <w:rFonts w:ascii="標楷體" w:eastAsia="標楷體" w:hAnsi="標楷體"/>
          <w:spacing w:val="-2"/>
          <w:kern w:val="0"/>
          <w:sz w:val="22"/>
          <w:szCs w:val="22"/>
        </w:rPr>
        <w:t>(</w:t>
      </w:r>
      <w:r>
        <w:rPr>
          <w:rFonts w:eastAsia="標楷體"/>
          <w:spacing w:val="-2"/>
          <w:kern w:val="0"/>
          <w:sz w:val="22"/>
          <w:szCs w:val="22"/>
        </w:rPr>
        <w:t>戶內人數</w:t>
      </w:r>
      <w:r>
        <w:rPr>
          <w:rFonts w:ascii="標楷體" w:eastAsia="標楷體" w:hAnsi="標楷體"/>
          <w:spacing w:val="-2"/>
          <w:kern w:val="0"/>
          <w:sz w:val="22"/>
          <w:szCs w:val="22"/>
        </w:rPr>
        <w:t>)</w:t>
      </w:r>
      <w:r>
        <w:rPr>
          <w:rFonts w:eastAsia="標楷體"/>
          <w:spacing w:val="-2"/>
          <w:kern w:val="0"/>
          <w:sz w:val="22"/>
          <w:szCs w:val="22"/>
        </w:rPr>
        <w:t>對家庭所得分配的影響，計算方法有二：簡易法指戶內人均所得</w:t>
      </w:r>
      <w:r>
        <w:rPr>
          <w:rFonts w:ascii="標楷體" w:eastAsia="標楷體" w:hAnsi="標楷體"/>
          <w:spacing w:val="-2"/>
          <w:kern w:val="0"/>
          <w:sz w:val="22"/>
          <w:szCs w:val="22"/>
        </w:rPr>
        <w:t>(</w:t>
      </w:r>
      <w:r>
        <w:rPr>
          <w:rFonts w:eastAsia="標楷體"/>
          <w:spacing w:val="-2"/>
          <w:kern w:val="0"/>
          <w:sz w:val="22"/>
          <w:szCs w:val="22"/>
        </w:rPr>
        <w:t>每戶所得</w:t>
      </w:r>
      <w:r>
        <w:rPr>
          <w:rFonts w:eastAsia="標楷體"/>
          <w:spacing w:val="-2"/>
          <w:kern w:val="0"/>
          <w:sz w:val="22"/>
          <w:szCs w:val="22"/>
        </w:rPr>
        <w:t>/</w:t>
      </w:r>
      <w:r>
        <w:rPr>
          <w:rFonts w:eastAsia="標楷體"/>
          <w:spacing w:val="-2"/>
          <w:kern w:val="0"/>
          <w:sz w:val="22"/>
          <w:szCs w:val="22"/>
        </w:rPr>
        <w:t>戶量</w:t>
      </w:r>
      <w:r>
        <w:rPr>
          <w:rFonts w:ascii="標楷體" w:eastAsia="標楷體" w:hAnsi="標楷體"/>
          <w:spacing w:val="-2"/>
          <w:kern w:val="0"/>
          <w:sz w:val="22"/>
          <w:szCs w:val="22"/>
        </w:rPr>
        <w:t>)</w:t>
      </w:r>
      <w:r>
        <w:rPr>
          <w:rFonts w:eastAsia="標楷體"/>
          <w:spacing w:val="-2"/>
          <w:kern w:val="0"/>
          <w:sz w:val="22"/>
          <w:szCs w:val="22"/>
        </w:rPr>
        <w:t>，等值化則為</w:t>
      </w:r>
      <w:r>
        <w:rPr>
          <w:rFonts w:eastAsia="標楷體"/>
          <w:spacing w:val="-2"/>
          <w:kern w:val="0"/>
          <w:sz w:val="22"/>
          <w:szCs w:val="22"/>
        </w:rPr>
        <w:t>OECD</w:t>
      </w:r>
      <w:r>
        <w:rPr>
          <w:rFonts w:eastAsia="標楷體"/>
          <w:spacing w:val="-2"/>
          <w:kern w:val="0"/>
          <w:sz w:val="22"/>
          <w:szCs w:val="22"/>
        </w:rPr>
        <w:t>採用的戶量開根號法</w:t>
      </w:r>
      <w:r>
        <w:rPr>
          <w:rFonts w:ascii="標楷體" w:eastAsia="標楷體" w:hAnsi="標楷體"/>
          <w:spacing w:val="-2"/>
          <w:kern w:val="0"/>
          <w:sz w:val="22"/>
          <w:szCs w:val="22"/>
        </w:rPr>
        <w:t>(</w:t>
      </w:r>
      <w:r>
        <w:rPr>
          <w:rFonts w:eastAsia="標楷體"/>
          <w:spacing w:val="-2"/>
          <w:kern w:val="0"/>
          <w:sz w:val="22"/>
          <w:szCs w:val="22"/>
        </w:rPr>
        <w:t>每戶所得</w:t>
      </w:r>
      <w:r>
        <w:rPr>
          <w:rFonts w:eastAsia="標楷體"/>
          <w:spacing w:val="-2"/>
          <w:kern w:val="0"/>
          <w:sz w:val="22"/>
          <w:szCs w:val="22"/>
        </w:rPr>
        <w:t>/</w:t>
      </w:r>
      <w:r>
        <w:rPr>
          <w:rFonts w:ascii="標楷體" w:eastAsia="標楷體" w:hAnsi="標楷體"/>
          <w:kern w:val="0"/>
          <w:sz w:val="22"/>
          <w:szCs w:val="22"/>
        </w:rPr>
        <w:object w:dxaOrig="653" w:dyaOrig="368" w14:anchorId="0C87937B">
          <v:shape id="Object 10" o:spid="_x0000_i1029" type="#_x0000_t75" style="width:32.65pt;height:18.4pt;visibility:visible;mso-wrap-style:square" o:ole="">
            <v:imagedata r:id="rId53" o:title=""/>
          </v:shape>
          <o:OLEObject Type="Embed" ProgID="Unknown" ShapeID="Object 10" DrawAspect="Content" ObjectID="_1720853759" r:id="rId56"/>
        </w:object>
      </w:r>
      <w:r>
        <w:rPr>
          <w:rFonts w:ascii="標楷體" w:eastAsia="標楷體" w:hAnsi="標楷體"/>
          <w:kern w:val="0"/>
          <w:sz w:val="22"/>
          <w:szCs w:val="22"/>
        </w:rPr>
        <w:t>)。</w:t>
      </w:r>
    </w:p>
    <w:p w14:paraId="21E3F5A0" w14:textId="77777777" w:rsidR="00052596" w:rsidRDefault="00000000">
      <w:pPr>
        <w:overflowPunct w:val="0"/>
        <w:autoSpaceDE w:val="0"/>
        <w:snapToGrid w:val="0"/>
        <w:spacing w:before="48" w:line="240" w:lineRule="exact"/>
        <w:ind w:left="1200" w:hanging="1080"/>
        <w:jc w:val="both"/>
        <w:textAlignment w:val="center"/>
        <w:rPr>
          <w:rFonts w:eastAsia="標楷體"/>
          <w:spacing w:val="-2"/>
          <w:kern w:val="0"/>
          <w:sz w:val="22"/>
          <w:szCs w:val="22"/>
        </w:rPr>
      </w:pPr>
      <w:r>
        <w:rPr>
          <w:rFonts w:eastAsia="標楷體"/>
          <w:spacing w:val="-2"/>
          <w:kern w:val="0"/>
          <w:sz w:val="22"/>
          <w:szCs w:val="22"/>
        </w:rPr>
        <w:t>資料來源：行政院主計總處。</w:t>
      </w:r>
    </w:p>
    <w:p w14:paraId="4152C96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816"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國際比較</w:t>
      </w:r>
    </w:p>
    <w:p w14:paraId="20062D5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0" w:hanging="230"/>
        <w:jc w:val="both"/>
        <w:textAlignment w:val="center"/>
      </w:pPr>
      <w:r>
        <w:rPr>
          <w:rFonts w:eastAsia="標楷體"/>
          <w:spacing w:val="4"/>
          <w:kern w:val="0"/>
          <w:sz w:val="28"/>
          <w:szCs w:val="26"/>
        </w:rPr>
        <w:t>－就所得分配程度觀察：我國以等值化計算之每人吉尼係數由</w:t>
      </w:r>
      <w:r>
        <w:rPr>
          <w:rFonts w:eastAsia="標楷體"/>
          <w:spacing w:val="4"/>
          <w:kern w:val="0"/>
          <w:sz w:val="28"/>
          <w:szCs w:val="26"/>
        </w:rPr>
        <w:t>1990</w:t>
      </w:r>
      <w:r>
        <w:rPr>
          <w:rFonts w:eastAsia="標楷體"/>
          <w:spacing w:val="4"/>
          <w:kern w:val="0"/>
          <w:sz w:val="28"/>
          <w:szCs w:val="26"/>
        </w:rPr>
        <w:t>年代平均的</w:t>
      </w:r>
      <w:r>
        <w:rPr>
          <w:rFonts w:eastAsia="標楷體"/>
          <w:spacing w:val="4"/>
          <w:kern w:val="0"/>
          <w:sz w:val="28"/>
          <w:szCs w:val="26"/>
        </w:rPr>
        <w:t>0.272</w:t>
      </w:r>
      <w:r>
        <w:rPr>
          <w:rFonts w:eastAsia="標楷體"/>
          <w:spacing w:val="4"/>
          <w:kern w:val="0"/>
          <w:sz w:val="28"/>
          <w:szCs w:val="26"/>
        </w:rPr>
        <w:t>，擴大至</w:t>
      </w:r>
      <w:r>
        <w:rPr>
          <w:rFonts w:eastAsia="標楷體"/>
          <w:spacing w:val="4"/>
          <w:kern w:val="0"/>
          <w:sz w:val="28"/>
          <w:szCs w:val="26"/>
        </w:rPr>
        <w:t>2000</w:t>
      </w:r>
      <w:r>
        <w:rPr>
          <w:rFonts w:eastAsia="標楷體"/>
          <w:spacing w:val="4"/>
          <w:kern w:val="0"/>
          <w:sz w:val="28"/>
          <w:szCs w:val="26"/>
        </w:rPr>
        <w:t>年代平均的</w:t>
      </w:r>
      <w:r>
        <w:rPr>
          <w:rFonts w:eastAsia="標楷體"/>
          <w:spacing w:val="4"/>
          <w:kern w:val="0"/>
          <w:sz w:val="28"/>
          <w:szCs w:val="26"/>
        </w:rPr>
        <w:t>0.286</w:t>
      </w:r>
      <w:r>
        <w:rPr>
          <w:rFonts w:eastAsia="標楷體"/>
          <w:spacing w:val="4"/>
          <w:kern w:val="0"/>
          <w:sz w:val="28"/>
          <w:szCs w:val="26"/>
        </w:rPr>
        <w:t>。其中，</w:t>
      </w:r>
      <w:r>
        <w:rPr>
          <w:rFonts w:eastAsia="標楷體"/>
          <w:spacing w:val="4"/>
          <w:kern w:val="0"/>
          <w:sz w:val="28"/>
          <w:szCs w:val="26"/>
        </w:rPr>
        <w:t>2009</w:t>
      </w:r>
      <w:r>
        <w:rPr>
          <w:rFonts w:eastAsia="標楷體"/>
          <w:spacing w:val="4"/>
          <w:kern w:val="0"/>
          <w:sz w:val="28"/>
          <w:szCs w:val="26"/>
        </w:rPr>
        <w:t>年為</w:t>
      </w:r>
      <w:r>
        <w:rPr>
          <w:rFonts w:eastAsia="標楷體"/>
          <w:spacing w:val="4"/>
          <w:kern w:val="0"/>
          <w:sz w:val="28"/>
          <w:szCs w:val="26"/>
        </w:rPr>
        <w:t>0.286</w:t>
      </w:r>
      <w:r>
        <w:rPr>
          <w:rFonts w:eastAsia="標楷體"/>
          <w:spacing w:val="4"/>
          <w:kern w:val="0"/>
          <w:sz w:val="28"/>
          <w:szCs w:val="26"/>
        </w:rPr>
        <w:t>，較</w:t>
      </w:r>
      <w:r>
        <w:rPr>
          <w:rFonts w:eastAsia="標楷體"/>
          <w:spacing w:val="4"/>
          <w:kern w:val="0"/>
          <w:sz w:val="28"/>
          <w:szCs w:val="26"/>
        </w:rPr>
        <w:t>OECD</w:t>
      </w:r>
      <w:r>
        <w:rPr>
          <w:rFonts w:eastAsia="標楷體"/>
          <w:spacing w:val="4"/>
          <w:kern w:val="0"/>
          <w:sz w:val="28"/>
          <w:szCs w:val="26"/>
        </w:rPr>
        <w:t>國家中位數</w:t>
      </w:r>
      <w:r>
        <w:rPr>
          <w:rFonts w:eastAsia="標楷體"/>
          <w:spacing w:val="4"/>
          <w:kern w:val="0"/>
          <w:sz w:val="28"/>
          <w:szCs w:val="26"/>
        </w:rPr>
        <w:t>0.304</w:t>
      </w:r>
      <w:r>
        <w:rPr>
          <w:rFonts w:eastAsia="標楷體"/>
          <w:spacing w:val="4"/>
          <w:kern w:val="0"/>
          <w:sz w:val="28"/>
          <w:szCs w:val="26"/>
        </w:rPr>
        <w:t>為低</w:t>
      </w:r>
      <w:r>
        <w:rPr>
          <w:rFonts w:ascii="標楷體" w:eastAsia="標楷體" w:hAnsi="標楷體"/>
          <w:spacing w:val="4"/>
          <w:kern w:val="0"/>
          <w:sz w:val="28"/>
          <w:szCs w:val="26"/>
        </w:rPr>
        <w:t>(</w:t>
      </w:r>
      <w:r>
        <w:rPr>
          <w:rFonts w:eastAsia="標楷體"/>
          <w:spacing w:val="4"/>
          <w:kern w:val="0"/>
          <w:sz w:val="28"/>
          <w:szCs w:val="26"/>
        </w:rPr>
        <w:t>南韓</w:t>
      </w:r>
      <w:r>
        <w:rPr>
          <w:rFonts w:eastAsia="標楷體"/>
          <w:spacing w:val="4"/>
          <w:kern w:val="0"/>
          <w:sz w:val="28"/>
          <w:szCs w:val="26"/>
        </w:rPr>
        <w:t>0.315</w:t>
      </w:r>
      <w:r>
        <w:rPr>
          <w:rFonts w:eastAsia="標楷體"/>
          <w:spacing w:val="4"/>
          <w:kern w:val="0"/>
          <w:sz w:val="28"/>
          <w:szCs w:val="26"/>
        </w:rPr>
        <w:t>、日本</w:t>
      </w:r>
      <w:r>
        <w:rPr>
          <w:rFonts w:eastAsia="標楷體"/>
          <w:spacing w:val="4"/>
          <w:kern w:val="0"/>
          <w:sz w:val="28"/>
          <w:szCs w:val="26"/>
        </w:rPr>
        <w:t>0.329</w:t>
      </w:r>
      <w:r>
        <w:rPr>
          <w:rFonts w:eastAsia="標楷體"/>
          <w:spacing w:val="4"/>
          <w:kern w:val="0"/>
          <w:sz w:val="28"/>
          <w:szCs w:val="26"/>
        </w:rPr>
        <w:t>、美國</w:t>
      </w:r>
      <w:r>
        <w:rPr>
          <w:rFonts w:eastAsia="標楷體"/>
          <w:spacing w:val="4"/>
          <w:kern w:val="0"/>
          <w:sz w:val="28"/>
          <w:szCs w:val="26"/>
        </w:rPr>
        <w:t>0.378</w:t>
      </w:r>
      <w:r>
        <w:rPr>
          <w:rFonts w:ascii="標楷體" w:eastAsia="標楷體" w:hAnsi="標楷體"/>
          <w:spacing w:val="4"/>
          <w:kern w:val="0"/>
          <w:sz w:val="28"/>
          <w:szCs w:val="26"/>
        </w:rPr>
        <w:t>)</w:t>
      </w:r>
      <w:r>
        <w:rPr>
          <w:rFonts w:eastAsia="標楷體"/>
          <w:spacing w:val="4"/>
          <w:kern w:val="0"/>
          <w:sz w:val="28"/>
          <w:szCs w:val="26"/>
        </w:rPr>
        <w:t>，顯示我國所得分配較全球多數國家平均。</w:t>
      </w:r>
    </w:p>
    <w:p w14:paraId="28056AA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0" w:hanging="230"/>
        <w:jc w:val="both"/>
        <w:textAlignment w:val="center"/>
        <w:rPr>
          <w:rFonts w:eastAsia="標楷體"/>
          <w:spacing w:val="4"/>
          <w:kern w:val="0"/>
          <w:sz w:val="28"/>
          <w:szCs w:val="26"/>
        </w:rPr>
      </w:pPr>
      <w:r>
        <w:rPr>
          <w:rFonts w:eastAsia="標楷體"/>
          <w:spacing w:val="4"/>
          <w:kern w:val="0"/>
          <w:sz w:val="28"/>
          <w:szCs w:val="26"/>
        </w:rPr>
        <w:t>－就所得分配變動幅度觀察：</w:t>
      </w:r>
      <w:r>
        <w:rPr>
          <w:rFonts w:eastAsia="標楷體"/>
          <w:spacing w:val="4"/>
          <w:kern w:val="0"/>
          <w:sz w:val="28"/>
          <w:szCs w:val="26"/>
        </w:rPr>
        <w:t>1995</w:t>
      </w:r>
      <w:r>
        <w:rPr>
          <w:rFonts w:eastAsia="標楷體"/>
          <w:spacing w:val="4"/>
          <w:kern w:val="0"/>
          <w:sz w:val="28"/>
          <w:szCs w:val="26"/>
        </w:rPr>
        <w:t>至</w:t>
      </w:r>
      <w:r>
        <w:rPr>
          <w:rFonts w:eastAsia="標楷體"/>
          <w:spacing w:val="4"/>
          <w:kern w:val="0"/>
          <w:sz w:val="28"/>
          <w:szCs w:val="26"/>
        </w:rPr>
        <w:t>2009</w:t>
      </w:r>
      <w:r>
        <w:rPr>
          <w:rFonts w:eastAsia="標楷體"/>
          <w:spacing w:val="4"/>
          <w:kern w:val="0"/>
          <w:sz w:val="28"/>
          <w:szCs w:val="26"/>
        </w:rPr>
        <w:t>年間，</w:t>
      </w:r>
      <w:r>
        <w:rPr>
          <w:rFonts w:eastAsia="標楷體"/>
          <w:spacing w:val="4"/>
          <w:kern w:val="0"/>
          <w:sz w:val="28"/>
          <w:szCs w:val="26"/>
        </w:rPr>
        <w:t>OECD</w:t>
      </w:r>
      <w:r>
        <w:rPr>
          <w:rFonts w:eastAsia="標楷體"/>
          <w:spacing w:val="4"/>
          <w:kern w:val="0"/>
          <w:sz w:val="28"/>
          <w:szCs w:val="26"/>
        </w:rPr>
        <w:t>國家中有</w:t>
      </w:r>
      <w:r>
        <w:rPr>
          <w:rFonts w:eastAsia="標楷體"/>
          <w:spacing w:val="4"/>
          <w:kern w:val="0"/>
          <w:sz w:val="28"/>
          <w:szCs w:val="26"/>
        </w:rPr>
        <w:t>15</w:t>
      </w:r>
      <w:r>
        <w:rPr>
          <w:rFonts w:eastAsia="標楷體"/>
          <w:spacing w:val="4"/>
          <w:kern w:val="0"/>
          <w:sz w:val="28"/>
          <w:szCs w:val="26"/>
        </w:rPr>
        <w:t>個國家每人所得不均程度升高，其中以瑞典升高</w:t>
      </w:r>
      <w:r>
        <w:rPr>
          <w:rFonts w:eastAsia="標楷體"/>
          <w:spacing w:val="4"/>
          <w:kern w:val="0"/>
          <w:sz w:val="28"/>
          <w:szCs w:val="26"/>
        </w:rPr>
        <w:t>0.048</w:t>
      </w:r>
      <w:r>
        <w:rPr>
          <w:rFonts w:eastAsia="標楷體"/>
          <w:spacing w:val="4"/>
          <w:kern w:val="0"/>
          <w:sz w:val="28"/>
          <w:szCs w:val="26"/>
        </w:rPr>
        <w:t>最多。同期間我國每人吉尼係數增加</w:t>
      </w:r>
      <w:r>
        <w:rPr>
          <w:rFonts w:eastAsia="標楷體"/>
          <w:spacing w:val="4"/>
          <w:kern w:val="0"/>
          <w:sz w:val="28"/>
          <w:szCs w:val="26"/>
        </w:rPr>
        <w:t>0.014</w:t>
      </w:r>
      <w:r>
        <w:rPr>
          <w:rFonts w:eastAsia="標楷體"/>
          <w:spacing w:val="4"/>
          <w:kern w:val="0"/>
          <w:sz w:val="28"/>
          <w:szCs w:val="26"/>
        </w:rPr>
        <w:t>，略低於美國的</w:t>
      </w:r>
      <w:r>
        <w:rPr>
          <w:rFonts w:eastAsia="標楷體"/>
          <w:spacing w:val="4"/>
          <w:kern w:val="0"/>
          <w:sz w:val="28"/>
          <w:szCs w:val="26"/>
        </w:rPr>
        <w:t>0.018</w:t>
      </w:r>
      <w:r>
        <w:rPr>
          <w:rFonts w:eastAsia="標楷體"/>
          <w:spacing w:val="4"/>
          <w:kern w:val="0"/>
          <w:sz w:val="28"/>
          <w:szCs w:val="26"/>
        </w:rPr>
        <w:t>，稍高於</w:t>
      </w:r>
      <w:r>
        <w:rPr>
          <w:rFonts w:eastAsia="標楷體"/>
          <w:spacing w:val="4"/>
          <w:kern w:val="0"/>
          <w:sz w:val="28"/>
          <w:szCs w:val="26"/>
        </w:rPr>
        <w:t>OECD</w:t>
      </w:r>
      <w:r>
        <w:rPr>
          <w:rFonts w:eastAsia="標楷體"/>
          <w:spacing w:val="4"/>
          <w:kern w:val="0"/>
          <w:sz w:val="28"/>
          <w:szCs w:val="26"/>
        </w:rPr>
        <w:t>國家中位數</w:t>
      </w:r>
      <w:r>
        <w:rPr>
          <w:rFonts w:eastAsia="標楷體"/>
          <w:spacing w:val="4"/>
          <w:kern w:val="0"/>
          <w:sz w:val="28"/>
          <w:szCs w:val="26"/>
        </w:rPr>
        <w:t>0.01</w:t>
      </w:r>
      <w:r>
        <w:rPr>
          <w:rFonts w:eastAsia="標楷體"/>
          <w:spacing w:val="4"/>
          <w:kern w:val="0"/>
          <w:sz w:val="28"/>
          <w:szCs w:val="26"/>
        </w:rPr>
        <w:t>。</w:t>
      </w:r>
    </w:p>
    <w:p w14:paraId="72D91D32" w14:textId="77777777" w:rsidR="00052596" w:rsidRDefault="00052596">
      <w:pPr>
        <w:tabs>
          <w:tab w:val="left" w:pos="960"/>
          <w:tab w:val="left" w:pos="1920"/>
          <w:tab w:val="left" w:pos="2880"/>
          <w:tab w:val="left" w:pos="3840"/>
          <w:tab w:val="left" w:pos="4800"/>
          <w:tab w:val="left" w:pos="5760"/>
        </w:tabs>
        <w:overflowPunct w:val="0"/>
        <w:autoSpaceDE w:val="0"/>
        <w:spacing w:line="280" w:lineRule="exact"/>
        <w:ind w:left="1070" w:hanging="230"/>
        <w:jc w:val="both"/>
        <w:textAlignment w:val="center"/>
        <w:rPr>
          <w:rFonts w:eastAsia="標楷體"/>
          <w:spacing w:val="4"/>
          <w:kern w:val="0"/>
          <w:sz w:val="28"/>
          <w:szCs w:val="26"/>
        </w:rPr>
      </w:pPr>
    </w:p>
    <w:p w14:paraId="0E41FE87" w14:textId="77777777" w:rsidR="00052596" w:rsidRDefault="00000000">
      <w:pPr>
        <w:overflowPunct w:val="0"/>
        <w:autoSpaceDE w:val="0"/>
        <w:snapToGrid w:val="0"/>
        <w:spacing w:before="120"/>
        <w:jc w:val="center"/>
        <w:textAlignment w:val="center"/>
      </w:pPr>
      <w:r>
        <w:rPr>
          <w:noProof/>
        </w:rPr>
        <mc:AlternateContent>
          <mc:Choice Requires="wps">
            <w:drawing>
              <wp:anchor distT="0" distB="0" distL="114300" distR="114300" simplePos="0" relativeHeight="251667968" behindDoc="0" locked="0" layoutInCell="1" allowOverlap="1" wp14:anchorId="48317DB3" wp14:editId="2DB00659">
                <wp:simplePos x="0" y="0"/>
                <wp:positionH relativeFrom="column">
                  <wp:posOffset>2775588</wp:posOffset>
                </wp:positionH>
                <wp:positionV relativeFrom="paragraph">
                  <wp:posOffset>19687</wp:posOffset>
                </wp:positionV>
                <wp:extent cx="2795265" cy="496574"/>
                <wp:effectExtent l="0" t="0" r="5085" b="0"/>
                <wp:wrapNone/>
                <wp:docPr id="167" name="文字方塊 43038"/>
                <wp:cNvGraphicFramePr/>
                <a:graphic xmlns:a="http://schemas.openxmlformats.org/drawingml/2006/main">
                  <a:graphicData uri="http://schemas.microsoft.com/office/word/2010/wordprocessingShape">
                    <wps:wsp>
                      <wps:cNvSpPr txBox="1"/>
                      <wps:spPr>
                        <a:xfrm>
                          <a:off x="0" y="0"/>
                          <a:ext cx="2795265" cy="496574"/>
                        </a:xfrm>
                        <a:prstGeom prst="rect">
                          <a:avLst/>
                        </a:prstGeom>
                        <a:solidFill>
                          <a:srgbClr val="FFFFFF"/>
                        </a:solidFill>
                        <a:ln>
                          <a:noFill/>
                          <a:prstDash/>
                        </a:ln>
                      </wps:spPr>
                      <wps:txbx>
                        <w:txbxContent>
                          <w:p w14:paraId="07C2F60E" w14:textId="77777777" w:rsidR="00052596" w:rsidRDefault="00000000">
                            <w:pPr>
                              <w:autoSpaceDE w:val="0"/>
                              <w:ind w:left="1064" w:hanging="1064"/>
                              <w:rPr>
                                <w:rFonts w:eastAsia="標楷體"/>
                                <w:b/>
                                <w:color w:val="0000FF"/>
                              </w:rPr>
                            </w:pPr>
                            <w:r>
                              <w:rPr>
                                <w:rFonts w:eastAsia="標楷體"/>
                                <w:b/>
                                <w:color w:val="0000FF"/>
                              </w:rPr>
                              <w:t>圖</w:t>
                            </w:r>
                            <w:r>
                              <w:rPr>
                                <w:rFonts w:eastAsia="標楷體"/>
                                <w:b/>
                                <w:color w:val="0000FF"/>
                              </w:rPr>
                              <w:t>1.2.13</w:t>
                            </w:r>
                            <w:r>
                              <w:rPr>
                                <w:rFonts w:eastAsia="標楷體"/>
                                <w:b/>
                                <w:color w:val="0000FF"/>
                              </w:rPr>
                              <w:t xml:space="preserve">　</w:t>
                            </w:r>
                            <w:r>
                              <w:rPr>
                                <w:rFonts w:eastAsia="標楷體"/>
                                <w:b/>
                                <w:color w:val="0000FF"/>
                              </w:rPr>
                              <w:t>1995</w:t>
                            </w:r>
                            <w:r>
                              <w:rPr>
                                <w:rFonts w:eastAsia="標楷體"/>
                                <w:b/>
                                <w:color w:val="0000FF"/>
                              </w:rPr>
                              <w:t>至</w:t>
                            </w:r>
                            <w:r>
                              <w:rPr>
                                <w:rFonts w:eastAsia="標楷體"/>
                                <w:b/>
                                <w:color w:val="0000FF"/>
                              </w:rPr>
                              <w:t>2009</w:t>
                            </w:r>
                            <w:r>
                              <w:rPr>
                                <w:rFonts w:eastAsia="標楷體"/>
                                <w:b/>
                                <w:color w:val="0000FF"/>
                              </w:rPr>
                              <w:t>年我國及</w:t>
                            </w:r>
                            <w:r>
                              <w:rPr>
                                <w:rFonts w:eastAsia="標楷體"/>
                                <w:b/>
                                <w:color w:val="0000FF"/>
                              </w:rPr>
                              <w:t>OECD</w:t>
                            </w:r>
                            <w:r>
                              <w:rPr>
                                <w:rFonts w:eastAsia="標楷體"/>
                                <w:b/>
                                <w:color w:val="0000FF"/>
                              </w:rPr>
                              <w:t>國家每人吉尼係數變動情形</w:t>
                            </w:r>
                          </w:p>
                        </w:txbxContent>
                      </wps:txbx>
                      <wps:bodyPr wrap="square" lIns="91440" tIns="45720" rIns="91440" bIns="45720" anchor="t">
                        <a:noAutofit/>
                      </wps:bodyPr>
                    </wps:wsp>
                  </a:graphicData>
                </a:graphic>
              </wp:anchor>
            </w:drawing>
          </mc:Choice>
          <mc:Fallback>
            <w:pict>
              <v:shape w14:anchorId="48317DB3" id="文字方塊 43038" o:spid="_x0000_s1089" type="#_x0000_t202" style="position:absolute;left:0;text-align:left;margin-left:218.55pt;margin-top:1.55pt;width:220.1pt;height:39.1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" stroked="f">
                <v:textbox>
                  <w:txbxContent>
                    <w:p w14:paraId="07C2F60E" w14:textId="77777777" w:rsidR="00052596" w:rsidRDefault="00000000">
                      <w:pPr>
                        <w:autoSpaceDE w:val="0"/>
                        <w:ind w:left="1064" w:hanging="1064"/>
                        <w:rPr>
                          <w:rFonts w:eastAsia="標楷體"/>
                          <w:b/>
                          <w:color w:val="0000FF"/>
                        </w:rPr>
                      </w:pPr>
                      <w:r>
                        <w:rPr>
                          <w:rFonts w:eastAsia="標楷體"/>
                          <w:b/>
                          <w:color w:val="0000FF"/>
                        </w:rPr>
                        <w:t>圖</w:t>
                      </w:r>
                      <w:r>
                        <w:rPr>
                          <w:rFonts w:eastAsia="標楷體"/>
                          <w:b/>
                          <w:color w:val="0000FF"/>
                        </w:rPr>
                        <w:t>1.2.13</w:t>
                      </w:r>
                      <w:r>
                        <w:rPr>
                          <w:rFonts w:eastAsia="標楷體"/>
                          <w:b/>
                          <w:color w:val="0000FF"/>
                        </w:rPr>
                        <w:t xml:space="preserve">　</w:t>
                      </w:r>
                      <w:r>
                        <w:rPr>
                          <w:rFonts w:eastAsia="標楷體"/>
                          <w:b/>
                          <w:color w:val="0000FF"/>
                        </w:rPr>
                        <w:t>1995</w:t>
                      </w:r>
                      <w:r>
                        <w:rPr>
                          <w:rFonts w:eastAsia="標楷體"/>
                          <w:b/>
                          <w:color w:val="0000FF"/>
                        </w:rPr>
                        <w:t>至</w:t>
                      </w:r>
                      <w:r>
                        <w:rPr>
                          <w:rFonts w:eastAsia="標楷體"/>
                          <w:b/>
                          <w:color w:val="0000FF"/>
                        </w:rPr>
                        <w:t>2009</w:t>
                      </w:r>
                      <w:r>
                        <w:rPr>
                          <w:rFonts w:eastAsia="標楷體"/>
                          <w:b/>
                          <w:color w:val="0000FF"/>
                        </w:rPr>
                        <w:t>年我國及</w:t>
                      </w:r>
                      <w:r>
                        <w:rPr>
                          <w:rFonts w:eastAsia="標楷體"/>
                          <w:b/>
                          <w:color w:val="0000FF"/>
                        </w:rPr>
                        <w:t>OECD</w:t>
                      </w:r>
                      <w:r>
                        <w:rPr>
                          <w:rFonts w:eastAsia="標楷體"/>
                          <w:b/>
                          <w:color w:val="0000FF"/>
                        </w:rPr>
                        <w:t>國家每人吉尼係數變動情形</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54F05614" wp14:editId="23231DA0">
                <wp:simplePos x="0" y="0"/>
                <wp:positionH relativeFrom="column">
                  <wp:posOffset>191137</wp:posOffset>
                </wp:positionH>
                <wp:positionV relativeFrom="paragraph">
                  <wp:posOffset>22860</wp:posOffset>
                </wp:positionV>
                <wp:extent cx="2279654" cy="487676"/>
                <wp:effectExtent l="0" t="0" r="6346" b="7624"/>
                <wp:wrapNone/>
                <wp:docPr id="168" name="文字方塊 43037"/>
                <wp:cNvGraphicFramePr/>
                <a:graphic xmlns:a="http://schemas.openxmlformats.org/drawingml/2006/main">
                  <a:graphicData uri="http://schemas.microsoft.com/office/word/2010/wordprocessingShape">
                    <wps:wsp>
                      <wps:cNvSpPr txBox="1"/>
                      <wps:spPr>
                        <a:xfrm>
                          <a:off x="0" y="0"/>
                          <a:ext cx="2279654" cy="487676"/>
                        </a:xfrm>
                        <a:prstGeom prst="rect">
                          <a:avLst/>
                        </a:prstGeom>
                        <a:solidFill>
                          <a:srgbClr val="FFFFFF"/>
                        </a:solidFill>
                        <a:ln>
                          <a:noFill/>
                          <a:prstDash/>
                        </a:ln>
                      </wps:spPr>
                      <wps:txbx>
                        <w:txbxContent>
                          <w:p w14:paraId="33000D8C" w14:textId="77777777" w:rsidR="00052596" w:rsidRDefault="00000000">
                            <w:pPr>
                              <w:autoSpaceDE w:val="0"/>
                              <w:ind w:left="1079" w:hanging="1079"/>
                              <w:rPr>
                                <w:rFonts w:eastAsia="標楷體"/>
                                <w:b/>
                                <w:color w:val="0000FF"/>
                              </w:rPr>
                            </w:pPr>
                            <w:r>
                              <w:rPr>
                                <w:rFonts w:eastAsia="標楷體"/>
                                <w:b/>
                                <w:color w:val="0000FF"/>
                              </w:rPr>
                              <w:t>圖</w:t>
                            </w:r>
                            <w:r>
                              <w:rPr>
                                <w:rFonts w:eastAsia="標楷體"/>
                                <w:b/>
                                <w:color w:val="0000FF"/>
                              </w:rPr>
                              <w:t>1.2.12</w:t>
                            </w:r>
                            <w:r>
                              <w:rPr>
                                <w:rFonts w:eastAsia="標楷體"/>
                                <w:b/>
                                <w:color w:val="0000FF"/>
                              </w:rPr>
                              <w:t xml:space="preserve">　</w:t>
                            </w:r>
                            <w:r>
                              <w:rPr>
                                <w:rFonts w:eastAsia="標楷體"/>
                                <w:b/>
                                <w:color w:val="0000FF"/>
                              </w:rPr>
                              <w:t>2009</w:t>
                            </w:r>
                            <w:r>
                              <w:rPr>
                                <w:rFonts w:eastAsia="標楷體"/>
                                <w:b/>
                                <w:color w:val="0000FF"/>
                              </w:rPr>
                              <w:t>年我國及</w:t>
                            </w:r>
                            <w:r>
                              <w:rPr>
                                <w:rFonts w:eastAsia="標楷體"/>
                                <w:b/>
                                <w:color w:val="0000FF"/>
                              </w:rPr>
                              <w:t>OECD</w:t>
                            </w:r>
                            <w:r>
                              <w:rPr>
                                <w:rFonts w:eastAsia="標楷體"/>
                                <w:b/>
                                <w:color w:val="0000FF"/>
                              </w:rPr>
                              <w:t>國家每人吉尼係數</w:t>
                            </w:r>
                          </w:p>
                        </w:txbxContent>
                      </wps:txbx>
                      <wps:bodyPr wrap="square" lIns="91440" tIns="45720" rIns="91440" bIns="45720" anchor="t">
                        <a:spAutoFit/>
                      </wps:bodyPr>
                    </wps:wsp>
                  </a:graphicData>
                </a:graphic>
              </wp:anchor>
            </w:drawing>
          </mc:Choice>
          <mc:Fallback>
            <w:pict>
              <v:shape w14:anchorId="54F05614" id="文字方塊 43037" o:spid="_x0000_s1090" type="#_x0000_t202" style="position:absolute;left:0;text-align:left;margin-left:15.05pt;margin-top:1.8pt;width:179.5pt;height:38.4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" stroked="f">
                <v:textbox style="mso-fit-shape-to-text:t">
                  <w:txbxContent>
                    <w:p w14:paraId="33000D8C" w14:textId="77777777" w:rsidR="00052596" w:rsidRDefault="00000000">
                      <w:pPr>
                        <w:autoSpaceDE w:val="0"/>
                        <w:ind w:left="1079" w:hanging="1079"/>
                        <w:rPr>
                          <w:rFonts w:eastAsia="標楷體"/>
                          <w:b/>
                          <w:color w:val="0000FF"/>
                        </w:rPr>
                      </w:pPr>
                      <w:r>
                        <w:rPr>
                          <w:rFonts w:eastAsia="標楷體"/>
                          <w:b/>
                          <w:color w:val="0000FF"/>
                        </w:rPr>
                        <w:t>圖</w:t>
                      </w:r>
                      <w:r>
                        <w:rPr>
                          <w:rFonts w:eastAsia="標楷體"/>
                          <w:b/>
                          <w:color w:val="0000FF"/>
                        </w:rPr>
                        <w:t>1.2.12</w:t>
                      </w:r>
                      <w:r>
                        <w:rPr>
                          <w:rFonts w:eastAsia="標楷體"/>
                          <w:b/>
                          <w:color w:val="0000FF"/>
                        </w:rPr>
                        <w:t xml:space="preserve">　</w:t>
                      </w:r>
                      <w:r>
                        <w:rPr>
                          <w:rFonts w:eastAsia="標楷體"/>
                          <w:b/>
                          <w:color w:val="0000FF"/>
                        </w:rPr>
                        <w:t>2009</w:t>
                      </w:r>
                      <w:r>
                        <w:rPr>
                          <w:rFonts w:eastAsia="標楷體"/>
                          <w:b/>
                          <w:color w:val="0000FF"/>
                        </w:rPr>
                        <w:t>年我國及</w:t>
                      </w:r>
                      <w:r>
                        <w:rPr>
                          <w:rFonts w:eastAsia="標楷體"/>
                          <w:b/>
                          <w:color w:val="0000FF"/>
                        </w:rPr>
                        <w:t>OECD</w:t>
                      </w:r>
                      <w:r>
                        <w:rPr>
                          <w:rFonts w:eastAsia="標楷體"/>
                          <w:b/>
                          <w:color w:val="0000FF"/>
                        </w:rPr>
                        <w:t>國家每人吉尼係數</w:t>
                      </w:r>
                    </w:p>
                  </w:txbxContent>
                </v:textbox>
              </v:shape>
            </w:pict>
          </mc:Fallback>
        </mc:AlternateContent>
      </w:r>
    </w:p>
    <w:p w14:paraId="14CE4229" w14:textId="77777777" w:rsidR="00052596" w:rsidRDefault="00000000">
      <w:pPr>
        <w:overflowPunct w:val="0"/>
        <w:autoSpaceDE w:val="0"/>
        <w:snapToGrid w:val="0"/>
        <w:spacing w:before="360"/>
        <w:textAlignment w:val="center"/>
      </w:pPr>
      <w:r>
        <w:rPr>
          <w:rFonts w:eastAsia="標楷體"/>
          <w:b/>
          <w:kern w:val="0"/>
          <w:sz w:val="25"/>
          <w:szCs w:val="22"/>
        </w:rPr>
        <w:object w:dxaOrig="4220" w:dyaOrig="7183" w14:anchorId="15344D3B">
          <v:shape id="圖表 43033" o:spid="_x0000_i1030" type="#_x0000_t75" style="width:211pt;height:359.15pt;visibility:visible;mso-wrap-style:square" o:ole="">
            <v:imagedata r:id="rId57" o:title=""/>
          </v:shape>
          <o:OLEObject Type="Embed" ProgID="Excel.Chart.8" ShapeID="圖表 43033" DrawAspect="Content" ObjectID="_1720853760" r:id="rId58"/>
        </w:object>
      </w:r>
      <w:r>
        <w:rPr>
          <w:rFonts w:eastAsia="標楷體"/>
          <w:b/>
          <w:kern w:val="0"/>
          <w:sz w:val="25"/>
          <w:szCs w:val="22"/>
        </w:rPr>
        <w:object w:dxaOrig="4186" w:dyaOrig="7116" w14:anchorId="12839C90">
          <v:shape id="圖表 43034" o:spid="_x0000_i1031" type="#_x0000_t75" style="width:209.3pt;height:355.8pt;visibility:visible;mso-wrap-style:square" o:ole="">
            <v:imagedata r:id="rId59" o:title=""/>
          </v:shape>
          <o:OLEObject Type="Embed" ProgID="Excel.Chart.8" ShapeID="圖表 43034" DrawAspect="Content" ObjectID="_1720853761" r:id="rId60"/>
        </w:object>
      </w:r>
    </w:p>
    <w:p w14:paraId="47CCCC73" w14:textId="77777777" w:rsidR="00052596" w:rsidRDefault="00000000">
      <w:pPr>
        <w:overflowPunct w:val="0"/>
        <w:autoSpaceDE w:val="0"/>
        <w:spacing w:line="280" w:lineRule="exact"/>
        <w:ind w:left="1580" w:hanging="1100"/>
        <w:jc w:val="both"/>
        <w:textAlignment w:val="center"/>
        <w:rPr>
          <w:rFonts w:eastAsia="標楷體"/>
          <w:kern w:val="0"/>
          <w:sz w:val="22"/>
          <w:szCs w:val="22"/>
        </w:rPr>
      </w:pPr>
      <w:r>
        <w:rPr>
          <w:rFonts w:eastAsia="標楷體"/>
          <w:kern w:val="0"/>
          <w:sz w:val="22"/>
          <w:szCs w:val="22"/>
        </w:rPr>
        <w:t>資料來源：行政院主計總處。　　　　　　　　資料來源：行政院主計總處。</w:t>
      </w:r>
    </w:p>
    <w:tbl>
      <w:tblPr>
        <w:tblW w:w="8519" w:type="dxa"/>
        <w:jc w:val="center"/>
        <w:tblLayout w:type="fixed"/>
        <w:tblCellMar>
          <w:left w:w="10" w:type="dxa"/>
          <w:right w:w="10" w:type="dxa"/>
        </w:tblCellMar>
        <w:tblLook w:val="04A0" w:firstRow="1" w:lastRow="0" w:firstColumn="1" w:lastColumn="0" w:noHBand="0" w:noVBand="1"/>
      </w:tblPr>
      <w:tblGrid>
        <w:gridCol w:w="8519"/>
      </w:tblGrid>
      <w:tr w:rsidR="00052596" w14:paraId="27003ADD" w14:textId="77777777">
        <w:tblPrEx>
          <w:tblCellMar>
            <w:top w:w="0" w:type="dxa"/>
            <w:bottom w:w="0" w:type="dxa"/>
          </w:tblCellMar>
        </w:tblPrEx>
        <w:trPr>
          <w:jc w:val="center"/>
        </w:trPr>
        <w:tc>
          <w:tcPr>
            <w:tcW w:w="85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6CC4267" w14:textId="77777777" w:rsidR="00052596" w:rsidRDefault="00000000">
            <w:pPr>
              <w:overflowPunct w:val="0"/>
              <w:autoSpaceDE w:val="0"/>
              <w:spacing w:before="240" w:after="120" w:line="360" w:lineRule="exact"/>
              <w:jc w:val="center"/>
              <w:textAlignment w:val="center"/>
              <w:rPr>
                <w:rFonts w:ascii="新細明體" w:hAnsi="新細明體"/>
                <w:b/>
                <w:color w:val="0000FF"/>
                <w:spacing w:val="14"/>
                <w:kern w:val="0"/>
              </w:rPr>
            </w:pPr>
            <w:r>
              <w:rPr>
                <w:rFonts w:ascii="新細明體" w:hAnsi="新細明體"/>
                <w:b/>
                <w:color w:val="0000FF"/>
                <w:spacing w:val="14"/>
                <w:kern w:val="0"/>
              </w:rPr>
              <w:t>政府移轉收支及實物給付之所得分配效果</w:t>
            </w:r>
          </w:p>
          <w:p w14:paraId="351C2F1A" w14:textId="77777777" w:rsidR="00052596" w:rsidRDefault="00000000">
            <w:pPr>
              <w:overflowPunct w:val="0"/>
              <w:autoSpaceDE w:val="0"/>
              <w:snapToGrid w:val="0"/>
              <w:spacing w:line="40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為減緩全球化及家庭結構變化，對弱勢族群及失業者的衝擊，讓全民共享經濟成果，近年來政府積極運用社福補助、津貼等移轉支出工具或稅捐措施，改善家庭所得差距。以「每戶」五等分位家庭所得差距倍數觀察，若不計政府移轉收支，100年五等分位家庭所得差距倍數為7.75倍，然在政府擴大推動社會福利措施及促進就業計畫下，社福所得重分配效果達1.43倍；加計租稅效果0.16倍，合計降低1.59倍，使所得差距倍數降為6.17倍。惟租稅對改善所得分配效果長期相對偏低，值得重視。</w:t>
            </w:r>
          </w:p>
          <w:p w14:paraId="1547CF71" w14:textId="77777777" w:rsidR="00052596" w:rsidRDefault="00000000">
            <w:pPr>
              <w:overflowPunct w:val="0"/>
              <w:autoSpaceDE w:val="0"/>
              <w:snapToGrid w:val="0"/>
              <w:spacing w:line="400" w:lineRule="exact"/>
              <w:ind w:left="72" w:right="72" w:firstLine="472"/>
              <w:jc w:val="both"/>
              <w:textAlignment w:val="center"/>
            </w:pPr>
            <w:r>
              <w:rPr>
                <w:rFonts w:ascii="新細明體" w:hAnsi="新細明體"/>
                <w:bCs/>
                <w:spacing w:val="8"/>
                <w:kern w:val="0"/>
                <w:sz w:val="22"/>
                <w:szCs w:val="22"/>
              </w:rPr>
              <w:t>此外，為完整呈現政府各項社會福利措施對所得分配改善的效果，自98年起政府更納入多項實物給付(政府免費或以低於市場價格提供商品或服務給個人或家庭，或有指定用途的各項補助)。例如：復康巴士、身障者托育養護費用、弱勢家庭兒童托育津貼等補助。100年政府實物給付總額833億元，併計此一效果後</w:t>
            </w:r>
            <w:r>
              <w:rPr>
                <w:rFonts w:ascii="新細明體" w:hAnsi="新細明體"/>
                <w:bCs/>
                <w:spacing w:val="8"/>
                <w:kern w:val="0"/>
                <w:sz w:val="21"/>
                <w:szCs w:val="22"/>
              </w:rPr>
              <w:t>，100</w:t>
            </w:r>
            <w:r>
              <w:rPr>
                <w:rFonts w:ascii="新細明體" w:hAnsi="新細明體"/>
                <w:bCs/>
                <w:spacing w:val="8"/>
                <w:kern w:val="0"/>
                <w:sz w:val="21"/>
                <w:szCs w:val="22"/>
              </w:rPr>
              <w:lastRenderedPageBreak/>
              <w:t>年五等分位家庭所得差距倍數，可由6.17倍再降至5.75倍，縮減0.42倍。綜言之，98至100年政府移轉收支及實物給付政策，已有效減緩家庭所得分配不均現象</w:t>
            </w:r>
            <w:r>
              <w:rPr>
                <w:rFonts w:ascii="新細明體" w:hAnsi="新細明體"/>
                <w:bCs/>
                <w:spacing w:val="8"/>
                <w:kern w:val="0"/>
                <w:sz w:val="22"/>
                <w:szCs w:val="22"/>
              </w:rPr>
              <w:t>。</w:t>
            </w:r>
          </w:p>
          <w:p w14:paraId="7EEDD11A" w14:textId="77777777" w:rsidR="00052596" w:rsidRDefault="00000000">
            <w:pPr>
              <w:overflowPunct w:val="0"/>
              <w:autoSpaceDE w:val="0"/>
              <w:snapToGrid w:val="0"/>
              <w:spacing w:before="120" w:line="400" w:lineRule="exact"/>
              <w:ind w:left="72" w:right="72"/>
              <w:jc w:val="center"/>
              <w:textAlignment w:val="center"/>
              <w:rPr>
                <w:rFonts w:ascii="新細明體" w:hAnsi="新細明體"/>
                <w:b/>
                <w:bCs/>
                <w:color w:val="0000FF"/>
                <w:spacing w:val="8"/>
                <w:kern w:val="0"/>
                <w:sz w:val="22"/>
                <w:szCs w:val="22"/>
              </w:rPr>
            </w:pPr>
            <w:r>
              <w:rPr>
                <w:rFonts w:ascii="新細明體" w:hAnsi="新細明體"/>
                <w:b/>
                <w:bCs/>
                <w:color w:val="0000FF"/>
                <w:spacing w:val="8"/>
                <w:kern w:val="0"/>
                <w:sz w:val="22"/>
                <w:szCs w:val="22"/>
              </w:rPr>
              <w:t>政府移轉收支及實物給付效果</w:t>
            </w:r>
          </w:p>
          <w:p w14:paraId="047BD559" w14:textId="77777777" w:rsidR="00052596" w:rsidRDefault="00000000">
            <w:pPr>
              <w:overflowPunct w:val="0"/>
              <w:autoSpaceDE w:val="0"/>
              <w:spacing w:line="320" w:lineRule="exact"/>
              <w:ind w:left="72" w:right="266"/>
              <w:jc w:val="right"/>
              <w:textAlignment w:val="center"/>
              <w:rPr>
                <w:rFonts w:ascii="新細明體" w:hAnsi="新細明體"/>
                <w:bCs/>
                <w:spacing w:val="8"/>
                <w:kern w:val="0"/>
                <w:sz w:val="20"/>
              </w:rPr>
            </w:pPr>
            <w:r>
              <w:rPr>
                <w:rFonts w:ascii="新細明體" w:hAnsi="新細明體"/>
                <w:bCs/>
                <w:spacing w:val="8"/>
                <w:kern w:val="0"/>
                <w:sz w:val="20"/>
              </w:rPr>
              <w:t>單位：倍</w:t>
            </w:r>
          </w:p>
          <w:tbl>
            <w:tblPr>
              <w:tblW w:w="8054" w:type="dxa"/>
              <w:jc w:val="center"/>
              <w:tblLayout w:type="fixed"/>
              <w:tblCellMar>
                <w:left w:w="10" w:type="dxa"/>
                <w:right w:w="10" w:type="dxa"/>
              </w:tblCellMar>
              <w:tblLook w:val="04A0" w:firstRow="1" w:lastRow="0" w:firstColumn="1" w:lastColumn="0" w:noHBand="0" w:noVBand="1"/>
            </w:tblPr>
            <w:tblGrid>
              <w:gridCol w:w="602"/>
              <w:gridCol w:w="1064"/>
              <w:gridCol w:w="957"/>
              <w:gridCol w:w="957"/>
              <w:gridCol w:w="958"/>
              <w:gridCol w:w="922"/>
              <w:gridCol w:w="1119"/>
              <w:gridCol w:w="1475"/>
            </w:tblGrid>
            <w:tr w:rsidR="00052596" w14:paraId="27F09362" w14:textId="77777777">
              <w:tblPrEx>
                <w:tblCellMar>
                  <w:top w:w="0" w:type="dxa"/>
                  <w:bottom w:w="0" w:type="dxa"/>
                </w:tblCellMar>
              </w:tblPrEx>
              <w:trPr>
                <w:trHeight w:val="531"/>
                <w:jc w:val="center"/>
              </w:trPr>
              <w:tc>
                <w:tcPr>
                  <w:tcW w:w="602" w:type="dxa"/>
                  <w:vMerge w:val="restart"/>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B47766" w14:textId="77777777" w:rsidR="00052596" w:rsidRDefault="00000000">
                  <w:pPr>
                    <w:overflowPunct w:val="0"/>
                    <w:autoSpaceDE w:val="0"/>
                    <w:snapToGrid w:val="0"/>
                    <w:spacing w:line="280" w:lineRule="exact"/>
                    <w:ind w:right="72"/>
                    <w:jc w:val="center"/>
                    <w:textAlignment w:val="center"/>
                    <w:rPr>
                      <w:rFonts w:ascii="新細明體" w:hAnsi="新細明體"/>
                      <w:bCs/>
                      <w:spacing w:val="-4"/>
                      <w:kern w:val="0"/>
                      <w:sz w:val="20"/>
                    </w:rPr>
                  </w:pPr>
                  <w:r>
                    <w:rPr>
                      <w:rFonts w:ascii="新細明體" w:hAnsi="新細明體"/>
                      <w:bCs/>
                      <w:spacing w:val="-4"/>
                      <w:kern w:val="0"/>
                      <w:sz w:val="20"/>
                    </w:rPr>
                    <w:t>年別</w:t>
                  </w:r>
                </w:p>
              </w:tc>
              <w:tc>
                <w:tcPr>
                  <w:tcW w:w="10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554325"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政府移轉收支前五等分位家庭所得差距倍數</w:t>
                  </w:r>
                </w:p>
                <w:p w14:paraId="74FDBA08"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(1)</w:t>
                  </w:r>
                </w:p>
              </w:tc>
              <w:tc>
                <w:tcPr>
                  <w:tcW w:w="28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D6ABB5"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所得重分配效果</w:t>
                  </w:r>
                </w:p>
              </w:tc>
              <w:tc>
                <w:tcPr>
                  <w:tcW w:w="9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8620AF"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政府實物給付所得分配效果</w:t>
                  </w:r>
                </w:p>
                <w:p w14:paraId="06A0C2ED" w14:textId="77777777" w:rsidR="00052596" w:rsidRDefault="00052596">
                  <w:pPr>
                    <w:overflowPunct w:val="0"/>
                    <w:autoSpaceDE w:val="0"/>
                    <w:snapToGrid w:val="0"/>
                    <w:spacing w:line="280" w:lineRule="exact"/>
                    <w:jc w:val="center"/>
                    <w:textAlignment w:val="center"/>
                    <w:rPr>
                      <w:rFonts w:ascii="新細明體" w:hAnsi="新細明體"/>
                      <w:bCs/>
                      <w:spacing w:val="-4"/>
                      <w:kern w:val="0"/>
                      <w:sz w:val="20"/>
                    </w:rPr>
                  </w:pPr>
                </w:p>
                <w:p w14:paraId="6062C08F"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(5)</w:t>
                  </w:r>
                </w:p>
              </w:tc>
              <w:tc>
                <w:tcPr>
                  <w:tcW w:w="11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820C35"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政府移轉收支後五等分位家庭所得差距倍數</w:t>
                  </w:r>
                </w:p>
                <w:p w14:paraId="631B3A6C"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(6)=(1)-(4)</w:t>
                  </w:r>
                </w:p>
              </w:tc>
              <w:tc>
                <w:tcPr>
                  <w:tcW w:w="1475"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69D3407"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加計政府移轉收支及實物給付後之五等分位家庭所得差距倍數</w:t>
                  </w:r>
                </w:p>
                <w:p w14:paraId="77E1AE81"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(7)=(1)-(4)-(5)</w:t>
                  </w:r>
                </w:p>
              </w:tc>
            </w:tr>
            <w:tr w:rsidR="00052596" w14:paraId="1713B6D1" w14:textId="77777777">
              <w:tblPrEx>
                <w:tblCellMar>
                  <w:top w:w="0" w:type="dxa"/>
                  <w:bottom w:w="0" w:type="dxa"/>
                </w:tblCellMar>
              </w:tblPrEx>
              <w:trPr>
                <w:jc w:val="center"/>
              </w:trPr>
              <w:tc>
                <w:tcPr>
                  <w:tcW w:w="602" w:type="dxa"/>
                  <w:vMerge/>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52EEA4" w14:textId="77777777" w:rsidR="00052596" w:rsidRDefault="00052596">
                  <w:pPr>
                    <w:overflowPunct w:val="0"/>
                    <w:autoSpaceDE w:val="0"/>
                    <w:snapToGrid w:val="0"/>
                    <w:spacing w:line="320" w:lineRule="exact"/>
                    <w:ind w:right="72"/>
                    <w:jc w:val="center"/>
                    <w:textAlignment w:val="center"/>
                    <w:rPr>
                      <w:rFonts w:ascii="新細明體" w:hAnsi="新細明體"/>
                      <w:bCs/>
                      <w:spacing w:val="-4"/>
                      <w:kern w:val="0"/>
                      <w:sz w:val="20"/>
                    </w:rPr>
                  </w:pPr>
                </w:p>
              </w:tc>
              <w:tc>
                <w:tcPr>
                  <w:tcW w:w="10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99F3D4" w14:textId="77777777" w:rsidR="00052596" w:rsidRDefault="00052596">
                  <w:pPr>
                    <w:overflowPunct w:val="0"/>
                    <w:autoSpaceDE w:val="0"/>
                    <w:snapToGrid w:val="0"/>
                    <w:spacing w:line="320" w:lineRule="exact"/>
                    <w:ind w:right="72"/>
                    <w:jc w:val="center"/>
                    <w:textAlignment w:val="center"/>
                    <w:rPr>
                      <w:rFonts w:ascii="新細明體" w:hAnsi="新細明體"/>
                      <w:bCs/>
                      <w:spacing w:val="-4"/>
                      <w:kern w:val="0"/>
                      <w:sz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BD539"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社福效果</w:t>
                  </w:r>
                </w:p>
                <w:p w14:paraId="6C9FB0F0" w14:textId="77777777" w:rsidR="00052596" w:rsidRDefault="00052596">
                  <w:pPr>
                    <w:overflowPunct w:val="0"/>
                    <w:autoSpaceDE w:val="0"/>
                    <w:snapToGrid w:val="0"/>
                    <w:spacing w:line="280" w:lineRule="exact"/>
                    <w:jc w:val="center"/>
                    <w:textAlignment w:val="center"/>
                    <w:rPr>
                      <w:rFonts w:ascii="新細明體" w:hAnsi="新細明體"/>
                      <w:bCs/>
                      <w:spacing w:val="-4"/>
                      <w:kern w:val="0"/>
                      <w:sz w:val="20"/>
                    </w:rPr>
                  </w:pPr>
                </w:p>
                <w:p w14:paraId="4553E119"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F43F0"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租稅效果</w:t>
                  </w:r>
                </w:p>
                <w:p w14:paraId="1F0E2F72" w14:textId="77777777" w:rsidR="00052596" w:rsidRDefault="00052596">
                  <w:pPr>
                    <w:overflowPunct w:val="0"/>
                    <w:autoSpaceDE w:val="0"/>
                    <w:snapToGrid w:val="0"/>
                    <w:spacing w:line="280" w:lineRule="exact"/>
                    <w:jc w:val="center"/>
                    <w:textAlignment w:val="center"/>
                    <w:rPr>
                      <w:rFonts w:ascii="新細明體" w:hAnsi="新細明體"/>
                      <w:bCs/>
                      <w:spacing w:val="-4"/>
                      <w:kern w:val="0"/>
                      <w:sz w:val="20"/>
                    </w:rPr>
                  </w:pPr>
                </w:p>
                <w:p w14:paraId="7E3EF968"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(3)</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3188B"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縮減倍數</w:t>
                  </w:r>
                </w:p>
                <w:p w14:paraId="19017FD0"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合計</w:t>
                  </w:r>
                </w:p>
                <w:p w14:paraId="699116F1" w14:textId="77777777" w:rsidR="00052596" w:rsidRDefault="00000000">
                  <w:pPr>
                    <w:overflowPunct w:val="0"/>
                    <w:autoSpaceDE w:val="0"/>
                    <w:snapToGrid w:val="0"/>
                    <w:spacing w:line="280" w:lineRule="exact"/>
                    <w:jc w:val="center"/>
                    <w:textAlignment w:val="center"/>
                    <w:rPr>
                      <w:rFonts w:ascii="新細明體" w:hAnsi="新細明體"/>
                      <w:bCs/>
                      <w:spacing w:val="-4"/>
                      <w:kern w:val="0"/>
                      <w:sz w:val="20"/>
                    </w:rPr>
                  </w:pPr>
                  <w:r>
                    <w:rPr>
                      <w:rFonts w:ascii="新細明體" w:hAnsi="新細明體"/>
                      <w:bCs/>
                      <w:spacing w:val="-4"/>
                      <w:kern w:val="0"/>
                      <w:sz w:val="20"/>
                    </w:rPr>
                    <w:t>(4)=(2)+(3)</w:t>
                  </w:r>
                </w:p>
              </w:tc>
              <w:tc>
                <w:tcPr>
                  <w:tcW w:w="9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2A0738" w14:textId="77777777" w:rsidR="00052596" w:rsidRDefault="00052596">
                  <w:pPr>
                    <w:overflowPunct w:val="0"/>
                    <w:autoSpaceDE w:val="0"/>
                    <w:snapToGrid w:val="0"/>
                    <w:spacing w:line="320" w:lineRule="exact"/>
                    <w:ind w:right="72"/>
                    <w:jc w:val="center"/>
                    <w:textAlignment w:val="center"/>
                    <w:rPr>
                      <w:rFonts w:ascii="新細明體" w:hAnsi="新細明體"/>
                      <w:bCs/>
                      <w:spacing w:val="-4"/>
                      <w:kern w:val="0"/>
                      <w:sz w:val="20"/>
                    </w:rPr>
                  </w:pPr>
                </w:p>
              </w:tc>
              <w:tc>
                <w:tcPr>
                  <w:tcW w:w="11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3F039" w14:textId="77777777" w:rsidR="00052596" w:rsidRDefault="00052596">
                  <w:pPr>
                    <w:overflowPunct w:val="0"/>
                    <w:autoSpaceDE w:val="0"/>
                    <w:snapToGrid w:val="0"/>
                    <w:spacing w:line="320" w:lineRule="exact"/>
                    <w:ind w:right="72"/>
                    <w:jc w:val="center"/>
                    <w:textAlignment w:val="center"/>
                    <w:rPr>
                      <w:rFonts w:ascii="新細明體" w:hAnsi="新細明體"/>
                      <w:bCs/>
                      <w:spacing w:val="-4"/>
                      <w:kern w:val="0"/>
                      <w:sz w:val="20"/>
                    </w:rPr>
                  </w:pPr>
                </w:p>
              </w:tc>
              <w:tc>
                <w:tcPr>
                  <w:tcW w:w="1475"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E037E5D" w14:textId="77777777" w:rsidR="00052596" w:rsidRDefault="00052596">
                  <w:pPr>
                    <w:overflowPunct w:val="0"/>
                    <w:autoSpaceDE w:val="0"/>
                    <w:snapToGrid w:val="0"/>
                    <w:spacing w:line="320" w:lineRule="exact"/>
                    <w:ind w:right="72"/>
                    <w:jc w:val="center"/>
                    <w:textAlignment w:val="center"/>
                    <w:rPr>
                      <w:rFonts w:ascii="新細明體" w:hAnsi="新細明體"/>
                      <w:bCs/>
                      <w:spacing w:val="-4"/>
                      <w:kern w:val="0"/>
                      <w:sz w:val="20"/>
                    </w:rPr>
                  </w:pPr>
                </w:p>
              </w:tc>
            </w:tr>
            <w:tr w:rsidR="00052596" w14:paraId="4EFD40F1" w14:textId="77777777">
              <w:tblPrEx>
                <w:tblCellMar>
                  <w:top w:w="0" w:type="dxa"/>
                  <w:bottom w:w="0" w:type="dxa"/>
                </w:tblCellMar>
              </w:tblPrEx>
              <w:trPr>
                <w:jc w:val="center"/>
              </w:trPr>
              <w:tc>
                <w:tcPr>
                  <w:tcW w:w="602" w:type="dxa"/>
                  <w:tcBorders>
                    <w:top w:val="single" w:sz="4" w:space="0" w:color="000000"/>
                    <w:right w:val="single" w:sz="4" w:space="0" w:color="000000"/>
                  </w:tcBorders>
                  <w:shd w:val="clear" w:color="auto" w:fill="auto"/>
                  <w:tcMar>
                    <w:top w:w="0" w:type="dxa"/>
                    <w:left w:w="28" w:type="dxa"/>
                    <w:bottom w:w="0" w:type="dxa"/>
                    <w:right w:w="28" w:type="dxa"/>
                  </w:tcMar>
                  <w:vAlign w:val="center"/>
                </w:tcPr>
                <w:p w14:paraId="6A591B4F"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90</w:t>
                  </w:r>
                </w:p>
              </w:tc>
              <w:tc>
                <w:tcPr>
                  <w:tcW w:w="1064"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779860E"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7.67</w:t>
                  </w:r>
                </w:p>
              </w:tc>
              <w:tc>
                <w:tcPr>
                  <w:tcW w:w="95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C18B78F"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1.13</w:t>
                  </w:r>
                </w:p>
              </w:tc>
              <w:tc>
                <w:tcPr>
                  <w:tcW w:w="95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2B468ECA"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0.15</w:t>
                  </w:r>
                </w:p>
              </w:tc>
              <w:tc>
                <w:tcPr>
                  <w:tcW w:w="9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CE0AACE"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1.28</w:t>
                  </w:r>
                </w:p>
              </w:tc>
              <w:tc>
                <w:tcPr>
                  <w:tcW w:w="922"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62058F5A" w14:textId="77777777" w:rsidR="00052596" w:rsidRDefault="00000000">
                  <w:pPr>
                    <w:spacing w:line="320" w:lineRule="exact"/>
                    <w:jc w:val="center"/>
                  </w:pPr>
                  <w:r>
                    <w:rPr>
                      <w:spacing w:val="-4"/>
                      <w:kern w:val="0"/>
                      <w:sz w:val="20"/>
                    </w:rPr>
                    <w:t>－</w:t>
                  </w:r>
                </w:p>
              </w:tc>
              <w:tc>
                <w:tcPr>
                  <w:tcW w:w="1119"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A596CD4"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6.39</w:t>
                  </w:r>
                </w:p>
              </w:tc>
              <w:tc>
                <w:tcPr>
                  <w:tcW w:w="1475" w:type="dxa"/>
                  <w:tcBorders>
                    <w:top w:val="single" w:sz="4" w:space="0" w:color="000000"/>
                    <w:left w:val="single" w:sz="4" w:space="0" w:color="000000"/>
                  </w:tcBorders>
                  <w:shd w:val="clear" w:color="auto" w:fill="auto"/>
                  <w:tcMar>
                    <w:top w:w="0" w:type="dxa"/>
                    <w:left w:w="28" w:type="dxa"/>
                    <w:bottom w:w="0" w:type="dxa"/>
                    <w:right w:w="28" w:type="dxa"/>
                  </w:tcMar>
                </w:tcPr>
                <w:p w14:paraId="23B0C188" w14:textId="77777777" w:rsidR="00052596" w:rsidRDefault="00000000">
                  <w:pPr>
                    <w:spacing w:line="320" w:lineRule="exact"/>
                    <w:jc w:val="center"/>
                    <w:rPr>
                      <w:kern w:val="0"/>
                    </w:rPr>
                  </w:pPr>
                  <w:r>
                    <w:rPr>
                      <w:kern w:val="0"/>
                    </w:rPr>
                    <w:t>－</w:t>
                  </w:r>
                </w:p>
              </w:tc>
            </w:tr>
            <w:tr w:rsidR="00052596" w14:paraId="6C2E8602" w14:textId="77777777">
              <w:tblPrEx>
                <w:tblCellMar>
                  <w:top w:w="0" w:type="dxa"/>
                  <w:bottom w:w="0" w:type="dxa"/>
                </w:tblCellMar>
              </w:tblPrEx>
              <w:trPr>
                <w:jc w:val="center"/>
              </w:trPr>
              <w:tc>
                <w:tcPr>
                  <w:tcW w:w="602" w:type="dxa"/>
                  <w:tcBorders>
                    <w:right w:val="single" w:sz="4" w:space="0" w:color="000000"/>
                  </w:tcBorders>
                  <w:shd w:val="clear" w:color="auto" w:fill="auto"/>
                  <w:tcMar>
                    <w:top w:w="0" w:type="dxa"/>
                    <w:left w:w="28" w:type="dxa"/>
                    <w:bottom w:w="0" w:type="dxa"/>
                    <w:right w:w="28" w:type="dxa"/>
                  </w:tcMar>
                  <w:vAlign w:val="center"/>
                </w:tcPr>
                <w:p w14:paraId="64B142C7"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91</w:t>
                  </w:r>
                </w:p>
              </w:tc>
              <w:tc>
                <w:tcPr>
                  <w:tcW w:w="1064" w:type="dxa"/>
                  <w:tcBorders>
                    <w:left w:val="single" w:sz="4" w:space="0" w:color="000000"/>
                    <w:right w:val="single" w:sz="4" w:space="0" w:color="000000"/>
                  </w:tcBorders>
                  <w:shd w:val="clear" w:color="auto" w:fill="auto"/>
                  <w:tcMar>
                    <w:top w:w="0" w:type="dxa"/>
                    <w:left w:w="28" w:type="dxa"/>
                    <w:bottom w:w="0" w:type="dxa"/>
                    <w:right w:w="28" w:type="dxa"/>
                  </w:tcMar>
                </w:tcPr>
                <w:p w14:paraId="7F5BB557"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7.47</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7C48BDC4"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1.18</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0DA50F74"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0.13</w:t>
                  </w:r>
                </w:p>
              </w:tc>
              <w:tc>
                <w:tcPr>
                  <w:tcW w:w="958" w:type="dxa"/>
                  <w:tcBorders>
                    <w:left w:val="single" w:sz="4" w:space="0" w:color="000000"/>
                    <w:right w:val="single" w:sz="4" w:space="0" w:color="000000"/>
                  </w:tcBorders>
                  <w:shd w:val="clear" w:color="auto" w:fill="auto"/>
                  <w:tcMar>
                    <w:top w:w="0" w:type="dxa"/>
                    <w:left w:w="28" w:type="dxa"/>
                    <w:bottom w:w="0" w:type="dxa"/>
                    <w:right w:w="28" w:type="dxa"/>
                  </w:tcMar>
                </w:tcPr>
                <w:p w14:paraId="104E8360"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1.31</w:t>
                  </w:r>
                </w:p>
              </w:tc>
              <w:tc>
                <w:tcPr>
                  <w:tcW w:w="922" w:type="dxa"/>
                  <w:tcBorders>
                    <w:left w:val="single" w:sz="4" w:space="0" w:color="000000"/>
                    <w:right w:val="single" w:sz="4" w:space="0" w:color="000000"/>
                  </w:tcBorders>
                  <w:shd w:val="clear" w:color="auto" w:fill="auto"/>
                  <w:tcMar>
                    <w:top w:w="0" w:type="dxa"/>
                    <w:left w:w="28" w:type="dxa"/>
                    <w:bottom w:w="0" w:type="dxa"/>
                    <w:right w:w="28" w:type="dxa"/>
                  </w:tcMar>
                </w:tcPr>
                <w:p w14:paraId="2F12B020" w14:textId="77777777" w:rsidR="00052596" w:rsidRDefault="00000000">
                  <w:pPr>
                    <w:spacing w:line="320" w:lineRule="exact"/>
                    <w:jc w:val="center"/>
                  </w:pPr>
                  <w:r>
                    <w:rPr>
                      <w:spacing w:val="-4"/>
                      <w:kern w:val="0"/>
                      <w:sz w:val="20"/>
                    </w:rPr>
                    <w:t>－</w:t>
                  </w:r>
                </w:p>
              </w:tc>
              <w:tc>
                <w:tcPr>
                  <w:tcW w:w="1119" w:type="dxa"/>
                  <w:tcBorders>
                    <w:left w:val="single" w:sz="4" w:space="0" w:color="000000"/>
                    <w:right w:val="single" w:sz="4" w:space="0" w:color="000000"/>
                  </w:tcBorders>
                  <w:shd w:val="clear" w:color="auto" w:fill="auto"/>
                  <w:tcMar>
                    <w:top w:w="0" w:type="dxa"/>
                    <w:left w:w="28" w:type="dxa"/>
                    <w:bottom w:w="0" w:type="dxa"/>
                    <w:right w:w="28" w:type="dxa"/>
                  </w:tcMar>
                </w:tcPr>
                <w:p w14:paraId="7AFB8294"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6.16</w:t>
                  </w:r>
                </w:p>
              </w:tc>
              <w:tc>
                <w:tcPr>
                  <w:tcW w:w="1475" w:type="dxa"/>
                  <w:tcBorders>
                    <w:left w:val="single" w:sz="4" w:space="0" w:color="000000"/>
                  </w:tcBorders>
                  <w:shd w:val="clear" w:color="auto" w:fill="auto"/>
                  <w:tcMar>
                    <w:top w:w="0" w:type="dxa"/>
                    <w:left w:w="28" w:type="dxa"/>
                    <w:bottom w:w="0" w:type="dxa"/>
                    <w:right w:w="28" w:type="dxa"/>
                  </w:tcMar>
                </w:tcPr>
                <w:p w14:paraId="1DCD687F" w14:textId="77777777" w:rsidR="00052596" w:rsidRDefault="00000000">
                  <w:pPr>
                    <w:spacing w:line="320" w:lineRule="exact"/>
                    <w:jc w:val="center"/>
                    <w:rPr>
                      <w:kern w:val="0"/>
                    </w:rPr>
                  </w:pPr>
                  <w:r>
                    <w:rPr>
                      <w:kern w:val="0"/>
                    </w:rPr>
                    <w:t>－</w:t>
                  </w:r>
                </w:p>
              </w:tc>
            </w:tr>
            <w:tr w:rsidR="00052596" w14:paraId="03177937" w14:textId="77777777">
              <w:tblPrEx>
                <w:tblCellMar>
                  <w:top w:w="0" w:type="dxa"/>
                  <w:bottom w:w="0" w:type="dxa"/>
                </w:tblCellMar>
              </w:tblPrEx>
              <w:trPr>
                <w:jc w:val="center"/>
              </w:trPr>
              <w:tc>
                <w:tcPr>
                  <w:tcW w:w="602" w:type="dxa"/>
                  <w:tcBorders>
                    <w:right w:val="single" w:sz="4" w:space="0" w:color="000000"/>
                  </w:tcBorders>
                  <w:shd w:val="clear" w:color="auto" w:fill="auto"/>
                  <w:tcMar>
                    <w:top w:w="0" w:type="dxa"/>
                    <w:left w:w="28" w:type="dxa"/>
                    <w:bottom w:w="0" w:type="dxa"/>
                    <w:right w:w="28" w:type="dxa"/>
                  </w:tcMar>
                  <w:vAlign w:val="center"/>
                </w:tcPr>
                <w:p w14:paraId="4FD7EB91"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92</w:t>
                  </w:r>
                </w:p>
              </w:tc>
              <w:tc>
                <w:tcPr>
                  <w:tcW w:w="1064" w:type="dxa"/>
                  <w:tcBorders>
                    <w:left w:val="single" w:sz="4" w:space="0" w:color="000000"/>
                    <w:right w:val="single" w:sz="4" w:space="0" w:color="000000"/>
                  </w:tcBorders>
                  <w:shd w:val="clear" w:color="auto" w:fill="auto"/>
                  <w:tcMar>
                    <w:top w:w="0" w:type="dxa"/>
                    <w:left w:w="28" w:type="dxa"/>
                    <w:bottom w:w="0" w:type="dxa"/>
                    <w:right w:w="28" w:type="dxa"/>
                  </w:tcMar>
                </w:tcPr>
                <w:p w14:paraId="297508CC"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7.32</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09DF3BE6"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1.12</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5409AC76"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0.12</w:t>
                  </w:r>
                </w:p>
              </w:tc>
              <w:tc>
                <w:tcPr>
                  <w:tcW w:w="958" w:type="dxa"/>
                  <w:tcBorders>
                    <w:left w:val="single" w:sz="4" w:space="0" w:color="000000"/>
                    <w:right w:val="single" w:sz="4" w:space="0" w:color="000000"/>
                  </w:tcBorders>
                  <w:shd w:val="clear" w:color="auto" w:fill="auto"/>
                  <w:tcMar>
                    <w:top w:w="0" w:type="dxa"/>
                    <w:left w:w="28" w:type="dxa"/>
                    <w:bottom w:w="0" w:type="dxa"/>
                    <w:right w:w="28" w:type="dxa"/>
                  </w:tcMar>
                </w:tcPr>
                <w:p w14:paraId="122A16C4"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1.24</w:t>
                  </w:r>
                </w:p>
              </w:tc>
              <w:tc>
                <w:tcPr>
                  <w:tcW w:w="922" w:type="dxa"/>
                  <w:tcBorders>
                    <w:left w:val="single" w:sz="4" w:space="0" w:color="000000"/>
                    <w:right w:val="single" w:sz="4" w:space="0" w:color="000000"/>
                  </w:tcBorders>
                  <w:shd w:val="clear" w:color="auto" w:fill="auto"/>
                  <w:tcMar>
                    <w:top w:w="0" w:type="dxa"/>
                    <w:left w:w="28" w:type="dxa"/>
                    <w:bottom w:w="0" w:type="dxa"/>
                    <w:right w:w="28" w:type="dxa"/>
                  </w:tcMar>
                </w:tcPr>
                <w:p w14:paraId="73B82641" w14:textId="77777777" w:rsidR="00052596" w:rsidRDefault="00000000">
                  <w:pPr>
                    <w:spacing w:line="320" w:lineRule="exact"/>
                    <w:jc w:val="center"/>
                  </w:pPr>
                  <w:r>
                    <w:rPr>
                      <w:spacing w:val="-4"/>
                      <w:kern w:val="0"/>
                      <w:sz w:val="20"/>
                    </w:rPr>
                    <w:t>－</w:t>
                  </w:r>
                </w:p>
              </w:tc>
              <w:tc>
                <w:tcPr>
                  <w:tcW w:w="1119" w:type="dxa"/>
                  <w:tcBorders>
                    <w:left w:val="single" w:sz="4" w:space="0" w:color="000000"/>
                    <w:right w:val="single" w:sz="4" w:space="0" w:color="000000"/>
                  </w:tcBorders>
                  <w:shd w:val="clear" w:color="auto" w:fill="auto"/>
                  <w:tcMar>
                    <w:top w:w="0" w:type="dxa"/>
                    <w:left w:w="28" w:type="dxa"/>
                    <w:bottom w:w="0" w:type="dxa"/>
                    <w:right w:w="28" w:type="dxa"/>
                  </w:tcMar>
                </w:tcPr>
                <w:p w14:paraId="7AA08FA2"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6.07</w:t>
                  </w:r>
                </w:p>
              </w:tc>
              <w:tc>
                <w:tcPr>
                  <w:tcW w:w="1475" w:type="dxa"/>
                  <w:tcBorders>
                    <w:left w:val="single" w:sz="4" w:space="0" w:color="000000"/>
                  </w:tcBorders>
                  <w:shd w:val="clear" w:color="auto" w:fill="auto"/>
                  <w:tcMar>
                    <w:top w:w="0" w:type="dxa"/>
                    <w:left w:w="28" w:type="dxa"/>
                    <w:bottom w:w="0" w:type="dxa"/>
                    <w:right w:w="28" w:type="dxa"/>
                  </w:tcMar>
                </w:tcPr>
                <w:p w14:paraId="7CB33C26" w14:textId="77777777" w:rsidR="00052596" w:rsidRDefault="00000000">
                  <w:pPr>
                    <w:spacing w:line="320" w:lineRule="exact"/>
                    <w:jc w:val="center"/>
                    <w:rPr>
                      <w:kern w:val="0"/>
                    </w:rPr>
                  </w:pPr>
                  <w:r>
                    <w:rPr>
                      <w:kern w:val="0"/>
                    </w:rPr>
                    <w:t>－</w:t>
                  </w:r>
                </w:p>
              </w:tc>
            </w:tr>
            <w:tr w:rsidR="00052596" w14:paraId="3C4A4271" w14:textId="77777777">
              <w:tblPrEx>
                <w:tblCellMar>
                  <w:top w:w="0" w:type="dxa"/>
                  <w:bottom w:w="0" w:type="dxa"/>
                </w:tblCellMar>
              </w:tblPrEx>
              <w:trPr>
                <w:jc w:val="center"/>
              </w:trPr>
              <w:tc>
                <w:tcPr>
                  <w:tcW w:w="602" w:type="dxa"/>
                  <w:tcBorders>
                    <w:right w:val="single" w:sz="4" w:space="0" w:color="000000"/>
                  </w:tcBorders>
                  <w:shd w:val="clear" w:color="auto" w:fill="auto"/>
                  <w:tcMar>
                    <w:top w:w="0" w:type="dxa"/>
                    <w:left w:w="28" w:type="dxa"/>
                    <w:bottom w:w="0" w:type="dxa"/>
                    <w:right w:w="28" w:type="dxa"/>
                  </w:tcMar>
                  <w:vAlign w:val="center"/>
                </w:tcPr>
                <w:p w14:paraId="3691ECC0"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93</w:t>
                  </w:r>
                </w:p>
              </w:tc>
              <w:tc>
                <w:tcPr>
                  <w:tcW w:w="1064" w:type="dxa"/>
                  <w:tcBorders>
                    <w:left w:val="single" w:sz="4" w:space="0" w:color="000000"/>
                    <w:right w:val="single" w:sz="4" w:space="0" w:color="000000"/>
                  </w:tcBorders>
                  <w:shd w:val="clear" w:color="auto" w:fill="auto"/>
                  <w:tcMar>
                    <w:top w:w="0" w:type="dxa"/>
                    <w:left w:w="28" w:type="dxa"/>
                    <w:bottom w:w="0" w:type="dxa"/>
                    <w:right w:w="28" w:type="dxa"/>
                  </w:tcMar>
                </w:tcPr>
                <w:p w14:paraId="17345D51"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7.41</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4EECB58E"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1.24</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69FDED36"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0.15</w:t>
                  </w:r>
                </w:p>
              </w:tc>
              <w:tc>
                <w:tcPr>
                  <w:tcW w:w="958" w:type="dxa"/>
                  <w:tcBorders>
                    <w:left w:val="single" w:sz="4" w:space="0" w:color="000000"/>
                    <w:right w:val="single" w:sz="4" w:space="0" w:color="000000"/>
                  </w:tcBorders>
                  <w:shd w:val="clear" w:color="auto" w:fill="auto"/>
                  <w:tcMar>
                    <w:top w:w="0" w:type="dxa"/>
                    <w:left w:w="28" w:type="dxa"/>
                    <w:bottom w:w="0" w:type="dxa"/>
                    <w:right w:w="28" w:type="dxa"/>
                  </w:tcMar>
                </w:tcPr>
                <w:p w14:paraId="4D822EA5"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1.39</w:t>
                  </w:r>
                </w:p>
              </w:tc>
              <w:tc>
                <w:tcPr>
                  <w:tcW w:w="922" w:type="dxa"/>
                  <w:tcBorders>
                    <w:left w:val="single" w:sz="4" w:space="0" w:color="000000"/>
                    <w:right w:val="single" w:sz="4" w:space="0" w:color="000000"/>
                  </w:tcBorders>
                  <w:shd w:val="clear" w:color="auto" w:fill="auto"/>
                  <w:tcMar>
                    <w:top w:w="0" w:type="dxa"/>
                    <w:left w:w="28" w:type="dxa"/>
                    <w:bottom w:w="0" w:type="dxa"/>
                    <w:right w:w="28" w:type="dxa"/>
                  </w:tcMar>
                </w:tcPr>
                <w:p w14:paraId="16445DB7" w14:textId="77777777" w:rsidR="00052596" w:rsidRDefault="00000000">
                  <w:pPr>
                    <w:spacing w:line="320" w:lineRule="exact"/>
                    <w:jc w:val="center"/>
                  </w:pPr>
                  <w:r>
                    <w:rPr>
                      <w:spacing w:val="-4"/>
                      <w:kern w:val="0"/>
                      <w:sz w:val="20"/>
                    </w:rPr>
                    <w:t>－</w:t>
                  </w:r>
                </w:p>
              </w:tc>
              <w:tc>
                <w:tcPr>
                  <w:tcW w:w="1119" w:type="dxa"/>
                  <w:tcBorders>
                    <w:left w:val="single" w:sz="4" w:space="0" w:color="000000"/>
                    <w:right w:val="single" w:sz="4" w:space="0" w:color="000000"/>
                  </w:tcBorders>
                  <w:shd w:val="clear" w:color="auto" w:fill="auto"/>
                  <w:tcMar>
                    <w:top w:w="0" w:type="dxa"/>
                    <w:left w:w="28" w:type="dxa"/>
                    <w:bottom w:w="0" w:type="dxa"/>
                    <w:right w:w="28" w:type="dxa"/>
                  </w:tcMar>
                </w:tcPr>
                <w:p w14:paraId="57CBECED"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6.03</w:t>
                  </w:r>
                </w:p>
              </w:tc>
              <w:tc>
                <w:tcPr>
                  <w:tcW w:w="1475" w:type="dxa"/>
                  <w:tcBorders>
                    <w:left w:val="single" w:sz="4" w:space="0" w:color="000000"/>
                  </w:tcBorders>
                  <w:shd w:val="clear" w:color="auto" w:fill="auto"/>
                  <w:tcMar>
                    <w:top w:w="0" w:type="dxa"/>
                    <w:left w:w="28" w:type="dxa"/>
                    <w:bottom w:w="0" w:type="dxa"/>
                    <w:right w:w="28" w:type="dxa"/>
                  </w:tcMar>
                </w:tcPr>
                <w:p w14:paraId="454D29D2" w14:textId="77777777" w:rsidR="00052596" w:rsidRDefault="00000000">
                  <w:pPr>
                    <w:spacing w:line="320" w:lineRule="exact"/>
                    <w:jc w:val="center"/>
                    <w:rPr>
                      <w:kern w:val="0"/>
                    </w:rPr>
                  </w:pPr>
                  <w:r>
                    <w:rPr>
                      <w:kern w:val="0"/>
                    </w:rPr>
                    <w:t>－</w:t>
                  </w:r>
                </w:p>
              </w:tc>
            </w:tr>
            <w:tr w:rsidR="00052596" w14:paraId="73292250" w14:textId="77777777">
              <w:tblPrEx>
                <w:tblCellMar>
                  <w:top w:w="0" w:type="dxa"/>
                  <w:bottom w:w="0" w:type="dxa"/>
                </w:tblCellMar>
              </w:tblPrEx>
              <w:trPr>
                <w:jc w:val="center"/>
              </w:trPr>
              <w:tc>
                <w:tcPr>
                  <w:tcW w:w="602" w:type="dxa"/>
                  <w:tcBorders>
                    <w:right w:val="single" w:sz="4" w:space="0" w:color="000000"/>
                  </w:tcBorders>
                  <w:shd w:val="clear" w:color="auto" w:fill="auto"/>
                  <w:tcMar>
                    <w:top w:w="0" w:type="dxa"/>
                    <w:left w:w="28" w:type="dxa"/>
                    <w:bottom w:w="0" w:type="dxa"/>
                    <w:right w:w="28" w:type="dxa"/>
                  </w:tcMar>
                  <w:vAlign w:val="center"/>
                </w:tcPr>
                <w:p w14:paraId="07E3CB23"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94</w:t>
                  </w:r>
                </w:p>
              </w:tc>
              <w:tc>
                <w:tcPr>
                  <w:tcW w:w="1064" w:type="dxa"/>
                  <w:tcBorders>
                    <w:left w:val="single" w:sz="4" w:space="0" w:color="000000"/>
                    <w:right w:val="single" w:sz="4" w:space="0" w:color="000000"/>
                  </w:tcBorders>
                  <w:shd w:val="clear" w:color="auto" w:fill="auto"/>
                  <w:tcMar>
                    <w:top w:w="0" w:type="dxa"/>
                    <w:left w:w="28" w:type="dxa"/>
                    <w:bottom w:w="0" w:type="dxa"/>
                    <w:right w:w="28" w:type="dxa"/>
                  </w:tcMar>
                </w:tcPr>
                <w:p w14:paraId="48F4A846"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7.45</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6CE865DC"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1.26</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2A98A05C"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0.15</w:t>
                  </w:r>
                </w:p>
              </w:tc>
              <w:tc>
                <w:tcPr>
                  <w:tcW w:w="958" w:type="dxa"/>
                  <w:tcBorders>
                    <w:left w:val="single" w:sz="4" w:space="0" w:color="000000"/>
                    <w:right w:val="single" w:sz="4" w:space="0" w:color="000000"/>
                  </w:tcBorders>
                  <w:shd w:val="clear" w:color="auto" w:fill="auto"/>
                  <w:tcMar>
                    <w:top w:w="0" w:type="dxa"/>
                    <w:left w:w="28" w:type="dxa"/>
                    <w:bottom w:w="0" w:type="dxa"/>
                    <w:right w:w="28" w:type="dxa"/>
                  </w:tcMar>
                </w:tcPr>
                <w:p w14:paraId="3C4CB194"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1.41</w:t>
                  </w:r>
                </w:p>
              </w:tc>
              <w:tc>
                <w:tcPr>
                  <w:tcW w:w="922" w:type="dxa"/>
                  <w:tcBorders>
                    <w:left w:val="single" w:sz="4" w:space="0" w:color="000000"/>
                    <w:right w:val="single" w:sz="4" w:space="0" w:color="000000"/>
                  </w:tcBorders>
                  <w:shd w:val="clear" w:color="auto" w:fill="auto"/>
                  <w:tcMar>
                    <w:top w:w="0" w:type="dxa"/>
                    <w:left w:w="28" w:type="dxa"/>
                    <w:bottom w:w="0" w:type="dxa"/>
                    <w:right w:w="28" w:type="dxa"/>
                  </w:tcMar>
                </w:tcPr>
                <w:p w14:paraId="65455188" w14:textId="77777777" w:rsidR="00052596" w:rsidRDefault="00000000">
                  <w:pPr>
                    <w:spacing w:line="320" w:lineRule="exact"/>
                    <w:jc w:val="center"/>
                  </w:pPr>
                  <w:r>
                    <w:rPr>
                      <w:spacing w:val="-4"/>
                      <w:kern w:val="0"/>
                      <w:sz w:val="20"/>
                    </w:rPr>
                    <w:t>－</w:t>
                  </w:r>
                </w:p>
              </w:tc>
              <w:tc>
                <w:tcPr>
                  <w:tcW w:w="1119" w:type="dxa"/>
                  <w:tcBorders>
                    <w:left w:val="single" w:sz="4" w:space="0" w:color="000000"/>
                    <w:right w:val="single" w:sz="4" w:space="0" w:color="000000"/>
                  </w:tcBorders>
                  <w:shd w:val="clear" w:color="auto" w:fill="auto"/>
                  <w:tcMar>
                    <w:top w:w="0" w:type="dxa"/>
                    <w:left w:w="28" w:type="dxa"/>
                    <w:bottom w:w="0" w:type="dxa"/>
                    <w:right w:w="28" w:type="dxa"/>
                  </w:tcMar>
                </w:tcPr>
                <w:p w14:paraId="2F55B549"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6.04</w:t>
                  </w:r>
                </w:p>
              </w:tc>
              <w:tc>
                <w:tcPr>
                  <w:tcW w:w="1475" w:type="dxa"/>
                  <w:tcBorders>
                    <w:left w:val="single" w:sz="4" w:space="0" w:color="000000"/>
                  </w:tcBorders>
                  <w:shd w:val="clear" w:color="auto" w:fill="auto"/>
                  <w:tcMar>
                    <w:top w:w="0" w:type="dxa"/>
                    <w:left w:w="28" w:type="dxa"/>
                    <w:bottom w:w="0" w:type="dxa"/>
                    <w:right w:w="28" w:type="dxa"/>
                  </w:tcMar>
                </w:tcPr>
                <w:p w14:paraId="0618740F" w14:textId="77777777" w:rsidR="00052596" w:rsidRDefault="00000000">
                  <w:pPr>
                    <w:spacing w:line="320" w:lineRule="exact"/>
                    <w:jc w:val="center"/>
                    <w:rPr>
                      <w:kern w:val="0"/>
                    </w:rPr>
                  </w:pPr>
                  <w:r>
                    <w:rPr>
                      <w:kern w:val="0"/>
                    </w:rPr>
                    <w:t>－</w:t>
                  </w:r>
                </w:p>
              </w:tc>
            </w:tr>
            <w:tr w:rsidR="00052596" w14:paraId="10A16A67" w14:textId="77777777">
              <w:tblPrEx>
                <w:tblCellMar>
                  <w:top w:w="0" w:type="dxa"/>
                  <w:bottom w:w="0" w:type="dxa"/>
                </w:tblCellMar>
              </w:tblPrEx>
              <w:trPr>
                <w:jc w:val="center"/>
              </w:trPr>
              <w:tc>
                <w:tcPr>
                  <w:tcW w:w="602" w:type="dxa"/>
                  <w:tcBorders>
                    <w:right w:val="single" w:sz="4" w:space="0" w:color="000000"/>
                  </w:tcBorders>
                  <w:shd w:val="clear" w:color="auto" w:fill="auto"/>
                  <w:tcMar>
                    <w:top w:w="0" w:type="dxa"/>
                    <w:left w:w="28" w:type="dxa"/>
                    <w:bottom w:w="0" w:type="dxa"/>
                    <w:right w:w="28" w:type="dxa"/>
                  </w:tcMar>
                  <w:vAlign w:val="center"/>
                </w:tcPr>
                <w:p w14:paraId="0C16401E"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95</w:t>
                  </w:r>
                </w:p>
              </w:tc>
              <w:tc>
                <w:tcPr>
                  <w:tcW w:w="1064" w:type="dxa"/>
                  <w:tcBorders>
                    <w:left w:val="single" w:sz="4" w:space="0" w:color="000000"/>
                    <w:right w:val="single" w:sz="4" w:space="0" w:color="000000"/>
                  </w:tcBorders>
                  <w:shd w:val="clear" w:color="auto" w:fill="auto"/>
                  <w:tcMar>
                    <w:top w:w="0" w:type="dxa"/>
                    <w:left w:w="28" w:type="dxa"/>
                    <w:bottom w:w="0" w:type="dxa"/>
                    <w:right w:w="28" w:type="dxa"/>
                  </w:tcMar>
                </w:tcPr>
                <w:p w14:paraId="4CA6657C"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7.45</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269034CB"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1.29</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0546150F"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0.15</w:t>
                  </w:r>
                </w:p>
              </w:tc>
              <w:tc>
                <w:tcPr>
                  <w:tcW w:w="958" w:type="dxa"/>
                  <w:tcBorders>
                    <w:left w:val="single" w:sz="4" w:space="0" w:color="000000"/>
                    <w:right w:val="single" w:sz="4" w:space="0" w:color="000000"/>
                  </w:tcBorders>
                  <w:shd w:val="clear" w:color="auto" w:fill="auto"/>
                  <w:tcMar>
                    <w:top w:w="0" w:type="dxa"/>
                    <w:left w:w="28" w:type="dxa"/>
                    <w:bottom w:w="0" w:type="dxa"/>
                    <w:right w:w="28" w:type="dxa"/>
                  </w:tcMar>
                </w:tcPr>
                <w:p w14:paraId="6CA29499"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1.45</w:t>
                  </w:r>
                </w:p>
              </w:tc>
              <w:tc>
                <w:tcPr>
                  <w:tcW w:w="922" w:type="dxa"/>
                  <w:tcBorders>
                    <w:left w:val="single" w:sz="4" w:space="0" w:color="000000"/>
                    <w:right w:val="single" w:sz="4" w:space="0" w:color="000000"/>
                  </w:tcBorders>
                  <w:shd w:val="clear" w:color="auto" w:fill="auto"/>
                  <w:tcMar>
                    <w:top w:w="0" w:type="dxa"/>
                    <w:left w:w="28" w:type="dxa"/>
                    <w:bottom w:w="0" w:type="dxa"/>
                    <w:right w:w="28" w:type="dxa"/>
                  </w:tcMar>
                </w:tcPr>
                <w:p w14:paraId="342B9B9B" w14:textId="77777777" w:rsidR="00052596" w:rsidRDefault="00000000">
                  <w:pPr>
                    <w:spacing w:line="320" w:lineRule="exact"/>
                    <w:jc w:val="center"/>
                  </w:pPr>
                  <w:r>
                    <w:rPr>
                      <w:spacing w:val="-4"/>
                      <w:kern w:val="0"/>
                      <w:sz w:val="20"/>
                    </w:rPr>
                    <w:t>－</w:t>
                  </w:r>
                </w:p>
              </w:tc>
              <w:tc>
                <w:tcPr>
                  <w:tcW w:w="1119" w:type="dxa"/>
                  <w:tcBorders>
                    <w:left w:val="single" w:sz="4" w:space="0" w:color="000000"/>
                    <w:right w:val="single" w:sz="4" w:space="0" w:color="000000"/>
                  </w:tcBorders>
                  <w:shd w:val="clear" w:color="auto" w:fill="auto"/>
                  <w:tcMar>
                    <w:top w:w="0" w:type="dxa"/>
                    <w:left w:w="28" w:type="dxa"/>
                    <w:bottom w:w="0" w:type="dxa"/>
                    <w:right w:w="28" w:type="dxa"/>
                  </w:tcMar>
                </w:tcPr>
                <w:p w14:paraId="07FD640D"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6.01</w:t>
                  </w:r>
                </w:p>
              </w:tc>
              <w:tc>
                <w:tcPr>
                  <w:tcW w:w="1475" w:type="dxa"/>
                  <w:tcBorders>
                    <w:left w:val="single" w:sz="4" w:space="0" w:color="000000"/>
                  </w:tcBorders>
                  <w:shd w:val="clear" w:color="auto" w:fill="auto"/>
                  <w:tcMar>
                    <w:top w:w="0" w:type="dxa"/>
                    <w:left w:w="28" w:type="dxa"/>
                    <w:bottom w:w="0" w:type="dxa"/>
                    <w:right w:w="28" w:type="dxa"/>
                  </w:tcMar>
                </w:tcPr>
                <w:p w14:paraId="1EF3F8ED" w14:textId="77777777" w:rsidR="00052596" w:rsidRDefault="00000000">
                  <w:pPr>
                    <w:spacing w:line="320" w:lineRule="exact"/>
                    <w:jc w:val="center"/>
                    <w:rPr>
                      <w:kern w:val="0"/>
                    </w:rPr>
                  </w:pPr>
                  <w:r>
                    <w:rPr>
                      <w:kern w:val="0"/>
                    </w:rPr>
                    <w:t>－</w:t>
                  </w:r>
                </w:p>
              </w:tc>
            </w:tr>
            <w:tr w:rsidR="00052596" w14:paraId="1EDEEF77" w14:textId="77777777">
              <w:tblPrEx>
                <w:tblCellMar>
                  <w:top w:w="0" w:type="dxa"/>
                  <w:bottom w:w="0" w:type="dxa"/>
                </w:tblCellMar>
              </w:tblPrEx>
              <w:trPr>
                <w:jc w:val="center"/>
              </w:trPr>
              <w:tc>
                <w:tcPr>
                  <w:tcW w:w="602" w:type="dxa"/>
                  <w:tcBorders>
                    <w:right w:val="single" w:sz="4" w:space="0" w:color="000000"/>
                  </w:tcBorders>
                  <w:shd w:val="clear" w:color="auto" w:fill="auto"/>
                  <w:tcMar>
                    <w:top w:w="0" w:type="dxa"/>
                    <w:left w:w="28" w:type="dxa"/>
                    <w:bottom w:w="0" w:type="dxa"/>
                    <w:right w:w="28" w:type="dxa"/>
                  </w:tcMar>
                  <w:vAlign w:val="center"/>
                </w:tcPr>
                <w:p w14:paraId="1B7B9DC7"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96</w:t>
                  </w:r>
                </w:p>
              </w:tc>
              <w:tc>
                <w:tcPr>
                  <w:tcW w:w="1064" w:type="dxa"/>
                  <w:tcBorders>
                    <w:left w:val="single" w:sz="4" w:space="0" w:color="000000"/>
                    <w:right w:val="single" w:sz="4" w:space="0" w:color="000000"/>
                  </w:tcBorders>
                  <w:shd w:val="clear" w:color="auto" w:fill="auto"/>
                  <w:tcMar>
                    <w:top w:w="0" w:type="dxa"/>
                    <w:left w:w="28" w:type="dxa"/>
                    <w:bottom w:w="0" w:type="dxa"/>
                    <w:right w:w="28" w:type="dxa"/>
                  </w:tcMar>
                </w:tcPr>
                <w:p w14:paraId="7060A326"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7.52</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465FCA10"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1.40</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63D798F5"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0.14</w:t>
                  </w:r>
                </w:p>
              </w:tc>
              <w:tc>
                <w:tcPr>
                  <w:tcW w:w="958" w:type="dxa"/>
                  <w:tcBorders>
                    <w:left w:val="single" w:sz="4" w:space="0" w:color="000000"/>
                    <w:right w:val="single" w:sz="4" w:space="0" w:color="000000"/>
                  </w:tcBorders>
                  <w:shd w:val="clear" w:color="auto" w:fill="auto"/>
                  <w:tcMar>
                    <w:top w:w="0" w:type="dxa"/>
                    <w:left w:w="28" w:type="dxa"/>
                    <w:bottom w:w="0" w:type="dxa"/>
                    <w:right w:w="28" w:type="dxa"/>
                  </w:tcMar>
                </w:tcPr>
                <w:p w14:paraId="6113E457"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1.54</w:t>
                  </w:r>
                </w:p>
              </w:tc>
              <w:tc>
                <w:tcPr>
                  <w:tcW w:w="922" w:type="dxa"/>
                  <w:tcBorders>
                    <w:left w:val="single" w:sz="4" w:space="0" w:color="000000"/>
                    <w:right w:val="single" w:sz="4" w:space="0" w:color="000000"/>
                  </w:tcBorders>
                  <w:shd w:val="clear" w:color="auto" w:fill="auto"/>
                  <w:tcMar>
                    <w:top w:w="0" w:type="dxa"/>
                    <w:left w:w="28" w:type="dxa"/>
                    <w:bottom w:w="0" w:type="dxa"/>
                    <w:right w:w="28" w:type="dxa"/>
                  </w:tcMar>
                </w:tcPr>
                <w:p w14:paraId="532BC8AD" w14:textId="77777777" w:rsidR="00052596" w:rsidRDefault="00000000">
                  <w:pPr>
                    <w:spacing w:line="320" w:lineRule="exact"/>
                    <w:jc w:val="center"/>
                  </w:pPr>
                  <w:r>
                    <w:rPr>
                      <w:spacing w:val="-4"/>
                      <w:kern w:val="0"/>
                      <w:sz w:val="20"/>
                    </w:rPr>
                    <w:t>－</w:t>
                  </w:r>
                </w:p>
              </w:tc>
              <w:tc>
                <w:tcPr>
                  <w:tcW w:w="1119" w:type="dxa"/>
                  <w:tcBorders>
                    <w:left w:val="single" w:sz="4" w:space="0" w:color="000000"/>
                    <w:right w:val="single" w:sz="4" w:space="0" w:color="000000"/>
                  </w:tcBorders>
                  <w:shd w:val="clear" w:color="auto" w:fill="auto"/>
                  <w:tcMar>
                    <w:top w:w="0" w:type="dxa"/>
                    <w:left w:w="28" w:type="dxa"/>
                    <w:bottom w:w="0" w:type="dxa"/>
                    <w:right w:w="28" w:type="dxa"/>
                  </w:tcMar>
                </w:tcPr>
                <w:p w14:paraId="51BE8457"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5.98</w:t>
                  </w:r>
                </w:p>
              </w:tc>
              <w:tc>
                <w:tcPr>
                  <w:tcW w:w="1475" w:type="dxa"/>
                  <w:tcBorders>
                    <w:left w:val="single" w:sz="4" w:space="0" w:color="000000"/>
                  </w:tcBorders>
                  <w:shd w:val="clear" w:color="auto" w:fill="auto"/>
                  <w:tcMar>
                    <w:top w:w="0" w:type="dxa"/>
                    <w:left w:w="28" w:type="dxa"/>
                    <w:bottom w:w="0" w:type="dxa"/>
                    <w:right w:w="28" w:type="dxa"/>
                  </w:tcMar>
                </w:tcPr>
                <w:p w14:paraId="14E7E23D" w14:textId="77777777" w:rsidR="00052596" w:rsidRDefault="00000000">
                  <w:pPr>
                    <w:spacing w:line="320" w:lineRule="exact"/>
                    <w:jc w:val="center"/>
                    <w:rPr>
                      <w:kern w:val="0"/>
                    </w:rPr>
                  </w:pPr>
                  <w:r>
                    <w:rPr>
                      <w:kern w:val="0"/>
                    </w:rPr>
                    <w:t>－</w:t>
                  </w:r>
                </w:p>
              </w:tc>
            </w:tr>
            <w:tr w:rsidR="00052596" w14:paraId="77CDEF7A" w14:textId="77777777">
              <w:tblPrEx>
                <w:tblCellMar>
                  <w:top w:w="0" w:type="dxa"/>
                  <w:bottom w:w="0" w:type="dxa"/>
                </w:tblCellMar>
              </w:tblPrEx>
              <w:trPr>
                <w:jc w:val="center"/>
              </w:trPr>
              <w:tc>
                <w:tcPr>
                  <w:tcW w:w="602" w:type="dxa"/>
                  <w:tcBorders>
                    <w:right w:val="single" w:sz="4" w:space="0" w:color="000000"/>
                  </w:tcBorders>
                  <w:shd w:val="clear" w:color="auto" w:fill="auto"/>
                  <w:tcMar>
                    <w:top w:w="0" w:type="dxa"/>
                    <w:left w:w="28" w:type="dxa"/>
                    <w:bottom w:w="0" w:type="dxa"/>
                    <w:right w:w="28" w:type="dxa"/>
                  </w:tcMar>
                  <w:vAlign w:val="center"/>
                </w:tcPr>
                <w:p w14:paraId="69956FA3"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97</w:t>
                  </w:r>
                </w:p>
              </w:tc>
              <w:tc>
                <w:tcPr>
                  <w:tcW w:w="1064" w:type="dxa"/>
                  <w:tcBorders>
                    <w:left w:val="single" w:sz="4" w:space="0" w:color="000000"/>
                    <w:right w:val="single" w:sz="4" w:space="0" w:color="000000"/>
                  </w:tcBorders>
                  <w:shd w:val="clear" w:color="auto" w:fill="auto"/>
                  <w:tcMar>
                    <w:top w:w="0" w:type="dxa"/>
                    <w:left w:w="28" w:type="dxa"/>
                    <w:bottom w:w="0" w:type="dxa"/>
                    <w:right w:w="28" w:type="dxa"/>
                  </w:tcMar>
                </w:tcPr>
                <w:p w14:paraId="24E89E07"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7.73</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0B0335E8"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1.53</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1537C413"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0.16</w:t>
                  </w:r>
                </w:p>
              </w:tc>
              <w:tc>
                <w:tcPr>
                  <w:tcW w:w="958" w:type="dxa"/>
                  <w:tcBorders>
                    <w:left w:val="single" w:sz="4" w:space="0" w:color="000000"/>
                    <w:right w:val="single" w:sz="4" w:space="0" w:color="000000"/>
                  </w:tcBorders>
                  <w:shd w:val="clear" w:color="auto" w:fill="auto"/>
                  <w:tcMar>
                    <w:top w:w="0" w:type="dxa"/>
                    <w:left w:w="28" w:type="dxa"/>
                    <w:bottom w:w="0" w:type="dxa"/>
                    <w:right w:w="28" w:type="dxa"/>
                  </w:tcMar>
                </w:tcPr>
                <w:p w14:paraId="1769C89F"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1.69</w:t>
                  </w:r>
                </w:p>
              </w:tc>
              <w:tc>
                <w:tcPr>
                  <w:tcW w:w="922" w:type="dxa"/>
                  <w:tcBorders>
                    <w:left w:val="single" w:sz="4" w:space="0" w:color="000000"/>
                    <w:right w:val="single" w:sz="4" w:space="0" w:color="000000"/>
                  </w:tcBorders>
                  <w:shd w:val="clear" w:color="auto" w:fill="auto"/>
                  <w:tcMar>
                    <w:top w:w="0" w:type="dxa"/>
                    <w:left w:w="28" w:type="dxa"/>
                    <w:bottom w:w="0" w:type="dxa"/>
                    <w:right w:w="28" w:type="dxa"/>
                  </w:tcMar>
                </w:tcPr>
                <w:p w14:paraId="50424CAF"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w:t>
                  </w:r>
                </w:p>
              </w:tc>
              <w:tc>
                <w:tcPr>
                  <w:tcW w:w="1119" w:type="dxa"/>
                  <w:tcBorders>
                    <w:left w:val="single" w:sz="4" w:space="0" w:color="000000"/>
                    <w:right w:val="single" w:sz="4" w:space="0" w:color="000000"/>
                  </w:tcBorders>
                  <w:shd w:val="clear" w:color="auto" w:fill="auto"/>
                  <w:tcMar>
                    <w:top w:w="0" w:type="dxa"/>
                    <w:left w:w="28" w:type="dxa"/>
                    <w:bottom w:w="0" w:type="dxa"/>
                    <w:right w:w="28" w:type="dxa"/>
                  </w:tcMar>
                </w:tcPr>
                <w:p w14:paraId="1A84B602"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6.05</w:t>
                  </w:r>
                </w:p>
              </w:tc>
              <w:tc>
                <w:tcPr>
                  <w:tcW w:w="1475" w:type="dxa"/>
                  <w:tcBorders>
                    <w:left w:val="single" w:sz="4" w:space="0" w:color="000000"/>
                  </w:tcBorders>
                  <w:shd w:val="clear" w:color="auto" w:fill="auto"/>
                  <w:tcMar>
                    <w:top w:w="0" w:type="dxa"/>
                    <w:left w:w="28" w:type="dxa"/>
                    <w:bottom w:w="0" w:type="dxa"/>
                    <w:right w:w="28" w:type="dxa"/>
                  </w:tcMar>
                </w:tcPr>
                <w:p w14:paraId="70473BCC"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w:t>
                  </w:r>
                </w:p>
              </w:tc>
            </w:tr>
            <w:tr w:rsidR="00052596" w14:paraId="4A75F2B0" w14:textId="77777777">
              <w:tblPrEx>
                <w:tblCellMar>
                  <w:top w:w="0" w:type="dxa"/>
                  <w:bottom w:w="0" w:type="dxa"/>
                </w:tblCellMar>
              </w:tblPrEx>
              <w:trPr>
                <w:jc w:val="center"/>
              </w:trPr>
              <w:tc>
                <w:tcPr>
                  <w:tcW w:w="602" w:type="dxa"/>
                  <w:tcBorders>
                    <w:right w:val="single" w:sz="4" w:space="0" w:color="000000"/>
                  </w:tcBorders>
                  <w:shd w:val="clear" w:color="auto" w:fill="auto"/>
                  <w:tcMar>
                    <w:top w:w="0" w:type="dxa"/>
                    <w:left w:w="28" w:type="dxa"/>
                    <w:bottom w:w="0" w:type="dxa"/>
                    <w:right w:w="28" w:type="dxa"/>
                  </w:tcMar>
                  <w:vAlign w:val="center"/>
                </w:tcPr>
                <w:p w14:paraId="32690A97"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98</w:t>
                  </w:r>
                </w:p>
              </w:tc>
              <w:tc>
                <w:tcPr>
                  <w:tcW w:w="1064" w:type="dxa"/>
                  <w:tcBorders>
                    <w:left w:val="single" w:sz="4" w:space="0" w:color="000000"/>
                    <w:right w:val="single" w:sz="4" w:space="0" w:color="000000"/>
                  </w:tcBorders>
                  <w:shd w:val="clear" w:color="auto" w:fill="auto"/>
                  <w:tcMar>
                    <w:top w:w="0" w:type="dxa"/>
                    <w:left w:w="28" w:type="dxa"/>
                    <w:bottom w:w="0" w:type="dxa"/>
                    <w:right w:w="28" w:type="dxa"/>
                  </w:tcMar>
                </w:tcPr>
                <w:p w14:paraId="02C812A8"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8.22</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50807BAA"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1.75</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6C151148"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0.13</w:t>
                  </w:r>
                </w:p>
              </w:tc>
              <w:tc>
                <w:tcPr>
                  <w:tcW w:w="958" w:type="dxa"/>
                  <w:tcBorders>
                    <w:left w:val="single" w:sz="4" w:space="0" w:color="000000"/>
                    <w:right w:val="single" w:sz="4" w:space="0" w:color="000000"/>
                  </w:tcBorders>
                  <w:shd w:val="clear" w:color="auto" w:fill="auto"/>
                  <w:tcMar>
                    <w:top w:w="0" w:type="dxa"/>
                    <w:left w:w="28" w:type="dxa"/>
                    <w:bottom w:w="0" w:type="dxa"/>
                    <w:right w:w="28" w:type="dxa"/>
                  </w:tcMar>
                </w:tcPr>
                <w:p w14:paraId="7F44F6E8"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1.88</w:t>
                  </w:r>
                </w:p>
              </w:tc>
              <w:tc>
                <w:tcPr>
                  <w:tcW w:w="922" w:type="dxa"/>
                  <w:tcBorders>
                    <w:left w:val="single" w:sz="4" w:space="0" w:color="000000"/>
                    <w:right w:val="single" w:sz="4" w:space="0" w:color="000000"/>
                  </w:tcBorders>
                  <w:shd w:val="clear" w:color="auto" w:fill="auto"/>
                  <w:tcMar>
                    <w:top w:w="0" w:type="dxa"/>
                    <w:left w:w="28" w:type="dxa"/>
                    <w:bottom w:w="0" w:type="dxa"/>
                    <w:right w:w="28" w:type="dxa"/>
                  </w:tcMar>
                </w:tcPr>
                <w:p w14:paraId="13C116F3"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0.46</w:t>
                  </w:r>
                </w:p>
              </w:tc>
              <w:tc>
                <w:tcPr>
                  <w:tcW w:w="1119" w:type="dxa"/>
                  <w:tcBorders>
                    <w:left w:val="single" w:sz="4" w:space="0" w:color="000000"/>
                    <w:right w:val="single" w:sz="4" w:space="0" w:color="000000"/>
                  </w:tcBorders>
                  <w:shd w:val="clear" w:color="auto" w:fill="auto"/>
                  <w:tcMar>
                    <w:top w:w="0" w:type="dxa"/>
                    <w:left w:w="28" w:type="dxa"/>
                    <w:bottom w:w="0" w:type="dxa"/>
                    <w:right w:w="28" w:type="dxa"/>
                  </w:tcMar>
                </w:tcPr>
                <w:p w14:paraId="719A14B5"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6.34</w:t>
                  </w:r>
                </w:p>
              </w:tc>
              <w:tc>
                <w:tcPr>
                  <w:tcW w:w="1475" w:type="dxa"/>
                  <w:tcBorders>
                    <w:left w:val="single" w:sz="4" w:space="0" w:color="000000"/>
                  </w:tcBorders>
                  <w:shd w:val="clear" w:color="auto" w:fill="auto"/>
                  <w:tcMar>
                    <w:top w:w="0" w:type="dxa"/>
                    <w:left w:w="28" w:type="dxa"/>
                    <w:bottom w:w="0" w:type="dxa"/>
                    <w:right w:w="28" w:type="dxa"/>
                  </w:tcMar>
                </w:tcPr>
                <w:p w14:paraId="3F1958F1"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5.89</w:t>
                  </w:r>
                </w:p>
              </w:tc>
            </w:tr>
            <w:tr w:rsidR="00052596" w14:paraId="1B2A908C" w14:textId="77777777">
              <w:tblPrEx>
                <w:tblCellMar>
                  <w:top w:w="0" w:type="dxa"/>
                  <w:bottom w:w="0" w:type="dxa"/>
                </w:tblCellMar>
              </w:tblPrEx>
              <w:trPr>
                <w:jc w:val="center"/>
              </w:trPr>
              <w:tc>
                <w:tcPr>
                  <w:tcW w:w="602" w:type="dxa"/>
                  <w:tcBorders>
                    <w:right w:val="single" w:sz="4" w:space="0" w:color="000000"/>
                  </w:tcBorders>
                  <w:shd w:val="clear" w:color="auto" w:fill="auto"/>
                  <w:tcMar>
                    <w:top w:w="0" w:type="dxa"/>
                    <w:left w:w="28" w:type="dxa"/>
                    <w:bottom w:w="0" w:type="dxa"/>
                    <w:right w:w="28" w:type="dxa"/>
                  </w:tcMar>
                  <w:vAlign w:val="center"/>
                </w:tcPr>
                <w:p w14:paraId="29EC1B50"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99</w:t>
                  </w:r>
                </w:p>
              </w:tc>
              <w:tc>
                <w:tcPr>
                  <w:tcW w:w="1064" w:type="dxa"/>
                  <w:tcBorders>
                    <w:left w:val="single" w:sz="4" w:space="0" w:color="000000"/>
                    <w:right w:val="single" w:sz="4" w:space="0" w:color="000000"/>
                  </w:tcBorders>
                  <w:shd w:val="clear" w:color="auto" w:fill="auto"/>
                  <w:tcMar>
                    <w:top w:w="0" w:type="dxa"/>
                    <w:left w:w="28" w:type="dxa"/>
                    <w:bottom w:w="0" w:type="dxa"/>
                    <w:right w:w="28" w:type="dxa"/>
                  </w:tcMar>
                </w:tcPr>
                <w:p w14:paraId="61E08994"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7.22</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7E0AD179"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1.42</w:t>
                  </w:r>
                </w:p>
              </w:tc>
              <w:tc>
                <w:tcPr>
                  <w:tcW w:w="957" w:type="dxa"/>
                  <w:tcBorders>
                    <w:left w:val="single" w:sz="4" w:space="0" w:color="000000"/>
                    <w:right w:val="single" w:sz="4" w:space="0" w:color="000000"/>
                  </w:tcBorders>
                  <w:shd w:val="clear" w:color="auto" w:fill="auto"/>
                  <w:tcMar>
                    <w:top w:w="0" w:type="dxa"/>
                    <w:left w:w="28" w:type="dxa"/>
                    <w:bottom w:w="0" w:type="dxa"/>
                    <w:right w:w="28" w:type="dxa"/>
                  </w:tcMar>
                </w:tcPr>
                <w:p w14:paraId="0012FF94"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0.11</w:t>
                  </w:r>
                </w:p>
              </w:tc>
              <w:tc>
                <w:tcPr>
                  <w:tcW w:w="958" w:type="dxa"/>
                  <w:tcBorders>
                    <w:left w:val="single" w:sz="4" w:space="0" w:color="000000"/>
                    <w:right w:val="single" w:sz="4" w:space="0" w:color="000000"/>
                  </w:tcBorders>
                  <w:shd w:val="clear" w:color="auto" w:fill="auto"/>
                  <w:tcMar>
                    <w:top w:w="0" w:type="dxa"/>
                    <w:left w:w="28" w:type="dxa"/>
                    <w:bottom w:w="0" w:type="dxa"/>
                    <w:right w:w="28" w:type="dxa"/>
                  </w:tcMar>
                </w:tcPr>
                <w:p w14:paraId="73E3848A"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1.53</w:t>
                  </w:r>
                </w:p>
              </w:tc>
              <w:tc>
                <w:tcPr>
                  <w:tcW w:w="922" w:type="dxa"/>
                  <w:tcBorders>
                    <w:left w:val="single" w:sz="4" w:space="0" w:color="000000"/>
                    <w:right w:val="single" w:sz="4" w:space="0" w:color="000000"/>
                  </w:tcBorders>
                  <w:shd w:val="clear" w:color="auto" w:fill="auto"/>
                  <w:tcMar>
                    <w:top w:w="0" w:type="dxa"/>
                    <w:left w:w="28" w:type="dxa"/>
                    <w:bottom w:w="0" w:type="dxa"/>
                    <w:right w:w="28" w:type="dxa"/>
                  </w:tcMar>
                </w:tcPr>
                <w:p w14:paraId="7A608FAD"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0.47</w:t>
                  </w:r>
                </w:p>
              </w:tc>
              <w:tc>
                <w:tcPr>
                  <w:tcW w:w="1119" w:type="dxa"/>
                  <w:tcBorders>
                    <w:left w:val="single" w:sz="4" w:space="0" w:color="000000"/>
                    <w:right w:val="single" w:sz="4" w:space="0" w:color="000000"/>
                  </w:tcBorders>
                  <w:shd w:val="clear" w:color="auto" w:fill="auto"/>
                  <w:tcMar>
                    <w:top w:w="0" w:type="dxa"/>
                    <w:left w:w="28" w:type="dxa"/>
                    <w:bottom w:w="0" w:type="dxa"/>
                    <w:right w:w="28" w:type="dxa"/>
                  </w:tcMar>
                </w:tcPr>
                <w:p w14:paraId="6574DCE7"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6.19</w:t>
                  </w:r>
                </w:p>
              </w:tc>
              <w:tc>
                <w:tcPr>
                  <w:tcW w:w="1475" w:type="dxa"/>
                  <w:tcBorders>
                    <w:left w:val="single" w:sz="4" w:space="0" w:color="000000"/>
                  </w:tcBorders>
                  <w:shd w:val="clear" w:color="auto" w:fill="auto"/>
                  <w:tcMar>
                    <w:top w:w="0" w:type="dxa"/>
                    <w:left w:w="28" w:type="dxa"/>
                    <w:bottom w:w="0" w:type="dxa"/>
                    <w:right w:w="28" w:type="dxa"/>
                  </w:tcMar>
                </w:tcPr>
                <w:p w14:paraId="4F4B69E7"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5.73</w:t>
                  </w:r>
                </w:p>
              </w:tc>
            </w:tr>
            <w:tr w:rsidR="00052596" w14:paraId="69E2DDE9" w14:textId="77777777">
              <w:tblPrEx>
                <w:tblCellMar>
                  <w:top w:w="0" w:type="dxa"/>
                  <w:bottom w:w="0" w:type="dxa"/>
                </w:tblCellMar>
              </w:tblPrEx>
              <w:trPr>
                <w:jc w:val="center"/>
              </w:trPr>
              <w:tc>
                <w:tcPr>
                  <w:tcW w:w="60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AF8053A"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100</w:t>
                  </w:r>
                </w:p>
              </w:tc>
              <w:tc>
                <w:tcPr>
                  <w:tcW w:w="10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D6F05"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7.75</w:t>
                  </w:r>
                </w:p>
              </w:tc>
              <w:tc>
                <w:tcPr>
                  <w:tcW w:w="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8CA56"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1.43</w:t>
                  </w:r>
                </w:p>
              </w:tc>
              <w:tc>
                <w:tcPr>
                  <w:tcW w:w="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735EF"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0.16</w:t>
                  </w:r>
                </w:p>
              </w:tc>
              <w:tc>
                <w:tcPr>
                  <w:tcW w:w="95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CF2DC"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1.59</w:t>
                  </w:r>
                </w:p>
              </w:tc>
              <w:tc>
                <w:tcPr>
                  <w:tcW w:w="92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D9E04"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0.42</w:t>
                  </w:r>
                </w:p>
              </w:tc>
              <w:tc>
                <w:tcPr>
                  <w:tcW w:w="111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CCDA"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6.17</w:t>
                  </w:r>
                </w:p>
              </w:tc>
              <w:tc>
                <w:tcPr>
                  <w:tcW w:w="1475" w:type="dxa"/>
                  <w:tcBorders>
                    <w:left w:val="single" w:sz="4" w:space="0" w:color="000000"/>
                    <w:bottom w:val="single" w:sz="4" w:space="0" w:color="000000"/>
                  </w:tcBorders>
                  <w:shd w:val="clear" w:color="auto" w:fill="auto"/>
                  <w:tcMar>
                    <w:top w:w="0" w:type="dxa"/>
                    <w:left w:w="28" w:type="dxa"/>
                    <w:bottom w:w="0" w:type="dxa"/>
                    <w:right w:w="28" w:type="dxa"/>
                  </w:tcMar>
                </w:tcPr>
                <w:p w14:paraId="7266B962" w14:textId="77777777" w:rsidR="00052596" w:rsidRDefault="00000000">
                  <w:pPr>
                    <w:overflowPunct w:val="0"/>
                    <w:autoSpaceDE w:val="0"/>
                    <w:snapToGrid w:val="0"/>
                    <w:spacing w:line="320" w:lineRule="exact"/>
                    <w:jc w:val="center"/>
                    <w:textAlignment w:val="center"/>
                    <w:rPr>
                      <w:rFonts w:ascii="新細明體" w:hAnsi="新細明體"/>
                      <w:bCs/>
                      <w:spacing w:val="-4"/>
                      <w:kern w:val="0"/>
                      <w:sz w:val="20"/>
                    </w:rPr>
                  </w:pPr>
                  <w:r>
                    <w:rPr>
                      <w:rFonts w:ascii="新細明體" w:hAnsi="新細明體"/>
                      <w:bCs/>
                      <w:spacing w:val="-4"/>
                      <w:kern w:val="0"/>
                      <w:sz w:val="20"/>
                    </w:rPr>
                    <w:t>5.75</w:t>
                  </w:r>
                </w:p>
              </w:tc>
            </w:tr>
          </w:tbl>
          <w:p w14:paraId="3F68107B" w14:textId="77777777" w:rsidR="00052596" w:rsidRDefault="00000000">
            <w:pPr>
              <w:overflowPunct w:val="0"/>
              <w:autoSpaceDE w:val="0"/>
              <w:spacing w:before="36" w:line="320" w:lineRule="exact"/>
              <w:ind w:left="1160" w:hanging="980"/>
              <w:jc w:val="both"/>
              <w:textAlignment w:val="center"/>
              <w:rPr>
                <w:rFonts w:ascii="新細明體" w:hAnsi="新細明體"/>
                <w:spacing w:val="-2"/>
                <w:kern w:val="0"/>
                <w:sz w:val="20"/>
              </w:rPr>
            </w:pPr>
            <w:r>
              <w:rPr>
                <w:rFonts w:ascii="新細明體" w:hAnsi="新細明體"/>
                <w:spacing w:val="-2"/>
                <w:kern w:val="0"/>
                <w:sz w:val="20"/>
              </w:rPr>
              <w:t xml:space="preserve">　　　註：因四捨五入關係，合計數未必相符。</w:t>
            </w:r>
          </w:p>
          <w:p w14:paraId="164D1A8C" w14:textId="77777777" w:rsidR="00052596" w:rsidRDefault="00000000">
            <w:pPr>
              <w:overflowPunct w:val="0"/>
              <w:autoSpaceDE w:val="0"/>
              <w:spacing w:after="120" w:line="320" w:lineRule="exact"/>
              <w:ind w:left="1160" w:hanging="980"/>
              <w:jc w:val="both"/>
              <w:textAlignment w:val="center"/>
              <w:rPr>
                <w:rFonts w:ascii="新細明體" w:hAnsi="新細明體"/>
                <w:spacing w:val="-2"/>
                <w:kern w:val="0"/>
                <w:sz w:val="20"/>
              </w:rPr>
            </w:pPr>
            <w:r>
              <w:rPr>
                <w:rFonts w:ascii="新細明體" w:hAnsi="新細明體"/>
                <w:spacing w:val="-2"/>
                <w:kern w:val="0"/>
                <w:sz w:val="20"/>
              </w:rPr>
              <w:t>資料來源：行政院主計總處。</w:t>
            </w:r>
          </w:p>
        </w:tc>
      </w:tr>
    </w:tbl>
    <w:p w14:paraId="4EDEE722" w14:textId="77777777" w:rsidR="00052596" w:rsidRDefault="00052596">
      <w:pPr>
        <w:overflowPunct w:val="0"/>
        <w:autoSpaceDE w:val="0"/>
        <w:snapToGrid w:val="0"/>
        <w:spacing w:line="120" w:lineRule="exact"/>
        <w:jc w:val="center"/>
        <w:textAlignment w:val="center"/>
        <w:rPr>
          <w:rFonts w:eastAsia="標楷體"/>
          <w:b/>
          <w:kern w:val="0"/>
          <w:sz w:val="12"/>
          <w:szCs w:val="12"/>
        </w:rPr>
      </w:pPr>
    </w:p>
    <w:p w14:paraId="5855DBB1" w14:textId="77777777" w:rsidR="00052596" w:rsidRDefault="00052596">
      <w:pPr>
        <w:pageBreakBefore/>
        <w:widowControl/>
        <w:rPr>
          <w:rFonts w:eastAsia="標楷體"/>
          <w:b/>
          <w:kern w:val="0"/>
          <w:sz w:val="12"/>
          <w:szCs w:val="12"/>
        </w:rPr>
      </w:pPr>
    </w:p>
    <w:tbl>
      <w:tblPr>
        <w:tblW w:w="8519" w:type="dxa"/>
        <w:jc w:val="center"/>
        <w:tblLayout w:type="fixed"/>
        <w:tblCellMar>
          <w:left w:w="10" w:type="dxa"/>
          <w:right w:w="10" w:type="dxa"/>
        </w:tblCellMar>
        <w:tblLook w:val="04A0" w:firstRow="1" w:lastRow="0" w:firstColumn="1" w:lastColumn="0" w:noHBand="0" w:noVBand="1"/>
      </w:tblPr>
      <w:tblGrid>
        <w:gridCol w:w="8519"/>
      </w:tblGrid>
      <w:tr w:rsidR="00052596" w14:paraId="737042CB" w14:textId="77777777">
        <w:tblPrEx>
          <w:tblCellMar>
            <w:top w:w="0" w:type="dxa"/>
            <w:bottom w:w="0" w:type="dxa"/>
          </w:tblCellMar>
        </w:tblPrEx>
        <w:trPr>
          <w:trHeight w:val="12657"/>
          <w:jc w:val="center"/>
        </w:trPr>
        <w:tc>
          <w:tcPr>
            <w:tcW w:w="85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0D9F50E" w14:textId="77777777" w:rsidR="00052596" w:rsidRDefault="00000000">
            <w:pPr>
              <w:overflowPunct w:val="0"/>
              <w:autoSpaceDE w:val="0"/>
              <w:spacing w:before="240" w:after="120" w:line="360" w:lineRule="exact"/>
              <w:jc w:val="center"/>
              <w:textAlignment w:val="center"/>
              <w:rPr>
                <w:rFonts w:ascii="新細明體" w:hAnsi="新細明體"/>
                <w:b/>
                <w:color w:val="0000FF"/>
                <w:spacing w:val="14"/>
                <w:kern w:val="0"/>
              </w:rPr>
            </w:pPr>
            <w:r>
              <w:rPr>
                <w:rFonts w:ascii="新細明體" w:hAnsi="新細明體"/>
                <w:b/>
                <w:color w:val="0000FF"/>
                <w:spacing w:val="14"/>
                <w:kern w:val="0"/>
              </w:rPr>
              <w:t>貧窮率與貧窮缺口</w:t>
            </w:r>
          </w:p>
          <w:p w14:paraId="749B1F88" w14:textId="77777777" w:rsidR="00052596" w:rsidRDefault="00000000">
            <w:pPr>
              <w:overflowPunct w:val="0"/>
              <w:autoSpaceDE w:val="0"/>
              <w:spacing w:line="360" w:lineRule="exact"/>
              <w:ind w:left="72" w:right="72" w:firstLine="472"/>
              <w:jc w:val="both"/>
              <w:textAlignment w:val="center"/>
            </w:pPr>
            <w:r>
              <w:rPr>
                <w:rFonts w:ascii="新細明體" w:hAnsi="新細明體"/>
                <w:bCs/>
                <w:spacing w:val="8"/>
                <w:kern w:val="0"/>
                <w:sz w:val="22"/>
                <w:szCs w:val="22"/>
              </w:rPr>
              <w:t>近20年來，經濟成長伴隨所得分配惡化及貧窮人口相對增加，已是全球多數國家經濟發展共同面對的難題。我國的情況雖較多數OECD國家平穩，惟亦遭遇所得分配不均度上升及貧窮人口擴大的挑戰，亟需關注並改善。貧窮率(貧窮線</w:t>
            </w:r>
            <w:r>
              <w:rPr>
                <w:rFonts w:ascii="新細明體" w:hAnsi="新細明體"/>
                <w:bCs/>
                <w:spacing w:val="8"/>
                <w:kern w:val="0"/>
                <w:position w:val="4"/>
                <w:sz w:val="22"/>
                <w:szCs w:val="22"/>
              </w:rPr>
              <w:t>*</w:t>
            </w:r>
            <w:r>
              <w:rPr>
                <w:rFonts w:ascii="新細明體" w:hAnsi="新細明體"/>
                <w:bCs/>
                <w:spacing w:val="8"/>
                <w:kern w:val="0"/>
                <w:sz w:val="22"/>
                <w:szCs w:val="22"/>
              </w:rPr>
              <w:t>以下人口占總人口比率)，及貧窮缺口(貧窮人口之平均所得與貧窮線的差距占貧窮線之比率)，是OECD美好生活指數「所得與財富」領域中重要的總體指標，分別用於衡量一國貧窮的廣度及強度。行政院主計總處公布近年我國貧窮率與貧窮缺口趨勢及國際比較，說明如次：</w:t>
            </w:r>
          </w:p>
          <w:p w14:paraId="7E159193"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一、98年受金融海嘯影響，失業人口激增，衝擊低所得家庭，我國貧窮率增至10年來高點7.7%，較88年的5.1%提高2.6個百分點，惟仍低於OECD國家中位數10.0%(2008年)。</w:t>
            </w:r>
          </w:p>
          <w:p w14:paraId="1C7EA745" w14:textId="77777777" w:rsidR="00052596" w:rsidRDefault="00000000">
            <w:pPr>
              <w:overflowPunct w:val="0"/>
              <w:autoSpaceDE w:val="0"/>
              <w:spacing w:line="360" w:lineRule="exact"/>
              <w:ind w:left="54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－90年因受網路泡沫影響，全球景氣急速下滑，我國貧窮率由88年的5.1%驟然上升至7.2%，嗣因全球景氣復甦，國內經濟好轉，失業率降低，及政府持續推動社會安全措施與補助，92至97年貧窮率已降至6.5%上下。</w:t>
            </w:r>
          </w:p>
          <w:p w14:paraId="41E3C713" w14:textId="77777777" w:rsidR="00052596" w:rsidRDefault="00000000">
            <w:pPr>
              <w:overflowPunct w:val="0"/>
              <w:autoSpaceDE w:val="0"/>
              <w:spacing w:line="360" w:lineRule="exact"/>
              <w:ind w:left="548" w:right="72" w:hanging="236"/>
              <w:jc w:val="both"/>
              <w:textAlignment w:val="center"/>
            </w:pPr>
            <w:r>
              <w:rPr>
                <w:rFonts w:ascii="新細明體" w:hAnsi="新細明體"/>
                <w:bCs/>
                <w:spacing w:val="8"/>
                <w:kern w:val="0"/>
                <w:sz w:val="22"/>
                <w:szCs w:val="22"/>
              </w:rPr>
              <w:t>－2008年半數以上OECD國家貧窮率逾10%，其中美國17.3%、日本15.7%、南韓15.0%。從國際比較觀點，2008年我國貧窮率6.5%，遠低於OECD國家中位數10.0%；另1985至2008年，我國貧窮率提高0.7個百分點，亦明顯低於OECD國家貧窮率變動的中位數1.1個百分點，顯示我國貧窮人口增加速度相對和緩</w:t>
            </w:r>
            <w:r>
              <w:rPr>
                <w:rFonts w:ascii="新細明體" w:hAnsi="新細明體"/>
                <w:bCs/>
                <w:spacing w:val="8"/>
                <w:kern w:val="0"/>
                <w:szCs w:val="22"/>
              </w:rPr>
              <w:t>。</w:t>
            </w:r>
          </w:p>
          <w:p w14:paraId="5A5908E8" w14:textId="77777777" w:rsidR="00052596" w:rsidRDefault="00000000">
            <w:pPr>
              <w:overflowPunct w:val="0"/>
              <w:autoSpaceDE w:val="0"/>
              <w:spacing w:line="36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二、2005年我國貧窮缺口23.1%，低於OECD國家中位數28.2%(美國38.3%、南韓36.0%、日本34.7%)，顯示在政府社會福利措施、家庭與社會網絡支持下，我國貧窮人口經濟來源落差較多數OECD國家小。</w:t>
            </w:r>
          </w:p>
          <w:p w14:paraId="24B7806D" w14:textId="77777777" w:rsidR="00052596" w:rsidRDefault="00000000">
            <w:pPr>
              <w:overflowPunct w:val="0"/>
              <w:autoSpaceDE w:val="0"/>
              <w:snapToGrid w:val="0"/>
              <w:ind w:left="72" w:right="72"/>
              <w:jc w:val="center"/>
              <w:textAlignment w:val="center"/>
            </w:pPr>
            <w:r>
              <w:rPr>
                <w:noProof/>
              </w:rPr>
              <mc:AlternateContent>
                <mc:Choice Requires="wps">
                  <w:drawing>
                    <wp:anchor distT="0" distB="0" distL="114300" distR="114300" simplePos="0" relativeHeight="251668992" behindDoc="0" locked="0" layoutInCell="1" allowOverlap="1" wp14:anchorId="5E1A08C4" wp14:editId="27CF39D8">
                      <wp:simplePos x="0" y="0"/>
                      <wp:positionH relativeFrom="column">
                        <wp:posOffset>2887976</wp:posOffset>
                      </wp:positionH>
                      <wp:positionV relativeFrom="paragraph">
                        <wp:posOffset>121916</wp:posOffset>
                      </wp:positionV>
                      <wp:extent cx="1562096" cy="942344"/>
                      <wp:effectExtent l="0" t="0" r="19054" b="10156"/>
                      <wp:wrapNone/>
                      <wp:docPr id="169" name="文字方塊 43036"/>
                      <wp:cNvGraphicFramePr/>
                      <a:graphic xmlns:a="http://schemas.openxmlformats.org/drawingml/2006/main">
                        <a:graphicData uri="http://schemas.microsoft.com/office/word/2010/wordprocessingShape">
                          <wps:wsp>
                            <wps:cNvSpPr txBox="1"/>
                            <wps:spPr>
                              <a:xfrm>
                                <a:off x="0" y="0"/>
                                <a:ext cx="1562096" cy="942344"/>
                              </a:xfrm>
                              <a:prstGeom prst="rect">
                                <a:avLst/>
                              </a:prstGeom>
                              <a:solidFill>
                                <a:srgbClr val="FFFFFF"/>
                              </a:solidFill>
                              <a:ln w="9528">
                                <a:solidFill>
                                  <a:srgbClr val="BCBCBC"/>
                                </a:solidFill>
                                <a:prstDash val="solid"/>
                              </a:ln>
                            </wps:spPr>
                            <wps:txbx>
                              <w:txbxContent>
                                <w:p w14:paraId="414B17B2" w14:textId="77777777" w:rsidR="00052596" w:rsidRDefault="00000000">
                                  <w:pPr>
                                    <w:pStyle w:val="Web"/>
                                    <w:spacing w:after="24"/>
                                  </w:pPr>
                                  <w:r>
                                    <w:rPr>
                                      <w:b/>
                                      <w:color w:val="0000FF"/>
                                      <w:sz w:val="20"/>
                                      <w:szCs w:val="20"/>
                                      <w:u w:val="single"/>
                                    </w:rPr>
                                    <w:t>2008</w:t>
                                  </w:r>
                                  <w:r>
                                    <w:rPr>
                                      <w:b/>
                                      <w:color w:val="0000FF"/>
                                      <w:sz w:val="20"/>
                                      <w:szCs w:val="20"/>
                                      <w:u w:val="single"/>
                                    </w:rPr>
                                    <w:t>年主要國家貧窮率</w:t>
                                  </w:r>
                                </w:p>
                                <w:p w14:paraId="78D8D164" w14:textId="77777777" w:rsidR="00052596" w:rsidRDefault="00000000">
                                  <w:pPr>
                                    <w:pStyle w:val="Web"/>
                                  </w:pPr>
                                  <w:r>
                                    <w:rPr>
                                      <w:color w:val="000000"/>
                                      <w:sz w:val="20"/>
                                      <w:szCs w:val="20"/>
                                    </w:rPr>
                                    <w:t>OECD</w:t>
                                  </w:r>
                                  <w:r>
                                    <w:rPr>
                                      <w:color w:val="000000"/>
                                      <w:sz w:val="20"/>
                                      <w:szCs w:val="20"/>
                                    </w:rPr>
                                    <w:t>國家中位數</w:t>
                                  </w:r>
                                  <w:r>
                                    <w:rPr>
                                      <w:color w:val="000000"/>
                                      <w:sz w:val="20"/>
                                      <w:szCs w:val="20"/>
                                    </w:rPr>
                                    <w:t>10.0%</w:t>
                                  </w:r>
                                </w:p>
                                <w:p w14:paraId="30E5DF57" w14:textId="77777777" w:rsidR="00052596" w:rsidRDefault="00000000">
                                  <w:pPr>
                                    <w:pStyle w:val="Web"/>
                                  </w:pPr>
                                  <w:r>
                                    <w:rPr>
                                      <w:color w:val="000000"/>
                                      <w:sz w:val="20"/>
                                      <w:szCs w:val="20"/>
                                    </w:rPr>
                                    <w:t>美國</w:t>
                                  </w:r>
                                  <w:r>
                                    <w:rPr>
                                      <w:color w:val="000000"/>
                                      <w:sz w:val="20"/>
                                      <w:szCs w:val="20"/>
                                    </w:rPr>
                                    <w:t>17.3%</w:t>
                                  </w:r>
                                  <w:r>
                                    <w:rPr>
                                      <w:color w:val="000000"/>
                                      <w:sz w:val="20"/>
                                      <w:szCs w:val="20"/>
                                    </w:rPr>
                                    <w:t xml:space="preserve">　日本</w:t>
                                  </w:r>
                                  <w:r>
                                    <w:rPr>
                                      <w:color w:val="000000"/>
                                      <w:sz w:val="20"/>
                                      <w:szCs w:val="20"/>
                                    </w:rPr>
                                    <w:t>15.7%</w:t>
                                  </w:r>
                                </w:p>
                                <w:p w14:paraId="7DB5E9BD" w14:textId="77777777" w:rsidR="00052596" w:rsidRDefault="00000000">
                                  <w:pPr>
                                    <w:pStyle w:val="Web"/>
                                  </w:pPr>
                                  <w:r>
                                    <w:rPr>
                                      <w:color w:val="000000"/>
                                      <w:sz w:val="20"/>
                                      <w:szCs w:val="20"/>
                                    </w:rPr>
                                    <w:t>南韓</w:t>
                                  </w:r>
                                  <w:r>
                                    <w:rPr>
                                      <w:color w:val="000000"/>
                                      <w:sz w:val="20"/>
                                      <w:szCs w:val="20"/>
                                    </w:rPr>
                                    <w:t>15.0%</w:t>
                                  </w:r>
                                  <w:r>
                                    <w:rPr>
                                      <w:color w:val="000000"/>
                                      <w:sz w:val="20"/>
                                      <w:szCs w:val="20"/>
                                    </w:rPr>
                                    <w:t xml:space="preserve">　英國</w:t>
                                  </w:r>
                                  <w:r>
                                    <w:rPr>
                                      <w:color w:val="000000"/>
                                      <w:sz w:val="20"/>
                                      <w:szCs w:val="20"/>
                                    </w:rPr>
                                    <w:t>11.3%</w:t>
                                  </w:r>
                                </w:p>
                                <w:p w14:paraId="46D4EF65" w14:textId="77777777" w:rsidR="00052596" w:rsidRDefault="00000000">
                                  <w:pPr>
                                    <w:pStyle w:val="Web"/>
                                  </w:pPr>
                                  <w:r>
                                    <w:rPr>
                                      <w:color w:val="000000"/>
                                      <w:sz w:val="20"/>
                                      <w:szCs w:val="20"/>
                                    </w:rPr>
                                    <w:t>德國</w:t>
                                  </w:r>
                                  <w:r>
                                    <w:rPr>
                                      <w:color w:val="000000"/>
                                      <w:spacing w:val="28"/>
                                      <w:sz w:val="20"/>
                                      <w:szCs w:val="20"/>
                                    </w:rPr>
                                    <w:t xml:space="preserve"> </w:t>
                                  </w:r>
                                  <w:r>
                                    <w:rPr>
                                      <w:color w:val="000000"/>
                                      <w:sz w:val="20"/>
                                      <w:szCs w:val="20"/>
                                    </w:rPr>
                                    <w:t>8.9%</w:t>
                                  </w:r>
                                  <w:r>
                                    <w:rPr>
                                      <w:color w:val="000000"/>
                                      <w:sz w:val="20"/>
                                      <w:szCs w:val="20"/>
                                    </w:rPr>
                                    <w:t xml:space="preserve">　法國</w:t>
                                  </w:r>
                                  <w:r>
                                    <w:rPr>
                                      <w:color w:val="000000"/>
                                      <w:spacing w:val="28"/>
                                      <w:sz w:val="20"/>
                                      <w:szCs w:val="20"/>
                                    </w:rPr>
                                    <w:t xml:space="preserve"> </w:t>
                                  </w:r>
                                  <w:r>
                                    <w:rPr>
                                      <w:color w:val="000000"/>
                                      <w:sz w:val="20"/>
                                      <w:szCs w:val="20"/>
                                    </w:rPr>
                                    <w:t>7.2%</w:t>
                                  </w:r>
                                </w:p>
                              </w:txbxContent>
                            </wps:txbx>
                            <wps:bodyPr wrap="square" lIns="91440" tIns="45720" rIns="91440" bIns="45720" anchor="t">
                              <a:spAutoFit/>
                            </wps:bodyPr>
                          </wps:wsp>
                        </a:graphicData>
                      </a:graphic>
                    </wp:anchor>
                  </w:drawing>
                </mc:Choice>
                <mc:Fallback>
                  <w:pict>
                    <v:shape w14:anchorId="5E1A08C4" id="文字方塊 43036" o:spid="_x0000_s1091" type="#_x0000_t202" style="position:absolute;left:0;text-align:left;margin-left:227.4pt;margin-top:9.6pt;width:123pt;height:74.2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" strokecolor="#bcbcbc" strokeweight=".26467mm">
                      <v:textbox style="mso-fit-shape-to-text:t">
                        <w:txbxContent>
                          <w:p w14:paraId="414B17B2" w14:textId="77777777" w:rsidR="00052596" w:rsidRDefault="00000000">
                            <w:pPr>
                              <w:pStyle w:val="Web"/>
                              <w:spacing w:after="24"/>
                            </w:pPr>
                            <w:r>
                              <w:rPr>
                                <w:b/>
                                <w:color w:val="0000FF"/>
                                <w:sz w:val="20"/>
                                <w:szCs w:val="20"/>
                                <w:u w:val="single"/>
                              </w:rPr>
                              <w:t>2008</w:t>
                            </w:r>
                            <w:r>
                              <w:rPr>
                                <w:b/>
                                <w:color w:val="0000FF"/>
                                <w:sz w:val="20"/>
                                <w:szCs w:val="20"/>
                                <w:u w:val="single"/>
                              </w:rPr>
                              <w:t>年主要國家貧窮率</w:t>
                            </w:r>
                          </w:p>
                          <w:p w14:paraId="78D8D164" w14:textId="77777777" w:rsidR="00052596" w:rsidRDefault="00000000">
                            <w:pPr>
                              <w:pStyle w:val="Web"/>
                            </w:pPr>
                            <w:r>
                              <w:rPr>
                                <w:color w:val="000000"/>
                                <w:sz w:val="20"/>
                                <w:szCs w:val="20"/>
                              </w:rPr>
                              <w:t>OECD</w:t>
                            </w:r>
                            <w:r>
                              <w:rPr>
                                <w:color w:val="000000"/>
                                <w:sz w:val="20"/>
                                <w:szCs w:val="20"/>
                              </w:rPr>
                              <w:t>國家中位數</w:t>
                            </w:r>
                            <w:r>
                              <w:rPr>
                                <w:color w:val="000000"/>
                                <w:sz w:val="20"/>
                                <w:szCs w:val="20"/>
                              </w:rPr>
                              <w:t>10.0%</w:t>
                            </w:r>
                          </w:p>
                          <w:p w14:paraId="30E5DF57" w14:textId="77777777" w:rsidR="00052596" w:rsidRDefault="00000000">
                            <w:pPr>
                              <w:pStyle w:val="Web"/>
                            </w:pPr>
                            <w:r>
                              <w:rPr>
                                <w:color w:val="000000"/>
                                <w:sz w:val="20"/>
                                <w:szCs w:val="20"/>
                              </w:rPr>
                              <w:t>美國</w:t>
                            </w:r>
                            <w:r>
                              <w:rPr>
                                <w:color w:val="000000"/>
                                <w:sz w:val="20"/>
                                <w:szCs w:val="20"/>
                              </w:rPr>
                              <w:t>17.3%</w:t>
                            </w:r>
                            <w:r>
                              <w:rPr>
                                <w:color w:val="000000"/>
                                <w:sz w:val="20"/>
                                <w:szCs w:val="20"/>
                              </w:rPr>
                              <w:t xml:space="preserve">　日本</w:t>
                            </w:r>
                            <w:r>
                              <w:rPr>
                                <w:color w:val="000000"/>
                                <w:sz w:val="20"/>
                                <w:szCs w:val="20"/>
                              </w:rPr>
                              <w:t>15.7%</w:t>
                            </w:r>
                          </w:p>
                          <w:p w14:paraId="7DB5E9BD" w14:textId="77777777" w:rsidR="00052596" w:rsidRDefault="00000000">
                            <w:pPr>
                              <w:pStyle w:val="Web"/>
                            </w:pPr>
                            <w:r>
                              <w:rPr>
                                <w:color w:val="000000"/>
                                <w:sz w:val="20"/>
                                <w:szCs w:val="20"/>
                              </w:rPr>
                              <w:t>南韓</w:t>
                            </w:r>
                            <w:r>
                              <w:rPr>
                                <w:color w:val="000000"/>
                                <w:sz w:val="20"/>
                                <w:szCs w:val="20"/>
                              </w:rPr>
                              <w:t>15.0%</w:t>
                            </w:r>
                            <w:r>
                              <w:rPr>
                                <w:color w:val="000000"/>
                                <w:sz w:val="20"/>
                                <w:szCs w:val="20"/>
                              </w:rPr>
                              <w:t xml:space="preserve">　英國</w:t>
                            </w:r>
                            <w:r>
                              <w:rPr>
                                <w:color w:val="000000"/>
                                <w:sz w:val="20"/>
                                <w:szCs w:val="20"/>
                              </w:rPr>
                              <w:t>11.3%</w:t>
                            </w:r>
                          </w:p>
                          <w:p w14:paraId="46D4EF65" w14:textId="77777777" w:rsidR="00052596" w:rsidRDefault="00000000">
                            <w:pPr>
                              <w:pStyle w:val="Web"/>
                            </w:pPr>
                            <w:r>
                              <w:rPr>
                                <w:color w:val="000000"/>
                                <w:sz w:val="20"/>
                                <w:szCs w:val="20"/>
                              </w:rPr>
                              <w:t>德國</w:t>
                            </w:r>
                            <w:r>
                              <w:rPr>
                                <w:color w:val="000000"/>
                                <w:spacing w:val="28"/>
                                <w:sz w:val="20"/>
                                <w:szCs w:val="20"/>
                              </w:rPr>
                              <w:t xml:space="preserve"> </w:t>
                            </w:r>
                            <w:r>
                              <w:rPr>
                                <w:color w:val="000000"/>
                                <w:sz w:val="20"/>
                                <w:szCs w:val="20"/>
                              </w:rPr>
                              <w:t>8.9%</w:t>
                            </w:r>
                            <w:r>
                              <w:rPr>
                                <w:color w:val="000000"/>
                                <w:sz w:val="20"/>
                                <w:szCs w:val="20"/>
                              </w:rPr>
                              <w:t xml:space="preserve">　法國</w:t>
                            </w:r>
                            <w:r>
                              <w:rPr>
                                <w:color w:val="000000"/>
                                <w:spacing w:val="28"/>
                                <w:sz w:val="20"/>
                                <w:szCs w:val="20"/>
                              </w:rPr>
                              <w:t xml:space="preserve"> </w:t>
                            </w:r>
                            <w:r>
                              <w:rPr>
                                <w:color w:val="000000"/>
                                <w:sz w:val="20"/>
                                <w:szCs w:val="20"/>
                              </w:rPr>
                              <w:t>7.2%</w:t>
                            </w:r>
                          </w:p>
                        </w:txbxContent>
                      </v:textbox>
                    </v:shape>
                  </w:pict>
                </mc:Fallback>
              </mc:AlternateContent>
            </w:r>
            <w:r>
              <w:rPr>
                <w:rFonts w:ascii="新細明體" w:hAnsi="新細明體"/>
                <w:noProof/>
                <w:spacing w:val="8"/>
                <w:kern w:val="0"/>
                <w:sz w:val="22"/>
                <w:szCs w:val="22"/>
              </w:rPr>
              <w:drawing>
                <wp:inline distT="0" distB="0" distL="0" distR="0" wp14:anchorId="53EAE9DC" wp14:editId="761A8751">
                  <wp:extent cx="4763137" cy="2062484"/>
                  <wp:effectExtent l="0" t="0" r="0" b="0"/>
                  <wp:docPr id="170" name="圖表 43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4763137" cy="2062484"/>
                          </a:xfrm>
                          <a:prstGeom prst="rect">
                            <a:avLst/>
                          </a:prstGeom>
                          <a:noFill/>
                          <a:ln>
                            <a:noFill/>
                            <a:prstDash/>
                          </a:ln>
                        </pic:spPr>
                      </pic:pic>
                    </a:graphicData>
                  </a:graphic>
                </wp:inline>
              </w:drawing>
            </w:r>
          </w:p>
          <w:p w14:paraId="2EC6AEC4" w14:textId="77777777" w:rsidR="00052596" w:rsidRDefault="00000000">
            <w:pPr>
              <w:overflowPunct w:val="0"/>
              <w:autoSpaceDE w:val="0"/>
              <w:spacing w:before="120" w:after="120" w:line="320" w:lineRule="exact"/>
              <w:ind w:left="180" w:firstLine="474"/>
              <w:jc w:val="both"/>
              <w:textAlignment w:val="center"/>
              <w:rPr>
                <w:rFonts w:ascii="新細明體" w:hAnsi="新細明體"/>
                <w:spacing w:val="-2"/>
                <w:kern w:val="0"/>
                <w:sz w:val="21"/>
                <w:szCs w:val="21"/>
              </w:rPr>
            </w:pPr>
            <w:r>
              <w:rPr>
                <w:rFonts w:ascii="新細明體" w:hAnsi="新細明體"/>
                <w:spacing w:val="-2"/>
                <w:kern w:val="0"/>
                <w:sz w:val="21"/>
                <w:szCs w:val="21"/>
              </w:rPr>
              <w:t>資料來源：行政院主計總處，社會指標統計年報2010。</w:t>
            </w:r>
          </w:p>
          <w:p w14:paraId="172B4E87" w14:textId="77777777" w:rsidR="00052596" w:rsidRDefault="00000000">
            <w:pPr>
              <w:overflowPunct w:val="0"/>
              <w:autoSpaceDE w:val="0"/>
              <w:spacing w:before="36" w:after="120" w:line="320" w:lineRule="exact"/>
              <w:ind w:left="1210" w:hanging="1030"/>
              <w:jc w:val="both"/>
              <w:textAlignment w:val="center"/>
            </w:pPr>
            <w:r>
              <w:rPr>
                <w:rFonts w:ascii="新細明體" w:hAnsi="新細明體"/>
                <w:spacing w:val="-2"/>
                <w:kern w:val="0"/>
                <w:sz w:val="21"/>
                <w:szCs w:val="21"/>
              </w:rPr>
              <w:t>*</w:t>
            </w:r>
            <w:r>
              <w:rPr>
                <w:rFonts w:ascii="新細明體" w:hAnsi="新細明體"/>
                <w:spacing w:val="-2"/>
                <w:kern w:val="0"/>
                <w:sz w:val="16"/>
                <w:szCs w:val="16"/>
              </w:rPr>
              <w:t xml:space="preserve"> </w:t>
            </w:r>
            <w:r>
              <w:rPr>
                <w:rFonts w:ascii="新細明體" w:hAnsi="新細明體"/>
                <w:spacing w:val="-2"/>
                <w:kern w:val="0"/>
                <w:sz w:val="21"/>
                <w:szCs w:val="21"/>
              </w:rPr>
              <w:t>根據OECD定義，貧窮線係指等值化每人可支配所得中位數的50%。</w:t>
            </w:r>
          </w:p>
        </w:tc>
      </w:tr>
    </w:tbl>
    <w:p w14:paraId="34BF56F7" w14:textId="77777777" w:rsidR="00052596" w:rsidRDefault="00052596">
      <w:pPr>
        <w:overflowPunct w:val="0"/>
        <w:autoSpaceDE w:val="0"/>
        <w:snapToGrid w:val="0"/>
        <w:spacing w:line="120" w:lineRule="exact"/>
        <w:jc w:val="center"/>
        <w:textAlignment w:val="center"/>
        <w:rPr>
          <w:rFonts w:eastAsia="標楷體"/>
          <w:b/>
          <w:kern w:val="0"/>
          <w:sz w:val="12"/>
          <w:szCs w:val="12"/>
        </w:rPr>
      </w:pPr>
    </w:p>
    <w:p w14:paraId="2B7806E4"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伍、綠色成長與社會包容</w:t>
      </w:r>
    </w:p>
    <w:p w14:paraId="36AD256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B80D2AF"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00" w:lineRule="exact"/>
        <w:ind w:left="-72" w:firstLine="576"/>
        <w:jc w:val="both"/>
        <w:textAlignment w:val="center"/>
      </w:pPr>
      <w:r>
        <w:rPr>
          <w:rFonts w:eastAsia="標楷體"/>
          <w:spacing w:val="4"/>
          <w:kern w:val="0"/>
          <w:sz w:val="28"/>
          <w:szCs w:val="26"/>
        </w:rPr>
        <w:t>為因應氣候變遷對人類永續發展的嚴重威脅，近年來國際機構均大力倡導綠色成長。世界銀行</w:t>
      </w:r>
      <w:r>
        <w:rPr>
          <w:rFonts w:eastAsia="標楷體"/>
          <w:spacing w:val="4"/>
          <w:kern w:val="0"/>
          <w:sz w:val="28"/>
          <w:szCs w:val="26"/>
        </w:rPr>
        <w:t>2012</w:t>
      </w:r>
      <w:r>
        <w:rPr>
          <w:rFonts w:eastAsia="標楷體"/>
          <w:spacing w:val="4"/>
          <w:kern w:val="0"/>
          <w:sz w:val="28"/>
          <w:szCs w:val="26"/>
        </w:rPr>
        <w:t>年</w:t>
      </w:r>
      <w:r>
        <w:rPr>
          <w:rFonts w:eastAsia="標楷體"/>
          <w:spacing w:val="4"/>
          <w:kern w:val="0"/>
          <w:sz w:val="28"/>
          <w:szCs w:val="26"/>
        </w:rPr>
        <w:t>5</w:t>
      </w:r>
      <w:r>
        <w:rPr>
          <w:rFonts w:eastAsia="標楷體"/>
          <w:spacing w:val="4"/>
          <w:kern w:val="0"/>
          <w:sz w:val="28"/>
          <w:szCs w:val="26"/>
        </w:rPr>
        <w:t>月發布「包容性綠色成長</w:t>
      </w:r>
      <w:r>
        <w:rPr>
          <w:rFonts w:ascii="標楷體" w:eastAsia="標楷體" w:hAnsi="標楷體"/>
          <w:spacing w:val="4"/>
          <w:kern w:val="0"/>
          <w:sz w:val="28"/>
          <w:szCs w:val="26"/>
        </w:rPr>
        <w:t>(</w:t>
      </w:r>
      <w:r>
        <w:rPr>
          <w:rFonts w:eastAsia="標楷體"/>
          <w:spacing w:val="4"/>
          <w:kern w:val="0"/>
          <w:sz w:val="28"/>
          <w:szCs w:val="26"/>
        </w:rPr>
        <w:t>Inclusive Green Growth</w:t>
      </w:r>
      <w:r>
        <w:rPr>
          <w:rFonts w:ascii="標楷體" w:eastAsia="標楷體" w:hAnsi="標楷體"/>
          <w:spacing w:val="4"/>
          <w:kern w:val="0"/>
          <w:sz w:val="28"/>
          <w:szCs w:val="26"/>
        </w:rPr>
        <w:t>)</w:t>
      </w:r>
      <w:r>
        <w:rPr>
          <w:rFonts w:eastAsia="標楷體"/>
          <w:spacing w:val="4"/>
          <w:kern w:val="0"/>
          <w:sz w:val="28"/>
          <w:szCs w:val="26"/>
        </w:rPr>
        <w:t>」報告，強調各國在制定政策時應促進自然資源的審慎管理，確保具有包容性的綠色成長，以同時兼顧經濟、環境與社會責任，增進國民福祉。</w:t>
      </w:r>
      <w:r>
        <w:rPr>
          <w:rFonts w:eastAsia="標楷體"/>
          <w:spacing w:val="4"/>
          <w:kern w:val="0"/>
          <w:sz w:val="28"/>
          <w:szCs w:val="26"/>
        </w:rPr>
        <w:t>2011</w:t>
      </w:r>
      <w:r>
        <w:rPr>
          <w:rFonts w:eastAsia="標楷體"/>
          <w:spacing w:val="4"/>
          <w:kern w:val="0"/>
          <w:sz w:val="28"/>
          <w:szCs w:val="26"/>
        </w:rPr>
        <w:t>年</w:t>
      </w:r>
      <w:r>
        <w:rPr>
          <w:rFonts w:eastAsia="標楷體"/>
          <w:spacing w:val="4"/>
          <w:kern w:val="0"/>
          <w:sz w:val="28"/>
          <w:szCs w:val="26"/>
        </w:rPr>
        <w:t>APEC</w:t>
      </w:r>
      <w:r>
        <w:rPr>
          <w:rFonts w:eastAsia="標楷體"/>
          <w:spacing w:val="4"/>
          <w:kern w:val="0"/>
          <w:sz w:val="28"/>
          <w:szCs w:val="26"/>
        </w:rPr>
        <w:t>更將促進綠色成長作為優先推動的領域之一。綠色成長能促進產業結構朝多元、高值與低碳發展，提供綠色消費模式，並創造就業機會。近年來，政府積極推動綠能減碳相關措施，包括加速產業結構轉型、發展低碳能源、推廣再生能源設置、完善有助節能減碳之市場機制及法制基礎等，以促進臺灣朝向包容性綠色成長發展。</w:t>
      </w:r>
    </w:p>
    <w:p w14:paraId="081F5D7E" w14:textId="77777777" w:rsidR="00052596" w:rsidRDefault="00000000">
      <w:pPr>
        <w:tabs>
          <w:tab w:val="left" w:pos="960"/>
          <w:tab w:val="left" w:pos="1920"/>
          <w:tab w:val="left" w:pos="2880"/>
          <w:tab w:val="left" w:pos="3840"/>
          <w:tab w:val="left" w:pos="4800"/>
          <w:tab w:val="left" w:pos="5760"/>
        </w:tabs>
        <w:overflowPunct w:val="0"/>
        <w:autoSpaceDE w:val="0"/>
        <w:spacing w:before="96" w:after="96" w:line="420" w:lineRule="exact"/>
        <w:ind w:left="187" w:hanging="259"/>
        <w:jc w:val="both"/>
        <w:textAlignment w:val="center"/>
        <w:rPr>
          <w:rFonts w:eastAsia="標楷體"/>
          <w:b/>
          <w:color w:val="0000FF"/>
          <w:spacing w:val="4"/>
          <w:kern w:val="0"/>
          <w:sz w:val="28"/>
        </w:rPr>
      </w:pPr>
      <w:r>
        <w:rPr>
          <w:rFonts w:eastAsia="標楷體"/>
          <w:b/>
          <w:color w:val="0000FF"/>
          <w:spacing w:val="4"/>
          <w:kern w:val="0"/>
          <w:sz w:val="28"/>
        </w:rPr>
        <w:t>一、綠色成長</w:t>
      </w:r>
    </w:p>
    <w:p w14:paraId="36525D0D"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00" w:lineRule="exact"/>
        <w:ind w:left="223" w:firstLine="576"/>
        <w:jc w:val="both"/>
        <w:textAlignment w:val="center"/>
      </w:pPr>
      <w:r>
        <w:rPr>
          <w:rFonts w:eastAsia="標楷體"/>
          <w:spacing w:val="4"/>
          <w:kern w:val="0"/>
          <w:sz w:val="28"/>
          <w:szCs w:val="26"/>
        </w:rPr>
        <w:t>綠色成長係指在經濟成長過程中減少對資源使用、碳排放與環境破壞的發展模式。近期我國綠色成長相關發展趨勢如次：</w:t>
      </w:r>
    </w:p>
    <w:p w14:paraId="10C890F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rPr>
        <w:t>(一)</w:t>
      </w:r>
      <w:r>
        <w:rPr>
          <w:rFonts w:eastAsia="標楷體"/>
          <w:spacing w:val="4"/>
          <w:kern w:val="0"/>
          <w:sz w:val="28"/>
        </w:rPr>
        <w:t>綠色國民所得</w:t>
      </w:r>
    </w:p>
    <w:p w14:paraId="796F2EDF" w14:textId="77777777" w:rsidR="00052596" w:rsidRDefault="00000000">
      <w:pPr>
        <w:tabs>
          <w:tab w:val="left" w:pos="426"/>
          <w:tab w:val="left" w:pos="1920"/>
          <w:tab w:val="left" w:pos="2880"/>
          <w:tab w:val="left" w:pos="3840"/>
          <w:tab w:val="left" w:pos="4800"/>
          <w:tab w:val="left" w:pos="5760"/>
        </w:tabs>
        <w:overflowPunct w:val="0"/>
        <w:autoSpaceDE w:val="0"/>
        <w:snapToGrid w:val="0"/>
        <w:spacing w:line="400" w:lineRule="exact"/>
        <w:ind w:left="754" w:firstLine="573"/>
        <w:jc w:val="both"/>
        <w:textAlignment w:val="center"/>
      </w:pPr>
      <w:r>
        <w:rPr>
          <w:rFonts w:ascii="標楷體" w:eastAsia="標楷體" w:hAnsi="標楷體"/>
          <w:spacing w:val="4"/>
          <w:kern w:val="0"/>
          <w:sz w:val="28"/>
          <w:szCs w:val="26"/>
        </w:rPr>
        <w:t>根據主計總處</w:t>
      </w:r>
      <w:r>
        <w:rPr>
          <w:rFonts w:eastAsia="標楷體"/>
          <w:spacing w:val="4"/>
          <w:kern w:val="0"/>
          <w:sz w:val="28"/>
          <w:szCs w:val="26"/>
        </w:rPr>
        <w:t>「綠色國民所得帳編製報告</w:t>
      </w:r>
      <w:r>
        <w:rPr>
          <w:rFonts w:ascii="標楷體" w:eastAsia="標楷體" w:hAnsi="標楷體"/>
          <w:spacing w:val="4"/>
          <w:kern w:val="0"/>
          <w:sz w:val="28"/>
          <w:szCs w:val="26"/>
        </w:rPr>
        <w:t>(民國</w:t>
      </w:r>
      <w:r>
        <w:rPr>
          <w:rFonts w:eastAsia="標楷體"/>
          <w:spacing w:val="4"/>
          <w:kern w:val="0"/>
          <w:sz w:val="28"/>
          <w:szCs w:val="26"/>
        </w:rPr>
        <w:t>99</w:t>
      </w:r>
      <w:r>
        <w:rPr>
          <w:rFonts w:eastAsia="標楷體"/>
          <w:spacing w:val="4"/>
          <w:kern w:val="0"/>
          <w:sz w:val="28"/>
          <w:szCs w:val="26"/>
        </w:rPr>
        <w:t>年</w:t>
      </w:r>
      <w:r>
        <w:rPr>
          <w:rFonts w:ascii="標楷體" w:eastAsia="標楷體" w:hAnsi="標楷體"/>
          <w:spacing w:val="4"/>
          <w:kern w:val="0"/>
          <w:sz w:val="28"/>
          <w:szCs w:val="26"/>
        </w:rPr>
        <w:t>)</w:t>
      </w:r>
      <w:r>
        <w:rPr>
          <w:rFonts w:eastAsia="標楷體"/>
          <w:spacing w:val="4"/>
          <w:kern w:val="0"/>
          <w:sz w:val="28"/>
          <w:szCs w:val="26"/>
        </w:rPr>
        <w:t>」，</w:t>
      </w:r>
      <w:r>
        <w:rPr>
          <w:rFonts w:eastAsia="標楷體"/>
          <w:spacing w:val="4"/>
          <w:kern w:val="0"/>
          <w:sz w:val="28"/>
          <w:szCs w:val="26"/>
        </w:rPr>
        <w:t>99</w:t>
      </w:r>
      <w:r>
        <w:rPr>
          <w:rFonts w:eastAsia="標楷體"/>
          <w:spacing w:val="4"/>
          <w:kern w:val="0"/>
          <w:sz w:val="28"/>
          <w:szCs w:val="26"/>
        </w:rPr>
        <w:t>年臺灣名目</w:t>
      </w:r>
      <w:r>
        <w:rPr>
          <w:rFonts w:eastAsia="標楷體"/>
          <w:spacing w:val="4"/>
          <w:kern w:val="0"/>
          <w:sz w:val="28"/>
          <w:szCs w:val="26"/>
        </w:rPr>
        <w:t>GDP13</w:t>
      </w:r>
      <w:r>
        <w:rPr>
          <w:rFonts w:eastAsia="標楷體"/>
          <w:spacing w:val="4"/>
          <w:kern w:val="0"/>
          <w:sz w:val="28"/>
          <w:szCs w:val="26"/>
        </w:rPr>
        <w:t>兆</w:t>
      </w:r>
      <w:r>
        <w:rPr>
          <w:rFonts w:eastAsia="標楷體"/>
          <w:spacing w:val="4"/>
          <w:kern w:val="0"/>
          <w:sz w:val="28"/>
          <w:szCs w:val="26"/>
        </w:rPr>
        <w:t>5,521</w:t>
      </w:r>
      <w:r>
        <w:rPr>
          <w:rFonts w:eastAsia="標楷體"/>
          <w:spacing w:val="4"/>
          <w:kern w:val="0"/>
          <w:sz w:val="28"/>
          <w:szCs w:val="26"/>
        </w:rPr>
        <w:t>億元，扣除自然資源折耗及環境品質質損所帶來的負面衝擊</w:t>
      </w:r>
      <w:r>
        <w:rPr>
          <w:rFonts w:ascii="標楷體" w:eastAsia="標楷體" w:hAnsi="標楷體"/>
          <w:spacing w:val="4"/>
          <w:kern w:val="0"/>
          <w:sz w:val="28"/>
          <w:szCs w:val="26"/>
        </w:rPr>
        <w:t>(</w:t>
      </w:r>
      <w:r>
        <w:rPr>
          <w:rFonts w:eastAsia="標楷體"/>
          <w:spacing w:val="4"/>
          <w:kern w:val="0"/>
          <w:sz w:val="28"/>
          <w:szCs w:val="26"/>
        </w:rPr>
        <w:t>合計</w:t>
      </w:r>
      <w:r>
        <w:rPr>
          <w:rFonts w:eastAsia="標楷體"/>
          <w:spacing w:val="4"/>
          <w:kern w:val="0"/>
          <w:sz w:val="28"/>
          <w:szCs w:val="26"/>
        </w:rPr>
        <w:t>836.6</w:t>
      </w:r>
      <w:r>
        <w:rPr>
          <w:rFonts w:eastAsia="標楷體"/>
          <w:spacing w:val="4"/>
          <w:kern w:val="0"/>
          <w:sz w:val="28"/>
          <w:szCs w:val="26"/>
        </w:rPr>
        <w:t>億元</w:t>
      </w:r>
      <w:r>
        <w:rPr>
          <w:rFonts w:ascii="標楷體" w:eastAsia="標楷體" w:hAnsi="標楷體"/>
          <w:spacing w:val="4"/>
          <w:kern w:val="0"/>
          <w:sz w:val="28"/>
          <w:szCs w:val="26"/>
        </w:rPr>
        <w:t>)</w:t>
      </w:r>
      <w:r>
        <w:rPr>
          <w:rFonts w:eastAsia="標楷體"/>
          <w:spacing w:val="4"/>
          <w:kern w:val="0"/>
          <w:sz w:val="28"/>
          <w:szCs w:val="26"/>
        </w:rPr>
        <w:t>，綠色</w:t>
      </w:r>
      <w:r>
        <w:rPr>
          <w:rFonts w:eastAsia="標楷體"/>
          <w:spacing w:val="4"/>
          <w:kern w:val="0"/>
          <w:sz w:val="28"/>
          <w:szCs w:val="26"/>
        </w:rPr>
        <w:t>GDP</w:t>
      </w:r>
      <w:r>
        <w:rPr>
          <w:rFonts w:eastAsia="標楷體"/>
          <w:spacing w:val="4"/>
          <w:kern w:val="0"/>
          <w:sz w:val="28"/>
          <w:szCs w:val="26"/>
        </w:rPr>
        <w:t>為</w:t>
      </w:r>
      <w:r>
        <w:rPr>
          <w:rFonts w:eastAsia="標楷體"/>
          <w:spacing w:val="4"/>
          <w:kern w:val="0"/>
          <w:sz w:val="28"/>
          <w:szCs w:val="26"/>
        </w:rPr>
        <w:t>13</w:t>
      </w:r>
      <w:r>
        <w:rPr>
          <w:rFonts w:eastAsia="標楷體"/>
          <w:spacing w:val="4"/>
          <w:kern w:val="0"/>
          <w:sz w:val="28"/>
          <w:szCs w:val="26"/>
        </w:rPr>
        <w:t>兆</w:t>
      </w:r>
      <w:r>
        <w:rPr>
          <w:rFonts w:eastAsia="標楷體"/>
          <w:spacing w:val="4"/>
          <w:kern w:val="0"/>
          <w:sz w:val="28"/>
          <w:szCs w:val="26"/>
        </w:rPr>
        <w:t>4,684</w:t>
      </w:r>
      <w:r>
        <w:rPr>
          <w:rFonts w:eastAsia="標楷體"/>
          <w:spacing w:val="4"/>
          <w:kern w:val="0"/>
          <w:sz w:val="28"/>
          <w:szCs w:val="26"/>
        </w:rPr>
        <w:t>億元，較</w:t>
      </w:r>
      <w:r>
        <w:rPr>
          <w:rFonts w:eastAsia="標楷體"/>
          <w:spacing w:val="4"/>
          <w:kern w:val="0"/>
          <w:sz w:val="28"/>
          <w:szCs w:val="26"/>
        </w:rPr>
        <w:t>98</w:t>
      </w:r>
      <w:r>
        <w:rPr>
          <w:rFonts w:eastAsia="標楷體"/>
          <w:spacing w:val="4"/>
          <w:kern w:val="0"/>
          <w:sz w:val="28"/>
          <w:szCs w:val="26"/>
        </w:rPr>
        <w:t>年的</w:t>
      </w:r>
      <w:r>
        <w:rPr>
          <w:rFonts w:eastAsia="標楷體"/>
          <w:spacing w:val="4"/>
          <w:kern w:val="0"/>
          <w:sz w:val="28"/>
          <w:szCs w:val="26"/>
        </w:rPr>
        <w:t>12</w:t>
      </w:r>
      <w:r>
        <w:rPr>
          <w:rFonts w:eastAsia="標楷體"/>
          <w:spacing w:val="4"/>
          <w:kern w:val="0"/>
          <w:sz w:val="28"/>
          <w:szCs w:val="26"/>
        </w:rPr>
        <w:t>兆</w:t>
      </w:r>
      <w:r>
        <w:rPr>
          <w:rFonts w:eastAsia="標楷體"/>
          <w:spacing w:val="4"/>
          <w:kern w:val="0"/>
          <w:sz w:val="28"/>
          <w:szCs w:val="26"/>
        </w:rPr>
        <w:t>3,984</w:t>
      </w:r>
      <w:r>
        <w:rPr>
          <w:rFonts w:eastAsia="標楷體"/>
          <w:spacing w:val="4"/>
          <w:kern w:val="0"/>
          <w:sz w:val="28"/>
          <w:szCs w:val="26"/>
        </w:rPr>
        <w:t>億元增加</w:t>
      </w:r>
      <w:r>
        <w:rPr>
          <w:rFonts w:eastAsia="標楷體"/>
          <w:spacing w:val="4"/>
          <w:kern w:val="0"/>
          <w:sz w:val="28"/>
          <w:szCs w:val="26"/>
        </w:rPr>
        <w:t>8.63%</w:t>
      </w:r>
      <w:r>
        <w:rPr>
          <w:rFonts w:eastAsia="標楷體"/>
          <w:spacing w:val="4"/>
          <w:kern w:val="0"/>
          <w:sz w:val="28"/>
          <w:szCs w:val="26"/>
        </w:rPr>
        <w:t>。</w:t>
      </w:r>
      <w:r>
        <w:rPr>
          <w:rFonts w:eastAsia="標楷體"/>
          <w:spacing w:val="4"/>
          <w:kern w:val="0"/>
          <w:sz w:val="28"/>
          <w:szCs w:val="26"/>
        </w:rPr>
        <w:t>99</w:t>
      </w:r>
      <w:r>
        <w:rPr>
          <w:rFonts w:eastAsia="標楷體"/>
          <w:spacing w:val="4"/>
          <w:kern w:val="0"/>
          <w:sz w:val="28"/>
          <w:szCs w:val="26"/>
        </w:rPr>
        <w:t>年自然資源折耗及環境品質質損合計占名目</w:t>
      </w:r>
      <w:r>
        <w:rPr>
          <w:rFonts w:eastAsia="標楷體"/>
          <w:spacing w:val="4"/>
          <w:kern w:val="0"/>
          <w:sz w:val="28"/>
          <w:szCs w:val="26"/>
        </w:rPr>
        <w:t>GDP</w:t>
      </w:r>
      <w:r>
        <w:rPr>
          <w:rFonts w:eastAsia="標楷體"/>
          <w:spacing w:val="4"/>
          <w:kern w:val="0"/>
          <w:sz w:val="28"/>
          <w:szCs w:val="26"/>
        </w:rPr>
        <w:t>比率由</w:t>
      </w:r>
      <w:r>
        <w:rPr>
          <w:rFonts w:eastAsia="標楷體"/>
          <w:spacing w:val="4"/>
          <w:kern w:val="0"/>
          <w:sz w:val="28"/>
          <w:szCs w:val="26"/>
        </w:rPr>
        <w:t>97</w:t>
      </w:r>
      <w:r>
        <w:rPr>
          <w:rFonts w:eastAsia="標楷體"/>
          <w:spacing w:val="4"/>
          <w:kern w:val="0"/>
          <w:sz w:val="28"/>
          <w:szCs w:val="26"/>
        </w:rPr>
        <w:t>年的</w:t>
      </w:r>
      <w:r>
        <w:rPr>
          <w:rFonts w:eastAsia="標楷體"/>
          <w:spacing w:val="4"/>
          <w:kern w:val="0"/>
          <w:sz w:val="28"/>
          <w:szCs w:val="26"/>
        </w:rPr>
        <w:t>0.68%</w:t>
      </w:r>
      <w:r>
        <w:rPr>
          <w:rFonts w:eastAsia="標楷體"/>
          <w:spacing w:val="4"/>
          <w:kern w:val="0"/>
          <w:sz w:val="28"/>
          <w:szCs w:val="26"/>
        </w:rPr>
        <w:t>，以及</w:t>
      </w:r>
      <w:r>
        <w:rPr>
          <w:rFonts w:eastAsia="標楷體"/>
          <w:spacing w:val="4"/>
          <w:kern w:val="0"/>
          <w:sz w:val="28"/>
          <w:szCs w:val="26"/>
        </w:rPr>
        <w:t>98</w:t>
      </w:r>
      <w:r>
        <w:rPr>
          <w:rFonts w:eastAsia="標楷體"/>
          <w:spacing w:val="4"/>
          <w:kern w:val="0"/>
          <w:sz w:val="28"/>
          <w:szCs w:val="26"/>
        </w:rPr>
        <w:t>年的</w:t>
      </w:r>
      <w:r>
        <w:rPr>
          <w:rFonts w:eastAsia="標楷體"/>
          <w:spacing w:val="4"/>
          <w:kern w:val="0"/>
          <w:sz w:val="28"/>
          <w:szCs w:val="26"/>
        </w:rPr>
        <w:t>0.66%</w:t>
      </w:r>
      <w:r>
        <w:rPr>
          <w:rFonts w:eastAsia="標楷體"/>
          <w:spacing w:val="4"/>
          <w:kern w:val="0"/>
          <w:sz w:val="28"/>
          <w:szCs w:val="26"/>
        </w:rPr>
        <w:t>續降至</w:t>
      </w:r>
      <w:r>
        <w:rPr>
          <w:rFonts w:eastAsia="標楷體"/>
          <w:spacing w:val="4"/>
          <w:kern w:val="0"/>
          <w:sz w:val="28"/>
          <w:szCs w:val="26"/>
        </w:rPr>
        <w:t>0.62%</w:t>
      </w:r>
      <w:r>
        <w:rPr>
          <w:rFonts w:eastAsia="標楷體"/>
          <w:spacing w:val="4"/>
          <w:kern w:val="0"/>
          <w:sz w:val="28"/>
          <w:szCs w:val="26"/>
        </w:rPr>
        <w:t>，顯示臺灣在綠色成長工作持續穩定進展。</w:t>
      </w:r>
    </w:p>
    <w:p w14:paraId="39660F9B" w14:textId="77777777" w:rsidR="00052596" w:rsidRDefault="00000000">
      <w:pPr>
        <w:overflowPunct w:val="0"/>
        <w:autoSpaceDE w:val="0"/>
        <w:snapToGrid w:val="0"/>
        <w:spacing w:after="120" w:line="280" w:lineRule="exact"/>
        <w:jc w:val="center"/>
        <w:textAlignment w:val="center"/>
        <w:rPr>
          <w:rFonts w:eastAsia="標楷體"/>
          <w:b/>
          <w:color w:val="0000FF"/>
          <w:kern w:val="0"/>
          <w:sz w:val="25"/>
          <w:szCs w:val="22"/>
        </w:rPr>
      </w:pPr>
      <w:r>
        <w:rPr>
          <w:rFonts w:eastAsia="標楷體"/>
          <w:b/>
          <w:color w:val="0000FF"/>
          <w:kern w:val="0"/>
          <w:sz w:val="25"/>
          <w:szCs w:val="22"/>
        </w:rPr>
        <w:t>表</w:t>
      </w:r>
      <w:r>
        <w:rPr>
          <w:rFonts w:eastAsia="標楷體"/>
          <w:b/>
          <w:color w:val="0000FF"/>
          <w:kern w:val="0"/>
          <w:sz w:val="25"/>
          <w:szCs w:val="22"/>
        </w:rPr>
        <w:t>1.2.9</w:t>
      </w:r>
      <w:r>
        <w:rPr>
          <w:rFonts w:eastAsia="標楷體"/>
          <w:b/>
          <w:color w:val="0000FF"/>
          <w:kern w:val="0"/>
          <w:sz w:val="25"/>
          <w:szCs w:val="22"/>
        </w:rPr>
        <w:t xml:space="preserve">　臺灣綠色國民所得</w:t>
      </w:r>
    </w:p>
    <w:p w14:paraId="1B718B0C" w14:textId="77777777" w:rsidR="00052596" w:rsidRDefault="00000000">
      <w:pPr>
        <w:widowControl/>
        <w:wordWrap w:val="0"/>
        <w:ind w:right="456"/>
        <w:jc w:val="right"/>
        <w:rPr>
          <w:rFonts w:ascii="標楷體" w:eastAsia="標楷體" w:hAnsi="標楷體"/>
          <w:kern w:val="0"/>
          <w:sz w:val="20"/>
        </w:rPr>
      </w:pPr>
      <w:r>
        <w:rPr>
          <w:rFonts w:ascii="標楷體" w:eastAsia="標楷體" w:hAnsi="標楷體"/>
          <w:kern w:val="0"/>
          <w:sz w:val="20"/>
        </w:rPr>
        <w:t>單位：新臺幣億元</w:t>
      </w:r>
    </w:p>
    <w:tbl>
      <w:tblPr>
        <w:tblW w:w="7761" w:type="dxa"/>
        <w:jc w:val="center"/>
        <w:tblCellMar>
          <w:left w:w="10" w:type="dxa"/>
          <w:right w:w="10" w:type="dxa"/>
        </w:tblCellMar>
        <w:tblLook w:val="04A0" w:firstRow="1" w:lastRow="0" w:firstColumn="1" w:lastColumn="0" w:noHBand="0" w:noVBand="1"/>
      </w:tblPr>
      <w:tblGrid>
        <w:gridCol w:w="3397"/>
        <w:gridCol w:w="1020"/>
        <w:gridCol w:w="1020"/>
        <w:gridCol w:w="1020"/>
        <w:gridCol w:w="1304"/>
      </w:tblGrid>
      <w:tr w:rsidR="00052596" w14:paraId="19F97332" w14:textId="77777777">
        <w:tblPrEx>
          <w:tblCellMar>
            <w:top w:w="0" w:type="dxa"/>
            <w:bottom w:w="0" w:type="dxa"/>
          </w:tblCellMar>
        </w:tblPrEx>
        <w:trPr>
          <w:trHeight w:val="113"/>
          <w:jc w:val="center"/>
        </w:trPr>
        <w:tc>
          <w:tcPr>
            <w:tcW w:w="3397" w:type="dxa"/>
            <w:vMerge w:val="restart"/>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007C0" w14:textId="77777777" w:rsidR="00052596" w:rsidRDefault="00000000">
            <w:pPr>
              <w:spacing w:line="280" w:lineRule="atLeast"/>
              <w:jc w:val="center"/>
              <w:rPr>
                <w:rFonts w:eastAsia="標楷體"/>
                <w:kern w:val="0"/>
                <w:sz w:val="22"/>
                <w:szCs w:val="22"/>
              </w:rPr>
            </w:pPr>
            <w:r>
              <w:rPr>
                <w:rFonts w:eastAsia="標楷體"/>
                <w:kern w:val="0"/>
                <w:sz w:val="22"/>
                <w:szCs w:val="22"/>
              </w:rPr>
              <w:t>項目</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63A07" w14:textId="77777777" w:rsidR="00052596" w:rsidRDefault="00000000">
            <w:pPr>
              <w:spacing w:line="280" w:lineRule="atLeast"/>
              <w:jc w:val="center"/>
              <w:rPr>
                <w:rFonts w:eastAsia="標楷體"/>
                <w:kern w:val="0"/>
                <w:sz w:val="22"/>
                <w:szCs w:val="22"/>
              </w:rPr>
            </w:pPr>
            <w:r>
              <w:rPr>
                <w:rFonts w:eastAsia="標楷體"/>
                <w:kern w:val="0"/>
                <w:sz w:val="22"/>
                <w:szCs w:val="22"/>
              </w:rPr>
              <w:t>97</w:t>
            </w:r>
            <w:r>
              <w:rPr>
                <w:rFonts w:eastAsia="標楷體"/>
                <w:kern w:val="0"/>
                <w:sz w:val="22"/>
                <w:szCs w:val="22"/>
              </w:rPr>
              <w:t>年</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CD9F5" w14:textId="77777777" w:rsidR="00052596" w:rsidRDefault="00000000">
            <w:pPr>
              <w:spacing w:line="280" w:lineRule="atLeast"/>
              <w:jc w:val="center"/>
              <w:rPr>
                <w:rFonts w:eastAsia="標楷體"/>
                <w:kern w:val="0"/>
                <w:sz w:val="22"/>
                <w:szCs w:val="22"/>
              </w:rPr>
            </w:pPr>
            <w:r>
              <w:rPr>
                <w:rFonts w:eastAsia="標楷體"/>
                <w:kern w:val="0"/>
                <w:sz w:val="22"/>
                <w:szCs w:val="22"/>
              </w:rPr>
              <w:t>98</w:t>
            </w:r>
            <w:r>
              <w:rPr>
                <w:rFonts w:eastAsia="標楷體"/>
                <w:kern w:val="0"/>
                <w:sz w:val="22"/>
                <w:szCs w:val="22"/>
              </w:rPr>
              <w:t>年</w:t>
            </w:r>
          </w:p>
        </w:tc>
        <w:tc>
          <w:tcPr>
            <w:tcW w:w="102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D28DC8" w14:textId="77777777" w:rsidR="00052596" w:rsidRDefault="00000000">
            <w:pPr>
              <w:spacing w:line="280" w:lineRule="atLeast"/>
              <w:jc w:val="center"/>
              <w:rPr>
                <w:rFonts w:eastAsia="標楷體"/>
                <w:kern w:val="0"/>
                <w:sz w:val="22"/>
                <w:szCs w:val="22"/>
              </w:rPr>
            </w:pPr>
            <w:r>
              <w:rPr>
                <w:rFonts w:eastAsia="標楷體"/>
                <w:kern w:val="0"/>
                <w:sz w:val="22"/>
                <w:szCs w:val="22"/>
              </w:rPr>
              <w:t>99</w:t>
            </w:r>
            <w:r>
              <w:rPr>
                <w:rFonts w:eastAsia="標楷體"/>
                <w:kern w:val="0"/>
                <w:sz w:val="22"/>
                <w:szCs w:val="22"/>
              </w:rPr>
              <w:t>年</w:t>
            </w:r>
          </w:p>
        </w:tc>
        <w:tc>
          <w:tcPr>
            <w:tcW w:w="1304"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995FC36" w14:textId="77777777" w:rsidR="00052596" w:rsidRDefault="00052596">
            <w:pPr>
              <w:spacing w:line="120" w:lineRule="exact"/>
              <w:jc w:val="center"/>
              <w:rPr>
                <w:rFonts w:eastAsia="標楷體"/>
                <w:kern w:val="0"/>
                <w:sz w:val="22"/>
                <w:szCs w:val="22"/>
              </w:rPr>
            </w:pPr>
          </w:p>
        </w:tc>
      </w:tr>
      <w:tr w:rsidR="00052596" w14:paraId="76CD8382" w14:textId="77777777">
        <w:tblPrEx>
          <w:tblCellMar>
            <w:top w:w="0" w:type="dxa"/>
            <w:bottom w:w="0" w:type="dxa"/>
          </w:tblCellMar>
        </w:tblPrEx>
        <w:trPr>
          <w:trHeight w:val="113"/>
          <w:jc w:val="center"/>
        </w:trPr>
        <w:tc>
          <w:tcPr>
            <w:tcW w:w="3397" w:type="dxa"/>
            <w:vMerge/>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4F4E6" w14:textId="77777777" w:rsidR="00052596" w:rsidRDefault="00052596">
            <w:pPr>
              <w:spacing w:line="280" w:lineRule="atLeast"/>
              <w:jc w:val="center"/>
              <w:rPr>
                <w:rFonts w:eastAsia="標楷體"/>
                <w:kern w:val="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3C3B7" w14:textId="77777777" w:rsidR="00052596" w:rsidRDefault="00052596">
            <w:pPr>
              <w:spacing w:line="280" w:lineRule="atLeast"/>
              <w:jc w:val="center"/>
              <w:rPr>
                <w:rFonts w:eastAsia="標楷體"/>
                <w:kern w:val="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82B1B" w14:textId="77777777" w:rsidR="00052596" w:rsidRDefault="00052596">
            <w:pPr>
              <w:spacing w:line="280" w:lineRule="atLeast"/>
              <w:jc w:val="center"/>
              <w:rPr>
                <w:rFonts w:eastAsia="標楷體"/>
                <w:kern w:val="0"/>
                <w:sz w:val="22"/>
                <w:szCs w:val="22"/>
              </w:rPr>
            </w:pPr>
          </w:p>
        </w:tc>
        <w:tc>
          <w:tcPr>
            <w:tcW w:w="102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8A8CAB" w14:textId="77777777" w:rsidR="00052596" w:rsidRDefault="00052596">
            <w:pPr>
              <w:spacing w:line="280" w:lineRule="atLeast"/>
              <w:jc w:val="center"/>
              <w:rPr>
                <w:rFonts w:eastAsia="標楷體"/>
                <w:kern w:val="0"/>
                <w:sz w:val="22"/>
                <w:szCs w:val="22"/>
              </w:rPr>
            </w:pPr>
          </w:p>
        </w:tc>
        <w:tc>
          <w:tcPr>
            <w:tcW w:w="13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433823" w14:textId="77777777" w:rsidR="00052596" w:rsidRDefault="00000000">
            <w:pPr>
              <w:spacing w:line="240" w:lineRule="atLeast"/>
              <w:jc w:val="center"/>
            </w:pPr>
            <w:r>
              <w:rPr>
                <w:rFonts w:eastAsia="標楷體"/>
                <w:kern w:val="0"/>
                <w:sz w:val="22"/>
                <w:szCs w:val="22"/>
              </w:rPr>
              <w:t>年增率</w:t>
            </w:r>
            <w:r>
              <w:rPr>
                <w:rFonts w:ascii="標楷體" w:eastAsia="標楷體" w:hAnsi="標楷體"/>
                <w:kern w:val="0"/>
                <w:sz w:val="22"/>
                <w:szCs w:val="22"/>
              </w:rPr>
              <w:t>(</w:t>
            </w:r>
            <w:r>
              <w:rPr>
                <w:rFonts w:eastAsia="標楷體"/>
                <w:kern w:val="0"/>
                <w:sz w:val="22"/>
                <w:szCs w:val="22"/>
              </w:rPr>
              <w:t>%</w:t>
            </w:r>
            <w:r>
              <w:rPr>
                <w:rFonts w:ascii="標楷體" w:eastAsia="標楷體" w:hAnsi="標楷體"/>
                <w:kern w:val="0"/>
                <w:sz w:val="22"/>
                <w:szCs w:val="22"/>
              </w:rPr>
              <w:t>)</w:t>
            </w:r>
          </w:p>
        </w:tc>
      </w:tr>
      <w:tr w:rsidR="00052596" w14:paraId="7D3F248E" w14:textId="77777777">
        <w:tblPrEx>
          <w:tblCellMar>
            <w:top w:w="0" w:type="dxa"/>
            <w:bottom w:w="0" w:type="dxa"/>
          </w:tblCellMar>
        </w:tblPrEx>
        <w:trPr>
          <w:trHeight w:val="283"/>
          <w:jc w:val="center"/>
        </w:trPr>
        <w:tc>
          <w:tcPr>
            <w:tcW w:w="3397" w:type="dxa"/>
            <w:tcBorders>
              <w:top w:val="single" w:sz="4" w:space="0" w:color="000000"/>
              <w:right w:val="single" w:sz="4" w:space="0" w:color="000000"/>
            </w:tcBorders>
            <w:shd w:val="clear" w:color="auto" w:fill="auto"/>
            <w:tcMar>
              <w:top w:w="0" w:type="dxa"/>
              <w:left w:w="108" w:type="dxa"/>
              <w:bottom w:w="0" w:type="dxa"/>
              <w:right w:w="108" w:type="dxa"/>
            </w:tcMar>
          </w:tcPr>
          <w:p w14:paraId="453B088A" w14:textId="77777777" w:rsidR="00052596" w:rsidRDefault="00000000">
            <w:pPr>
              <w:spacing w:line="300" w:lineRule="atLeast"/>
            </w:pPr>
            <w:r>
              <w:rPr>
                <w:rFonts w:eastAsia="標楷體"/>
                <w:kern w:val="0"/>
                <w:sz w:val="22"/>
                <w:szCs w:val="22"/>
              </w:rPr>
              <w:t>一、國內生產毛額</w:t>
            </w:r>
            <w:r>
              <w:rPr>
                <w:rFonts w:ascii="標楷體" w:eastAsia="標楷體" w:hAnsi="標楷體"/>
                <w:kern w:val="0"/>
                <w:sz w:val="22"/>
                <w:szCs w:val="22"/>
              </w:rPr>
              <w:t>(</w:t>
            </w:r>
            <w:r>
              <w:rPr>
                <w:rFonts w:eastAsia="標楷體"/>
                <w:kern w:val="0"/>
                <w:sz w:val="22"/>
                <w:szCs w:val="22"/>
              </w:rPr>
              <w:t>GDP</w:t>
            </w:r>
            <w:r>
              <w:rPr>
                <w:rFonts w:ascii="標楷體" w:eastAsia="標楷體" w:hAnsi="標楷體"/>
                <w:kern w:val="0"/>
                <w:sz w:val="22"/>
                <w:szCs w:val="22"/>
              </w:rPr>
              <w:t>)(</w:t>
            </w:r>
            <w:r>
              <w:rPr>
                <w:rFonts w:eastAsia="標楷體"/>
                <w:kern w:val="0"/>
                <w:sz w:val="22"/>
                <w:szCs w:val="22"/>
              </w:rPr>
              <w:t>A</w:t>
            </w:r>
            <w:r>
              <w:rPr>
                <w:rFonts w:ascii="標楷體" w:eastAsia="標楷體" w:hAnsi="標楷體"/>
                <w:kern w:val="0"/>
                <w:sz w:val="22"/>
                <w:szCs w:val="22"/>
              </w:rPr>
              <w:t>)</w:t>
            </w:r>
          </w:p>
        </w:tc>
        <w:tc>
          <w:tcPr>
            <w:tcW w:w="102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4C368C8" w14:textId="77777777" w:rsidR="00052596" w:rsidRDefault="00000000">
            <w:pPr>
              <w:spacing w:line="300" w:lineRule="atLeast"/>
              <w:jc w:val="center"/>
              <w:rPr>
                <w:rFonts w:eastAsia="標楷體"/>
                <w:kern w:val="0"/>
                <w:sz w:val="22"/>
                <w:szCs w:val="22"/>
              </w:rPr>
            </w:pPr>
            <w:r>
              <w:rPr>
                <w:rFonts w:eastAsia="標楷體"/>
                <w:kern w:val="0"/>
                <w:sz w:val="22"/>
                <w:szCs w:val="22"/>
              </w:rPr>
              <w:t>126,202</w:t>
            </w:r>
          </w:p>
        </w:tc>
        <w:tc>
          <w:tcPr>
            <w:tcW w:w="102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97818B" w14:textId="77777777" w:rsidR="00052596" w:rsidRDefault="00000000">
            <w:pPr>
              <w:spacing w:line="300" w:lineRule="atLeast"/>
              <w:jc w:val="center"/>
              <w:rPr>
                <w:rFonts w:eastAsia="標楷體"/>
                <w:kern w:val="0"/>
                <w:sz w:val="22"/>
                <w:szCs w:val="22"/>
              </w:rPr>
            </w:pPr>
            <w:r>
              <w:rPr>
                <w:rFonts w:eastAsia="標楷體"/>
                <w:kern w:val="0"/>
                <w:sz w:val="22"/>
                <w:szCs w:val="22"/>
              </w:rPr>
              <w:t>124,811</w:t>
            </w:r>
          </w:p>
        </w:tc>
        <w:tc>
          <w:tcPr>
            <w:tcW w:w="102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A5196DF" w14:textId="77777777" w:rsidR="00052596" w:rsidRDefault="00000000">
            <w:pPr>
              <w:spacing w:line="300" w:lineRule="atLeast"/>
              <w:jc w:val="center"/>
              <w:rPr>
                <w:rFonts w:eastAsia="標楷體"/>
                <w:kern w:val="0"/>
                <w:sz w:val="22"/>
                <w:szCs w:val="22"/>
              </w:rPr>
            </w:pPr>
            <w:r>
              <w:rPr>
                <w:rFonts w:eastAsia="標楷體"/>
                <w:kern w:val="0"/>
                <w:sz w:val="22"/>
                <w:szCs w:val="22"/>
              </w:rPr>
              <w:t>135,521</w:t>
            </w:r>
          </w:p>
        </w:tc>
        <w:tc>
          <w:tcPr>
            <w:tcW w:w="1304"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5715DFFF" w14:textId="77777777" w:rsidR="00052596" w:rsidRDefault="00000000">
            <w:pPr>
              <w:spacing w:line="300" w:lineRule="atLeast"/>
              <w:jc w:val="center"/>
              <w:rPr>
                <w:rFonts w:eastAsia="標楷體"/>
                <w:kern w:val="0"/>
                <w:sz w:val="22"/>
                <w:szCs w:val="22"/>
              </w:rPr>
            </w:pPr>
            <w:r>
              <w:rPr>
                <w:rFonts w:eastAsia="標楷體"/>
                <w:kern w:val="0"/>
                <w:sz w:val="22"/>
                <w:szCs w:val="22"/>
              </w:rPr>
              <w:t>8.58</w:t>
            </w:r>
          </w:p>
        </w:tc>
      </w:tr>
      <w:tr w:rsidR="00052596" w14:paraId="2C3A3151" w14:textId="77777777">
        <w:tblPrEx>
          <w:tblCellMar>
            <w:top w:w="0" w:type="dxa"/>
            <w:bottom w:w="0" w:type="dxa"/>
          </w:tblCellMar>
        </w:tblPrEx>
        <w:trPr>
          <w:trHeight w:val="283"/>
          <w:jc w:val="center"/>
        </w:trPr>
        <w:tc>
          <w:tcPr>
            <w:tcW w:w="3397" w:type="dxa"/>
            <w:tcBorders>
              <w:right w:val="single" w:sz="4" w:space="0" w:color="000000"/>
            </w:tcBorders>
            <w:shd w:val="clear" w:color="auto" w:fill="auto"/>
            <w:tcMar>
              <w:top w:w="0" w:type="dxa"/>
              <w:left w:w="108" w:type="dxa"/>
              <w:bottom w:w="0" w:type="dxa"/>
              <w:right w:w="108" w:type="dxa"/>
            </w:tcMar>
          </w:tcPr>
          <w:p w14:paraId="7A6A6381" w14:textId="77777777" w:rsidR="00052596" w:rsidRDefault="00000000">
            <w:pPr>
              <w:spacing w:line="300" w:lineRule="atLeast"/>
              <w:rPr>
                <w:rFonts w:eastAsia="標楷體"/>
                <w:kern w:val="0"/>
                <w:sz w:val="22"/>
                <w:szCs w:val="22"/>
              </w:rPr>
            </w:pPr>
            <w:r>
              <w:rPr>
                <w:rFonts w:eastAsia="標楷體"/>
                <w:kern w:val="0"/>
                <w:sz w:val="22"/>
                <w:szCs w:val="22"/>
              </w:rPr>
              <w:t>二、自然資源折耗</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7838E2" w14:textId="77777777" w:rsidR="00052596" w:rsidRDefault="00000000">
            <w:pPr>
              <w:spacing w:line="300" w:lineRule="atLeast"/>
              <w:jc w:val="center"/>
              <w:rPr>
                <w:rFonts w:eastAsia="標楷體"/>
                <w:kern w:val="0"/>
                <w:sz w:val="22"/>
                <w:szCs w:val="22"/>
              </w:rPr>
            </w:pPr>
            <w:r>
              <w:rPr>
                <w:rFonts w:eastAsia="標楷體"/>
                <w:kern w:val="0"/>
                <w:sz w:val="22"/>
                <w:szCs w:val="22"/>
              </w:rPr>
              <w:t>180.7</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2B1B08" w14:textId="77777777" w:rsidR="00052596" w:rsidRDefault="00000000">
            <w:pPr>
              <w:spacing w:line="300" w:lineRule="atLeast"/>
              <w:jc w:val="center"/>
              <w:rPr>
                <w:rFonts w:eastAsia="標楷體"/>
                <w:kern w:val="0"/>
                <w:sz w:val="22"/>
                <w:szCs w:val="22"/>
              </w:rPr>
            </w:pPr>
            <w:r>
              <w:rPr>
                <w:rFonts w:eastAsia="標楷體"/>
                <w:kern w:val="0"/>
                <w:sz w:val="22"/>
                <w:szCs w:val="22"/>
              </w:rPr>
              <w:t>176.0</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B8CF16" w14:textId="77777777" w:rsidR="00052596" w:rsidRDefault="00000000">
            <w:pPr>
              <w:spacing w:line="300" w:lineRule="atLeast"/>
              <w:jc w:val="center"/>
              <w:rPr>
                <w:rFonts w:eastAsia="標楷體"/>
                <w:kern w:val="0"/>
                <w:sz w:val="22"/>
                <w:szCs w:val="22"/>
              </w:rPr>
            </w:pPr>
            <w:r>
              <w:rPr>
                <w:rFonts w:eastAsia="標楷體"/>
                <w:kern w:val="0"/>
                <w:sz w:val="22"/>
                <w:szCs w:val="22"/>
              </w:rPr>
              <w:t>181.9</w:t>
            </w:r>
          </w:p>
        </w:tc>
        <w:tc>
          <w:tcPr>
            <w:tcW w:w="1304" w:type="dxa"/>
            <w:tcBorders>
              <w:left w:val="single" w:sz="4" w:space="0" w:color="000000"/>
            </w:tcBorders>
            <w:shd w:val="clear" w:color="auto" w:fill="auto"/>
            <w:tcMar>
              <w:top w:w="0" w:type="dxa"/>
              <w:left w:w="108" w:type="dxa"/>
              <w:bottom w:w="0" w:type="dxa"/>
              <w:right w:w="108" w:type="dxa"/>
            </w:tcMar>
            <w:vAlign w:val="center"/>
          </w:tcPr>
          <w:p w14:paraId="49ED35EA" w14:textId="77777777" w:rsidR="00052596" w:rsidRDefault="00000000">
            <w:pPr>
              <w:spacing w:line="300" w:lineRule="atLeast"/>
              <w:jc w:val="center"/>
              <w:rPr>
                <w:rFonts w:eastAsia="標楷體"/>
                <w:kern w:val="0"/>
                <w:sz w:val="22"/>
                <w:szCs w:val="22"/>
              </w:rPr>
            </w:pPr>
            <w:r>
              <w:rPr>
                <w:rFonts w:eastAsia="標楷體"/>
                <w:kern w:val="0"/>
                <w:sz w:val="22"/>
                <w:szCs w:val="22"/>
              </w:rPr>
              <w:t>3.36</w:t>
            </w:r>
          </w:p>
        </w:tc>
      </w:tr>
      <w:tr w:rsidR="00052596" w14:paraId="0DC96BB7" w14:textId="77777777">
        <w:tblPrEx>
          <w:tblCellMar>
            <w:top w:w="0" w:type="dxa"/>
            <w:bottom w:w="0" w:type="dxa"/>
          </w:tblCellMar>
        </w:tblPrEx>
        <w:trPr>
          <w:trHeight w:val="283"/>
          <w:jc w:val="center"/>
        </w:trPr>
        <w:tc>
          <w:tcPr>
            <w:tcW w:w="3397" w:type="dxa"/>
            <w:tcBorders>
              <w:right w:val="single" w:sz="4" w:space="0" w:color="000000"/>
            </w:tcBorders>
            <w:shd w:val="clear" w:color="auto" w:fill="auto"/>
            <w:tcMar>
              <w:top w:w="0" w:type="dxa"/>
              <w:left w:w="108" w:type="dxa"/>
              <w:bottom w:w="0" w:type="dxa"/>
              <w:right w:w="108" w:type="dxa"/>
            </w:tcMar>
          </w:tcPr>
          <w:p w14:paraId="4F82CC10" w14:textId="77777777" w:rsidR="00052596" w:rsidRDefault="00000000">
            <w:pPr>
              <w:spacing w:line="300" w:lineRule="atLeast"/>
              <w:rPr>
                <w:rFonts w:eastAsia="標楷體"/>
                <w:kern w:val="0"/>
                <w:sz w:val="22"/>
                <w:szCs w:val="22"/>
              </w:rPr>
            </w:pPr>
            <w:r>
              <w:rPr>
                <w:rFonts w:eastAsia="標楷體"/>
                <w:kern w:val="0"/>
                <w:sz w:val="22"/>
                <w:szCs w:val="22"/>
              </w:rPr>
              <w:t>三、環境品質質損</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DB6145" w14:textId="77777777" w:rsidR="00052596" w:rsidRDefault="00000000">
            <w:pPr>
              <w:spacing w:line="300" w:lineRule="atLeast"/>
              <w:jc w:val="center"/>
              <w:rPr>
                <w:rFonts w:eastAsia="標楷體"/>
                <w:kern w:val="0"/>
                <w:sz w:val="22"/>
                <w:szCs w:val="22"/>
              </w:rPr>
            </w:pPr>
            <w:r>
              <w:rPr>
                <w:rFonts w:eastAsia="標楷體"/>
                <w:kern w:val="0"/>
                <w:sz w:val="22"/>
                <w:szCs w:val="22"/>
              </w:rPr>
              <w:t>673.1</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2F7DA3" w14:textId="77777777" w:rsidR="00052596" w:rsidRDefault="00000000">
            <w:pPr>
              <w:spacing w:line="300" w:lineRule="atLeast"/>
              <w:jc w:val="center"/>
              <w:rPr>
                <w:rFonts w:eastAsia="標楷體"/>
                <w:kern w:val="0"/>
                <w:sz w:val="22"/>
                <w:szCs w:val="22"/>
              </w:rPr>
            </w:pPr>
            <w:r>
              <w:rPr>
                <w:rFonts w:eastAsia="標楷體"/>
                <w:kern w:val="0"/>
                <w:sz w:val="22"/>
                <w:szCs w:val="22"/>
              </w:rPr>
              <w:t>650.5</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F3D3CB" w14:textId="77777777" w:rsidR="00052596" w:rsidRDefault="00000000">
            <w:pPr>
              <w:spacing w:line="300" w:lineRule="atLeast"/>
              <w:jc w:val="center"/>
              <w:rPr>
                <w:rFonts w:eastAsia="標楷體"/>
                <w:kern w:val="0"/>
                <w:sz w:val="22"/>
                <w:szCs w:val="22"/>
              </w:rPr>
            </w:pPr>
            <w:r>
              <w:rPr>
                <w:rFonts w:eastAsia="標楷體"/>
                <w:kern w:val="0"/>
                <w:sz w:val="22"/>
                <w:szCs w:val="22"/>
              </w:rPr>
              <w:t>654.7</w:t>
            </w:r>
          </w:p>
        </w:tc>
        <w:tc>
          <w:tcPr>
            <w:tcW w:w="1304" w:type="dxa"/>
            <w:tcBorders>
              <w:left w:val="single" w:sz="4" w:space="0" w:color="000000"/>
            </w:tcBorders>
            <w:shd w:val="clear" w:color="auto" w:fill="auto"/>
            <w:tcMar>
              <w:top w:w="0" w:type="dxa"/>
              <w:left w:w="108" w:type="dxa"/>
              <w:bottom w:w="0" w:type="dxa"/>
              <w:right w:w="108" w:type="dxa"/>
            </w:tcMar>
            <w:vAlign w:val="center"/>
          </w:tcPr>
          <w:p w14:paraId="1310FD13" w14:textId="77777777" w:rsidR="00052596" w:rsidRDefault="00000000">
            <w:pPr>
              <w:spacing w:line="300" w:lineRule="atLeast"/>
              <w:jc w:val="center"/>
              <w:rPr>
                <w:rFonts w:eastAsia="標楷體"/>
                <w:kern w:val="0"/>
                <w:sz w:val="22"/>
                <w:szCs w:val="22"/>
              </w:rPr>
            </w:pPr>
            <w:r>
              <w:rPr>
                <w:rFonts w:eastAsia="標楷體"/>
                <w:kern w:val="0"/>
                <w:sz w:val="22"/>
                <w:szCs w:val="22"/>
              </w:rPr>
              <w:t>0.64</w:t>
            </w:r>
          </w:p>
        </w:tc>
      </w:tr>
      <w:tr w:rsidR="00052596" w14:paraId="343F773A" w14:textId="77777777">
        <w:tblPrEx>
          <w:tblCellMar>
            <w:top w:w="0" w:type="dxa"/>
            <w:bottom w:w="0" w:type="dxa"/>
          </w:tblCellMar>
        </w:tblPrEx>
        <w:trPr>
          <w:trHeight w:val="283"/>
          <w:jc w:val="center"/>
        </w:trPr>
        <w:tc>
          <w:tcPr>
            <w:tcW w:w="3397" w:type="dxa"/>
            <w:tcBorders>
              <w:right w:val="single" w:sz="4" w:space="0" w:color="000000"/>
            </w:tcBorders>
            <w:shd w:val="clear" w:color="auto" w:fill="auto"/>
            <w:tcMar>
              <w:top w:w="0" w:type="dxa"/>
              <w:left w:w="108" w:type="dxa"/>
              <w:bottom w:w="0" w:type="dxa"/>
              <w:right w:w="108" w:type="dxa"/>
            </w:tcMar>
          </w:tcPr>
          <w:p w14:paraId="03360C99" w14:textId="77777777" w:rsidR="00052596" w:rsidRDefault="00000000">
            <w:pPr>
              <w:spacing w:line="300" w:lineRule="atLeast"/>
            </w:pPr>
            <w:r>
              <w:rPr>
                <w:rFonts w:eastAsia="標楷體"/>
                <w:kern w:val="0"/>
                <w:sz w:val="22"/>
                <w:szCs w:val="22"/>
              </w:rPr>
              <w:t>四、折耗及質損合</w:t>
            </w:r>
            <w:r>
              <w:rPr>
                <w:rFonts w:ascii="標楷體" w:eastAsia="標楷體" w:hAnsi="標楷體"/>
                <w:kern w:val="0"/>
                <w:sz w:val="22"/>
                <w:szCs w:val="22"/>
              </w:rPr>
              <w:t>計(</w:t>
            </w:r>
            <w:r>
              <w:rPr>
                <w:rFonts w:eastAsia="標楷體"/>
                <w:kern w:val="0"/>
                <w:sz w:val="22"/>
                <w:szCs w:val="22"/>
              </w:rPr>
              <w:t>B</w:t>
            </w:r>
            <w:r>
              <w:rPr>
                <w:rFonts w:ascii="標楷體" w:eastAsia="標楷體" w:hAnsi="標楷體"/>
                <w:kern w:val="0"/>
                <w:sz w:val="22"/>
                <w:szCs w:val="22"/>
              </w:rPr>
              <w:t>)</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8DF723" w14:textId="77777777" w:rsidR="00052596" w:rsidRDefault="00000000">
            <w:pPr>
              <w:spacing w:line="300" w:lineRule="atLeast"/>
              <w:jc w:val="center"/>
              <w:rPr>
                <w:rFonts w:eastAsia="標楷體"/>
                <w:kern w:val="0"/>
                <w:sz w:val="22"/>
                <w:szCs w:val="22"/>
              </w:rPr>
            </w:pPr>
            <w:r>
              <w:rPr>
                <w:rFonts w:eastAsia="標楷體"/>
                <w:kern w:val="0"/>
                <w:sz w:val="22"/>
                <w:szCs w:val="22"/>
              </w:rPr>
              <w:t>853.9</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4EE458" w14:textId="77777777" w:rsidR="00052596" w:rsidRDefault="00000000">
            <w:pPr>
              <w:spacing w:line="300" w:lineRule="atLeast"/>
              <w:jc w:val="center"/>
              <w:rPr>
                <w:rFonts w:eastAsia="標楷體"/>
                <w:kern w:val="0"/>
                <w:sz w:val="22"/>
                <w:szCs w:val="22"/>
              </w:rPr>
            </w:pPr>
            <w:r>
              <w:rPr>
                <w:rFonts w:eastAsia="標楷體"/>
                <w:kern w:val="0"/>
                <w:sz w:val="22"/>
                <w:szCs w:val="22"/>
              </w:rPr>
              <w:t>826.6</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9ABA4C" w14:textId="77777777" w:rsidR="00052596" w:rsidRDefault="00000000">
            <w:pPr>
              <w:spacing w:line="300" w:lineRule="atLeast"/>
              <w:jc w:val="center"/>
              <w:rPr>
                <w:rFonts w:eastAsia="標楷體"/>
                <w:kern w:val="0"/>
                <w:sz w:val="22"/>
                <w:szCs w:val="22"/>
              </w:rPr>
            </w:pPr>
            <w:r>
              <w:rPr>
                <w:rFonts w:eastAsia="標楷體"/>
                <w:kern w:val="0"/>
                <w:sz w:val="22"/>
                <w:szCs w:val="22"/>
              </w:rPr>
              <w:t>836.6</w:t>
            </w:r>
          </w:p>
        </w:tc>
        <w:tc>
          <w:tcPr>
            <w:tcW w:w="1304" w:type="dxa"/>
            <w:tcBorders>
              <w:left w:val="single" w:sz="4" w:space="0" w:color="000000"/>
            </w:tcBorders>
            <w:shd w:val="clear" w:color="auto" w:fill="auto"/>
            <w:tcMar>
              <w:top w:w="0" w:type="dxa"/>
              <w:left w:w="108" w:type="dxa"/>
              <w:bottom w:w="0" w:type="dxa"/>
              <w:right w:w="108" w:type="dxa"/>
            </w:tcMar>
            <w:vAlign w:val="center"/>
          </w:tcPr>
          <w:p w14:paraId="03E99D2D" w14:textId="77777777" w:rsidR="00052596" w:rsidRDefault="00000000">
            <w:pPr>
              <w:spacing w:line="300" w:lineRule="atLeast"/>
              <w:jc w:val="center"/>
              <w:rPr>
                <w:rFonts w:eastAsia="標楷體"/>
                <w:kern w:val="0"/>
                <w:sz w:val="22"/>
                <w:szCs w:val="22"/>
              </w:rPr>
            </w:pPr>
            <w:r>
              <w:rPr>
                <w:rFonts w:eastAsia="標楷體"/>
                <w:kern w:val="0"/>
                <w:sz w:val="22"/>
                <w:szCs w:val="22"/>
              </w:rPr>
              <w:t>1.22</w:t>
            </w:r>
          </w:p>
        </w:tc>
      </w:tr>
      <w:tr w:rsidR="00052596" w14:paraId="78032B9C" w14:textId="77777777">
        <w:tblPrEx>
          <w:tblCellMar>
            <w:top w:w="0" w:type="dxa"/>
            <w:bottom w:w="0" w:type="dxa"/>
          </w:tblCellMar>
        </w:tblPrEx>
        <w:trPr>
          <w:trHeight w:val="283"/>
          <w:jc w:val="center"/>
        </w:trPr>
        <w:tc>
          <w:tcPr>
            <w:tcW w:w="3397" w:type="dxa"/>
            <w:tcBorders>
              <w:right w:val="single" w:sz="4" w:space="0" w:color="000000"/>
            </w:tcBorders>
            <w:shd w:val="clear" w:color="auto" w:fill="auto"/>
            <w:tcMar>
              <w:top w:w="0" w:type="dxa"/>
              <w:left w:w="108" w:type="dxa"/>
              <w:bottom w:w="0" w:type="dxa"/>
              <w:right w:w="108" w:type="dxa"/>
            </w:tcMar>
          </w:tcPr>
          <w:p w14:paraId="01CDC889" w14:textId="77777777" w:rsidR="00052596" w:rsidRDefault="00000000">
            <w:pPr>
              <w:spacing w:line="300" w:lineRule="atLeast"/>
              <w:ind w:firstLine="440"/>
            </w:pPr>
            <w:r>
              <w:rPr>
                <w:rFonts w:eastAsia="標楷體"/>
                <w:kern w:val="0"/>
                <w:sz w:val="22"/>
                <w:szCs w:val="22"/>
              </w:rPr>
              <w:t>占</w:t>
            </w:r>
            <w:r>
              <w:rPr>
                <w:rFonts w:eastAsia="標楷體"/>
                <w:kern w:val="0"/>
                <w:sz w:val="22"/>
                <w:szCs w:val="22"/>
              </w:rPr>
              <w:t>GDP</w:t>
            </w:r>
            <w:r>
              <w:rPr>
                <w:rFonts w:eastAsia="標楷體"/>
                <w:kern w:val="0"/>
                <w:sz w:val="22"/>
                <w:szCs w:val="22"/>
              </w:rPr>
              <w:t>比率</w:t>
            </w:r>
            <w:r>
              <w:rPr>
                <w:rFonts w:ascii="標楷體" w:eastAsia="標楷體" w:hAnsi="標楷體"/>
                <w:kern w:val="0"/>
                <w:sz w:val="22"/>
                <w:szCs w:val="22"/>
              </w:rPr>
              <w:t>(</w:t>
            </w:r>
            <w:r>
              <w:rPr>
                <w:rFonts w:eastAsia="標楷體"/>
                <w:kern w:val="0"/>
                <w:sz w:val="22"/>
                <w:szCs w:val="22"/>
              </w:rPr>
              <w:t>%</w:t>
            </w:r>
            <w:r>
              <w:rPr>
                <w:rFonts w:ascii="標楷體" w:eastAsia="標楷體" w:hAnsi="標楷體"/>
                <w:kern w:val="0"/>
                <w:sz w:val="22"/>
                <w:szCs w:val="22"/>
              </w:rPr>
              <w:t>)</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92E8CA" w14:textId="77777777" w:rsidR="00052596" w:rsidRDefault="00000000">
            <w:pPr>
              <w:spacing w:line="300" w:lineRule="atLeast"/>
              <w:jc w:val="center"/>
              <w:rPr>
                <w:rFonts w:eastAsia="標楷體"/>
                <w:kern w:val="0"/>
                <w:sz w:val="22"/>
                <w:szCs w:val="22"/>
              </w:rPr>
            </w:pPr>
            <w:r>
              <w:rPr>
                <w:rFonts w:eastAsia="標楷體"/>
                <w:kern w:val="0"/>
                <w:sz w:val="22"/>
                <w:szCs w:val="22"/>
              </w:rPr>
              <w:t>0.68</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F96FFD" w14:textId="77777777" w:rsidR="00052596" w:rsidRDefault="00000000">
            <w:pPr>
              <w:spacing w:line="300" w:lineRule="atLeast"/>
              <w:jc w:val="center"/>
              <w:rPr>
                <w:rFonts w:eastAsia="標楷體"/>
                <w:kern w:val="0"/>
                <w:sz w:val="22"/>
                <w:szCs w:val="22"/>
              </w:rPr>
            </w:pPr>
            <w:r>
              <w:rPr>
                <w:rFonts w:eastAsia="標楷體"/>
                <w:kern w:val="0"/>
                <w:sz w:val="22"/>
                <w:szCs w:val="22"/>
              </w:rPr>
              <w:t>0.66</w:t>
            </w:r>
          </w:p>
        </w:tc>
        <w:tc>
          <w:tcPr>
            <w:tcW w:w="10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4A2F41" w14:textId="77777777" w:rsidR="00052596" w:rsidRDefault="00000000">
            <w:pPr>
              <w:spacing w:line="300" w:lineRule="atLeast"/>
              <w:jc w:val="center"/>
              <w:rPr>
                <w:rFonts w:eastAsia="標楷體"/>
                <w:kern w:val="0"/>
                <w:sz w:val="22"/>
                <w:szCs w:val="22"/>
              </w:rPr>
            </w:pPr>
            <w:r>
              <w:rPr>
                <w:rFonts w:eastAsia="標楷體"/>
                <w:kern w:val="0"/>
                <w:sz w:val="22"/>
                <w:szCs w:val="22"/>
              </w:rPr>
              <w:t>0.62</w:t>
            </w:r>
          </w:p>
        </w:tc>
        <w:tc>
          <w:tcPr>
            <w:tcW w:w="1304" w:type="dxa"/>
            <w:tcBorders>
              <w:left w:val="single" w:sz="4" w:space="0" w:color="000000"/>
            </w:tcBorders>
            <w:shd w:val="clear" w:color="auto" w:fill="auto"/>
            <w:tcMar>
              <w:top w:w="0" w:type="dxa"/>
              <w:left w:w="108" w:type="dxa"/>
              <w:bottom w:w="0" w:type="dxa"/>
              <w:right w:w="108" w:type="dxa"/>
            </w:tcMar>
            <w:vAlign w:val="center"/>
          </w:tcPr>
          <w:p w14:paraId="59038B48" w14:textId="77777777" w:rsidR="00052596" w:rsidRDefault="00000000">
            <w:pPr>
              <w:spacing w:line="300" w:lineRule="atLeast"/>
              <w:jc w:val="center"/>
              <w:rPr>
                <w:rFonts w:eastAsia="標楷體"/>
                <w:kern w:val="0"/>
                <w:sz w:val="22"/>
                <w:szCs w:val="22"/>
              </w:rPr>
            </w:pPr>
            <w:r>
              <w:rPr>
                <w:rFonts w:eastAsia="標楷體"/>
                <w:kern w:val="0"/>
                <w:sz w:val="22"/>
                <w:szCs w:val="22"/>
              </w:rPr>
              <w:t>--</w:t>
            </w:r>
          </w:p>
        </w:tc>
      </w:tr>
      <w:tr w:rsidR="00052596" w14:paraId="27714494" w14:textId="77777777">
        <w:tblPrEx>
          <w:tblCellMar>
            <w:top w:w="0" w:type="dxa"/>
            <w:bottom w:w="0" w:type="dxa"/>
          </w:tblCellMar>
        </w:tblPrEx>
        <w:trPr>
          <w:trHeight w:val="283"/>
          <w:jc w:val="center"/>
        </w:trPr>
        <w:tc>
          <w:tcPr>
            <w:tcW w:w="3397" w:type="dxa"/>
            <w:tcBorders>
              <w:bottom w:val="single" w:sz="4" w:space="0" w:color="000000"/>
              <w:right w:val="single" w:sz="4" w:space="0" w:color="000000"/>
            </w:tcBorders>
            <w:shd w:val="clear" w:color="auto" w:fill="auto"/>
            <w:tcMar>
              <w:top w:w="0" w:type="dxa"/>
              <w:left w:w="108" w:type="dxa"/>
              <w:bottom w:w="0" w:type="dxa"/>
              <w:right w:w="108" w:type="dxa"/>
            </w:tcMar>
          </w:tcPr>
          <w:p w14:paraId="2CACF370" w14:textId="77777777" w:rsidR="00052596" w:rsidRDefault="00000000">
            <w:pPr>
              <w:spacing w:line="300" w:lineRule="atLeast"/>
            </w:pPr>
            <w:r>
              <w:rPr>
                <w:rFonts w:eastAsia="標楷體"/>
                <w:kern w:val="0"/>
                <w:sz w:val="22"/>
                <w:szCs w:val="22"/>
              </w:rPr>
              <w:t>五、綠色國民所得</w:t>
            </w:r>
            <w:r>
              <w:rPr>
                <w:rFonts w:eastAsia="標楷體"/>
                <w:kern w:val="0"/>
                <w:sz w:val="22"/>
                <w:szCs w:val="22"/>
              </w:rPr>
              <w:t xml:space="preserve"> [=</w:t>
            </w:r>
            <w:r>
              <w:rPr>
                <w:rFonts w:ascii="標楷體" w:eastAsia="標楷體" w:hAnsi="標楷體"/>
                <w:kern w:val="0"/>
                <w:sz w:val="22"/>
                <w:szCs w:val="22"/>
              </w:rPr>
              <w:t xml:space="preserve"> (</w:t>
            </w:r>
            <w:r>
              <w:rPr>
                <w:rFonts w:eastAsia="標楷體"/>
                <w:kern w:val="0"/>
                <w:sz w:val="22"/>
                <w:szCs w:val="22"/>
              </w:rPr>
              <w:t>A</w:t>
            </w:r>
            <w:r>
              <w:rPr>
                <w:rFonts w:ascii="標楷體" w:eastAsia="標楷體" w:hAnsi="標楷體"/>
                <w:kern w:val="0"/>
                <w:sz w:val="22"/>
                <w:szCs w:val="22"/>
              </w:rPr>
              <w:t>)</w:t>
            </w:r>
            <w:r>
              <w:rPr>
                <w:rFonts w:eastAsia="標楷體"/>
                <w:kern w:val="0"/>
                <w:sz w:val="22"/>
                <w:szCs w:val="22"/>
              </w:rPr>
              <w:t xml:space="preserve"> - </w:t>
            </w:r>
            <w:r>
              <w:rPr>
                <w:rFonts w:ascii="標楷體" w:eastAsia="標楷體" w:hAnsi="標楷體"/>
                <w:kern w:val="0"/>
                <w:sz w:val="22"/>
                <w:szCs w:val="22"/>
              </w:rPr>
              <w:t>(</w:t>
            </w:r>
            <w:r>
              <w:rPr>
                <w:rFonts w:eastAsia="標楷體"/>
                <w:kern w:val="0"/>
                <w:sz w:val="22"/>
                <w:szCs w:val="22"/>
              </w:rPr>
              <w:t>B</w:t>
            </w:r>
            <w:r>
              <w:rPr>
                <w:rFonts w:ascii="標楷體" w:eastAsia="標楷體" w:hAnsi="標楷體"/>
                <w:kern w:val="0"/>
                <w:sz w:val="22"/>
                <w:szCs w:val="22"/>
              </w:rPr>
              <w:t>)</w:t>
            </w:r>
            <w:r>
              <w:rPr>
                <w:rFonts w:eastAsia="標楷體"/>
                <w:kern w:val="0"/>
                <w:sz w:val="22"/>
                <w:szCs w:val="22"/>
              </w:rPr>
              <w:t>]</w:t>
            </w:r>
          </w:p>
        </w:tc>
        <w:tc>
          <w:tcPr>
            <w:tcW w:w="1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3DB98" w14:textId="77777777" w:rsidR="00052596" w:rsidRDefault="00000000">
            <w:pPr>
              <w:spacing w:line="300" w:lineRule="atLeast"/>
              <w:jc w:val="center"/>
              <w:rPr>
                <w:rFonts w:eastAsia="標楷體"/>
                <w:kern w:val="0"/>
                <w:sz w:val="22"/>
                <w:szCs w:val="22"/>
              </w:rPr>
            </w:pPr>
            <w:r>
              <w:rPr>
                <w:rFonts w:eastAsia="標楷體"/>
                <w:kern w:val="0"/>
                <w:sz w:val="22"/>
                <w:szCs w:val="22"/>
              </w:rPr>
              <w:t>125,348</w:t>
            </w:r>
          </w:p>
        </w:tc>
        <w:tc>
          <w:tcPr>
            <w:tcW w:w="1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C09C4" w14:textId="77777777" w:rsidR="00052596" w:rsidRDefault="00000000">
            <w:pPr>
              <w:spacing w:line="300" w:lineRule="atLeast"/>
              <w:jc w:val="center"/>
              <w:rPr>
                <w:rFonts w:eastAsia="標楷體"/>
                <w:kern w:val="0"/>
                <w:sz w:val="22"/>
                <w:szCs w:val="22"/>
              </w:rPr>
            </w:pPr>
            <w:r>
              <w:rPr>
                <w:rFonts w:eastAsia="標楷體"/>
                <w:kern w:val="0"/>
                <w:sz w:val="22"/>
                <w:szCs w:val="22"/>
              </w:rPr>
              <w:t>123,984</w:t>
            </w:r>
          </w:p>
        </w:tc>
        <w:tc>
          <w:tcPr>
            <w:tcW w:w="1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FA336" w14:textId="77777777" w:rsidR="00052596" w:rsidRDefault="00000000">
            <w:pPr>
              <w:spacing w:line="300" w:lineRule="atLeast"/>
              <w:jc w:val="center"/>
              <w:rPr>
                <w:rFonts w:eastAsia="標楷體"/>
                <w:kern w:val="0"/>
                <w:sz w:val="22"/>
                <w:szCs w:val="22"/>
              </w:rPr>
            </w:pPr>
            <w:r>
              <w:rPr>
                <w:rFonts w:eastAsia="標楷體"/>
                <w:kern w:val="0"/>
                <w:sz w:val="22"/>
                <w:szCs w:val="22"/>
              </w:rPr>
              <w:t>134,684</w:t>
            </w:r>
          </w:p>
        </w:tc>
        <w:tc>
          <w:tcPr>
            <w:tcW w:w="130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7851486" w14:textId="77777777" w:rsidR="00052596" w:rsidRDefault="00000000">
            <w:pPr>
              <w:spacing w:line="300" w:lineRule="atLeast"/>
              <w:jc w:val="center"/>
              <w:rPr>
                <w:rFonts w:eastAsia="標楷體"/>
                <w:kern w:val="0"/>
                <w:sz w:val="22"/>
                <w:szCs w:val="22"/>
              </w:rPr>
            </w:pPr>
            <w:r>
              <w:rPr>
                <w:rFonts w:eastAsia="標楷體"/>
                <w:kern w:val="0"/>
                <w:sz w:val="22"/>
                <w:szCs w:val="22"/>
              </w:rPr>
              <w:t>8.63</w:t>
            </w:r>
          </w:p>
        </w:tc>
      </w:tr>
    </w:tbl>
    <w:p w14:paraId="3F60AAD2" w14:textId="77777777" w:rsidR="00052596" w:rsidRDefault="00000000">
      <w:pPr>
        <w:widowControl/>
        <w:autoSpaceDE w:val="0"/>
        <w:spacing w:line="240" w:lineRule="exact"/>
        <w:ind w:firstLine="850"/>
        <w:rPr>
          <w:rFonts w:eastAsia="標楷體"/>
          <w:kern w:val="0"/>
          <w:sz w:val="20"/>
        </w:rPr>
      </w:pPr>
      <w:r>
        <w:rPr>
          <w:rFonts w:eastAsia="標楷體"/>
          <w:kern w:val="0"/>
          <w:sz w:val="20"/>
        </w:rPr>
        <w:t>說明：</w:t>
      </w:r>
      <w:r>
        <w:rPr>
          <w:rFonts w:eastAsia="標楷體"/>
          <w:kern w:val="0"/>
          <w:sz w:val="20"/>
        </w:rPr>
        <w:t>99</w:t>
      </w:r>
      <w:r>
        <w:rPr>
          <w:rFonts w:eastAsia="標楷體"/>
          <w:kern w:val="0"/>
          <w:sz w:val="20"/>
        </w:rPr>
        <w:t>年</w:t>
      </w:r>
      <w:r>
        <w:rPr>
          <w:rFonts w:eastAsia="標楷體"/>
          <w:kern w:val="0"/>
          <w:sz w:val="20"/>
        </w:rPr>
        <w:t>GDP</w:t>
      </w:r>
      <w:r>
        <w:rPr>
          <w:rFonts w:eastAsia="標楷體"/>
          <w:kern w:val="0"/>
          <w:sz w:val="20"/>
        </w:rPr>
        <w:t>及相關比率配合行政院主計總處</w:t>
      </w:r>
      <w:r>
        <w:rPr>
          <w:rFonts w:eastAsia="標楷體"/>
          <w:kern w:val="0"/>
          <w:sz w:val="20"/>
        </w:rPr>
        <w:t>101</w:t>
      </w:r>
      <w:r>
        <w:rPr>
          <w:rFonts w:eastAsia="標楷體"/>
          <w:kern w:val="0"/>
          <w:sz w:val="20"/>
        </w:rPr>
        <w:t>年</w:t>
      </w:r>
      <w:r>
        <w:rPr>
          <w:rFonts w:eastAsia="標楷體"/>
          <w:kern w:val="0"/>
          <w:sz w:val="20"/>
        </w:rPr>
        <w:t>11</w:t>
      </w:r>
      <w:r>
        <w:rPr>
          <w:rFonts w:eastAsia="標楷體"/>
          <w:kern w:val="0"/>
          <w:sz w:val="20"/>
        </w:rPr>
        <w:t>月</w:t>
      </w:r>
      <w:r>
        <w:rPr>
          <w:rFonts w:eastAsia="標楷體"/>
          <w:kern w:val="0"/>
          <w:sz w:val="20"/>
        </w:rPr>
        <w:t>23</w:t>
      </w:r>
      <w:r>
        <w:rPr>
          <w:rFonts w:eastAsia="標楷體"/>
          <w:kern w:val="0"/>
          <w:sz w:val="20"/>
        </w:rPr>
        <w:t>日修正數調整。</w:t>
      </w:r>
    </w:p>
    <w:p w14:paraId="7A8617F2" w14:textId="77777777" w:rsidR="00052596" w:rsidRDefault="00000000">
      <w:pPr>
        <w:widowControl/>
        <w:autoSpaceDE w:val="0"/>
        <w:snapToGrid w:val="0"/>
        <w:spacing w:line="240" w:lineRule="exact"/>
        <w:ind w:firstLine="448"/>
        <w:rPr>
          <w:rFonts w:ascii="標楷體" w:eastAsia="標楷體" w:hAnsi="標楷體"/>
          <w:kern w:val="0"/>
          <w:sz w:val="20"/>
        </w:rPr>
      </w:pPr>
      <w:r>
        <w:rPr>
          <w:rFonts w:ascii="標楷體" w:eastAsia="標楷體" w:hAnsi="標楷體"/>
          <w:kern w:val="0"/>
          <w:sz w:val="20"/>
        </w:rPr>
        <w:lastRenderedPageBreak/>
        <w:t>資料來源：行政院主計總處。</w:t>
      </w:r>
    </w:p>
    <w:p w14:paraId="0551A112" w14:textId="77777777" w:rsidR="00052596" w:rsidRDefault="00000000">
      <w:pPr>
        <w:tabs>
          <w:tab w:val="left" w:pos="1920"/>
          <w:tab w:val="left" w:pos="2880"/>
          <w:tab w:val="left" w:pos="3840"/>
          <w:tab w:val="left" w:pos="4800"/>
          <w:tab w:val="left" w:pos="5760"/>
        </w:tabs>
        <w:overflowPunct w:val="0"/>
        <w:autoSpaceDE w:val="0"/>
        <w:snapToGrid w:val="0"/>
        <w:spacing w:line="400" w:lineRule="exact"/>
        <w:ind w:left="1007" w:hanging="282"/>
        <w:jc w:val="both"/>
        <w:textAlignment w:val="center"/>
      </w:pPr>
      <w:r>
        <w:rPr>
          <w:rFonts w:eastAsia="標楷體"/>
          <w:spacing w:val="4"/>
          <w:kern w:val="0"/>
          <w:sz w:val="28"/>
          <w:szCs w:val="26"/>
        </w:rPr>
        <w:t>－自然資源折耗：指自然資源使用量超過自然生長及補注，所造成存量下降的價值，評估項目包括水資源</w:t>
      </w:r>
      <w:r>
        <w:rPr>
          <w:rFonts w:eastAsia="標楷體"/>
          <w:spacing w:val="4"/>
          <w:kern w:val="0"/>
          <w:sz w:val="28"/>
          <w:szCs w:val="28"/>
        </w:rPr>
        <w:t>及礦產及土石資源</w:t>
      </w:r>
      <w:r>
        <w:rPr>
          <w:rFonts w:ascii="標楷體" w:eastAsia="標楷體" w:hAnsi="標楷體"/>
          <w:spacing w:val="4"/>
          <w:kern w:val="0"/>
          <w:sz w:val="28"/>
          <w:szCs w:val="28"/>
        </w:rPr>
        <w:t>(</w:t>
      </w:r>
      <w:r>
        <w:rPr>
          <w:rFonts w:eastAsia="標楷體"/>
          <w:spacing w:val="4"/>
          <w:kern w:val="0"/>
          <w:sz w:val="28"/>
          <w:szCs w:val="26"/>
        </w:rPr>
        <w:t>非金屬礦產、能源及土石資源</w:t>
      </w:r>
      <w:r>
        <w:rPr>
          <w:rFonts w:ascii="標楷體" w:eastAsia="標楷體" w:hAnsi="標楷體"/>
          <w:spacing w:val="4"/>
          <w:kern w:val="0"/>
          <w:sz w:val="28"/>
          <w:szCs w:val="28"/>
        </w:rPr>
        <w:t>)</w:t>
      </w:r>
      <w:r>
        <w:rPr>
          <w:rFonts w:eastAsia="標楷體"/>
          <w:spacing w:val="4"/>
          <w:kern w:val="0"/>
          <w:sz w:val="28"/>
          <w:szCs w:val="28"/>
        </w:rPr>
        <w:t>。</w:t>
      </w:r>
      <w:r>
        <w:rPr>
          <w:rFonts w:eastAsia="標楷體"/>
          <w:spacing w:val="4"/>
          <w:kern w:val="0"/>
          <w:sz w:val="28"/>
          <w:szCs w:val="28"/>
        </w:rPr>
        <w:t>97</w:t>
      </w:r>
      <w:r>
        <w:rPr>
          <w:rFonts w:eastAsia="標楷體"/>
          <w:spacing w:val="4"/>
          <w:kern w:val="0"/>
          <w:sz w:val="28"/>
          <w:szCs w:val="28"/>
        </w:rPr>
        <w:t>至</w:t>
      </w:r>
      <w:r>
        <w:rPr>
          <w:rFonts w:eastAsia="標楷體"/>
          <w:spacing w:val="4"/>
          <w:kern w:val="0"/>
          <w:sz w:val="28"/>
          <w:szCs w:val="28"/>
        </w:rPr>
        <w:t>99</w:t>
      </w:r>
      <w:r>
        <w:rPr>
          <w:rFonts w:eastAsia="標楷體"/>
          <w:spacing w:val="4"/>
          <w:kern w:val="0"/>
          <w:sz w:val="28"/>
          <w:szCs w:val="28"/>
        </w:rPr>
        <w:t>年</w:t>
      </w:r>
      <w:r>
        <w:rPr>
          <w:rFonts w:eastAsia="標楷體"/>
          <w:spacing w:val="4"/>
          <w:kern w:val="0"/>
          <w:sz w:val="28"/>
          <w:szCs w:val="26"/>
        </w:rPr>
        <w:t>國內自然資源折耗合計</w:t>
      </w:r>
      <w:r>
        <w:rPr>
          <w:rFonts w:eastAsia="標楷體"/>
          <w:spacing w:val="4"/>
          <w:kern w:val="0"/>
          <w:sz w:val="28"/>
          <w:szCs w:val="26"/>
        </w:rPr>
        <w:t>539</w:t>
      </w:r>
      <w:r>
        <w:rPr>
          <w:rFonts w:eastAsia="標楷體"/>
          <w:spacing w:val="4"/>
          <w:kern w:val="0"/>
          <w:sz w:val="28"/>
          <w:szCs w:val="26"/>
        </w:rPr>
        <w:t>億元，其中以水資源折耗最多</w:t>
      </w:r>
      <w:r>
        <w:rPr>
          <w:rFonts w:ascii="標楷體" w:eastAsia="標楷體" w:hAnsi="標楷體"/>
          <w:spacing w:val="4"/>
          <w:kern w:val="0"/>
          <w:sz w:val="28"/>
          <w:szCs w:val="26"/>
        </w:rPr>
        <w:t>(</w:t>
      </w:r>
      <w:r>
        <w:rPr>
          <w:rFonts w:eastAsia="標楷體"/>
          <w:spacing w:val="4"/>
          <w:kern w:val="0"/>
          <w:sz w:val="28"/>
          <w:szCs w:val="26"/>
        </w:rPr>
        <w:t>占</w:t>
      </w:r>
      <w:r>
        <w:rPr>
          <w:rFonts w:eastAsia="標楷體"/>
          <w:spacing w:val="4"/>
          <w:kern w:val="0"/>
          <w:sz w:val="28"/>
          <w:szCs w:val="26"/>
        </w:rPr>
        <w:t>81.8%</w:t>
      </w:r>
      <w:r>
        <w:rPr>
          <w:rFonts w:ascii="標楷體" w:eastAsia="標楷體" w:hAnsi="標楷體"/>
          <w:spacing w:val="4"/>
          <w:kern w:val="0"/>
          <w:sz w:val="28"/>
          <w:szCs w:val="26"/>
        </w:rPr>
        <w:t>)</w:t>
      </w:r>
      <w:r>
        <w:rPr>
          <w:rFonts w:eastAsia="標楷體"/>
          <w:spacing w:val="4"/>
          <w:kern w:val="0"/>
          <w:sz w:val="28"/>
          <w:szCs w:val="26"/>
        </w:rPr>
        <w:t>。</w:t>
      </w:r>
    </w:p>
    <w:p w14:paraId="279CD049" w14:textId="77777777" w:rsidR="00052596" w:rsidRDefault="00000000">
      <w:pPr>
        <w:tabs>
          <w:tab w:val="left" w:pos="1920"/>
          <w:tab w:val="left" w:pos="2880"/>
          <w:tab w:val="left" w:pos="3840"/>
          <w:tab w:val="left" w:pos="4800"/>
          <w:tab w:val="left" w:pos="5760"/>
        </w:tabs>
        <w:overflowPunct w:val="0"/>
        <w:autoSpaceDE w:val="0"/>
        <w:snapToGrid w:val="0"/>
        <w:spacing w:line="400" w:lineRule="exact"/>
        <w:ind w:left="1007" w:hanging="282"/>
        <w:jc w:val="both"/>
        <w:textAlignment w:val="center"/>
      </w:pPr>
      <w:r>
        <w:rPr>
          <w:rFonts w:eastAsia="標楷體"/>
          <w:spacing w:val="4"/>
          <w:kern w:val="0"/>
          <w:sz w:val="28"/>
          <w:szCs w:val="26"/>
        </w:rPr>
        <w:t>－環境品質質損：指減少空氣污染、水污染及固體廢棄物排放所需投入的成本。</w:t>
      </w:r>
      <w:r>
        <w:rPr>
          <w:rFonts w:eastAsia="標楷體"/>
          <w:spacing w:val="4"/>
          <w:kern w:val="0"/>
          <w:sz w:val="28"/>
          <w:szCs w:val="26"/>
        </w:rPr>
        <w:t>97</w:t>
      </w:r>
      <w:r>
        <w:rPr>
          <w:rFonts w:eastAsia="標楷體"/>
          <w:spacing w:val="4"/>
          <w:kern w:val="0"/>
          <w:sz w:val="28"/>
          <w:szCs w:val="26"/>
        </w:rPr>
        <w:t>至</w:t>
      </w:r>
      <w:r>
        <w:rPr>
          <w:rFonts w:eastAsia="標楷體"/>
          <w:spacing w:val="4"/>
          <w:kern w:val="0"/>
          <w:sz w:val="28"/>
          <w:szCs w:val="26"/>
        </w:rPr>
        <w:t>99</w:t>
      </w:r>
      <w:r>
        <w:rPr>
          <w:rFonts w:eastAsia="標楷體"/>
          <w:spacing w:val="4"/>
          <w:kern w:val="0"/>
          <w:sz w:val="28"/>
          <w:szCs w:val="26"/>
        </w:rPr>
        <w:t>年合計質損為</w:t>
      </w:r>
      <w:r>
        <w:rPr>
          <w:rFonts w:eastAsia="標楷體"/>
          <w:spacing w:val="4"/>
          <w:kern w:val="0"/>
          <w:sz w:val="28"/>
          <w:szCs w:val="26"/>
        </w:rPr>
        <w:t>1,978</w:t>
      </w:r>
      <w:r>
        <w:rPr>
          <w:rFonts w:eastAsia="標楷體"/>
          <w:spacing w:val="4"/>
          <w:kern w:val="0"/>
          <w:sz w:val="28"/>
          <w:szCs w:val="26"/>
        </w:rPr>
        <w:t>億元，其中水污染質損</w:t>
      </w:r>
      <w:r>
        <w:rPr>
          <w:rFonts w:eastAsia="標楷體"/>
          <w:spacing w:val="4"/>
          <w:kern w:val="0"/>
          <w:sz w:val="28"/>
          <w:szCs w:val="26"/>
        </w:rPr>
        <w:t>1,067</w:t>
      </w:r>
      <w:r>
        <w:rPr>
          <w:rFonts w:eastAsia="標楷體"/>
          <w:spacing w:val="4"/>
          <w:kern w:val="0"/>
          <w:sz w:val="28"/>
          <w:szCs w:val="26"/>
        </w:rPr>
        <w:t>億元，占總質損</w:t>
      </w:r>
      <w:r>
        <w:rPr>
          <w:rFonts w:eastAsia="標楷體"/>
          <w:spacing w:val="4"/>
          <w:kern w:val="0"/>
          <w:sz w:val="28"/>
          <w:szCs w:val="26"/>
        </w:rPr>
        <w:t>53.9%</w:t>
      </w:r>
      <w:r>
        <w:rPr>
          <w:rFonts w:eastAsia="標楷體"/>
          <w:spacing w:val="4"/>
          <w:kern w:val="0"/>
          <w:sz w:val="28"/>
          <w:szCs w:val="26"/>
        </w:rPr>
        <w:t>。另</w:t>
      </w:r>
      <w:r>
        <w:rPr>
          <w:rFonts w:eastAsia="標楷體"/>
          <w:spacing w:val="4"/>
          <w:kern w:val="0"/>
          <w:sz w:val="28"/>
          <w:szCs w:val="26"/>
        </w:rPr>
        <w:t>99</w:t>
      </w:r>
      <w:r>
        <w:rPr>
          <w:rFonts w:eastAsia="標楷體"/>
          <w:spacing w:val="4"/>
          <w:kern w:val="0"/>
          <w:sz w:val="28"/>
          <w:szCs w:val="26"/>
        </w:rPr>
        <w:t>年環境品質質損占名目</w:t>
      </w:r>
      <w:r>
        <w:rPr>
          <w:rFonts w:eastAsia="標楷體"/>
          <w:spacing w:val="4"/>
          <w:kern w:val="0"/>
          <w:sz w:val="28"/>
          <w:szCs w:val="26"/>
        </w:rPr>
        <w:t>GDP</w:t>
      </w:r>
      <w:r>
        <w:rPr>
          <w:rFonts w:eastAsia="標楷體"/>
          <w:spacing w:val="4"/>
          <w:kern w:val="0"/>
          <w:sz w:val="28"/>
          <w:szCs w:val="26"/>
        </w:rPr>
        <w:t>比率由</w:t>
      </w:r>
      <w:r>
        <w:rPr>
          <w:rFonts w:eastAsia="標楷體"/>
          <w:spacing w:val="4"/>
          <w:kern w:val="0"/>
          <w:sz w:val="28"/>
          <w:szCs w:val="26"/>
        </w:rPr>
        <w:t>97</w:t>
      </w:r>
      <w:r>
        <w:rPr>
          <w:rFonts w:eastAsia="標楷體"/>
          <w:spacing w:val="4"/>
          <w:kern w:val="0"/>
          <w:sz w:val="28"/>
          <w:szCs w:val="26"/>
        </w:rPr>
        <w:t>年的</w:t>
      </w:r>
      <w:r>
        <w:rPr>
          <w:rFonts w:eastAsia="標楷體"/>
          <w:spacing w:val="4"/>
          <w:kern w:val="0"/>
          <w:sz w:val="28"/>
          <w:szCs w:val="26"/>
        </w:rPr>
        <w:t>0.53%</w:t>
      </w:r>
      <w:r>
        <w:rPr>
          <w:rFonts w:eastAsia="標楷體"/>
          <w:spacing w:val="4"/>
          <w:kern w:val="0"/>
          <w:sz w:val="28"/>
          <w:szCs w:val="26"/>
        </w:rPr>
        <w:t>降至</w:t>
      </w:r>
      <w:r>
        <w:rPr>
          <w:rFonts w:eastAsia="標楷體"/>
          <w:spacing w:val="4"/>
          <w:kern w:val="0"/>
          <w:sz w:val="28"/>
          <w:szCs w:val="26"/>
        </w:rPr>
        <w:t>0.48%</w:t>
      </w:r>
      <w:r>
        <w:rPr>
          <w:rFonts w:eastAsia="標楷體"/>
          <w:spacing w:val="4"/>
          <w:kern w:val="0"/>
          <w:sz w:val="28"/>
          <w:szCs w:val="26"/>
        </w:rPr>
        <w:t>，反映國內環境保護益趨落實。</w:t>
      </w:r>
    </w:p>
    <w:p w14:paraId="45EF42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rPr>
      </w:pPr>
      <w:r>
        <w:rPr>
          <w:rFonts w:ascii="標楷體" w:eastAsia="標楷體" w:hAnsi="標楷體"/>
          <w:spacing w:val="4"/>
          <w:kern w:val="0"/>
          <w:sz w:val="28"/>
        </w:rPr>
        <w:t>(二)生態足跡</w:t>
      </w:r>
    </w:p>
    <w:p w14:paraId="06D5565A" w14:textId="77777777" w:rsidR="00052596" w:rsidRDefault="00000000">
      <w:pPr>
        <w:tabs>
          <w:tab w:val="left" w:pos="426"/>
          <w:tab w:val="left" w:pos="1920"/>
          <w:tab w:val="left" w:pos="2880"/>
          <w:tab w:val="left" w:pos="3840"/>
          <w:tab w:val="left" w:pos="4800"/>
          <w:tab w:val="left" w:pos="5760"/>
        </w:tabs>
        <w:overflowPunct w:val="0"/>
        <w:autoSpaceDE w:val="0"/>
        <w:snapToGrid w:val="0"/>
        <w:spacing w:line="400" w:lineRule="exact"/>
        <w:ind w:left="754" w:firstLine="573"/>
        <w:jc w:val="both"/>
        <w:textAlignment w:val="center"/>
        <w:rPr>
          <w:rFonts w:eastAsia="標楷體"/>
          <w:spacing w:val="4"/>
          <w:kern w:val="0"/>
          <w:sz w:val="28"/>
          <w:szCs w:val="26"/>
        </w:rPr>
      </w:pPr>
      <w:r>
        <w:rPr>
          <w:rFonts w:eastAsia="標楷體"/>
          <w:spacing w:val="4"/>
          <w:kern w:val="0"/>
          <w:sz w:val="28"/>
          <w:szCs w:val="26"/>
        </w:rPr>
        <w:t>生態足跡反映一國對生態資源使用程度的重要總體指標，也是決定環境競爭力的關鍵要素之一。</w:t>
      </w:r>
    </w:p>
    <w:p w14:paraId="415E77FD" w14:textId="77777777" w:rsidR="00052596" w:rsidRDefault="00000000">
      <w:pPr>
        <w:tabs>
          <w:tab w:val="left" w:pos="1920"/>
          <w:tab w:val="left" w:pos="2880"/>
          <w:tab w:val="left" w:pos="3840"/>
          <w:tab w:val="left" w:pos="4800"/>
          <w:tab w:val="left" w:pos="5760"/>
        </w:tabs>
        <w:overflowPunct w:val="0"/>
        <w:autoSpaceDE w:val="0"/>
        <w:snapToGrid w:val="0"/>
        <w:spacing w:line="400" w:lineRule="exact"/>
        <w:ind w:left="1007" w:hanging="282"/>
        <w:jc w:val="both"/>
        <w:textAlignment w:val="center"/>
      </w:pPr>
      <w:r>
        <w:rPr>
          <w:rFonts w:eastAsia="標楷體"/>
          <w:spacing w:val="4"/>
          <w:kern w:val="0"/>
          <w:sz w:val="28"/>
          <w:szCs w:val="26"/>
        </w:rPr>
        <w:t>－根據</w:t>
      </w:r>
      <w:r>
        <w:rPr>
          <w:rFonts w:eastAsia="標楷體"/>
          <w:spacing w:val="4"/>
          <w:kern w:val="0"/>
          <w:sz w:val="28"/>
          <w:szCs w:val="26"/>
        </w:rPr>
        <w:t>IMD</w:t>
      </w:r>
      <w:r>
        <w:rPr>
          <w:rFonts w:ascii="新細明體" w:hAnsi="新細明體"/>
          <w:spacing w:val="4"/>
          <w:kern w:val="0"/>
          <w:sz w:val="28"/>
          <w:szCs w:val="26"/>
        </w:rPr>
        <w:t>「</w:t>
      </w:r>
      <w:r>
        <w:rPr>
          <w:rFonts w:eastAsia="標楷體"/>
          <w:spacing w:val="4"/>
          <w:kern w:val="0"/>
          <w:sz w:val="28"/>
          <w:szCs w:val="26"/>
        </w:rPr>
        <w:t>2012</w:t>
      </w:r>
      <w:r>
        <w:rPr>
          <w:rFonts w:eastAsia="標楷體"/>
          <w:spacing w:val="4"/>
          <w:kern w:val="0"/>
          <w:sz w:val="28"/>
          <w:szCs w:val="26"/>
        </w:rPr>
        <w:t>年世界競爭力年報</w:t>
      </w:r>
      <w:r>
        <w:rPr>
          <w:rFonts w:ascii="新細明體" w:hAnsi="新細明體"/>
          <w:spacing w:val="4"/>
          <w:kern w:val="0"/>
          <w:sz w:val="28"/>
          <w:szCs w:val="26"/>
        </w:rPr>
        <w:t>」</w:t>
      </w:r>
      <w:r>
        <w:rPr>
          <w:rFonts w:eastAsia="標楷體"/>
          <w:spacing w:val="4"/>
          <w:kern w:val="0"/>
          <w:sz w:val="28"/>
          <w:szCs w:val="26"/>
        </w:rPr>
        <w:t>，</w:t>
      </w:r>
      <w:r>
        <w:rPr>
          <w:rFonts w:eastAsia="標楷體"/>
          <w:spacing w:val="4"/>
          <w:kern w:val="0"/>
          <w:sz w:val="28"/>
          <w:szCs w:val="26"/>
        </w:rPr>
        <w:t>2007</w:t>
      </w:r>
      <w:r>
        <w:rPr>
          <w:rFonts w:eastAsia="標楷體"/>
          <w:spacing w:val="4"/>
          <w:kern w:val="0"/>
          <w:sz w:val="28"/>
          <w:szCs w:val="26"/>
        </w:rPr>
        <w:t>年先進國家的生產及消費模式因過度消耗生態資源，每人生態足跡遠高於開發中國家。其中，美國</w:t>
      </w:r>
      <w:r>
        <w:rPr>
          <w:rFonts w:eastAsia="標楷體"/>
          <w:spacing w:val="4"/>
          <w:kern w:val="0"/>
          <w:sz w:val="28"/>
          <w:szCs w:val="26"/>
        </w:rPr>
        <w:t>8.0</w:t>
      </w:r>
      <w:r>
        <w:rPr>
          <w:rFonts w:eastAsia="標楷體"/>
          <w:spacing w:val="4"/>
          <w:kern w:val="0"/>
          <w:sz w:val="28"/>
          <w:szCs w:val="26"/>
        </w:rPr>
        <w:t>全球公頃，排名第</w:t>
      </w:r>
      <w:r>
        <w:rPr>
          <w:rFonts w:eastAsia="標楷體"/>
          <w:spacing w:val="4"/>
          <w:kern w:val="0"/>
          <w:sz w:val="28"/>
          <w:szCs w:val="26"/>
        </w:rPr>
        <w:t>52</w:t>
      </w:r>
      <w:r>
        <w:rPr>
          <w:rFonts w:eastAsia="標楷體"/>
          <w:spacing w:val="4"/>
          <w:kern w:val="0"/>
          <w:sz w:val="28"/>
          <w:szCs w:val="26"/>
        </w:rPr>
        <w:t>位，超過平均每人生態承載力</w:t>
      </w:r>
      <w:r>
        <w:rPr>
          <w:rFonts w:eastAsia="標楷體"/>
          <w:spacing w:val="4"/>
          <w:kern w:val="0"/>
          <w:sz w:val="28"/>
          <w:szCs w:val="26"/>
        </w:rPr>
        <w:t>3.87</w:t>
      </w:r>
      <w:r>
        <w:rPr>
          <w:rFonts w:eastAsia="標楷體"/>
          <w:spacing w:val="4"/>
          <w:kern w:val="0"/>
          <w:sz w:val="28"/>
          <w:szCs w:val="26"/>
        </w:rPr>
        <w:t>全球公頃，生態赤字</w:t>
      </w:r>
      <w:r>
        <w:rPr>
          <w:rFonts w:ascii="標楷體" w:eastAsia="標楷體" w:hAnsi="標楷體"/>
          <w:spacing w:val="4"/>
          <w:kern w:val="0"/>
          <w:sz w:val="28"/>
          <w:szCs w:val="26"/>
        </w:rPr>
        <w:t>(</w:t>
      </w:r>
      <w:r>
        <w:rPr>
          <w:rFonts w:eastAsia="標楷體"/>
          <w:spacing w:val="4"/>
          <w:kern w:val="0"/>
          <w:sz w:val="28"/>
          <w:szCs w:val="26"/>
        </w:rPr>
        <w:t>生態承載力與生態足跡之差距</w:t>
      </w:r>
      <w:r>
        <w:rPr>
          <w:rFonts w:ascii="標楷體" w:eastAsia="標楷體" w:hAnsi="標楷體"/>
          <w:spacing w:val="4"/>
          <w:kern w:val="0"/>
          <w:sz w:val="28"/>
          <w:szCs w:val="26"/>
        </w:rPr>
        <w:t>)</w:t>
      </w:r>
      <w:r>
        <w:rPr>
          <w:rFonts w:eastAsia="標楷體"/>
          <w:spacing w:val="4"/>
          <w:kern w:val="0"/>
          <w:sz w:val="28"/>
          <w:szCs w:val="26"/>
        </w:rPr>
        <w:t>達</w:t>
      </w:r>
      <w:r>
        <w:rPr>
          <w:rFonts w:eastAsia="標楷體"/>
          <w:spacing w:val="4"/>
          <w:kern w:val="0"/>
          <w:sz w:val="28"/>
          <w:szCs w:val="26"/>
        </w:rPr>
        <w:t>4.13</w:t>
      </w:r>
      <w:r>
        <w:rPr>
          <w:rFonts w:eastAsia="標楷體"/>
          <w:spacing w:val="4"/>
          <w:kern w:val="0"/>
          <w:sz w:val="28"/>
          <w:szCs w:val="26"/>
        </w:rPr>
        <w:t>全球公頃。</w:t>
      </w:r>
    </w:p>
    <w:p w14:paraId="602DEEB6" w14:textId="77777777" w:rsidR="00052596" w:rsidRDefault="00000000">
      <w:pPr>
        <w:tabs>
          <w:tab w:val="left" w:pos="1920"/>
          <w:tab w:val="left" w:pos="2880"/>
          <w:tab w:val="left" w:pos="3840"/>
          <w:tab w:val="left" w:pos="4800"/>
          <w:tab w:val="left" w:pos="5760"/>
        </w:tabs>
        <w:overflowPunct w:val="0"/>
        <w:autoSpaceDE w:val="0"/>
        <w:snapToGrid w:val="0"/>
        <w:spacing w:line="400" w:lineRule="exact"/>
        <w:ind w:left="1007" w:hanging="282"/>
        <w:jc w:val="both"/>
        <w:textAlignment w:val="center"/>
      </w:pPr>
      <w:r>
        <w:rPr>
          <w:rFonts w:eastAsia="標楷體"/>
          <w:spacing w:val="4"/>
          <w:kern w:val="0"/>
          <w:sz w:val="28"/>
          <w:szCs w:val="26"/>
        </w:rPr>
        <w:t>－根據行政院永續會</w:t>
      </w:r>
      <w:r>
        <w:rPr>
          <w:rFonts w:ascii="新細明體" w:hAnsi="新細明體"/>
          <w:spacing w:val="4"/>
          <w:kern w:val="0"/>
          <w:sz w:val="28"/>
          <w:szCs w:val="26"/>
        </w:rPr>
        <w:t>「</w:t>
      </w:r>
      <w:r>
        <w:rPr>
          <w:rFonts w:eastAsia="標楷體"/>
          <w:spacing w:val="4"/>
          <w:kern w:val="0"/>
          <w:sz w:val="28"/>
          <w:szCs w:val="26"/>
        </w:rPr>
        <w:t>2007</w:t>
      </w:r>
      <w:r>
        <w:rPr>
          <w:rFonts w:eastAsia="標楷體"/>
          <w:spacing w:val="4"/>
          <w:kern w:val="0"/>
          <w:sz w:val="28"/>
          <w:szCs w:val="26"/>
        </w:rPr>
        <w:t>臺灣永續發展指標現況</w:t>
      </w:r>
      <w:r>
        <w:rPr>
          <w:rFonts w:ascii="新細明體" w:hAnsi="新細明體"/>
          <w:spacing w:val="4"/>
          <w:kern w:val="0"/>
          <w:sz w:val="28"/>
          <w:szCs w:val="26"/>
        </w:rPr>
        <w:t>」</w:t>
      </w:r>
      <w:r>
        <w:rPr>
          <w:rFonts w:eastAsia="標楷體"/>
          <w:spacing w:val="4"/>
          <w:kern w:val="0"/>
          <w:sz w:val="28"/>
          <w:szCs w:val="26"/>
        </w:rPr>
        <w:t>資料，臺灣總生態足跡已超過一億全球公頃，相當於臺灣面積的</w:t>
      </w:r>
      <w:r>
        <w:rPr>
          <w:rFonts w:eastAsia="標楷體"/>
          <w:spacing w:val="4"/>
          <w:kern w:val="0"/>
          <w:sz w:val="28"/>
          <w:szCs w:val="26"/>
        </w:rPr>
        <w:t>31</w:t>
      </w:r>
      <w:r>
        <w:rPr>
          <w:rFonts w:eastAsia="標楷體"/>
          <w:spacing w:val="4"/>
          <w:kern w:val="0"/>
          <w:sz w:val="28"/>
          <w:szCs w:val="26"/>
        </w:rPr>
        <w:t>倍；臺灣每人生態足跡</w:t>
      </w:r>
      <w:r>
        <w:rPr>
          <w:rFonts w:eastAsia="標楷體"/>
          <w:spacing w:val="4"/>
          <w:kern w:val="0"/>
          <w:sz w:val="28"/>
          <w:szCs w:val="26"/>
        </w:rPr>
        <w:t>4.74</w:t>
      </w:r>
      <w:r>
        <w:rPr>
          <w:rFonts w:eastAsia="標楷體"/>
          <w:spacing w:val="4"/>
          <w:kern w:val="0"/>
          <w:sz w:val="28"/>
          <w:szCs w:val="26"/>
        </w:rPr>
        <w:t>全球公頃</w:t>
      </w:r>
      <w:r>
        <w:rPr>
          <w:rFonts w:ascii="標楷體" w:eastAsia="標楷體" w:hAnsi="標楷體"/>
          <w:spacing w:val="4"/>
          <w:kern w:val="0"/>
          <w:sz w:val="28"/>
          <w:szCs w:val="26"/>
        </w:rPr>
        <w:t>(</w:t>
      </w:r>
      <w:r>
        <w:rPr>
          <w:rFonts w:eastAsia="標楷體"/>
          <w:spacing w:val="4"/>
          <w:kern w:val="0"/>
          <w:sz w:val="28"/>
          <w:szCs w:val="26"/>
        </w:rPr>
        <w:t>與日本</w:t>
      </w:r>
      <w:r>
        <w:rPr>
          <w:rFonts w:eastAsia="標楷體"/>
          <w:spacing w:val="4"/>
          <w:kern w:val="0"/>
          <w:sz w:val="28"/>
          <w:szCs w:val="26"/>
        </w:rPr>
        <w:t>4.7</w:t>
      </w:r>
      <w:r>
        <w:rPr>
          <w:rFonts w:eastAsia="標楷體"/>
          <w:spacing w:val="4"/>
          <w:kern w:val="0"/>
          <w:sz w:val="28"/>
          <w:szCs w:val="26"/>
        </w:rPr>
        <w:t>全球公頃相當，低於南韓</w:t>
      </w:r>
      <w:r>
        <w:rPr>
          <w:rFonts w:eastAsia="標楷體"/>
          <w:spacing w:val="4"/>
          <w:kern w:val="0"/>
          <w:sz w:val="28"/>
          <w:szCs w:val="26"/>
        </w:rPr>
        <w:t>4.9</w:t>
      </w:r>
      <w:r>
        <w:rPr>
          <w:rFonts w:eastAsia="標楷體"/>
          <w:spacing w:val="4"/>
          <w:kern w:val="0"/>
          <w:sz w:val="28"/>
          <w:szCs w:val="26"/>
        </w:rPr>
        <w:t>及新加坡</w:t>
      </w:r>
      <w:r>
        <w:rPr>
          <w:rFonts w:eastAsia="標楷體"/>
          <w:spacing w:val="4"/>
          <w:kern w:val="0"/>
          <w:sz w:val="28"/>
          <w:szCs w:val="26"/>
        </w:rPr>
        <w:t>5.3</w:t>
      </w:r>
      <w:r>
        <w:rPr>
          <w:rFonts w:eastAsia="標楷體"/>
          <w:spacing w:val="4"/>
          <w:kern w:val="0"/>
          <w:sz w:val="28"/>
          <w:szCs w:val="26"/>
        </w:rPr>
        <w:t>全球公頃</w:t>
      </w:r>
      <w:r>
        <w:rPr>
          <w:rFonts w:ascii="標楷體" w:eastAsia="標楷體" w:hAnsi="標楷體"/>
          <w:spacing w:val="4"/>
          <w:kern w:val="0"/>
          <w:sz w:val="28"/>
          <w:szCs w:val="26"/>
        </w:rPr>
        <w:t>)</w:t>
      </w:r>
      <w:r>
        <w:rPr>
          <w:rFonts w:eastAsia="標楷體"/>
          <w:spacing w:val="4"/>
          <w:kern w:val="0"/>
          <w:sz w:val="28"/>
          <w:szCs w:val="26"/>
        </w:rPr>
        <w:t>。展望未來，政府將積極推動發展綠色產業、綠色科技，並鼓勵綠色消費，以降低對生態資源的使用。</w:t>
      </w:r>
    </w:p>
    <w:p w14:paraId="5D2BB919" w14:textId="77777777" w:rsidR="00052596" w:rsidRDefault="00000000">
      <w:pPr>
        <w:overflowPunct w:val="0"/>
        <w:autoSpaceDE w:val="0"/>
        <w:snapToGrid w:val="0"/>
        <w:spacing w:before="120" w:after="96" w:line="280" w:lineRule="exact"/>
        <w:jc w:val="center"/>
        <w:textAlignment w:val="center"/>
      </w:pPr>
      <w:r>
        <w:rPr>
          <w:rFonts w:eastAsia="標楷體"/>
          <w:b/>
          <w:color w:val="0000FF"/>
          <w:kern w:val="0"/>
          <w:sz w:val="25"/>
          <w:szCs w:val="22"/>
        </w:rPr>
        <w:t>表</w:t>
      </w:r>
      <w:r>
        <w:rPr>
          <w:rFonts w:eastAsia="標楷體"/>
          <w:b/>
          <w:color w:val="0000FF"/>
          <w:kern w:val="0"/>
          <w:sz w:val="25"/>
          <w:szCs w:val="22"/>
        </w:rPr>
        <w:t>1.2.10</w:t>
      </w:r>
      <w:r>
        <w:rPr>
          <w:rFonts w:eastAsia="標楷體"/>
          <w:b/>
          <w:color w:val="0000FF"/>
          <w:kern w:val="0"/>
          <w:sz w:val="25"/>
          <w:szCs w:val="22"/>
        </w:rPr>
        <w:t xml:space="preserve">　</w:t>
      </w:r>
      <w:r>
        <w:rPr>
          <w:rFonts w:eastAsia="標楷體"/>
          <w:b/>
          <w:color w:val="0000FF"/>
          <w:kern w:val="0"/>
          <w:sz w:val="25"/>
          <w:szCs w:val="22"/>
        </w:rPr>
        <w:t>IMD</w:t>
      </w:r>
      <w:r>
        <w:rPr>
          <w:rFonts w:eastAsia="標楷體"/>
          <w:b/>
          <w:color w:val="0000FF"/>
          <w:kern w:val="0"/>
          <w:sz w:val="25"/>
          <w:szCs w:val="22"/>
        </w:rPr>
        <w:t>對「每人生態足跡</w:t>
      </w:r>
      <w:r>
        <w:rPr>
          <w:rFonts w:eastAsia="標楷體"/>
          <w:b/>
          <w:color w:val="0000FF"/>
          <w:kern w:val="0"/>
          <w:sz w:val="25"/>
          <w:szCs w:val="22"/>
          <w:vertAlign w:val="superscript"/>
        </w:rPr>
        <w:t>a</w:t>
      </w:r>
      <w:r>
        <w:rPr>
          <w:rFonts w:eastAsia="標楷體"/>
          <w:b/>
          <w:color w:val="0000FF"/>
          <w:kern w:val="0"/>
          <w:sz w:val="25"/>
          <w:szCs w:val="22"/>
        </w:rPr>
        <w:t>」的全球評比</w:t>
      </w:r>
    </w:p>
    <w:p w14:paraId="7168CD05" w14:textId="77777777" w:rsidR="00052596" w:rsidRDefault="00000000">
      <w:pPr>
        <w:widowControl/>
        <w:jc w:val="right"/>
        <w:rPr>
          <w:rFonts w:ascii="標楷體" w:eastAsia="標楷體" w:hAnsi="標楷體"/>
          <w:kern w:val="0"/>
          <w:sz w:val="20"/>
        </w:rPr>
      </w:pPr>
      <w:r>
        <w:rPr>
          <w:rFonts w:ascii="標楷體" w:eastAsia="標楷體" w:hAnsi="標楷體"/>
          <w:kern w:val="0"/>
          <w:sz w:val="20"/>
        </w:rPr>
        <w:t>單位：全球公頃</w:t>
      </w:r>
    </w:p>
    <w:tbl>
      <w:tblPr>
        <w:tblW w:w="8334" w:type="dxa"/>
        <w:jc w:val="center"/>
        <w:tblCellMar>
          <w:left w:w="10" w:type="dxa"/>
          <w:right w:w="10" w:type="dxa"/>
        </w:tblCellMar>
        <w:tblLook w:val="04A0" w:firstRow="1" w:lastRow="0" w:firstColumn="1" w:lastColumn="0" w:noHBand="0" w:noVBand="1"/>
      </w:tblPr>
      <w:tblGrid>
        <w:gridCol w:w="624"/>
        <w:gridCol w:w="1077"/>
        <w:gridCol w:w="1077"/>
        <w:gridCol w:w="624"/>
        <w:gridCol w:w="1077"/>
        <w:gridCol w:w="1077"/>
        <w:gridCol w:w="624"/>
        <w:gridCol w:w="1077"/>
        <w:gridCol w:w="1077"/>
      </w:tblGrid>
      <w:tr w:rsidR="00052596" w14:paraId="2E886428" w14:textId="77777777">
        <w:tblPrEx>
          <w:tblCellMar>
            <w:top w:w="0" w:type="dxa"/>
            <w:bottom w:w="0" w:type="dxa"/>
          </w:tblCellMar>
        </w:tblPrEx>
        <w:trPr>
          <w:trHeight w:val="283"/>
          <w:jc w:val="center"/>
        </w:trPr>
        <w:tc>
          <w:tcPr>
            <w:tcW w:w="62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E29F5" w14:textId="77777777" w:rsidR="00052596" w:rsidRDefault="00000000">
            <w:pPr>
              <w:spacing w:line="300" w:lineRule="exact"/>
              <w:jc w:val="center"/>
              <w:rPr>
                <w:rFonts w:eastAsia="標楷體"/>
                <w:kern w:val="0"/>
                <w:sz w:val="20"/>
              </w:rPr>
            </w:pPr>
            <w:r>
              <w:rPr>
                <w:rFonts w:eastAsia="標楷體"/>
                <w:kern w:val="0"/>
                <w:sz w:val="20"/>
              </w:rPr>
              <w:t>排名</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C80A2" w14:textId="77777777" w:rsidR="00052596" w:rsidRDefault="00000000">
            <w:pPr>
              <w:spacing w:line="300" w:lineRule="exact"/>
              <w:jc w:val="center"/>
              <w:rPr>
                <w:rFonts w:eastAsia="標楷體"/>
                <w:kern w:val="0"/>
                <w:sz w:val="20"/>
              </w:rPr>
            </w:pPr>
            <w:r>
              <w:rPr>
                <w:rFonts w:eastAsia="標楷體"/>
                <w:kern w:val="0"/>
                <w:sz w:val="20"/>
              </w:rPr>
              <w:t>國家</w:t>
            </w:r>
          </w:p>
        </w:tc>
        <w:tc>
          <w:tcPr>
            <w:tcW w:w="107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14:paraId="100F9E85" w14:textId="77777777" w:rsidR="00052596" w:rsidRDefault="00000000">
            <w:pPr>
              <w:spacing w:line="300" w:lineRule="exact"/>
              <w:jc w:val="center"/>
              <w:rPr>
                <w:rFonts w:eastAsia="標楷體"/>
                <w:kern w:val="0"/>
                <w:sz w:val="20"/>
              </w:rPr>
            </w:pPr>
            <w:r>
              <w:rPr>
                <w:rFonts w:eastAsia="標楷體"/>
                <w:kern w:val="0"/>
                <w:sz w:val="20"/>
              </w:rPr>
              <w:t>生態足跡</w:t>
            </w:r>
          </w:p>
        </w:tc>
        <w:tc>
          <w:tcPr>
            <w:tcW w:w="62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11BB9" w14:textId="77777777" w:rsidR="00052596" w:rsidRDefault="00000000">
            <w:pPr>
              <w:spacing w:line="300" w:lineRule="exact"/>
              <w:jc w:val="center"/>
              <w:rPr>
                <w:rFonts w:eastAsia="標楷體"/>
                <w:kern w:val="0"/>
                <w:sz w:val="20"/>
              </w:rPr>
            </w:pPr>
            <w:r>
              <w:rPr>
                <w:rFonts w:eastAsia="標楷體"/>
                <w:kern w:val="0"/>
                <w:sz w:val="20"/>
              </w:rPr>
              <w:t>排名</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16604" w14:textId="77777777" w:rsidR="00052596" w:rsidRDefault="00000000">
            <w:pPr>
              <w:spacing w:line="300" w:lineRule="exact"/>
              <w:jc w:val="center"/>
              <w:rPr>
                <w:rFonts w:eastAsia="標楷體"/>
                <w:kern w:val="0"/>
                <w:sz w:val="20"/>
              </w:rPr>
            </w:pPr>
            <w:r>
              <w:rPr>
                <w:rFonts w:eastAsia="標楷體"/>
                <w:kern w:val="0"/>
                <w:sz w:val="20"/>
              </w:rPr>
              <w:t>國家</w:t>
            </w:r>
          </w:p>
        </w:tc>
        <w:tc>
          <w:tcPr>
            <w:tcW w:w="107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14:paraId="3A43912D" w14:textId="77777777" w:rsidR="00052596" w:rsidRDefault="00000000">
            <w:pPr>
              <w:spacing w:line="300" w:lineRule="exact"/>
              <w:jc w:val="center"/>
              <w:rPr>
                <w:rFonts w:eastAsia="標楷體"/>
                <w:kern w:val="0"/>
                <w:sz w:val="20"/>
              </w:rPr>
            </w:pPr>
            <w:r>
              <w:rPr>
                <w:rFonts w:eastAsia="標楷體"/>
                <w:kern w:val="0"/>
                <w:sz w:val="20"/>
              </w:rPr>
              <w:t>生態足跡</w:t>
            </w:r>
          </w:p>
        </w:tc>
        <w:tc>
          <w:tcPr>
            <w:tcW w:w="62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55080" w14:textId="77777777" w:rsidR="00052596" w:rsidRDefault="00000000">
            <w:pPr>
              <w:spacing w:line="300" w:lineRule="exact"/>
              <w:jc w:val="center"/>
              <w:rPr>
                <w:rFonts w:eastAsia="標楷體"/>
                <w:kern w:val="0"/>
                <w:sz w:val="20"/>
              </w:rPr>
            </w:pPr>
            <w:r>
              <w:rPr>
                <w:rFonts w:eastAsia="標楷體"/>
                <w:kern w:val="0"/>
                <w:sz w:val="20"/>
              </w:rPr>
              <w:t>排名</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E2095" w14:textId="77777777" w:rsidR="00052596" w:rsidRDefault="00000000">
            <w:pPr>
              <w:spacing w:line="300" w:lineRule="exact"/>
              <w:jc w:val="center"/>
              <w:rPr>
                <w:rFonts w:eastAsia="標楷體"/>
                <w:kern w:val="0"/>
                <w:sz w:val="20"/>
              </w:rPr>
            </w:pPr>
            <w:r>
              <w:rPr>
                <w:rFonts w:eastAsia="標楷體"/>
                <w:kern w:val="0"/>
                <w:sz w:val="20"/>
              </w:rPr>
              <w:t>國家</w:t>
            </w:r>
          </w:p>
        </w:tc>
        <w:tc>
          <w:tcPr>
            <w:tcW w:w="10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84C50E" w14:textId="77777777" w:rsidR="00052596" w:rsidRDefault="00000000">
            <w:pPr>
              <w:spacing w:line="300" w:lineRule="exact"/>
              <w:jc w:val="center"/>
              <w:rPr>
                <w:rFonts w:eastAsia="標楷體"/>
                <w:kern w:val="0"/>
                <w:sz w:val="20"/>
              </w:rPr>
            </w:pPr>
            <w:r>
              <w:rPr>
                <w:rFonts w:eastAsia="標楷體"/>
                <w:kern w:val="0"/>
                <w:sz w:val="20"/>
              </w:rPr>
              <w:t>生態足跡</w:t>
            </w:r>
          </w:p>
        </w:tc>
      </w:tr>
      <w:tr w:rsidR="00052596" w14:paraId="5A87F370" w14:textId="77777777">
        <w:tblPrEx>
          <w:tblCellMar>
            <w:top w:w="0" w:type="dxa"/>
            <w:bottom w:w="0" w:type="dxa"/>
          </w:tblCellMar>
        </w:tblPrEx>
        <w:trPr>
          <w:trHeight w:val="113"/>
          <w:jc w:val="center"/>
        </w:trPr>
        <w:tc>
          <w:tcPr>
            <w:tcW w:w="624"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4177239B" w14:textId="77777777" w:rsidR="00052596" w:rsidRDefault="00000000">
            <w:pPr>
              <w:spacing w:line="280" w:lineRule="exact"/>
              <w:jc w:val="center"/>
              <w:rPr>
                <w:rFonts w:eastAsia="標楷體"/>
                <w:kern w:val="0"/>
                <w:sz w:val="20"/>
              </w:rPr>
            </w:pPr>
            <w:r>
              <w:rPr>
                <w:rFonts w:eastAsia="標楷體"/>
                <w:kern w:val="0"/>
                <w:sz w:val="20"/>
              </w:rPr>
              <w:t>1</w:t>
            </w:r>
          </w:p>
        </w:tc>
        <w:tc>
          <w:tcPr>
            <w:tcW w:w="107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9DB951" w14:textId="77777777" w:rsidR="00052596" w:rsidRDefault="00000000">
            <w:pPr>
              <w:spacing w:line="280" w:lineRule="exact"/>
              <w:jc w:val="center"/>
              <w:rPr>
                <w:rFonts w:eastAsia="標楷體"/>
                <w:kern w:val="0"/>
                <w:sz w:val="20"/>
              </w:rPr>
            </w:pPr>
            <w:r>
              <w:rPr>
                <w:rFonts w:eastAsia="標楷體"/>
                <w:kern w:val="0"/>
                <w:sz w:val="20"/>
              </w:rPr>
              <w:t>印度</w:t>
            </w:r>
          </w:p>
        </w:tc>
        <w:tc>
          <w:tcPr>
            <w:tcW w:w="1077" w:type="dxa"/>
            <w:tcBorders>
              <w:top w:val="single" w:sz="4" w:space="0" w:color="000000"/>
              <w:left w:val="single" w:sz="4" w:space="0" w:color="000000"/>
              <w:right w:val="double" w:sz="4" w:space="0" w:color="000000"/>
            </w:tcBorders>
            <w:shd w:val="clear" w:color="auto" w:fill="auto"/>
            <w:tcMar>
              <w:top w:w="0" w:type="dxa"/>
              <w:left w:w="108" w:type="dxa"/>
              <w:bottom w:w="0" w:type="dxa"/>
              <w:right w:w="108" w:type="dxa"/>
            </w:tcMar>
            <w:vAlign w:val="center"/>
          </w:tcPr>
          <w:p w14:paraId="47DB2142" w14:textId="77777777" w:rsidR="00052596" w:rsidRDefault="00000000">
            <w:pPr>
              <w:spacing w:line="280" w:lineRule="exact"/>
              <w:jc w:val="center"/>
              <w:rPr>
                <w:rFonts w:eastAsia="標楷體"/>
                <w:kern w:val="0"/>
                <w:sz w:val="20"/>
              </w:rPr>
            </w:pPr>
            <w:r>
              <w:rPr>
                <w:rFonts w:eastAsia="標楷體"/>
                <w:kern w:val="0"/>
                <w:sz w:val="20"/>
              </w:rPr>
              <w:t>0.9</w:t>
            </w:r>
          </w:p>
        </w:tc>
        <w:tc>
          <w:tcPr>
            <w:tcW w:w="624" w:type="dxa"/>
            <w:tcBorders>
              <w:top w:val="single" w:sz="4" w:space="0" w:color="000000"/>
              <w:left w:val="double" w:sz="4" w:space="0" w:color="000000"/>
              <w:right w:val="single" w:sz="4" w:space="0" w:color="000000"/>
            </w:tcBorders>
            <w:shd w:val="clear" w:color="auto" w:fill="auto"/>
            <w:tcMar>
              <w:top w:w="0" w:type="dxa"/>
              <w:left w:w="108" w:type="dxa"/>
              <w:bottom w:w="0" w:type="dxa"/>
              <w:right w:w="108" w:type="dxa"/>
            </w:tcMar>
            <w:vAlign w:val="center"/>
          </w:tcPr>
          <w:p w14:paraId="3C97A9BC" w14:textId="77777777" w:rsidR="00052596" w:rsidRDefault="00000000">
            <w:pPr>
              <w:spacing w:line="280" w:lineRule="exact"/>
              <w:jc w:val="center"/>
              <w:rPr>
                <w:rFonts w:eastAsia="標楷體"/>
                <w:kern w:val="0"/>
                <w:sz w:val="20"/>
              </w:rPr>
            </w:pPr>
            <w:r>
              <w:rPr>
                <w:rFonts w:eastAsia="標楷體"/>
                <w:kern w:val="0"/>
                <w:sz w:val="20"/>
              </w:rPr>
              <w:t>15</w:t>
            </w:r>
          </w:p>
        </w:tc>
        <w:tc>
          <w:tcPr>
            <w:tcW w:w="107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575316" w14:textId="77777777" w:rsidR="00052596" w:rsidRDefault="00000000">
            <w:pPr>
              <w:spacing w:line="280" w:lineRule="exact"/>
              <w:jc w:val="center"/>
              <w:rPr>
                <w:rFonts w:eastAsia="標楷體"/>
                <w:kern w:val="0"/>
                <w:sz w:val="20"/>
              </w:rPr>
            </w:pPr>
            <w:r>
              <w:rPr>
                <w:rFonts w:eastAsia="標楷體"/>
                <w:kern w:val="0"/>
                <w:sz w:val="20"/>
              </w:rPr>
              <w:t>巴西</w:t>
            </w:r>
          </w:p>
        </w:tc>
        <w:tc>
          <w:tcPr>
            <w:tcW w:w="1077" w:type="dxa"/>
            <w:tcBorders>
              <w:top w:val="single" w:sz="4" w:space="0" w:color="000000"/>
              <w:left w:val="single" w:sz="4" w:space="0" w:color="000000"/>
              <w:right w:val="double" w:sz="4" w:space="0" w:color="000000"/>
            </w:tcBorders>
            <w:shd w:val="clear" w:color="auto" w:fill="auto"/>
            <w:tcMar>
              <w:top w:w="0" w:type="dxa"/>
              <w:left w:w="108" w:type="dxa"/>
              <w:bottom w:w="0" w:type="dxa"/>
              <w:right w:w="108" w:type="dxa"/>
            </w:tcMar>
            <w:vAlign w:val="center"/>
          </w:tcPr>
          <w:p w14:paraId="2E1B38E7" w14:textId="77777777" w:rsidR="00052596" w:rsidRDefault="00000000">
            <w:pPr>
              <w:spacing w:line="280" w:lineRule="exact"/>
              <w:jc w:val="center"/>
              <w:rPr>
                <w:rFonts w:eastAsia="標楷體"/>
                <w:kern w:val="0"/>
                <w:sz w:val="20"/>
              </w:rPr>
            </w:pPr>
            <w:r>
              <w:rPr>
                <w:rFonts w:eastAsia="標楷體"/>
                <w:kern w:val="0"/>
                <w:sz w:val="20"/>
              </w:rPr>
              <w:t>2.9</w:t>
            </w:r>
          </w:p>
        </w:tc>
        <w:tc>
          <w:tcPr>
            <w:tcW w:w="624" w:type="dxa"/>
            <w:tcBorders>
              <w:top w:val="single" w:sz="4" w:space="0" w:color="000000"/>
              <w:left w:val="double" w:sz="4" w:space="0" w:color="000000"/>
              <w:right w:val="single" w:sz="4" w:space="0" w:color="000000"/>
            </w:tcBorders>
            <w:shd w:val="clear" w:color="auto" w:fill="auto"/>
            <w:tcMar>
              <w:top w:w="0" w:type="dxa"/>
              <w:left w:w="108" w:type="dxa"/>
              <w:bottom w:w="0" w:type="dxa"/>
              <w:right w:w="108" w:type="dxa"/>
            </w:tcMar>
            <w:vAlign w:val="center"/>
          </w:tcPr>
          <w:p w14:paraId="6562BB73" w14:textId="77777777" w:rsidR="00052596" w:rsidRDefault="00000000">
            <w:pPr>
              <w:spacing w:line="280" w:lineRule="exact"/>
              <w:jc w:val="center"/>
              <w:rPr>
                <w:rFonts w:eastAsia="標楷體"/>
                <w:kern w:val="0"/>
                <w:sz w:val="20"/>
              </w:rPr>
            </w:pPr>
            <w:r>
              <w:rPr>
                <w:rFonts w:eastAsia="標楷體"/>
                <w:kern w:val="0"/>
                <w:sz w:val="20"/>
              </w:rPr>
              <w:t>36</w:t>
            </w:r>
          </w:p>
        </w:tc>
        <w:tc>
          <w:tcPr>
            <w:tcW w:w="107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7BE1A33" w14:textId="77777777" w:rsidR="00052596" w:rsidRDefault="00000000">
            <w:pPr>
              <w:spacing w:line="280" w:lineRule="exact"/>
              <w:jc w:val="center"/>
              <w:rPr>
                <w:rFonts w:eastAsia="標楷體"/>
                <w:kern w:val="0"/>
                <w:sz w:val="20"/>
              </w:rPr>
            </w:pPr>
            <w:r>
              <w:rPr>
                <w:rFonts w:eastAsia="標楷體"/>
                <w:kern w:val="0"/>
                <w:sz w:val="20"/>
              </w:rPr>
              <w:t>德國</w:t>
            </w:r>
          </w:p>
        </w:tc>
        <w:tc>
          <w:tcPr>
            <w:tcW w:w="1077"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72FFCDD2" w14:textId="77777777" w:rsidR="00052596" w:rsidRDefault="00000000">
            <w:pPr>
              <w:spacing w:line="280" w:lineRule="exact"/>
              <w:jc w:val="center"/>
              <w:rPr>
                <w:rFonts w:eastAsia="標楷體"/>
                <w:kern w:val="0"/>
                <w:sz w:val="20"/>
              </w:rPr>
            </w:pPr>
            <w:r>
              <w:rPr>
                <w:rFonts w:eastAsia="標楷體"/>
                <w:kern w:val="0"/>
                <w:sz w:val="20"/>
              </w:rPr>
              <w:t>5.1</w:t>
            </w:r>
          </w:p>
        </w:tc>
      </w:tr>
      <w:tr w:rsidR="00052596" w14:paraId="1C82C827" w14:textId="77777777">
        <w:tblPrEx>
          <w:tblCellMar>
            <w:top w:w="0" w:type="dxa"/>
            <w:bottom w:w="0" w:type="dxa"/>
          </w:tblCellMar>
        </w:tblPrEx>
        <w:trPr>
          <w:trHeight w:val="113"/>
          <w:jc w:val="center"/>
        </w:trPr>
        <w:tc>
          <w:tcPr>
            <w:tcW w:w="624" w:type="dxa"/>
            <w:tcBorders>
              <w:right w:val="single" w:sz="4" w:space="0" w:color="000000"/>
            </w:tcBorders>
            <w:shd w:val="clear" w:color="auto" w:fill="auto"/>
            <w:tcMar>
              <w:top w:w="0" w:type="dxa"/>
              <w:left w:w="108" w:type="dxa"/>
              <w:bottom w:w="0" w:type="dxa"/>
              <w:right w:w="108" w:type="dxa"/>
            </w:tcMar>
            <w:vAlign w:val="center"/>
          </w:tcPr>
          <w:p w14:paraId="2C92FD29" w14:textId="77777777" w:rsidR="00052596" w:rsidRDefault="00000000">
            <w:pPr>
              <w:spacing w:line="280" w:lineRule="exact"/>
              <w:jc w:val="center"/>
              <w:rPr>
                <w:rFonts w:eastAsia="標楷體"/>
                <w:kern w:val="0"/>
                <w:sz w:val="20"/>
              </w:rPr>
            </w:pPr>
            <w:r>
              <w:rPr>
                <w:rFonts w:eastAsia="標楷體"/>
                <w:kern w:val="0"/>
                <w:sz w:val="20"/>
              </w:rPr>
              <w:t>2</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06CFD5" w14:textId="77777777" w:rsidR="00052596" w:rsidRDefault="00000000">
            <w:pPr>
              <w:spacing w:line="280" w:lineRule="exact"/>
              <w:jc w:val="center"/>
              <w:rPr>
                <w:rFonts w:eastAsia="標楷體"/>
                <w:kern w:val="0"/>
                <w:sz w:val="20"/>
              </w:rPr>
            </w:pPr>
            <w:r>
              <w:rPr>
                <w:rFonts w:eastAsia="標楷體"/>
                <w:kern w:val="0"/>
                <w:sz w:val="20"/>
              </w:rPr>
              <w:t>印尼</w:t>
            </w:r>
          </w:p>
        </w:tc>
        <w:tc>
          <w:tcPr>
            <w:tcW w:w="1077"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065FF23A" w14:textId="77777777" w:rsidR="00052596" w:rsidRDefault="00000000">
            <w:pPr>
              <w:spacing w:line="280" w:lineRule="exact"/>
              <w:jc w:val="center"/>
              <w:rPr>
                <w:rFonts w:eastAsia="標楷體"/>
                <w:kern w:val="0"/>
                <w:sz w:val="20"/>
              </w:rPr>
            </w:pPr>
            <w:r>
              <w:rPr>
                <w:rFonts w:eastAsia="標楷體"/>
                <w:kern w:val="0"/>
                <w:sz w:val="20"/>
              </w:rPr>
              <w:t>1.2</w:t>
            </w:r>
          </w:p>
        </w:tc>
        <w:tc>
          <w:tcPr>
            <w:tcW w:w="624"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29DC585D" w14:textId="77777777" w:rsidR="00052596" w:rsidRDefault="00000000">
            <w:pPr>
              <w:spacing w:line="280" w:lineRule="exact"/>
              <w:jc w:val="center"/>
              <w:rPr>
                <w:rFonts w:eastAsia="標楷體"/>
                <w:kern w:val="0"/>
                <w:sz w:val="20"/>
              </w:rPr>
            </w:pPr>
            <w:r>
              <w:rPr>
                <w:rFonts w:eastAsia="標楷體"/>
                <w:kern w:val="0"/>
                <w:sz w:val="20"/>
              </w:rPr>
              <w:t>27</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36B198" w14:textId="77777777" w:rsidR="00052596" w:rsidRDefault="00000000">
            <w:pPr>
              <w:spacing w:line="280" w:lineRule="exact"/>
              <w:jc w:val="center"/>
              <w:rPr>
                <w:rFonts w:eastAsia="標楷體"/>
                <w:kern w:val="0"/>
                <w:sz w:val="20"/>
              </w:rPr>
            </w:pPr>
            <w:r>
              <w:rPr>
                <w:rFonts w:eastAsia="標楷體"/>
                <w:kern w:val="0"/>
                <w:sz w:val="20"/>
              </w:rPr>
              <w:t>日本</w:t>
            </w:r>
          </w:p>
        </w:tc>
        <w:tc>
          <w:tcPr>
            <w:tcW w:w="1077"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1E47C47A" w14:textId="77777777" w:rsidR="00052596" w:rsidRDefault="00000000">
            <w:pPr>
              <w:spacing w:line="280" w:lineRule="exact"/>
              <w:jc w:val="center"/>
              <w:rPr>
                <w:rFonts w:eastAsia="標楷體"/>
                <w:kern w:val="0"/>
                <w:sz w:val="20"/>
              </w:rPr>
            </w:pPr>
            <w:r>
              <w:rPr>
                <w:rFonts w:eastAsia="標楷體"/>
                <w:kern w:val="0"/>
                <w:sz w:val="20"/>
              </w:rPr>
              <w:t>4.7</w:t>
            </w:r>
          </w:p>
        </w:tc>
        <w:tc>
          <w:tcPr>
            <w:tcW w:w="624"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42492EE6" w14:textId="77777777" w:rsidR="00052596" w:rsidRDefault="00000000">
            <w:pPr>
              <w:spacing w:line="280" w:lineRule="exact"/>
              <w:jc w:val="center"/>
              <w:rPr>
                <w:rFonts w:eastAsia="標楷體"/>
                <w:kern w:val="0"/>
                <w:sz w:val="20"/>
              </w:rPr>
            </w:pPr>
            <w:r>
              <w:rPr>
                <w:rFonts w:eastAsia="標楷體"/>
                <w:kern w:val="0"/>
                <w:sz w:val="20"/>
              </w:rPr>
              <w:t>39</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C98F856" w14:textId="77777777" w:rsidR="00052596" w:rsidRDefault="00000000">
            <w:pPr>
              <w:spacing w:line="280" w:lineRule="exact"/>
              <w:jc w:val="center"/>
              <w:rPr>
                <w:rFonts w:eastAsia="標楷體"/>
                <w:kern w:val="0"/>
                <w:sz w:val="20"/>
              </w:rPr>
            </w:pPr>
            <w:r>
              <w:rPr>
                <w:rFonts w:eastAsia="標楷體"/>
                <w:kern w:val="0"/>
                <w:sz w:val="20"/>
              </w:rPr>
              <w:t>新加坡</w:t>
            </w:r>
          </w:p>
        </w:tc>
        <w:tc>
          <w:tcPr>
            <w:tcW w:w="1077" w:type="dxa"/>
            <w:tcBorders>
              <w:left w:val="single" w:sz="4" w:space="0" w:color="000000"/>
            </w:tcBorders>
            <w:shd w:val="clear" w:color="auto" w:fill="auto"/>
            <w:tcMar>
              <w:top w:w="0" w:type="dxa"/>
              <w:left w:w="108" w:type="dxa"/>
              <w:bottom w:w="0" w:type="dxa"/>
              <w:right w:w="108" w:type="dxa"/>
            </w:tcMar>
            <w:vAlign w:val="center"/>
          </w:tcPr>
          <w:p w14:paraId="637BB95B" w14:textId="77777777" w:rsidR="00052596" w:rsidRDefault="00000000">
            <w:pPr>
              <w:spacing w:line="280" w:lineRule="exact"/>
              <w:jc w:val="center"/>
              <w:rPr>
                <w:rFonts w:eastAsia="標楷體"/>
                <w:kern w:val="0"/>
                <w:sz w:val="20"/>
              </w:rPr>
            </w:pPr>
            <w:r>
              <w:rPr>
                <w:rFonts w:eastAsia="標楷體"/>
                <w:kern w:val="0"/>
                <w:sz w:val="20"/>
              </w:rPr>
              <w:t>5.3</w:t>
            </w:r>
          </w:p>
        </w:tc>
      </w:tr>
      <w:tr w:rsidR="00052596" w14:paraId="28DEAE5E" w14:textId="77777777">
        <w:tblPrEx>
          <w:tblCellMar>
            <w:top w:w="0" w:type="dxa"/>
            <w:bottom w:w="0" w:type="dxa"/>
          </w:tblCellMar>
        </w:tblPrEx>
        <w:trPr>
          <w:trHeight w:val="113"/>
          <w:jc w:val="center"/>
        </w:trPr>
        <w:tc>
          <w:tcPr>
            <w:tcW w:w="624" w:type="dxa"/>
            <w:tcBorders>
              <w:right w:val="single" w:sz="4" w:space="0" w:color="000000"/>
            </w:tcBorders>
            <w:shd w:val="clear" w:color="auto" w:fill="auto"/>
            <w:tcMar>
              <w:top w:w="0" w:type="dxa"/>
              <w:left w:w="108" w:type="dxa"/>
              <w:bottom w:w="0" w:type="dxa"/>
              <w:right w:w="108" w:type="dxa"/>
            </w:tcMar>
            <w:vAlign w:val="center"/>
          </w:tcPr>
          <w:p w14:paraId="60454FD1" w14:textId="77777777" w:rsidR="00052596" w:rsidRDefault="00000000">
            <w:pPr>
              <w:spacing w:line="280" w:lineRule="exact"/>
              <w:jc w:val="center"/>
              <w:rPr>
                <w:rFonts w:eastAsia="標楷體"/>
                <w:kern w:val="0"/>
                <w:sz w:val="20"/>
              </w:rPr>
            </w:pPr>
            <w:r>
              <w:rPr>
                <w:rFonts w:eastAsia="標楷體"/>
                <w:kern w:val="0"/>
                <w:sz w:val="20"/>
              </w:rPr>
              <w:t>3</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13E1FC" w14:textId="77777777" w:rsidR="00052596" w:rsidRDefault="00000000">
            <w:pPr>
              <w:spacing w:line="280" w:lineRule="exact"/>
              <w:jc w:val="center"/>
              <w:rPr>
                <w:rFonts w:eastAsia="標楷體"/>
                <w:kern w:val="0"/>
                <w:sz w:val="20"/>
              </w:rPr>
            </w:pPr>
            <w:r>
              <w:rPr>
                <w:rFonts w:eastAsia="標楷體"/>
                <w:kern w:val="0"/>
                <w:sz w:val="20"/>
              </w:rPr>
              <w:t>菲律賓</w:t>
            </w:r>
          </w:p>
        </w:tc>
        <w:tc>
          <w:tcPr>
            <w:tcW w:w="1077"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3BD17151" w14:textId="77777777" w:rsidR="00052596" w:rsidRDefault="00000000">
            <w:pPr>
              <w:spacing w:line="280" w:lineRule="exact"/>
              <w:jc w:val="center"/>
              <w:rPr>
                <w:rFonts w:eastAsia="標楷體"/>
                <w:kern w:val="0"/>
                <w:sz w:val="20"/>
              </w:rPr>
            </w:pPr>
            <w:r>
              <w:rPr>
                <w:rFonts w:eastAsia="標楷體"/>
                <w:kern w:val="0"/>
                <w:sz w:val="20"/>
              </w:rPr>
              <w:t>1.3</w:t>
            </w:r>
          </w:p>
        </w:tc>
        <w:tc>
          <w:tcPr>
            <w:tcW w:w="624"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6CF4F210" w14:textId="77777777" w:rsidR="00052596" w:rsidRDefault="00000000">
            <w:pPr>
              <w:spacing w:line="280" w:lineRule="exact"/>
              <w:jc w:val="center"/>
              <w:rPr>
                <w:rFonts w:eastAsia="標楷體"/>
                <w:kern w:val="0"/>
                <w:sz w:val="20"/>
              </w:rPr>
            </w:pPr>
            <w:r>
              <w:rPr>
                <w:rFonts w:eastAsia="標楷體"/>
                <w:kern w:val="0"/>
                <w:sz w:val="20"/>
              </w:rPr>
              <w:t>29</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F72E27" w14:textId="77777777" w:rsidR="00052596" w:rsidRDefault="00000000">
            <w:pPr>
              <w:spacing w:line="280" w:lineRule="exact"/>
              <w:jc w:val="center"/>
              <w:rPr>
                <w:rFonts w:eastAsia="標楷體"/>
                <w:kern w:val="0"/>
                <w:sz w:val="20"/>
              </w:rPr>
            </w:pPr>
            <w:r>
              <w:rPr>
                <w:rFonts w:eastAsia="標楷體"/>
                <w:kern w:val="0"/>
                <w:sz w:val="20"/>
              </w:rPr>
              <w:t>馬來西亞</w:t>
            </w:r>
          </w:p>
        </w:tc>
        <w:tc>
          <w:tcPr>
            <w:tcW w:w="1077"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24B235A8" w14:textId="77777777" w:rsidR="00052596" w:rsidRDefault="00000000">
            <w:pPr>
              <w:spacing w:line="280" w:lineRule="exact"/>
              <w:jc w:val="center"/>
              <w:rPr>
                <w:rFonts w:eastAsia="標楷體"/>
                <w:kern w:val="0"/>
                <w:sz w:val="20"/>
              </w:rPr>
            </w:pPr>
            <w:r>
              <w:rPr>
                <w:rFonts w:eastAsia="標楷體"/>
                <w:kern w:val="0"/>
                <w:sz w:val="20"/>
              </w:rPr>
              <w:t>4.9</w:t>
            </w:r>
          </w:p>
        </w:tc>
        <w:tc>
          <w:tcPr>
            <w:tcW w:w="624"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63C13D4E" w14:textId="77777777" w:rsidR="00052596" w:rsidRDefault="00000000">
            <w:pPr>
              <w:spacing w:line="280" w:lineRule="exact"/>
              <w:jc w:val="center"/>
              <w:rPr>
                <w:rFonts w:eastAsia="標楷體"/>
                <w:kern w:val="0"/>
                <w:sz w:val="20"/>
              </w:rPr>
            </w:pPr>
            <w:r>
              <w:rPr>
                <w:rFonts w:eastAsia="標楷體"/>
                <w:kern w:val="0"/>
                <w:sz w:val="20"/>
              </w:rPr>
              <w:t>41</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59B9EC" w14:textId="77777777" w:rsidR="00052596" w:rsidRDefault="00000000">
            <w:pPr>
              <w:spacing w:line="280" w:lineRule="exact"/>
              <w:jc w:val="center"/>
              <w:rPr>
                <w:rFonts w:eastAsia="標楷體"/>
                <w:kern w:val="0"/>
                <w:sz w:val="20"/>
              </w:rPr>
            </w:pPr>
            <w:r>
              <w:rPr>
                <w:rFonts w:eastAsia="標楷體"/>
                <w:kern w:val="0"/>
                <w:sz w:val="20"/>
              </w:rPr>
              <w:t>西班牙</w:t>
            </w:r>
          </w:p>
        </w:tc>
        <w:tc>
          <w:tcPr>
            <w:tcW w:w="1077" w:type="dxa"/>
            <w:tcBorders>
              <w:left w:val="single" w:sz="4" w:space="0" w:color="000000"/>
            </w:tcBorders>
            <w:shd w:val="clear" w:color="auto" w:fill="auto"/>
            <w:tcMar>
              <w:top w:w="0" w:type="dxa"/>
              <w:left w:w="108" w:type="dxa"/>
              <w:bottom w:w="0" w:type="dxa"/>
              <w:right w:w="108" w:type="dxa"/>
            </w:tcMar>
            <w:vAlign w:val="center"/>
          </w:tcPr>
          <w:p w14:paraId="183E4B62" w14:textId="77777777" w:rsidR="00052596" w:rsidRDefault="00000000">
            <w:pPr>
              <w:spacing w:line="280" w:lineRule="exact"/>
              <w:jc w:val="center"/>
              <w:rPr>
                <w:rFonts w:eastAsia="標楷體"/>
                <w:kern w:val="0"/>
                <w:sz w:val="20"/>
              </w:rPr>
            </w:pPr>
            <w:r>
              <w:rPr>
                <w:rFonts w:eastAsia="標楷體"/>
                <w:kern w:val="0"/>
                <w:sz w:val="20"/>
              </w:rPr>
              <w:t>5.4</w:t>
            </w:r>
          </w:p>
        </w:tc>
      </w:tr>
      <w:tr w:rsidR="00052596" w14:paraId="39150CD6" w14:textId="77777777">
        <w:tblPrEx>
          <w:tblCellMar>
            <w:top w:w="0" w:type="dxa"/>
            <w:bottom w:w="0" w:type="dxa"/>
          </w:tblCellMar>
        </w:tblPrEx>
        <w:trPr>
          <w:trHeight w:val="113"/>
          <w:jc w:val="center"/>
        </w:trPr>
        <w:tc>
          <w:tcPr>
            <w:tcW w:w="624" w:type="dxa"/>
            <w:tcBorders>
              <w:right w:val="single" w:sz="4" w:space="0" w:color="000000"/>
            </w:tcBorders>
            <w:shd w:val="clear" w:color="auto" w:fill="auto"/>
            <w:tcMar>
              <w:top w:w="0" w:type="dxa"/>
              <w:left w:w="108" w:type="dxa"/>
              <w:bottom w:w="0" w:type="dxa"/>
              <w:right w:w="108" w:type="dxa"/>
            </w:tcMar>
            <w:vAlign w:val="center"/>
          </w:tcPr>
          <w:p w14:paraId="01D415BB" w14:textId="77777777" w:rsidR="00052596" w:rsidRDefault="00000000">
            <w:pPr>
              <w:spacing w:line="280" w:lineRule="exact"/>
              <w:jc w:val="center"/>
              <w:rPr>
                <w:rFonts w:eastAsia="標楷體"/>
                <w:kern w:val="0"/>
                <w:sz w:val="20"/>
              </w:rPr>
            </w:pPr>
            <w:r>
              <w:rPr>
                <w:rFonts w:eastAsia="標楷體"/>
                <w:kern w:val="0"/>
                <w:sz w:val="20"/>
              </w:rPr>
              <w:t>4</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5268A5" w14:textId="77777777" w:rsidR="00052596" w:rsidRDefault="00000000">
            <w:pPr>
              <w:spacing w:line="280" w:lineRule="exact"/>
              <w:jc w:val="center"/>
              <w:rPr>
                <w:rFonts w:eastAsia="標楷體"/>
                <w:kern w:val="0"/>
                <w:sz w:val="20"/>
              </w:rPr>
            </w:pPr>
            <w:r>
              <w:rPr>
                <w:rFonts w:eastAsia="標楷體"/>
                <w:kern w:val="0"/>
                <w:sz w:val="20"/>
              </w:rPr>
              <w:t>祕魯</w:t>
            </w:r>
          </w:p>
        </w:tc>
        <w:tc>
          <w:tcPr>
            <w:tcW w:w="1077"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3485673F" w14:textId="77777777" w:rsidR="00052596" w:rsidRDefault="00000000">
            <w:pPr>
              <w:spacing w:line="280" w:lineRule="exact"/>
              <w:jc w:val="center"/>
              <w:rPr>
                <w:rFonts w:eastAsia="標楷體"/>
                <w:kern w:val="0"/>
                <w:sz w:val="20"/>
              </w:rPr>
            </w:pPr>
            <w:r>
              <w:rPr>
                <w:rFonts w:eastAsia="標楷體"/>
                <w:kern w:val="0"/>
                <w:sz w:val="20"/>
              </w:rPr>
              <w:t>1.5</w:t>
            </w:r>
          </w:p>
        </w:tc>
        <w:tc>
          <w:tcPr>
            <w:tcW w:w="624"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7CD6BC8A" w14:textId="77777777" w:rsidR="00052596" w:rsidRDefault="00000000">
            <w:pPr>
              <w:spacing w:line="280" w:lineRule="exact"/>
              <w:jc w:val="center"/>
              <w:rPr>
                <w:rFonts w:eastAsia="標楷體"/>
                <w:kern w:val="0"/>
                <w:sz w:val="20"/>
              </w:rPr>
            </w:pPr>
            <w:r>
              <w:rPr>
                <w:rFonts w:eastAsia="標楷體"/>
                <w:kern w:val="0"/>
                <w:sz w:val="20"/>
              </w:rPr>
              <w:t>30</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0C0679" w14:textId="77777777" w:rsidR="00052596" w:rsidRDefault="00000000">
            <w:pPr>
              <w:spacing w:line="280" w:lineRule="exact"/>
              <w:jc w:val="center"/>
              <w:rPr>
                <w:rFonts w:eastAsia="標楷體"/>
                <w:kern w:val="0"/>
                <w:sz w:val="20"/>
              </w:rPr>
            </w:pPr>
            <w:r>
              <w:rPr>
                <w:rFonts w:eastAsia="標楷體"/>
                <w:kern w:val="0"/>
                <w:sz w:val="20"/>
              </w:rPr>
              <w:t>南韓</w:t>
            </w:r>
          </w:p>
        </w:tc>
        <w:tc>
          <w:tcPr>
            <w:tcW w:w="1077"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4961320A" w14:textId="77777777" w:rsidR="00052596" w:rsidRDefault="00000000">
            <w:pPr>
              <w:spacing w:line="280" w:lineRule="exact"/>
              <w:jc w:val="center"/>
              <w:rPr>
                <w:rFonts w:eastAsia="標楷體"/>
                <w:kern w:val="0"/>
                <w:sz w:val="20"/>
              </w:rPr>
            </w:pPr>
            <w:r>
              <w:rPr>
                <w:rFonts w:eastAsia="標楷體"/>
                <w:kern w:val="0"/>
                <w:sz w:val="20"/>
              </w:rPr>
              <w:t>4.9</w:t>
            </w:r>
          </w:p>
        </w:tc>
        <w:tc>
          <w:tcPr>
            <w:tcW w:w="624"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30C97A8E" w14:textId="77777777" w:rsidR="00052596" w:rsidRDefault="00000000">
            <w:pPr>
              <w:spacing w:line="280" w:lineRule="exact"/>
              <w:jc w:val="center"/>
              <w:rPr>
                <w:rFonts w:eastAsia="標楷體"/>
                <w:kern w:val="0"/>
                <w:sz w:val="20"/>
              </w:rPr>
            </w:pPr>
            <w:r>
              <w:rPr>
                <w:rFonts w:eastAsia="標楷體"/>
                <w:kern w:val="0"/>
                <w:sz w:val="20"/>
              </w:rPr>
              <w:t>46</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6F7A05" w14:textId="77777777" w:rsidR="00052596" w:rsidRDefault="00000000">
            <w:pPr>
              <w:spacing w:line="280" w:lineRule="exact"/>
              <w:jc w:val="center"/>
              <w:rPr>
                <w:rFonts w:eastAsia="標楷體"/>
                <w:kern w:val="0"/>
                <w:sz w:val="20"/>
              </w:rPr>
            </w:pPr>
            <w:r>
              <w:rPr>
                <w:rFonts w:eastAsia="標楷體"/>
                <w:kern w:val="0"/>
                <w:sz w:val="20"/>
              </w:rPr>
              <w:t>芬蘭</w:t>
            </w:r>
          </w:p>
        </w:tc>
        <w:tc>
          <w:tcPr>
            <w:tcW w:w="1077" w:type="dxa"/>
            <w:tcBorders>
              <w:left w:val="single" w:sz="4" w:space="0" w:color="000000"/>
            </w:tcBorders>
            <w:shd w:val="clear" w:color="auto" w:fill="auto"/>
            <w:tcMar>
              <w:top w:w="0" w:type="dxa"/>
              <w:left w:w="108" w:type="dxa"/>
              <w:bottom w:w="0" w:type="dxa"/>
              <w:right w:w="108" w:type="dxa"/>
            </w:tcMar>
            <w:vAlign w:val="center"/>
          </w:tcPr>
          <w:p w14:paraId="1BA8E2E4" w14:textId="77777777" w:rsidR="00052596" w:rsidRDefault="00000000">
            <w:pPr>
              <w:spacing w:line="280" w:lineRule="exact"/>
              <w:jc w:val="center"/>
              <w:rPr>
                <w:rFonts w:eastAsia="標楷體"/>
                <w:kern w:val="0"/>
                <w:sz w:val="20"/>
              </w:rPr>
            </w:pPr>
            <w:r>
              <w:rPr>
                <w:rFonts w:eastAsia="標楷體"/>
                <w:kern w:val="0"/>
                <w:sz w:val="20"/>
              </w:rPr>
              <w:t>6.2</w:t>
            </w:r>
          </w:p>
        </w:tc>
      </w:tr>
      <w:tr w:rsidR="00052596" w14:paraId="1958DD97" w14:textId="77777777">
        <w:tblPrEx>
          <w:tblCellMar>
            <w:top w:w="0" w:type="dxa"/>
            <w:bottom w:w="0" w:type="dxa"/>
          </w:tblCellMar>
        </w:tblPrEx>
        <w:trPr>
          <w:trHeight w:val="113"/>
          <w:jc w:val="center"/>
        </w:trPr>
        <w:tc>
          <w:tcPr>
            <w:tcW w:w="624" w:type="dxa"/>
            <w:tcBorders>
              <w:right w:val="single" w:sz="4" w:space="0" w:color="000000"/>
            </w:tcBorders>
            <w:shd w:val="clear" w:color="auto" w:fill="auto"/>
            <w:tcMar>
              <w:top w:w="0" w:type="dxa"/>
              <w:left w:w="108" w:type="dxa"/>
              <w:bottom w:w="0" w:type="dxa"/>
              <w:right w:w="108" w:type="dxa"/>
            </w:tcMar>
            <w:vAlign w:val="center"/>
          </w:tcPr>
          <w:p w14:paraId="779A3692" w14:textId="77777777" w:rsidR="00052596" w:rsidRDefault="00000000">
            <w:pPr>
              <w:spacing w:line="280" w:lineRule="exact"/>
              <w:jc w:val="center"/>
              <w:rPr>
                <w:rFonts w:eastAsia="標楷體"/>
                <w:kern w:val="0"/>
                <w:sz w:val="20"/>
              </w:rPr>
            </w:pPr>
            <w:r>
              <w:rPr>
                <w:rFonts w:eastAsia="標楷體"/>
                <w:kern w:val="0"/>
                <w:sz w:val="20"/>
              </w:rPr>
              <w:t>5</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2C6E28" w14:textId="77777777" w:rsidR="00052596" w:rsidRDefault="00000000">
            <w:pPr>
              <w:spacing w:line="280" w:lineRule="exact"/>
              <w:jc w:val="center"/>
              <w:rPr>
                <w:rFonts w:eastAsia="標楷體"/>
                <w:kern w:val="0"/>
                <w:sz w:val="20"/>
              </w:rPr>
            </w:pPr>
            <w:r>
              <w:rPr>
                <w:rFonts w:eastAsia="標楷體"/>
                <w:kern w:val="0"/>
                <w:sz w:val="20"/>
              </w:rPr>
              <w:t>哥倫比亞</w:t>
            </w:r>
          </w:p>
        </w:tc>
        <w:tc>
          <w:tcPr>
            <w:tcW w:w="1077"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2D8ADCC2" w14:textId="77777777" w:rsidR="00052596" w:rsidRDefault="00000000">
            <w:pPr>
              <w:spacing w:line="280" w:lineRule="exact"/>
              <w:jc w:val="center"/>
              <w:rPr>
                <w:rFonts w:eastAsia="標楷體"/>
                <w:kern w:val="0"/>
                <w:sz w:val="20"/>
              </w:rPr>
            </w:pPr>
            <w:r>
              <w:rPr>
                <w:rFonts w:eastAsia="標楷體"/>
                <w:kern w:val="0"/>
                <w:sz w:val="20"/>
              </w:rPr>
              <w:t>1.9</w:t>
            </w:r>
          </w:p>
        </w:tc>
        <w:tc>
          <w:tcPr>
            <w:tcW w:w="624"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4343CB6E" w14:textId="77777777" w:rsidR="00052596" w:rsidRDefault="00000000">
            <w:pPr>
              <w:spacing w:line="280" w:lineRule="exact"/>
              <w:jc w:val="center"/>
              <w:rPr>
                <w:rFonts w:eastAsia="標楷體"/>
                <w:kern w:val="0"/>
                <w:sz w:val="20"/>
              </w:rPr>
            </w:pPr>
            <w:r>
              <w:rPr>
                <w:rFonts w:eastAsia="標楷體"/>
                <w:kern w:val="0"/>
                <w:sz w:val="20"/>
              </w:rPr>
              <w:t>32</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E00358" w14:textId="77777777" w:rsidR="00052596" w:rsidRDefault="00000000">
            <w:pPr>
              <w:spacing w:line="280" w:lineRule="exact"/>
              <w:jc w:val="center"/>
              <w:rPr>
                <w:rFonts w:eastAsia="標楷體"/>
                <w:kern w:val="0"/>
                <w:sz w:val="20"/>
              </w:rPr>
            </w:pPr>
            <w:r>
              <w:rPr>
                <w:rFonts w:eastAsia="標楷體"/>
                <w:kern w:val="0"/>
                <w:sz w:val="20"/>
              </w:rPr>
              <w:t>英國</w:t>
            </w:r>
          </w:p>
        </w:tc>
        <w:tc>
          <w:tcPr>
            <w:tcW w:w="1077"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1EED0C48" w14:textId="77777777" w:rsidR="00052596" w:rsidRDefault="00000000">
            <w:pPr>
              <w:spacing w:line="280" w:lineRule="exact"/>
              <w:jc w:val="center"/>
              <w:rPr>
                <w:rFonts w:eastAsia="標楷體"/>
                <w:kern w:val="0"/>
                <w:sz w:val="20"/>
              </w:rPr>
            </w:pPr>
            <w:r>
              <w:rPr>
                <w:rFonts w:eastAsia="標楷體"/>
                <w:kern w:val="0"/>
                <w:sz w:val="20"/>
              </w:rPr>
              <w:t>4.9</w:t>
            </w:r>
          </w:p>
        </w:tc>
        <w:tc>
          <w:tcPr>
            <w:tcW w:w="624"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06FCDA4F" w14:textId="77777777" w:rsidR="00052596" w:rsidRDefault="00000000">
            <w:pPr>
              <w:spacing w:line="280" w:lineRule="exact"/>
              <w:jc w:val="center"/>
              <w:rPr>
                <w:rFonts w:eastAsia="標楷體"/>
                <w:kern w:val="0"/>
                <w:sz w:val="20"/>
              </w:rPr>
            </w:pPr>
            <w:r>
              <w:rPr>
                <w:rFonts w:eastAsia="標楷體"/>
                <w:kern w:val="0"/>
                <w:sz w:val="20"/>
              </w:rPr>
              <w:t>52</w:t>
            </w:r>
          </w:p>
        </w:tc>
        <w:tc>
          <w:tcPr>
            <w:tcW w:w="107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4FCC5C" w14:textId="77777777" w:rsidR="00052596" w:rsidRDefault="00000000">
            <w:pPr>
              <w:spacing w:line="280" w:lineRule="exact"/>
              <w:jc w:val="center"/>
              <w:rPr>
                <w:rFonts w:eastAsia="標楷體"/>
                <w:kern w:val="0"/>
                <w:sz w:val="20"/>
              </w:rPr>
            </w:pPr>
            <w:r>
              <w:rPr>
                <w:rFonts w:eastAsia="標楷體"/>
                <w:kern w:val="0"/>
                <w:sz w:val="20"/>
              </w:rPr>
              <w:t>美國</w:t>
            </w:r>
          </w:p>
        </w:tc>
        <w:tc>
          <w:tcPr>
            <w:tcW w:w="1077" w:type="dxa"/>
            <w:tcBorders>
              <w:left w:val="single" w:sz="4" w:space="0" w:color="000000"/>
            </w:tcBorders>
            <w:shd w:val="clear" w:color="auto" w:fill="auto"/>
            <w:tcMar>
              <w:top w:w="0" w:type="dxa"/>
              <w:left w:w="108" w:type="dxa"/>
              <w:bottom w:w="0" w:type="dxa"/>
              <w:right w:w="108" w:type="dxa"/>
            </w:tcMar>
            <w:vAlign w:val="center"/>
          </w:tcPr>
          <w:p w14:paraId="695FC015" w14:textId="77777777" w:rsidR="00052596" w:rsidRDefault="00000000">
            <w:pPr>
              <w:spacing w:line="280" w:lineRule="exact"/>
              <w:jc w:val="center"/>
              <w:rPr>
                <w:rFonts w:eastAsia="標楷體"/>
                <w:kern w:val="0"/>
                <w:sz w:val="20"/>
              </w:rPr>
            </w:pPr>
            <w:r>
              <w:rPr>
                <w:rFonts w:eastAsia="標楷體"/>
                <w:kern w:val="0"/>
                <w:sz w:val="20"/>
              </w:rPr>
              <w:t>8.0</w:t>
            </w:r>
          </w:p>
        </w:tc>
      </w:tr>
      <w:tr w:rsidR="00052596" w14:paraId="76CED8AF" w14:textId="77777777">
        <w:tblPrEx>
          <w:tblCellMar>
            <w:top w:w="0" w:type="dxa"/>
            <w:bottom w:w="0" w:type="dxa"/>
          </w:tblCellMar>
        </w:tblPrEx>
        <w:trPr>
          <w:trHeight w:val="113"/>
          <w:jc w:val="center"/>
        </w:trPr>
        <w:tc>
          <w:tcPr>
            <w:tcW w:w="6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39BC48" w14:textId="77777777" w:rsidR="00052596" w:rsidRDefault="00000000">
            <w:pPr>
              <w:spacing w:line="280" w:lineRule="exact"/>
              <w:jc w:val="center"/>
              <w:rPr>
                <w:rFonts w:eastAsia="標楷體"/>
                <w:kern w:val="0"/>
                <w:sz w:val="20"/>
              </w:rPr>
            </w:pPr>
            <w:r>
              <w:rPr>
                <w:rFonts w:eastAsia="標楷體"/>
                <w:kern w:val="0"/>
                <w:sz w:val="20"/>
              </w:rPr>
              <w:t>9</w:t>
            </w:r>
          </w:p>
        </w:tc>
        <w:tc>
          <w:tcPr>
            <w:tcW w:w="107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8C224" w14:textId="77777777" w:rsidR="00052596" w:rsidRDefault="00000000">
            <w:pPr>
              <w:spacing w:line="280" w:lineRule="exact"/>
              <w:jc w:val="center"/>
              <w:rPr>
                <w:rFonts w:eastAsia="標楷體"/>
                <w:kern w:val="0"/>
                <w:sz w:val="20"/>
              </w:rPr>
            </w:pPr>
            <w:r>
              <w:rPr>
                <w:rFonts w:eastAsia="標楷體"/>
                <w:kern w:val="0"/>
                <w:sz w:val="20"/>
              </w:rPr>
              <w:t>泰國</w:t>
            </w:r>
          </w:p>
        </w:tc>
        <w:tc>
          <w:tcPr>
            <w:tcW w:w="1077" w:type="dxa"/>
            <w:tcBorders>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14:paraId="483CAA75" w14:textId="77777777" w:rsidR="00052596" w:rsidRDefault="00000000">
            <w:pPr>
              <w:spacing w:line="280" w:lineRule="exact"/>
              <w:jc w:val="center"/>
              <w:rPr>
                <w:rFonts w:eastAsia="標楷體"/>
                <w:kern w:val="0"/>
                <w:sz w:val="20"/>
              </w:rPr>
            </w:pPr>
            <w:r>
              <w:rPr>
                <w:rFonts w:eastAsia="標楷體"/>
                <w:kern w:val="0"/>
                <w:sz w:val="20"/>
              </w:rPr>
              <w:t>2.4</w:t>
            </w:r>
          </w:p>
        </w:tc>
        <w:tc>
          <w:tcPr>
            <w:tcW w:w="624" w:type="dxa"/>
            <w:tcBorders>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42581" w14:textId="77777777" w:rsidR="00052596" w:rsidRDefault="00000000">
            <w:pPr>
              <w:spacing w:line="280" w:lineRule="exact"/>
              <w:jc w:val="center"/>
              <w:rPr>
                <w:rFonts w:eastAsia="標楷體"/>
                <w:kern w:val="0"/>
                <w:sz w:val="20"/>
              </w:rPr>
            </w:pPr>
            <w:r>
              <w:rPr>
                <w:rFonts w:eastAsia="標楷體"/>
                <w:kern w:val="0"/>
                <w:sz w:val="20"/>
              </w:rPr>
              <w:t>34</w:t>
            </w:r>
          </w:p>
        </w:tc>
        <w:tc>
          <w:tcPr>
            <w:tcW w:w="107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FA3AC" w14:textId="77777777" w:rsidR="00052596" w:rsidRDefault="00000000">
            <w:pPr>
              <w:spacing w:line="280" w:lineRule="exact"/>
              <w:jc w:val="center"/>
              <w:rPr>
                <w:rFonts w:eastAsia="標楷體"/>
                <w:kern w:val="0"/>
                <w:sz w:val="20"/>
              </w:rPr>
            </w:pPr>
            <w:r>
              <w:rPr>
                <w:rFonts w:eastAsia="標楷體"/>
                <w:kern w:val="0"/>
                <w:sz w:val="20"/>
              </w:rPr>
              <w:t>法國</w:t>
            </w:r>
          </w:p>
        </w:tc>
        <w:tc>
          <w:tcPr>
            <w:tcW w:w="1077" w:type="dxa"/>
            <w:tcBorders>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14:paraId="4036E735" w14:textId="77777777" w:rsidR="00052596" w:rsidRDefault="00000000">
            <w:pPr>
              <w:spacing w:line="280" w:lineRule="exact"/>
              <w:jc w:val="center"/>
              <w:rPr>
                <w:rFonts w:eastAsia="標楷體"/>
                <w:kern w:val="0"/>
                <w:sz w:val="20"/>
              </w:rPr>
            </w:pPr>
            <w:r>
              <w:rPr>
                <w:rFonts w:eastAsia="標楷體"/>
                <w:kern w:val="0"/>
                <w:sz w:val="20"/>
              </w:rPr>
              <w:t>5.0</w:t>
            </w:r>
          </w:p>
        </w:tc>
        <w:tc>
          <w:tcPr>
            <w:tcW w:w="624" w:type="dxa"/>
            <w:tcBorders>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0C169" w14:textId="77777777" w:rsidR="00052596" w:rsidRDefault="00052596">
            <w:pPr>
              <w:spacing w:line="280" w:lineRule="exact"/>
              <w:jc w:val="center"/>
              <w:rPr>
                <w:rFonts w:eastAsia="標楷體"/>
                <w:kern w:val="0"/>
                <w:sz w:val="20"/>
              </w:rPr>
            </w:pPr>
          </w:p>
        </w:tc>
        <w:tc>
          <w:tcPr>
            <w:tcW w:w="107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894DD" w14:textId="77777777" w:rsidR="00052596" w:rsidRDefault="00000000">
            <w:pPr>
              <w:spacing w:line="280" w:lineRule="exact"/>
              <w:jc w:val="center"/>
              <w:rPr>
                <w:rFonts w:eastAsia="標楷體"/>
                <w:b/>
                <w:color w:val="800000"/>
                <w:kern w:val="0"/>
                <w:sz w:val="20"/>
              </w:rPr>
            </w:pPr>
            <w:r>
              <w:rPr>
                <w:rFonts w:eastAsia="標楷體"/>
                <w:b/>
                <w:color w:val="800000"/>
                <w:kern w:val="0"/>
                <w:sz w:val="20"/>
              </w:rPr>
              <w:t>臺灣</w:t>
            </w:r>
          </w:p>
        </w:tc>
        <w:tc>
          <w:tcPr>
            <w:tcW w:w="10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813B336" w14:textId="77777777" w:rsidR="00052596" w:rsidRDefault="00000000">
            <w:pPr>
              <w:spacing w:line="280" w:lineRule="exact"/>
              <w:jc w:val="center"/>
            </w:pPr>
            <w:r>
              <w:rPr>
                <w:rFonts w:eastAsia="標楷體"/>
                <w:b/>
                <w:color w:val="800000"/>
                <w:kern w:val="0"/>
                <w:sz w:val="20"/>
              </w:rPr>
              <w:t>4.74</w:t>
            </w:r>
            <w:r>
              <w:rPr>
                <w:rFonts w:eastAsia="標楷體"/>
                <w:b/>
                <w:color w:val="800000"/>
                <w:kern w:val="0"/>
                <w:sz w:val="20"/>
                <w:vertAlign w:val="superscript"/>
              </w:rPr>
              <w:t>b</w:t>
            </w:r>
          </w:p>
        </w:tc>
      </w:tr>
    </w:tbl>
    <w:p w14:paraId="785BA902" w14:textId="77777777" w:rsidR="00052596" w:rsidRDefault="00000000">
      <w:pPr>
        <w:widowControl/>
        <w:spacing w:line="220" w:lineRule="exact"/>
        <w:ind w:left="1270" w:hanging="574"/>
        <w:rPr>
          <w:rFonts w:eastAsia="標楷體"/>
          <w:kern w:val="0"/>
          <w:sz w:val="20"/>
        </w:rPr>
      </w:pPr>
      <w:r>
        <w:rPr>
          <w:rFonts w:eastAsia="標楷體"/>
          <w:kern w:val="0"/>
          <w:sz w:val="20"/>
        </w:rPr>
        <w:t>註：</w:t>
      </w:r>
      <w:r>
        <w:rPr>
          <w:rFonts w:eastAsia="標楷體"/>
          <w:kern w:val="0"/>
          <w:sz w:val="20"/>
        </w:rPr>
        <w:t>a.</w:t>
      </w:r>
      <w:r>
        <w:rPr>
          <w:rFonts w:eastAsia="標楷體"/>
          <w:kern w:val="0"/>
          <w:sz w:val="20"/>
        </w:rPr>
        <w:t>每人生態足係指養活一個國民所需的生物資源生產面積，數值愈高，表示生活方式帶給環境的負荷愈大。</w:t>
      </w:r>
    </w:p>
    <w:p w14:paraId="6F6FA03E" w14:textId="77777777" w:rsidR="00052596" w:rsidRDefault="00000000">
      <w:pPr>
        <w:widowControl/>
        <w:spacing w:line="220" w:lineRule="exact"/>
        <w:ind w:left="1152" w:firstLine="2"/>
        <w:rPr>
          <w:rFonts w:eastAsia="標楷體"/>
          <w:kern w:val="0"/>
          <w:sz w:val="20"/>
        </w:rPr>
      </w:pPr>
      <w:r>
        <w:rPr>
          <w:rFonts w:eastAsia="標楷體"/>
          <w:kern w:val="0"/>
          <w:sz w:val="20"/>
        </w:rPr>
        <w:lastRenderedPageBreak/>
        <w:t>b.</w:t>
      </w:r>
      <w:r>
        <w:rPr>
          <w:rFonts w:eastAsia="標楷體"/>
          <w:kern w:val="0"/>
          <w:sz w:val="20"/>
        </w:rPr>
        <w:t>根據行政院永續會「</w:t>
      </w:r>
      <w:r>
        <w:rPr>
          <w:rFonts w:eastAsia="標楷體"/>
          <w:kern w:val="0"/>
          <w:sz w:val="20"/>
        </w:rPr>
        <w:t>2007</w:t>
      </w:r>
      <w:r>
        <w:rPr>
          <w:rFonts w:eastAsia="標楷體"/>
          <w:kern w:val="0"/>
          <w:sz w:val="20"/>
        </w:rPr>
        <w:t>臺灣永續發展指標現況」資料。</w:t>
      </w:r>
    </w:p>
    <w:p w14:paraId="286367BB" w14:textId="77777777" w:rsidR="00052596" w:rsidRDefault="00000000">
      <w:pPr>
        <w:widowControl/>
        <w:spacing w:line="220" w:lineRule="exact"/>
        <w:ind w:firstLine="84"/>
      </w:pPr>
      <w:r>
        <w:rPr>
          <w:rFonts w:ascii="標楷體" w:eastAsia="標楷體" w:hAnsi="標楷體"/>
          <w:kern w:val="0"/>
          <w:sz w:val="20"/>
        </w:rPr>
        <w:t>資料來源：</w:t>
      </w:r>
      <w:r>
        <w:rPr>
          <w:rFonts w:eastAsia="標楷體"/>
          <w:kern w:val="0"/>
          <w:sz w:val="20"/>
        </w:rPr>
        <w:t>IMD</w:t>
      </w:r>
      <w:r>
        <w:rPr>
          <w:rFonts w:ascii="標楷體" w:eastAsia="標楷體" w:hAnsi="標楷體"/>
          <w:kern w:val="0"/>
          <w:sz w:val="20"/>
        </w:rPr>
        <w:t>(</w:t>
      </w:r>
      <w:r>
        <w:rPr>
          <w:rFonts w:eastAsia="標楷體"/>
          <w:kern w:val="0"/>
          <w:sz w:val="20"/>
        </w:rPr>
        <w:t>2012</w:t>
      </w:r>
      <w:r>
        <w:rPr>
          <w:rFonts w:ascii="標楷體" w:eastAsia="標楷體" w:hAnsi="標楷體"/>
          <w:kern w:val="0"/>
          <w:sz w:val="20"/>
        </w:rPr>
        <w:t>),</w:t>
      </w:r>
      <w:r>
        <w:rPr>
          <w:rFonts w:eastAsia="標楷體"/>
          <w:i/>
          <w:kern w:val="0"/>
          <w:sz w:val="20"/>
        </w:rPr>
        <w:t xml:space="preserve"> IMD World Competitiveness Yearbook.</w:t>
      </w:r>
    </w:p>
    <w:tbl>
      <w:tblPr>
        <w:tblW w:w="8505" w:type="dxa"/>
        <w:tblInd w:w="108" w:type="dxa"/>
        <w:tblCellMar>
          <w:left w:w="10" w:type="dxa"/>
          <w:right w:w="10" w:type="dxa"/>
        </w:tblCellMar>
        <w:tblLook w:val="04A0" w:firstRow="1" w:lastRow="0" w:firstColumn="1" w:lastColumn="0" w:noHBand="0" w:noVBand="1"/>
      </w:tblPr>
      <w:tblGrid>
        <w:gridCol w:w="8505"/>
      </w:tblGrid>
      <w:tr w:rsidR="00052596" w14:paraId="02BCDCB9" w14:textId="77777777">
        <w:tblPrEx>
          <w:tblCellMar>
            <w:top w:w="0" w:type="dxa"/>
            <w:bottom w:w="0" w:type="dxa"/>
          </w:tblCellMar>
        </w:tblPrEx>
        <w:trPr>
          <w:trHeight w:val="12797"/>
        </w:trPr>
        <w:tc>
          <w:tcPr>
            <w:tcW w:w="8505" w:type="dxa"/>
            <w:tcBorders>
              <w:top w:val="single" w:sz="6" w:space="0" w:color="000000"/>
              <w:left w:val="single" w:sz="6" w:space="0" w:color="000000"/>
              <w:bottom w:val="single" w:sz="6" w:space="0" w:color="000000"/>
              <w:right w:val="single" w:sz="6" w:space="0" w:color="000000"/>
            </w:tcBorders>
            <w:shd w:val="clear" w:color="auto" w:fill="EFF5FF"/>
            <w:tcMar>
              <w:top w:w="0" w:type="dxa"/>
              <w:left w:w="108" w:type="dxa"/>
              <w:bottom w:w="0" w:type="dxa"/>
              <w:right w:w="108" w:type="dxa"/>
            </w:tcMar>
          </w:tcPr>
          <w:p w14:paraId="088F387E" w14:textId="77777777" w:rsidR="00052596" w:rsidRDefault="00000000">
            <w:pPr>
              <w:overflowPunct w:val="0"/>
              <w:autoSpaceDE w:val="0"/>
              <w:spacing w:before="240" w:after="120" w:line="380" w:lineRule="exact"/>
              <w:jc w:val="center"/>
              <w:textAlignment w:val="center"/>
              <w:rPr>
                <w:rFonts w:ascii="新細明體" w:hAnsi="新細明體"/>
                <w:b/>
                <w:color w:val="0000FF"/>
                <w:spacing w:val="14"/>
                <w:kern w:val="0"/>
                <w:szCs w:val="24"/>
              </w:rPr>
            </w:pPr>
            <w:r>
              <w:rPr>
                <w:rFonts w:ascii="新細明體" w:hAnsi="新細明體"/>
                <w:b/>
                <w:color w:val="0000FF"/>
                <w:spacing w:val="14"/>
                <w:kern w:val="0"/>
                <w:szCs w:val="24"/>
              </w:rPr>
              <w:lastRenderedPageBreak/>
              <w:t>臺灣生態環境治理效果益趨顯著</w:t>
            </w:r>
          </w:p>
          <w:p w14:paraId="7976FF27" w14:textId="77777777" w:rsidR="00052596" w:rsidRDefault="00000000">
            <w:pPr>
              <w:overflowPunct w:val="0"/>
              <w:autoSpaceDE w:val="0"/>
              <w:spacing w:line="40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近年政府積極落實執行生態環境治理工作，各項環境指標明顯改善。</w:t>
            </w:r>
          </w:p>
          <w:p w14:paraId="65278303" w14:textId="77777777" w:rsidR="00052596" w:rsidRDefault="00000000">
            <w:pPr>
              <w:overflowPunct w:val="0"/>
              <w:autoSpaceDE w:val="0"/>
              <w:spacing w:line="40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－公共污水下水道普及率：污水下水道是生態環境保護的必要設施，更是一國現代化的基本指標。100年臺灣公共污水下水道普及率由97年的19.5%提升至28.95%，提高達9.45個百分點。</w:t>
            </w:r>
          </w:p>
          <w:p w14:paraId="37D9F011" w14:textId="77777777" w:rsidR="00052596" w:rsidRDefault="00000000">
            <w:pPr>
              <w:overflowPunct w:val="0"/>
              <w:autoSpaceDE w:val="0"/>
              <w:spacing w:line="40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－污水處理率：政府積極強化城市的公共衛生與環保能力，100年國內污水處理率由97年的43.66%遞增至57.99%。</w:t>
            </w:r>
          </w:p>
          <w:p w14:paraId="3EDB9E2F" w14:textId="77777777" w:rsidR="00052596" w:rsidRDefault="00000000">
            <w:pPr>
              <w:overflowPunct w:val="0"/>
              <w:autoSpaceDE w:val="0"/>
              <w:spacing w:line="40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－垃圾回收率：政府積極推動資源回收、巨大垃圾回收再利用與廚餘回收，100年國內垃圾回收率由97年的42.5%逐年增加至51.75%，成效顯著。</w:t>
            </w:r>
          </w:p>
          <w:p w14:paraId="0A503B08" w14:textId="77777777" w:rsidR="00052596" w:rsidRDefault="00000000">
            <w:pPr>
              <w:overflowPunct w:val="0"/>
              <w:autoSpaceDE w:val="0"/>
              <w:spacing w:line="40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－垃圾妥善處理率：97至100年間，垃圾妥善處理率趨近100%，顯示國內有效落實一般廢棄物資源循環再利用。</w:t>
            </w:r>
          </w:p>
          <w:p w14:paraId="42F56019" w14:textId="77777777" w:rsidR="00052596" w:rsidRDefault="00000000">
            <w:pPr>
              <w:overflowPunct w:val="0"/>
              <w:autoSpaceDE w:val="0"/>
              <w:spacing w:line="40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－事業廢棄物再利用率：近年國內廢棄物資源循環再利用處理技術及設備不斷提升，100年事業廢棄物再利用率由97年的77.01%增至82.4%。</w:t>
            </w:r>
          </w:p>
          <w:p w14:paraId="5A746FC7" w14:textId="77777777" w:rsidR="00052596" w:rsidRDefault="00000000">
            <w:pPr>
              <w:overflowPunct w:val="0"/>
              <w:autoSpaceDE w:val="0"/>
              <w:spacing w:line="400" w:lineRule="exact"/>
              <w:ind w:left="308" w:right="72"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－政府機關及民間企業綠色採購：綠色採購可創造綠色商機及兼顧永續發展。100年我國政府機關及民間企業綠色採購金額255.2億元，較98年增加2.8倍，顯示綠色消費快速成長。</w:t>
            </w:r>
          </w:p>
          <w:p w14:paraId="3FF1172F" w14:textId="77777777" w:rsidR="00052596" w:rsidRDefault="00000000">
            <w:pPr>
              <w:overflowPunct w:val="0"/>
              <w:autoSpaceDE w:val="0"/>
              <w:spacing w:line="400" w:lineRule="exact"/>
              <w:ind w:left="308" w:right="170" w:hanging="236"/>
              <w:jc w:val="both"/>
              <w:textAlignment w:val="center"/>
              <w:rPr>
                <w:rFonts w:ascii="新細明體" w:hAnsi="新細明體"/>
                <w:bCs/>
                <w:spacing w:val="8"/>
                <w:kern w:val="0"/>
                <w:sz w:val="22"/>
                <w:szCs w:val="22"/>
              </w:rPr>
            </w:pPr>
            <w:r>
              <w:rPr>
                <w:rFonts w:ascii="新細明體" w:hAnsi="新細明體"/>
                <w:bCs/>
                <w:spacing w:val="8"/>
                <w:kern w:val="0"/>
                <w:sz w:val="22"/>
                <w:szCs w:val="22"/>
              </w:rPr>
              <w:t>－我國9條重點整治河川溶氧大於2mg/L之長度加權合格率：98至100年皆穩定維持在86%上下水準，反映國內整治河川水質工作的落實。</w:t>
            </w:r>
          </w:p>
          <w:p w14:paraId="1F134383" w14:textId="77777777" w:rsidR="00052596" w:rsidRDefault="00000000">
            <w:pPr>
              <w:overflowPunct w:val="0"/>
              <w:autoSpaceDE w:val="0"/>
              <w:spacing w:before="120" w:after="120" w:line="400" w:lineRule="exact"/>
              <w:ind w:left="72" w:right="72" w:firstLine="472"/>
              <w:jc w:val="center"/>
              <w:textAlignment w:val="center"/>
              <w:rPr>
                <w:rFonts w:ascii="新細明體" w:hAnsi="新細明體"/>
                <w:b/>
                <w:bCs/>
                <w:color w:val="0000FF"/>
                <w:spacing w:val="8"/>
                <w:kern w:val="0"/>
                <w:sz w:val="22"/>
                <w:szCs w:val="22"/>
              </w:rPr>
            </w:pPr>
            <w:r>
              <w:rPr>
                <w:rFonts w:ascii="新細明體" w:hAnsi="新細明體"/>
                <w:b/>
                <w:bCs/>
                <w:color w:val="0000FF"/>
                <w:spacing w:val="8"/>
                <w:kern w:val="0"/>
                <w:sz w:val="22"/>
                <w:szCs w:val="22"/>
              </w:rPr>
              <w:t>我國生態環境治理重要指標</w:t>
            </w:r>
          </w:p>
          <w:tbl>
            <w:tblPr>
              <w:tblW w:w="7248" w:type="dxa"/>
              <w:jc w:val="center"/>
              <w:tblCellMar>
                <w:left w:w="10" w:type="dxa"/>
                <w:right w:w="10" w:type="dxa"/>
              </w:tblCellMar>
              <w:tblLook w:val="04A0" w:firstRow="1" w:lastRow="0" w:firstColumn="1" w:lastColumn="0" w:noHBand="0" w:noVBand="1"/>
            </w:tblPr>
            <w:tblGrid>
              <w:gridCol w:w="3572"/>
              <w:gridCol w:w="680"/>
              <w:gridCol w:w="737"/>
              <w:gridCol w:w="737"/>
              <w:gridCol w:w="737"/>
              <w:gridCol w:w="785"/>
            </w:tblGrid>
            <w:tr w:rsidR="00052596" w14:paraId="592E0DE9" w14:textId="77777777">
              <w:tblPrEx>
                <w:tblCellMar>
                  <w:top w:w="0" w:type="dxa"/>
                  <w:bottom w:w="0" w:type="dxa"/>
                </w:tblCellMar>
              </w:tblPrEx>
              <w:trPr>
                <w:trHeight w:val="794"/>
                <w:jc w:val="center"/>
              </w:trPr>
              <w:tc>
                <w:tcPr>
                  <w:tcW w:w="3572" w:type="dxa"/>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4111BF79" w14:textId="77777777" w:rsidR="00052596" w:rsidRDefault="00000000">
                  <w:pPr>
                    <w:spacing w:line="300" w:lineRule="exact"/>
                    <w:jc w:val="center"/>
                    <w:rPr>
                      <w:rFonts w:ascii="新細明體" w:hAnsi="新細明體"/>
                      <w:spacing w:val="40"/>
                      <w:kern w:val="0"/>
                      <w:sz w:val="22"/>
                      <w:szCs w:val="22"/>
                    </w:rPr>
                  </w:pPr>
                  <w:r>
                    <w:rPr>
                      <w:rFonts w:ascii="新細明體" w:hAnsi="新細明體"/>
                      <w:spacing w:val="40"/>
                      <w:kern w:val="0"/>
                      <w:sz w:val="22"/>
                      <w:szCs w:val="22"/>
                    </w:rPr>
                    <w:t>項目</w:t>
                  </w:r>
                </w:p>
              </w:tc>
              <w:tc>
                <w:tcPr>
                  <w:tcW w:w="680"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60EB585A"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單位</w:t>
                  </w:r>
                </w:p>
              </w:tc>
              <w:tc>
                <w:tcPr>
                  <w:tcW w:w="737"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3FA954E7"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97年</w:t>
                  </w:r>
                </w:p>
              </w:tc>
              <w:tc>
                <w:tcPr>
                  <w:tcW w:w="737"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5E2B0472"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98年</w:t>
                  </w:r>
                </w:p>
              </w:tc>
              <w:tc>
                <w:tcPr>
                  <w:tcW w:w="737"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33568426"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99年</w:t>
                  </w:r>
                </w:p>
              </w:tc>
              <w:tc>
                <w:tcPr>
                  <w:tcW w:w="785" w:type="dxa"/>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19186D84"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100年</w:t>
                  </w:r>
                </w:p>
              </w:tc>
            </w:tr>
            <w:tr w:rsidR="00052596" w14:paraId="35B20845" w14:textId="77777777">
              <w:tblPrEx>
                <w:tblCellMar>
                  <w:top w:w="0" w:type="dxa"/>
                  <w:bottom w:w="0" w:type="dxa"/>
                </w:tblCellMar>
              </w:tblPrEx>
              <w:trPr>
                <w:trHeight w:val="425"/>
                <w:jc w:val="center"/>
              </w:trPr>
              <w:tc>
                <w:tcPr>
                  <w:tcW w:w="3572"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56D87CE2" w14:textId="77777777" w:rsidR="00052596" w:rsidRDefault="00000000">
                  <w:pPr>
                    <w:spacing w:line="300" w:lineRule="exact"/>
                    <w:jc w:val="both"/>
                    <w:rPr>
                      <w:rFonts w:ascii="新細明體" w:hAnsi="新細明體"/>
                      <w:kern w:val="0"/>
                      <w:sz w:val="22"/>
                      <w:szCs w:val="22"/>
                    </w:rPr>
                  </w:pPr>
                  <w:r>
                    <w:rPr>
                      <w:rFonts w:ascii="新細明體" w:hAnsi="新細明體"/>
                      <w:kern w:val="0"/>
                      <w:sz w:val="22"/>
                      <w:szCs w:val="22"/>
                    </w:rPr>
                    <w:t>公共污水下水道普及率</w:t>
                  </w:r>
                </w:p>
              </w:tc>
              <w:tc>
                <w:tcPr>
                  <w:tcW w:w="680"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4A3BD0C1"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w:t>
                  </w:r>
                </w:p>
              </w:tc>
              <w:tc>
                <w:tcPr>
                  <w:tcW w:w="737"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73C4501B"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19.50</w:t>
                  </w:r>
                </w:p>
              </w:tc>
              <w:tc>
                <w:tcPr>
                  <w:tcW w:w="737"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4D420D66"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22.59</w:t>
                  </w:r>
                </w:p>
              </w:tc>
              <w:tc>
                <w:tcPr>
                  <w:tcW w:w="737"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7A08E9FA"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25.70</w:t>
                  </w:r>
                </w:p>
              </w:tc>
              <w:tc>
                <w:tcPr>
                  <w:tcW w:w="785" w:type="dxa"/>
                  <w:tcBorders>
                    <w:top w:val="single" w:sz="4" w:space="0" w:color="000000"/>
                    <w:left w:val="single" w:sz="4" w:space="0" w:color="000000"/>
                  </w:tcBorders>
                  <w:shd w:val="clear" w:color="auto" w:fill="FFF0E1"/>
                  <w:tcMar>
                    <w:top w:w="0" w:type="dxa"/>
                    <w:left w:w="108" w:type="dxa"/>
                    <w:bottom w:w="0" w:type="dxa"/>
                    <w:right w:w="108" w:type="dxa"/>
                  </w:tcMar>
                  <w:vAlign w:val="center"/>
                </w:tcPr>
                <w:p w14:paraId="4305198D"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28.95</w:t>
                  </w:r>
                </w:p>
              </w:tc>
            </w:tr>
            <w:tr w:rsidR="00052596" w14:paraId="4E27EE75" w14:textId="77777777">
              <w:tblPrEx>
                <w:tblCellMar>
                  <w:top w:w="0" w:type="dxa"/>
                  <w:bottom w:w="0" w:type="dxa"/>
                </w:tblCellMar>
              </w:tblPrEx>
              <w:trPr>
                <w:trHeight w:val="425"/>
                <w:jc w:val="center"/>
              </w:trPr>
              <w:tc>
                <w:tcPr>
                  <w:tcW w:w="3572" w:type="dxa"/>
                  <w:tcBorders>
                    <w:right w:val="single" w:sz="4" w:space="0" w:color="000000"/>
                  </w:tcBorders>
                  <w:shd w:val="clear" w:color="auto" w:fill="FFF0E1"/>
                  <w:tcMar>
                    <w:top w:w="0" w:type="dxa"/>
                    <w:left w:w="108" w:type="dxa"/>
                    <w:bottom w:w="0" w:type="dxa"/>
                    <w:right w:w="108" w:type="dxa"/>
                  </w:tcMar>
                  <w:vAlign w:val="center"/>
                </w:tcPr>
                <w:p w14:paraId="09F414F0" w14:textId="77777777" w:rsidR="00052596" w:rsidRDefault="00000000">
                  <w:pPr>
                    <w:spacing w:line="300" w:lineRule="exact"/>
                    <w:jc w:val="both"/>
                    <w:rPr>
                      <w:rFonts w:ascii="新細明體" w:hAnsi="新細明體"/>
                      <w:kern w:val="0"/>
                      <w:sz w:val="22"/>
                      <w:szCs w:val="22"/>
                    </w:rPr>
                  </w:pPr>
                  <w:r>
                    <w:rPr>
                      <w:rFonts w:ascii="新細明體" w:hAnsi="新細明體"/>
                      <w:kern w:val="0"/>
                      <w:sz w:val="22"/>
                      <w:szCs w:val="22"/>
                    </w:rPr>
                    <w:t>污水處理率</w:t>
                  </w:r>
                </w:p>
              </w:tc>
              <w:tc>
                <w:tcPr>
                  <w:tcW w:w="68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3D3F4CE"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56376D4"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43.66</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3D25D62"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48.66</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855658C"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53.02</w:t>
                  </w:r>
                </w:p>
              </w:tc>
              <w:tc>
                <w:tcPr>
                  <w:tcW w:w="785" w:type="dxa"/>
                  <w:tcBorders>
                    <w:left w:val="single" w:sz="4" w:space="0" w:color="000000"/>
                  </w:tcBorders>
                  <w:shd w:val="clear" w:color="auto" w:fill="FFF0E1"/>
                  <w:tcMar>
                    <w:top w:w="0" w:type="dxa"/>
                    <w:left w:w="108" w:type="dxa"/>
                    <w:bottom w:w="0" w:type="dxa"/>
                    <w:right w:w="108" w:type="dxa"/>
                  </w:tcMar>
                  <w:vAlign w:val="center"/>
                </w:tcPr>
                <w:p w14:paraId="2F2589E5"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57.99</w:t>
                  </w:r>
                </w:p>
              </w:tc>
            </w:tr>
            <w:tr w:rsidR="00052596" w14:paraId="3D729EF9" w14:textId="77777777">
              <w:tblPrEx>
                <w:tblCellMar>
                  <w:top w:w="0" w:type="dxa"/>
                  <w:bottom w:w="0" w:type="dxa"/>
                </w:tblCellMar>
              </w:tblPrEx>
              <w:trPr>
                <w:trHeight w:val="425"/>
                <w:jc w:val="center"/>
              </w:trPr>
              <w:tc>
                <w:tcPr>
                  <w:tcW w:w="3572" w:type="dxa"/>
                  <w:tcBorders>
                    <w:right w:val="single" w:sz="4" w:space="0" w:color="000000"/>
                  </w:tcBorders>
                  <w:shd w:val="clear" w:color="auto" w:fill="FFF0E1"/>
                  <w:tcMar>
                    <w:top w:w="0" w:type="dxa"/>
                    <w:left w:w="108" w:type="dxa"/>
                    <w:bottom w:w="0" w:type="dxa"/>
                    <w:right w:w="108" w:type="dxa"/>
                  </w:tcMar>
                  <w:vAlign w:val="center"/>
                </w:tcPr>
                <w:p w14:paraId="6CF3D74B" w14:textId="77777777" w:rsidR="00052596" w:rsidRDefault="00000000">
                  <w:pPr>
                    <w:spacing w:line="300" w:lineRule="exact"/>
                    <w:jc w:val="both"/>
                    <w:rPr>
                      <w:rFonts w:ascii="新細明體" w:hAnsi="新細明體"/>
                      <w:kern w:val="0"/>
                      <w:sz w:val="22"/>
                      <w:szCs w:val="22"/>
                    </w:rPr>
                  </w:pPr>
                  <w:r>
                    <w:rPr>
                      <w:rFonts w:ascii="新細明體" w:hAnsi="新細明體"/>
                      <w:kern w:val="0"/>
                      <w:sz w:val="22"/>
                      <w:szCs w:val="22"/>
                    </w:rPr>
                    <w:t>垃圾回收率</w:t>
                  </w:r>
                </w:p>
              </w:tc>
              <w:tc>
                <w:tcPr>
                  <w:tcW w:w="68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1973B73"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1D09781"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42.5</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A50D27B"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45.36</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9A78F61"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48.25</w:t>
                  </w:r>
                </w:p>
              </w:tc>
              <w:tc>
                <w:tcPr>
                  <w:tcW w:w="785" w:type="dxa"/>
                  <w:tcBorders>
                    <w:left w:val="single" w:sz="4" w:space="0" w:color="000000"/>
                  </w:tcBorders>
                  <w:shd w:val="clear" w:color="auto" w:fill="FFF0E1"/>
                  <w:tcMar>
                    <w:top w:w="0" w:type="dxa"/>
                    <w:left w:w="108" w:type="dxa"/>
                    <w:bottom w:w="0" w:type="dxa"/>
                    <w:right w:w="108" w:type="dxa"/>
                  </w:tcMar>
                  <w:vAlign w:val="center"/>
                </w:tcPr>
                <w:p w14:paraId="3C344CC9"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51.75</w:t>
                  </w:r>
                </w:p>
              </w:tc>
            </w:tr>
            <w:tr w:rsidR="00052596" w14:paraId="7F8A7811" w14:textId="77777777">
              <w:tblPrEx>
                <w:tblCellMar>
                  <w:top w:w="0" w:type="dxa"/>
                  <w:bottom w:w="0" w:type="dxa"/>
                </w:tblCellMar>
              </w:tblPrEx>
              <w:trPr>
                <w:trHeight w:val="425"/>
                <w:jc w:val="center"/>
              </w:trPr>
              <w:tc>
                <w:tcPr>
                  <w:tcW w:w="3572" w:type="dxa"/>
                  <w:tcBorders>
                    <w:right w:val="single" w:sz="4" w:space="0" w:color="000000"/>
                  </w:tcBorders>
                  <w:shd w:val="clear" w:color="auto" w:fill="FFF0E1"/>
                  <w:tcMar>
                    <w:top w:w="0" w:type="dxa"/>
                    <w:left w:w="108" w:type="dxa"/>
                    <w:bottom w:w="0" w:type="dxa"/>
                    <w:right w:w="108" w:type="dxa"/>
                  </w:tcMar>
                  <w:vAlign w:val="center"/>
                </w:tcPr>
                <w:p w14:paraId="71499C22" w14:textId="77777777" w:rsidR="00052596" w:rsidRDefault="00000000">
                  <w:pPr>
                    <w:spacing w:line="300" w:lineRule="exact"/>
                    <w:jc w:val="both"/>
                    <w:rPr>
                      <w:rFonts w:ascii="新細明體" w:hAnsi="新細明體"/>
                      <w:kern w:val="0"/>
                      <w:sz w:val="22"/>
                      <w:szCs w:val="22"/>
                    </w:rPr>
                  </w:pPr>
                  <w:r>
                    <w:rPr>
                      <w:rFonts w:ascii="新細明體" w:hAnsi="新細明體"/>
                      <w:kern w:val="0"/>
                      <w:sz w:val="22"/>
                      <w:szCs w:val="22"/>
                    </w:rPr>
                    <w:t>垃圾妥善處理率</w:t>
                  </w:r>
                </w:p>
              </w:tc>
              <w:tc>
                <w:tcPr>
                  <w:tcW w:w="68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FF7B0D9"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C484F45"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99.99</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D15ED20"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99.98</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D369D0C"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99.97</w:t>
                  </w:r>
                </w:p>
              </w:tc>
              <w:tc>
                <w:tcPr>
                  <w:tcW w:w="785" w:type="dxa"/>
                  <w:tcBorders>
                    <w:left w:val="single" w:sz="4" w:space="0" w:color="000000"/>
                  </w:tcBorders>
                  <w:shd w:val="clear" w:color="auto" w:fill="FFF0E1"/>
                  <w:tcMar>
                    <w:top w:w="0" w:type="dxa"/>
                    <w:left w:w="108" w:type="dxa"/>
                    <w:bottom w:w="0" w:type="dxa"/>
                    <w:right w:w="108" w:type="dxa"/>
                  </w:tcMar>
                  <w:vAlign w:val="center"/>
                </w:tcPr>
                <w:p w14:paraId="5333A695"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100.00</w:t>
                  </w:r>
                </w:p>
              </w:tc>
            </w:tr>
            <w:tr w:rsidR="00052596" w14:paraId="18CC1DEF" w14:textId="77777777">
              <w:tblPrEx>
                <w:tblCellMar>
                  <w:top w:w="0" w:type="dxa"/>
                  <w:bottom w:w="0" w:type="dxa"/>
                </w:tblCellMar>
              </w:tblPrEx>
              <w:trPr>
                <w:trHeight w:val="425"/>
                <w:jc w:val="center"/>
              </w:trPr>
              <w:tc>
                <w:tcPr>
                  <w:tcW w:w="3572" w:type="dxa"/>
                  <w:tcBorders>
                    <w:right w:val="single" w:sz="4" w:space="0" w:color="000000"/>
                  </w:tcBorders>
                  <w:shd w:val="clear" w:color="auto" w:fill="FFF0E1"/>
                  <w:tcMar>
                    <w:top w:w="0" w:type="dxa"/>
                    <w:left w:w="108" w:type="dxa"/>
                    <w:bottom w:w="0" w:type="dxa"/>
                    <w:right w:w="108" w:type="dxa"/>
                  </w:tcMar>
                  <w:vAlign w:val="center"/>
                </w:tcPr>
                <w:p w14:paraId="7E2D317D" w14:textId="77777777" w:rsidR="00052596" w:rsidRDefault="00000000">
                  <w:pPr>
                    <w:spacing w:line="300" w:lineRule="exact"/>
                    <w:jc w:val="both"/>
                    <w:rPr>
                      <w:rFonts w:ascii="新細明體" w:hAnsi="新細明體"/>
                      <w:kern w:val="0"/>
                      <w:sz w:val="22"/>
                      <w:szCs w:val="22"/>
                    </w:rPr>
                  </w:pPr>
                  <w:r>
                    <w:rPr>
                      <w:rFonts w:ascii="新細明體" w:hAnsi="新細明體"/>
                      <w:kern w:val="0"/>
                      <w:sz w:val="22"/>
                      <w:szCs w:val="22"/>
                    </w:rPr>
                    <w:t>事業廢棄物再利用率</w:t>
                  </w:r>
                </w:p>
              </w:tc>
              <w:tc>
                <w:tcPr>
                  <w:tcW w:w="68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6D0786E"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6A8DCB8"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77.01</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72840A2"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80.18</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E444CC3"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80.58</w:t>
                  </w:r>
                </w:p>
              </w:tc>
              <w:tc>
                <w:tcPr>
                  <w:tcW w:w="785" w:type="dxa"/>
                  <w:tcBorders>
                    <w:left w:val="single" w:sz="4" w:space="0" w:color="000000"/>
                  </w:tcBorders>
                  <w:shd w:val="clear" w:color="auto" w:fill="FFF0E1"/>
                  <w:tcMar>
                    <w:top w:w="0" w:type="dxa"/>
                    <w:left w:w="108" w:type="dxa"/>
                    <w:bottom w:w="0" w:type="dxa"/>
                    <w:right w:w="108" w:type="dxa"/>
                  </w:tcMar>
                  <w:vAlign w:val="center"/>
                </w:tcPr>
                <w:p w14:paraId="3D419A60"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82.40</w:t>
                  </w:r>
                </w:p>
              </w:tc>
            </w:tr>
            <w:tr w:rsidR="00052596" w14:paraId="61E32CA4" w14:textId="77777777">
              <w:tblPrEx>
                <w:tblCellMar>
                  <w:top w:w="0" w:type="dxa"/>
                  <w:bottom w:w="0" w:type="dxa"/>
                </w:tblCellMar>
              </w:tblPrEx>
              <w:trPr>
                <w:trHeight w:val="425"/>
                <w:jc w:val="center"/>
              </w:trPr>
              <w:tc>
                <w:tcPr>
                  <w:tcW w:w="3572" w:type="dxa"/>
                  <w:tcBorders>
                    <w:right w:val="single" w:sz="4" w:space="0" w:color="000000"/>
                  </w:tcBorders>
                  <w:shd w:val="clear" w:color="auto" w:fill="FFF0E1"/>
                  <w:tcMar>
                    <w:top w:w="0" w:type="dxa"/>
                    <w:left w:w="108" w:type="dxa"/>
                    <w:bottom w:w="0" w:type="dxa"/>
                    <w:right w:w="108" w:type="dxa"/>
                  </w:tcMar>
                  <w:vAlign w:val="center"/>
                </w:tcPr>
                <w:p w14:paraId="69A5111E" w14:textId="77777777" w:rsidR="00052596" w:rsidRDefault="00000000">
                  <w:pPr>
                    <w:spacing w:line="300" w:lineRule="exact"/>
                    <w:jc w:val="both"/>
                    <w:rPr>
                      <w:rFonts w:ascii="新細明體" w:hAnsi="新細明體"/>
                      <w:kern w:val="0"/>
                      <w:sz w:val="22"/>
                      <w:szCs w:val="22"/>
                    </w:rPr>
                  </w:pPr>
                  <w:r>
                    <w:rPr>
                      <w:rFonts w:ascii="新細明體" w:hAnsi="新細明體"/>
                      <w:kern w:val="0"/>
                      <w:sz w:val="22"/>
                      <w:szCs w:val="22"/>
                    </w:rPr>
                    <w:t>政府機關及民間企業綠色採購金額</w:t>
                  </w:r>
                </w:p>
              </w:tc>
              <w:tc>
                <w:tcPr>
                  <w:tcW w:w="680"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C8EAE0C"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億元</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08B7EFC2"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375A073"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92</w:t>
                  </w:r>
                </w:p>
              </w:tc>
              <w:tc>
                <w:tcPr>
                  <w:tcW w:w="73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2990D62"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125</w:t>
                  </w:r>
                </w:p>
              </w:tc>
              <w:tc>
                <w:tcPr>
                  <w:tcW w:w="785" w:type="dxa"/>
                  <w:tcBorders>
                    <w:left w:val="single" w:sz="4" w:space="0" w:color="000000"/>
                  </w:tcBorders>
                  <w:shd w:val="clear" w:color="auto" w:fill="FFF0E1"/>
                  <w:tcMar>
                    <w:top w:w="0" w:type="dxa"/>
                    <w:left w:w="108" w:type="dxa"/>
                    <w:bottom w:w="0" w:type="dxa"/>
                    <w:right w:w="108" w:type="dxa"/>
                  </w:tcMar>
                  <w:vAlign w:val="center"/>
                </w:tcPr>
                <w:p w14:paraId="64A32584"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255.2</w:t>
                  </w:r>
                </w:p>
              </w:tc>
            </w:tr>
            <w:tr w:rsidR="00052596" w14:paraId="0849B7BC" w14:textId="77777777">
              <w:tblPrEx>
                <w:tblCellMar>
                  <w:top w:w="0" w:type="dxa"/>
                  <w:bottom w:w="0" w:type="dxa"/>
                </w:tblCellMar>
              </w:tblPrEx>
              <w:trPr>
                <w:trHeight w:val="695"/>
                <w:jc w:val="center"/>
              </w:trPr>
              <w:tc>
                <w:tcPr>
                  <w:tcW w:w="3572"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63347ACC" w14:textId="77777777" w:rsidR="00052596" w:rsidRDefault="00000000">
                  <w:pPr>
                    <w:overflowPunct w:val="0"/>
                    <w:autoSpaceDE w:val="0"/>
                    <w:spacing w:line="300" w:lineRule="exact"/>
                    <w:jc w:val="both"/>
                    <w:rPr>
                      <w:rFonts w:ascii="新細明體" w:hAnsi="新細明體"/>
                      <w:kern w:val="0"/>
                      <w:sz w:val="22"/>
                      <w:szCs w:val="22"/>
                    </w:rPr>
                  </w:pPr>
                  <w:r>
                    <w:rPr>
                      <w:rFonts w:ascii="新細明體" w:hAnsi="新細明體"/>
                      <w:kern w:val="0"/>
                      <w:sz w:val="22"/>
                      <w:szCs w:val="22"/>
                    </w:rPr>
                    <w:t>9條重點整治河川溶氧大於2mg/L之長度加權合格率</w:t>
                  </w:r>
                </w:p>
              </w:tc>
              <w:tc>
                <w:tcPr>
                  <w:tcW w:w="680"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6F57E189"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w:t>
                  </w:r>
                </w:p>
              </w:tc>
              <w:tc>
                <w:tcPr>
                  <w:tcW w:w="73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19744786"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w:t>
                  </w:r>
                </w:p>
              </w:tc>
              <w:tc>
                <w:tcPr>
                  <w:tcW w:w="73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1CE891CF"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87.1</w:t>
                  </w:r>
                </w:p>
              </w:tc>
              <w:tc>
                <w:tcPr>
                  <w:tcW w:w="73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212E7988"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86.1</w:t>
                  </w:r>
                </w:p>
              </w:tc>
              <w:tc>
                <w:tcPr>
                  <w:tcW w:w="785" w:type="dxa"/>
                  <w:tcBorders>
                    <w:left w:val="single" w:sz="4" w:space="0" w:color="000000"/>
                    <w:bottom w:val="single" w:sz="4" w:space="0" w:color="000000"/>
                  </w:tcBorders>
                  <w:shd w:val="clear" w:color="auto" w:fill="FFF0E1"/>
                  <w:tcMar>
                    <w:top w:w="0" w:type="dxa"/>
                    <w:left w:w="108" w:type="dxa"/>
                    <w:bottom w:w="0" w:type="dxa"/>
                    <w:right w:w="108" w:type="dxa"/>
                  </w:tcMar>
                  <w:vAlign w:val="center"/>
                </w:tcPr>
                <w:p w14:paraId="0EF92D40" w14:textId="77777777" w:rsidR="00052596" w:rsidRDefault="00000000">
                  <w:pPr>
                    <w:spacing w:line="300" w:lineRule="exact"/>
                    <w:jc w:val="center"/>
                    <w:rPr>
                      <w:rFonts w:ascii="新細明體" w:hAnsi="新細明體"/>
                      <w:kern w:val="0"/>
                      <w:sz w:val="22"/>
                      <w:szCs w:val="22"/>
                    </w:rPr>
                  </w:pPr>
                  <w:r>
                    <w:rPr>
                      <w:rFonts w:ascii="新細明體" w:hAnsi="新細明體"/>
                      <w:kern w:val="0"/>
                      <w:sz w:val="22"/>
                      <w:szCs w:val="22"/>
                    </w:rPr>
                    <w:t>86.2</w:t>
                  </w:r>
                </w:p>
              </w:tc>
            </w:tr>
          </w:tbl>
          <w:p w14:paraId="0F1A65B7" w14:textId="77777777" w:rsidR="00052596" w:rsidRDefault="00000000">
            <w:pPr>
              <w:spacing w:before="72" w:line="240" w:lineRule="exact"/>
              <w:ind w:left="-283" w:firstLine="912"/>
            </w:pPr>
            <w:r>
              <w:rPr>
                <w:rFonts w:ascii="新細明體" w:hAnsi="新細明體"/>
                <w:kern w:val="0"/>
                <w:sz w:val="20"/>
              </w:rPr>
              <w:t>資料來源：內政部營建署、行政院環保署、行政院主計總處。</w:t>
            </w:r>
          </w:p>
        </w:tc>
      </w:tr>
    </w:tbl>
    <w:p w14:paraId="226C646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rPr>
      </w:pPr>
      <w:r>
        <w:rPr>
          <w:rFonts w:ascii="標楷體" w:eastAsia="標楷體" w:hAnsi="標楷體"/>
          <w:spacing w:val="4"/>
          <w:kern w:val="0"/>
          <w:sz w:val="28"/>
        </w:rPr>
        <w:lastRenderedPageBreak/>
        <w:t>(三)節能減碳</w:t>
      </w:r>
    </w:p>
    <w:p w14:paraId="33536F1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8"/>
        </w:rPr>
      </w:pPr>
      <w:r>
        <w:rPr>
          <w:rFonts w:eastAsia="標楷體"/>
          <w:spacing w:val="4"/>
          <w:kern w:val="0"/>
          <w:sz w:val="28"/>
          <w:szCs w:val="28"/>
        </w:rPr>
        <w:t>1.</w:t>
      </w:r>
      <w:r>
        <w:rPr>
          <w:rFonts w:eastAsia="標楷體"/>
          <w:spacing w:val="4"/>
          <w:kern w:val="0"/>
          <w:sz w:val="28"/>
          <w:szCs w:val="28"/>
        </w:rPr>
        <w:t>現況與趨勢</w:t>
      </w:r>
    </w:p>
    <w:p w14:paraId="22D8FF3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eastAsia="標楷體"/>
          <w:spacing w:val="4"/>
          <w:kern w:val="0"/>
          <w:sz w:val="28"/>
        </w:rPr>
        <w:t>－</w:t>
      </w:r>
      <w:r>
        <w:rPr>
          <w:rFonts w:eastAsia="標楷體"/>
          <w:spacing w:val="4"/>
          <w:kern w:val="0"/>
          <w:sz w:val="28"/>
        </w:rPr>
        <w:t>99</w:t>
      </w:r>
      <w:r>
        <w:rPr>
          <w:rFonts w:eastAsia="標楷體"/>
          <w:spacing w:val="4"/>
          <w:kern w:val="0"/>
          <w:sz w:val="28"/>
        </w:rPr>
        <w:t>年我國二氧化碳</w:t>
      </w:r>
      <w:r>
        <w:rPr>
          <w:rFonts w:ascii="標楷體" w:eastAsia="標楷體" w:hAnsi="標楷體"/>
          <w:spacing w:val="4"/>
          <w:kern w:val="0"/>
          <w:sz w:val="28"/>
        </w:rPr>
        <w:t>(</w:t>
      </w:r>
      <w:r>
        <w:rPr>
          <w:rFonts w:eastAsia="標楷體"/>
          <w:spacing w:val="4"/>
          <w:kern w:val="0"/>
          <w:sz w:val="28"/>
        </w:rPr>
        <w:t>CO</w:t>
      </w:r>
      <w:r>
        <w:rPr>
          <w:rFonts w:eastAsia="標楷體"/>
          <w:spacing w:val="4"/>
          <w:kern w:val="0"/>
          <w:sz w:val="28"/>
          <w:vertAlign w:val="subscript"/>
        </w:rPr>
        <w:t>2</w:t>
      </w:r>
      <w:r>
        <w:rPr>
          <w:rFonts w:ascii="標楷體" w:eastAsia="標楷體" w:hAnsi="標楷體"/>
          <w:spacing w:val="4"/>
          <w:kern w:val="0"/>
          <w:sz w:val="28"/>
        </w:rPr>
        <w:t>)</w:t>
      </w:r>
      <w:r>
        <w:rPr>
          <w:rFonts w:eastAsia="標楷體"/>
          <w:spacing w:val="4"/>
          <w:kern w:val="0"/>
          <w:sz w:val="28"/>
        </w:rPr>
        <w:t>排放密集度由</w:t>
      </w:r>
      <w:r>
        <w:rPr>
          <w:rFonts w:eastAsia="標楷體"/>
          <w:spacing w:val="4"/>
          <w:kern w:val="0"/>
          <w:sz w:val="28"/>
        </w:rPr>
        <w:t>90</w:t>
      </w:r>
      <w:r>
        <w:rPr>
          <w:rFonts w:eastAsia="標楷體"/>
          <w:spacing w:val="4"/>
          <w:kern w:val="0"/>
          <w:sz w:val="28"/>
        </w:rPr>
        <w:t>年的</w:t>
      </w:r>
      <w:r>
        <w:rPr>
          <w:rFonts w:eastAsia="標楷體"/>
          <w:spacing w:val="4"/>
          <w:kern w:val="0"/>
          <w:sz w:val="28"/>
        </w:rPr>
        <w:t>24.1</w:t>
      </w:r>
      <w:r>
        <w:rPr>
          <w:rFonts w:eastAsia="標楷體"/>
          <w:spacing w:val="4"/>
          <w:kern w:val="0"/>
          <w:sz w:val="28"/>
        </w:rPr>
        <w:t>公噸</w:t>
      </w:r>
      <w:r>
        <w:rPr>
          <w:rFonts w:eastAsia="標楷體"/>
          <w:spacing w:val="4"/>
          <w:kern w:val="0"/>
          <w:sz w:val="28"/>
        </w:rPr>
        <w:t>/</w:t>
      </w:r>
      <w:r>
        <w:rPr>
          <w:rFonts w:eastAsia="標楷體"/>
          <w:spacing w:val="4"/>
          <w:kern w:val="0"/>
          <w:sz w:val="28"/>
        </w:rPr>
        <w:t>百萬元，逐年遞降至</w:t>
      </w:r>
      <w:r>
        <w:rPr>
          <w:rFonts w:eastAsia="標楷體"/>
          <w:spacing w:val="4"/>
          <w:kern w:val="0"/>
          <w:sz w:val="28"/>
        </w:rPr>
        <w:t>18.7</w:t>
      </w:r>
      <w:r>
        <w:rPr>
          <w:rFonts w:eastAsia="標楷體"/>
          <w:spacing w:val="4"/>
          <w:kern w:val="0"/>
          <w:sz w:val="28"/>
        </w:rPr>
        <w:t>公噸</w:t>
      </w:r>
      <w:r>
        <w:rPr>
          <w:rFonts w:eastAsia="標楷體"/>
          <w:spacing w:val="4"/>
          <w:kern w:val="0"/>
          <w:sz w:val="28"/>
        </w:rPr>
        <w:t>/</w:t>
      </w:r>
      <w:r>
        <w:rPr>
          <w:rFonts w:eastAsia="標楷體"/>
          <w:spacing w:val="4"/>
          <w:kern w:val="0"/>
          <w:sz w:val="28"/>
        </w:rPr>
        <w:t>百萬元，顯示國內經濟成長與</w:t>
      </w:r>
      <w:r>
        <w:rPr>
          <w:rFonts w:eastAsia="標楷體"/>
          <w:spacing w:val="4"/>
          <w:kern w:val="0"/>
          <w:sz w:val="28"/>
        </w:rPr>
        <w:t>CO</w:t>
      </w:r>
      <w:r>
        <w:rPr>
          <w:rFonts w:eastAsia="標楷體"/>
          <w:spacing w:val="4"/>
          <w:kern w:val="0"/>
          <w:sz w:val="28"/>
          <w:vertAlign w:val="subscript"/>
        </w:rPr>
        <w:t>2</w:t>
      </w:r>
      <w:r>
        <w:rPr>
          <w:rFonts w:eastAsia="標楷體"/>
          <w:spacing w:val="4"/>
          <w:kern w:val="0"/>
          <w:sz w:val="28"/>
        </w:rPr>
        <w:t>排放漸呈脫鉤現象。惟根據</w:t>
      </w:r>
      <w:r>
        <w:rPr>
          <w:rFonts w:eastAsia="標楷體"/>
          <w:spacing w:val="4"/>
          <w:kern w:val="0"/>
          <w:sz w:val="28"/>
        </w:rPr>
        <w:t>IMD</w:t>
      </w:r>
      <w:r>
        <w:rPr>
          <w:rFonts w:eastAsia="標楷體"/>
          <w:spacing w:val="4"/>
          <w:kern w:val="0"/>
          <w:sz w:val="28"/>
        </w:rPr>
        <w:t>「</w:t>
      </w:r>
      <w:r>
        <w:rPr>
          <w:rFonts w:eastAsia="標楷體"/>
          <w:spacing w:val="4"/>
          <w:kern w:val="0"/>
          <w:sz w:val="28"/>
        </w:rPr>
        <w:t>2012</w:t>
      </w:r>
      <w:r>
        <w:rPr>
          <w:rFonts w:eastAsia="標楷體"/>
          <w:spacing w:val="4"/>
          <w:kern w:val="0"/>
          <w:sz w:val="28"/>
        </w:rPr>
        <w:t>年世界競爭力年報」，</w:t>
      </w:r>
      <w:r>
        <w:rPr>
          <w:rFonts w:eastAsia="標楷體"/>
          <w:spacing w:val="4"/>
          <w:kern w:val="0"/>
          <w:sz w:val="28"/>
        </w:rPr>
        <w:t>2009</w:t>
      </w:r>
      <w:r>
        <w:rPr>
          <w:rFonts w:eastAsia="標楷體"/>
          <w:spacing w:val="4"/>
          <w:kern w:val="0"/>
          <w:sz w:val="28"/>
        </w:rPr>
        <w:t>年我國</w:t>
      </w:r>
      <w:r>
        <w:rPr>
          <w:rFonts w:eastAsia="標楷體"/>
          <w:spacing w:val="4"/>
          <w:kern w:val="0"/>
          <w:sz w:val="28"/>
        </w:rPr>
        <w:t>CO</w:t>
      </w:r>
      <w:r>
        <w:rPr>
          <w:rFonts w:eastAsia="標楷體"/>
          <w:spacing w:val="4"/>
          <w:kern w:val="0"/>
          <w:sz w:val="28"/>
          <w:vertAlign w:val="subscript"/>
        </w:rPr>
        <w:t>2</w:t>
      </w:r>
      <w:r>
        <w:rPr>
          <w:rFonts w:eastAsia="標楷體"/>
          <w:spacing w:val="4"/>
          <w:kern w:val="0"/>
          <w:sz w:val="28"/>
        </w:rPr>
        <w:t>排放密集度排名全球第</w:t>
      </w:r>
      <w:r>
        <w:rPr>
          <w:rFonts w:eastAsia="標楷體"/>
          <w:spacing w:val="4"/>
          <w:kern w:val="0"/>
          <w:sz w:val="28"/>
        </w:rPr>
        <w:t>46</w:t>
      </w:r>
      <w:r>
        <w:rPr>
          <w:rFonts w:eastAsia="標楷體"/>
          <w:spacing w:val="4"/>
          <w:kern w:val="0"/>
          <w:sz w:val="28"/>
        </w:rPr>
        <w:t>名</w:t>
      </w:r>
      <w:r>
        <w:rPr>
          <w:rFonts w:ascii="標楷體" w:eastAsia="標楷體" w:hAnsi="標楷體"/>
          <w:spacing w:val="4"/>
          <w:kern w:val="0"/>
          <w:sz w:val="28"/>
        </w:rPr>
        <w:t>(</w:t>
      </w:r>
      <w:r>
        <w:rPr>
          <w:rFonts w:eastAsia="標楷體"/>
          <w:spacing w:val="4"/>
          <w:kern w:val="0"/>
          <w:sz w:val="28"/>
        </w:rPr>
        <w:t>南韓第</w:t>
      </w:r>
      <w:r>
        <w:rPr>
          <w:rFonts w:eastAsia="標楷體"/>
          <w:spacing w:val="4"/>
          <w:kern w:val="0"/>
          <w:sz w:val="28"/>
        </w:rPr>
        <w:t>45</w:t>
      </w:r>
      <w:r>
        <w:rPr>
          <w:rFonts w:eastAsia="標楷體"/>
          <w:spacing w:val="4"/>
          <w:kern w:val="0"/>
          <w:sz w:val="28"/>
        </w:rPr>
        <w:t>名，新加坡第</w:t>
      </w:r>
      <w:r>
        <w:rPr>
          <w:rFonts w:eastAsia="標楷體"/>
          <w:spacing w:val="4"/>
          <w:kern w:val="0"/>
          <w:sz w:val="28"/>
        </w:rPr>
        <w:t>21</w:t>
      </w:r>
      <w:r>
        <w:rPr>
          <w:rFonts w:eastAsia="標楷體"/>
          <w:spacing w:val="4"/>
          <w:kern w:val="0"/>
          <w:sz w:val="28"/>
        </w:rPr>
        <w:t>名，香港第</w:t>
      </w:r>
      <w:r>
        <w:rPr>
          <w:rFonts w:eastAsia="標楷體"/>
          <w:spacing w:val="4"/>
          <w:kern w:val="0"/>
          <w:sz w:val="28"/>
        </w:rPr>
        <w:t>16</w:t>
      </w:r>
      <w:r>
        <w:rPr>
          <w:rFonts w:eastAsia="標楷體"/>
          <w:spacing w:val="4"/>
          <w:kern w:val="0"/>
          <w:sz w:val="28"/>
        </w:rPr>
        <w:t>名</w:t>
      </w:r>
      <w:r>
        <w:rPr>
          <w:rFonts w:ascii="標楷體" w:eastAsia="標楷體" w:hAnsi="標楷體"/>
          <w:spacing w:val="4"/>
          <w:kern w:val="0"/>
          <w:sz w:val="28"/>
        </w:rPr>
        <w:t>)</w:t>
      </w:r>
      <w:r>
        <w:rPr>
          <w:rFonts w:eastAsia="標楷體"/>
          <w:spacing w:val="4"/>
          <w:kern w:val="0"/>
          <w:sz w:val="28"/>
        </w:rPr>
        <w:t>，僅較</w:t>
      </w:r>
      <w:r>
        <w:rPr>
          <w:rFonts w:eastAsia="標楷體"/>
          <w:spacing w:val="4"/>
          <w:kern w:val="0"/>
          <w:sz w:val="28"/>
        </w:rPr>
        <w:t>2008</w:t>
      </w:r>
      <w:r>
        <w:rPr>
          <w:rFonts w:eastAsia="標楷體"/>
          <w:spacing w:val="4"/>
          <w:kern w:val="0"/>
          <w:sz w:val="28"/>
        </w:rPr>
        <w:t>年進步</w:t>
      </w:r>
      <w:r>
        <w:rPr>
          <w:rFonts w:eastAsia="標楷體"/>
          <w:spacing w:val="4"/>
          <w:kern w:val="0"/>
          <w:sz w:val="28"/>
        </w:rPr>
        <w:t>1</w:t>
      </w:r>
      <w:r>
        <w:rPr>
          <w:rFonts w:eastAsia="標楷體"/>
          <w:spacing w:val="4"/>
          <w:kern w:val="0"/>
          <w:sz w:val="28"/>
        </w:rPr>
        <w:t>名，仍有改善空間。</w:t>
      </w:r>
    </w:p>
    <w:p w14:paraId="79C406F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eastAsia="標楷體"/>
          <w:spacing w:val="4"/>
          <w:kern w:val="0"/>
          <w:sz w:val="28"/>
        </w:rPr>
        <w:t>－</w:t>
      </w:r>
      <w:r>
        <w:rPr>
          <w:rFonts w:eastAsia="標楷體"/>
          <w:spacing w:val="4"/>
          <w:kern w:val="0"/>
          <w:sz w:val="28"/>
        </w:rPr>
        <w:t>100</w:t>
      </w:r>
      <w:r>
        <w:rPr>
          <w:rFonts w:eastAsia="標楷體"/>
          <w:spacing w:val="4"/>
          <w:kern w:val="0"/>
          <w:sz w:val="28"/>
        </w:rPr>
        <w:t>年我國能源密集度由</w:t>
      </w:r>
      <w:r>
        <w:rPr>
          <w:rFonts w:eastAsia="標楷體"/>
          <w:spacing w:val="4"/>
          <w:kern w:val="0"/>
          <w:sz w:val="28"/>
        </w:rPr>
        <w:t>90</w:t>
      </w:r>
      <w:r>
        <w:rPr>
          <w:rFonts w:eastAsia="標楷體"/>
          <w:spacing w:val="4"/>
          <w:kern w:val="0"/>
          <w:sz w:val="28"/>
        </w:rPr>
        <w:t>年的</w:t>
      </w:r>
      <w:r>
        <w:rPr>
          <w:rFonts w:eastAsia="標楷體"/>
          <w:spacing w:val="4"/>
          <w:kern w:val="0"/>
          <w:sz w:val="28"/>
        </w:rPr>
        <w:t>10.0</w:t>
      </w:r>
      <w:r>
        <w:rPr>
          <w:rFonts w:eastAsia="標楷體"/>
          <w:spacing w:val="4"/>
          <w:kern w:val="0"/>
          <w:sz w:val="28"/>
        </w:rPr>
        <w:t>公升油當量</w:t>
      </w:r>
      <w:r>
        <w:rPr>
          <w:rFonts w:eastAsia="標楷體"/>
          <w:spacing w:val="4"/>
          <w:kern w:val="0"/>
          <w:sz w:val="28"/>
        </w:rPr>
        <w:t>/</w:t>
      </w:r>
      <w:r>
        <w:rPr>
          <w:rFonts w:eastAsia="標楷體"/>
          <w:spacing w:val="4"/>
          <w:kern w:val="0"/>
          <w:sz w:val="28"/>
        </w:rPr>
        <w:t>千元，遞降至</w:t>
      </w:r>
      <w:r>
        <w:rPr>
          <w:rFonts w:eastAsia="標楷體"/>
          <w:spacing w:val="4"/>
          <w:kern w:val="0"/>
          <w:sz w:val="28"/>
        </w:rPr>
        <w:t>7.99</w:t>
      </w:r>
      <w:r>
        <w:rPr>
          <w:rFonts w:eastAsia="標楷體"/>
          <w:spacing w:val="4"/>
          <w:kern w:val="0"/>
          <w:sz w:val="28"/>
        </w:rPr>
        <w:t>公升油當量</w:t>
      </w:r>
      <w:r>
        <w:rPr>
          <w:rFonts w:eastAsia="標楷體"/>
          <w:spacing w:val="4"/>
          <w:kern w:val="0"/>
          <w:sz w:val="28"/>
        </w:rPr>
        <w:t>/</w:t>
      </w:r>
      <w:r>
        <w:rPr>
          <w:rFonts w:eastAsia="標楷體"/>
          <w:spacing w:val="4"/>
          <w:kern w:val="0"/>
          <w:sz w:val="28"/>
        </w:rPr>
        <w:t>千元，顯示我國能源使用效率益趨改善。能源效率雖漸提升，然國內仍以使用傳統化石能源為主，提升</w:t>
      </w:r>
      <w:r>
        <w:rPr>
          <w:rFonts w:eastAsia="標楷體"/>
          <w:spacing w:val="4"/>
          <w:kern w:val="0"/>
          <w:sz w:val="28"/>
        </w:rPr>
        <w:t>CO</w:t>
      </w:r>
      <w:r>
        <w:rPr>
          <w:rFonts w:eastAsia="標楷體"/>
          <w:spacing w:val="4"/>
          <w:kern w:val="0"/>
          <w:sz w:val="28"/>
          <w:vertAlign w:val="subscript"/>
        </w:rPr>
        <w:t>2</w:t>
      </w:r>
      <w:r>
        <w:rPr>
          <w:rFonts w:eastAsia="標楷體"/>
          <w:spacing w:val="4"/>
          <w:kern w:val="0"/>
          <w:sz w:val="28"/>
        </w:rPr>
        <w:t>減排效益相對困難。準此，政府將積極開發再生能源，增進能源供給多元化，並帶動再生能源相關產業發展。根據</w:t>
      </w:r>
      <w:r>
        <w:rPr>
          <w:rFonts w:eastAsia="標楷體"/>
          <w:spacing w:val="4"/>
          <w:kern w:val="0"/>
          <w:sz w:val="28"/>
        </w:rPr>
        <w:t>IMD</w:t>
      </w:r>
      <w:r>
        <w:rPr>
          <w:rFonts w:ascii="新細明體" w:hAnsi="新細明體"/>
          <w:spacing w:val="4"/>
          <w:kern w:val="0"/>
          <w:sz w:val="28"/>
        </w:rPr>
        <w:t>「</w:t>
      </w:r>
      <w:r>
        <w:rPr>
          <w:rFonts w:eastAsia="標楷體"/>
          <w:spacing w:val="4"/>
          <w:kern w:val="0"/>
          <w:sz w:val="28"/>
        </w:rPr>
        <w:t>2012</w:t>
      </w:r>
      <w:r>
        <w:rPr>
          <w:rFonts w:eastAsia="標楷體"/>
          <w:spacing w:val="4"/>
          <w:kern w:val="0"/>
          <w:sz w:val="28"/>
        </w:rPr>
        <w:t>年世界競爭力年報</w:t>
      </w:r>
      <w:r>
        <w:rPr>
          <w:rFonts w:ascii="新細明體" w:hAnsi="新細明體"/>
          <w:spacing w:val="4"/>
          <w:kern w:val="0"/>
          <w:sz w:val="28"/>
        </w:rPr>
        <w:t>」</w:t>
      </w:r>
      <w:r>
        <w:rPr>
          <w:rFonts w:eastAsia="標楷體"/>
          <w:spacing w:val="4"/>
          <w:kern w:val="0"/>
          <w:sz w:val="28"/>
        </w:rPr>
        <w:t>評比，我國再生能源科技全球第</w:t>
      </w:r>
      <w:r>
        <w:rPr>
          <w:rFonts w:eastAsia="標楷體"/>
          <w:spacing w:val="4"/>
          <w:kern w:val="0"/>
          <w:sz w:val="28"/>
        </w:rPr>
        <w:t>17</w:t>
      </w:r>
      <w:r>
        <w:rPr>
          <w:rFonts w:eastAsia="標楷體"/>
          <w:spacing w:val="4"/>
          <w:kern w:val="0"/>
          <w:sz w:val="28"/>
        </w:rPr>
        <w:t>位，顯示我國發展再生能源具優勢。</w:t>
      </w:r>
    </w:p>
    <w:p w14:paraId="704B5890" w14:textId="77777777" w:rsidR="00052596" w:rsidRDefault="00000000">
      <w:pPr>
        <w:overflowPunct w:val="0"/>
        <w:autoSpaceDE w:val="0"/>
        <w:snapToGrid w:val="0"/>
        <w:spacing w:before="240" w:after="240" w:line="280" w:lineRule="exact"/>
        <w:jc w:val="center"/>
        <w:textAlignment w:val="center"/>
      </w:pPr>
      <w:r>
        <w:rPr>
          <w:rFonts w:eastAsia="標楷體"/>
          <w:b/>
          <w:color w:val="0000FF"/>
          <w:kern w:val="0"/>
          <w:sz w:val="25"/>
          <w:szCs w:val="22"/>
        </w:rPr>
        <w:t>圖</w:t>
      </w:r>
      <w:r>
        <w:rPr>
          <w:rFonts w:eastAsia="標楷體"/>
          <w:b/>
          <w:color w:val="0000FF"/>
          <w:kern w:val="0"/>
          <w:sz w:val="25"/>
          <w:szCs w:val="22"/>
        </w:rPr>
        <w:t>1.2.14</w:t>
      </w:r>
      <w:r>
        <w:rPr>
          <w:rFonts w:eastAsia="標楷體"/>
          <w:b/>
          <w:color w:val="0000FF"/>
          <w:kern w:val="0"/>
          <w:sz w:val="25"/>
          <w:szCs w:val="22"/>
        </w:rPr>
        <w:t xml:space="preserve">　</w:t>
      </w:r>
      <w:r>
        <w:rPr>
          <w:rFonts w:eastAsia="標楷體"/>
          <w:b/>
          <w:color w:val="0000FF"/>
          <w:kern w:val="0"/>
          <w:sz w:val="25"/>
          <w:szCs w:val="22"/>
        </w:rPr>
        <w:t>CO</w:t>
      </w:r>
      <w:r>
        <w:rPr>
          <w:rFonts w:eastAsia="標楷體"/>
          <w:b/>
          <w:color w:val="0000FF"/>
          <w:kern w:val="0"/>
          <w:sz w:val="25"/>
          <w:szCs w:val="22"/>
          <w:vertAlign w:val="subscript"/>
        </w:rPr>
        <w:t>2</w:t>
      </w:r>
      <w:r>
        <w:rPr>
          <w:rFonts w:eastAsia="標楷體"/>
          <w:b/>
          <w:color w:val="0000FF"/>
          <w:kern w:val="0"/>
          <w:sz w:val="25"/>
          <w:szCs w:val="22"/>
        </w:rPr>
        <w:t>排放密集度與能源密集度</w:t>
      </w:r>
    </w:p>
    <w:p w14:paraId="159186D3" w14:textId="77777777" w:rsidR="00052596" w:rsidRDefault="00000000">
      <w:pPr>
        <w:widowControl/>
        <w:jc w:val="center"/>
      </w:pPr>
      <w:r>
        <w:rPr>
          <w:noProof/>
        </w:rPr>
        <w:drawing>
          <wp:anchor distT="0" distB="0" distL="114300" distR="114300" simplePos="0" relativeHeight="251658752" behindDoc="1" locked="0" layoutInCell="1" allowOverlap="1" wp14:anchorId="72C62BEE" wp14:editId="37902CE4">
            <wp:simplePos x="0" y="0"/>
            <wp:positionH relativeFrom="column">
              <wp:posOffset>443868</wp:posOffset>
            </wp:positionH>
            <wp:positionV relativeFrom="paragraph">
              <wp:posOffset>160650</wp:posOffset>
            </wp:positionV>
            <wp:extent cx="4686299" cy="3019421"/>
            <wp:effectExtent l="0" t="0" r="1" b="0"/>
            <wp:wrapNone/>
            <wp:docPr id="171" name="圖表 430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4686299" cy="3019421"/>
                    </a:xfrm>
                    <a:prstGeom prst="rect">
                      <a:avLst/>
                    </a:prstGeom>
                    <a:noFill/>
                    <a:ln>
                      <a:noFill/>
                      <a:prstDash/>
                    </a:ln>
                  </pic:spPr>
                </pic:pic>
              </a:graphicData>
            </a:graphic>
          </wp:anchor>
        </w:drawing>
      </w:r>
    </w:p>
    <w:p w14:paraId="0AEDFF88" w14:textId="77777777" w:rsidR="00052596" w:rsidRDefault="00052596">
      <w:pPr>
        <w:widowControl/>
        <w:spacing w:line="280" w:lineRule="exact"/>
        <w:ind w:left="938" w:hanging="88"/>
        <w:rPr>
          <w:rFonts w:ascii="標楷體" w:eastAsia="標楷體" w:hAnsi="標楷體"/>
          <w:kern w:val="0"/>
          <w:sz w:val="20"/>
        </w:rPr>
      </w:pPr>
    </w:p>
    <w:p w14:paraId="6770C4B1" w14:textId="77777777" w:rsidR="00052596" w:rsidRDefault="00052596">
      <w:pPr>
        <w:widowControl/>
        <w:spacing w:line="280" w:lineRule="exact"/>
        <w:ind w:left="938" w:hanging="88"/>
        <w:rPr>
          <w:rFonts w:ascii="標楷體" w:eastAsia="標楷體" w:hAnsi="標楷體"/>
          <w:kern w:val="0"/>
          <w:sz w:val="20"/>
        </w:rPr>
      </w:pPr>
    </w:p>
    <w:p w14:paraId="6C36B4A8" w14:textId="77777777" w:rsidR="00052596" w:rsidRDefault="00052596">
      <w:pPr>
        <w:widowControl/>
        <w:spacing w:line="280" w:lineRule="exact"/>
        <w:ind w:left="938" w:hanging="88"/>
        <w:rPr>
          <w:rFonts w:ascii="標楷體" w:eastAsia="標楷體" w:hAnsi="標楷體"/>
          <w:kern w:val="0"/>
          <w:sz w:val="20"/>
        </w:rPr>
      </w:pPr>
    </w:p>
    <w:p w14:paraId="09BD82A0" w14:textId="77777777" w:rsidR="00052596" w:rsidRDefault="00052596">
      <w:pPr>
        <w:widowControl/>
        <w:spacing w:line="280" w:lineRule="exact"/>
        <w:ind w:left="938" w:hanging="88"/>
        <w:rPr>
          <w:rFonts w:ascii="標楷體" w:eastAsia="標楷體" w:hAnsi="標楷體"/>
          <w:kern w:val="0"/>
          <w:sz w:val="20"/>
        </w:rPr>
      </w:pPr>
    </w:p>
    <w:p w14:paraId="4648F5B0" w14:textId="77777777" w:rsidR="00052596" w:rsidRDefault="00052596">
      <w:pPr>
        <w:widowControl/>
        <w:spacing w:line="280" w:lineRule="exact"/>
        <w:ind w:left="938" w:hanging="88"/>
        <w:rPr>
          <w:rFonts w:ascii="標楷體" w:eastAsia="標楷體" w:hAnsi="標楷體"/>
          <w:kern w:val="0"/>
          <w:sz w:val="20"/>
        </w:rPr>
      </w:pPr>
    </w:p>
    <w:p w14:paraId="7806384D" w14:textId="77777777" w:rsidR="00052596" w:rsidRDefault="00052596">
      <w:pPr>
        <w:widowControl/>
        <w:spacing w:line="280" w:lineRule="exact"/>
        <w:ind w:left="938" w:hanging="88"/>
        <w:rPr>
          <w:rFonts w:ascii="標楷體" w:eastAsia="標楷體" w:hAnsi="標楷體"/>
          <w:kern w:val="0"/>
          <w:sz w:val="20"/>
        </w:rPr>
      </w:pPr>
    </w:p>
    <w:p w14:paraId="21AADA3C" w14:textId="77777777" w:rsidR="00052596" w:rsidRDefault="00052596">
      <w:pPr>
        <w:widowControl/>
        <w:spacing w:line="280" w:lineRule="exact"/>
        <w:ind w:left="938" w:hanging="88"/>
        <w:rPr>
          <w:rFonts w:ascii="標楷體" w:eastAsia="標楷體" w:hAnsi="標楷體"/>
          <w:kern w:val="0"/>
          <w:sz w:val="20"/>
        </w:rPr>
      </w:pPr>
    </w:p>
    <w:p w14:paraId="3282F7CE" w14:textId="77777777" w:rsidR="00052596" w:rsidRDefault="00052596">
      <w:pPr>
        <w:widowControl/>
        <w:spacing w:line="280" w:lineRule="exact"/>
        <w:ind w:left="938" w:hanging="88"/>
        <w:rPr>
          <w:rFonts w:ascii="標楷體" w:eastAsia="標楷體" w:hAnsi="標楷體"/>
          <w:kern w:val="0"/>
          <w:sz w:val="20"/>
        </w:rPr>
      </w:pPr>
    </w:p>
    <w:p w14:paraId="656962AA" w14:textId="77777777" w:rsidR="00052596" w:rsidRDefault="00052596">
      <w:pPr>
        <w:widowControl/>
        <w:spacing w:line="280" w:lineRule="exact"/>
        <w:ind w:left="938" w:hanging="88"/>
        <w:rPr>
          <w:rFonts w:ascii="標楷體" w:eastAsia="標楷體" w:hAnsi="標楷體"/>
          <w:kern w:val="0"/>
          <w:sz w:val="20"/>
        </w:rPr>
      </w:pPr>
    </w:p>
    <w:p w14:paraId="16FB02E1" w14:textId="77777777" w:rsidR="00052596" w:rsidRDefault="00052596">
      <w:pPr>
        <w:widowControl/>
        <w:spacing w:line="280" w:lineRule="exact"/>
        <w:ind w:left="938" w:hanging="88"/>
        <w:rPr>
          <w:rFonts w:ascii="標楷體" w:eastAsia="標楷體" w:hAnsi="標楷體"/>
          <w:kern w:val="0"/>
          <w:sz w:val="20"/>
        </w:rPr>
      </w:pPr>
    </w:p>
    <w:p w14:paraId="36AA3387" w14:textId="77777777" w:rsidR="00052596" w:rsidRDefault="00052596">
      <w:pPr>
        <w:widowControl/>
        <w:spacing w:line="280" w:lineRule="exact"/>
        <w:ind w:left="938" w:hanging="88"/>
        <w:rPr>
          <w:rFonts w:ascii="標楷體" w:eastAsia="標楷體" w:hAnsi="標楷體"/>
          <w:kern w:val="0"/>
          <w:sz w:val="20"/>
        </w:rPr>
      </w:pPr>
    </w:p>
    <w:p w14:paraId="3A8787F4" w14:textId="77777777" w:rsidR="00052596" w:rsidRDefault="00052596">
      <w:pPr>
        <w:widowControl/>
        <w:spacing w:line="280" w:lineRule="exact"/>
        <w:ind w:left="938" w:hanging="88"/>
        <w:rPr>
          <w:rFonts w:ascii="標楷體" w:eastAsia="標楷體" w:hAnsi="標楷體"/>
          <w:kern w:val="0"/>
          <w:sz w:val="20"/>
        </w:rPr>
      </w:pPr>
    </w:p>
    <w:p w14:paraId="7C77612C" w14:textId="77777777" w:rsidR="00052596" w:rsidRDefault="00052596">
      <w:pPr>
        <w:widowControl/>
        <w:spacing w:line="280" w:lineRule="exact"/>
        <w:ind w:left="938" w:hanging="88"/>
        <w:rPr>
          <w:rFonts w:ascii="標楷體" w:eastAsia="標楷體" w:hAnsi="標楷體"/>
          <w:kern w:val="0"/>
          <w:sz w:val="20"/>
        </w:rPr>
      </w:pPr>
    </w:p>
    <w:p w14:paraId="0AD7C468" w14:textId="77777777" w:rsidR="00052596" w:rsidRDefault="00052596">
      <w:pPr>
        <w:widowControl/>
        <w:spacing w:line="280" w:lineRule="exact"/>
        <w:ind w:left="938" w:hanging="88"/>
        <w:rPr>
          <w:rFonts w:ascii="標楷體" w:eastAsia="標楷體" w:hAnsi="標楷體"/>
          <w:kern w:val="0"/>
          <w:sz w:val="20"/>
        </w:rPr>
      </w:pPr>
    </w:p>
    <w:p w14:paraId="12968128" w14:textId="77777777" w:rsidR="00052596" w:rsidRDefault="00052596">
      <w:pPr>
        <w:widowControl/>
        <w:spacing w:line="280" w:lineRule="exact"/>
        <w:ind w:left="938" w:hanging="88"/>
        <w:rPr>
          <w:rFonts w:ascii="標楷體" w:eastAsia="標楷體" w:hAnsi="標楷體"/>
          <w:kern w:val="0"/>
          <w:sz w:val="20"/>
        </w:rPr>
      </w:pPr>
    </w:p>
    <w:p w14:paraId="32E597ED" w14:textId="77777777" w:rsidR="00052596" w:rsidRDefault="00052596">
      <w:pPr>
        <w:widowControl/>
        <w:spacing w:line="280" w:lineRule="exact"/>
        <w:ind w:left="938" w:hanging="88"/>
        <w:rPr>
          <w:rFonts w:ascii="標楷體" w:eastAsia="標楷體" w:hAnsi="標楷體"/>
          <w:kern w:val="0"/>
          <w:sz w:val="20"/>
        </w:rPr>
      </w:pPr>
    </w:p>
    <w:p w14:paraId="2D022203" w14:textId="77777777" w:rsidR="00052596" w:rsidRDefault="00000000">
      <w:pPr>
        <w:widowControl/>
        <w:tabs>
          <w:tab w:val="left" w:pos="7371"/>
        </w:tabs>
        <w:spacing w:before="120" w:line="320" w:lineRule="exact"/>
        <w:ind w:left="2316" w:right="1445" w:hanging="900"/>
        <w:rPr>
          <w:rFonts w:ascii="標楷體" w:eastAsia="標楷體" w:hAnsi="標楷體"/>
          <w:kern w:val="0"/>
          <w:sz w:val="20"/>
        </w:rPr>
      </w:pPr>
      <w:r>
        <w:rPr>
          <w:rFonts w:ascii="標楷體" w:eastAsia="標楷體" w:hAnsi="標楷體"/>
          <w:kern w:val="0"/>
          <w:sz w:val="20"/>
        </w:rPr>
        <w:t>資料來源：行政院主計總處；經濟部能源局。</w:t>
      </w:r>
    </w:p>
    <w:p w14:paraId="45DF886F" w14:textId="77777777" w:rsidR="00052596" w:rsidRDefault="00000000">
      <w:pPr>
        <w:pageBreakBefore/>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2.</w:t>
      </w:r>
      <w:r>
        <w:rPr>
          <w:rFonts w:eastAsia="標楷體"/>
          <w:spacing w:val="4"/>
          <w:kern w:val="0"/>
          <w:sz w:val="28"/>
          <w:szCs w:val="26"/>
        </w:rPr>
        <w:t>國際比較</w:t>
      </w:r>
    </w:p>
    <w:p w14:paraId="2B81DEC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eastAsia="標楷體"/>
          <w:spacing w:val="4"/>
          <w:kern w:val="0"/>
          <w:sz w:val="28"/>
        </w:rPr>
        <w:t>－依據國際能源總署</w:t>
      </w:r>
      <w:r>
        <w:rPr>
          <w:rFonts w:ascii="標楷體" w:eastAsia="標楷體" w:hAnsi="標楷體"/>
          <w:spacing w:val="4"/>
          <w:kern w:val="0"/>
          <w:sz w:val="28"/>
        </w:rPr>
        <w:t>(</w:t>
      </w:r>
      <w:r>
        <w:rPr>
          <w:rFonts w:eastAsia="標楷體"/>
          <w:spacing w:val="4"/>
          <w:kern w:val="0"/>
          <w:sz w:val="28"/>
        </w:rPr>
        <w:t>IEA</w:t>
      </w:r>
      <w:r>
        <w:rPr>
          <w:rFonts w:ascii="標楷體" w:eastAsia="標楷體" w:hAnsi="標楷體"/>
          <w:spacing w:val="4"/>
          <w:kern w:val="0"/>
          <w:sz w:val="28"/>
        </w:rPr>
        <w:t>)</w:t>
      </w:r>
      <w:r>
        <w:rPr>
          <w:rFonts w:eastAsia="標楷體"/>
          <w:spacing w:val="4"/>
          <w:kern w:val="0"/>
          <w:sz w:val="28"/>
        </w:rPr>
        <w:t>資料，</w:t>
      </w:r>
      <w:r>
        <w:rPr>
          <w:rFonts w:eastAsia="標楷體"/>
          <w:spacing w:val="4"/>
          <w:kern w:val="0"/>
          <w:sz w:val="28"/>
        </w:rPr>
        <w:t>2008</w:t>
      </w:r>
      <w:r>
        <w:rPr>
          <w:rFonts w:eastAsia="標楷體"/>
          <w:spacing w:val="4"/>
          <w:kern w:val="0"/>
          <w:sz w:val="28"/>
        </w:rPr>
        <w:t>年</w:t>
      </w:r>
      <w:r>
        <w:rPr>
          <w:rFonts w:eastAsia="標楷體"/>
          <w:spacing w:val="4"/>
          <w:kern w:val="0"/>
          <w:sz w:val="28"/>
        </w:rPr>
        <w:t>OECD</w:t>
      </w:r>
      <w:r>
        <w:rPr>
          <w:rFonts w:eastAsia="標楷體"/>
          <w:spacing w:val="4"/>
          <w:kern w:val="0"/>
          <w:sz w:val="28"/>
        </w:rPr>
        <w:t>國家</w:t>
      </w:r>
      <w:r>
        <w:rPr>
          <w:rFonts w:eastAsia="標楷體"/>
          <w:spacing w:val="4"/>
          <w:kern w:val="0"/>
          <w:sz w:val="28"/>
        </w:rPr>
        <w:t>CO</w:t>
      </w:r>
      <w:r>
        <w:rPr>
          <w:rFonts w:eastAsia="標楷體"/>
          <w:spacing w:val="4"/>
          <w:kern w:val="0"/>
          <w:sz w:val="28"/>
          <w:vertAlign w:val="subscript"/>
        </w:rPr>
        <w:t>2</w:t>
      </w:r>
      <w:r>
        <w:rPr>
          <w:rFonts w:eastAsia="標楷體"/>
          <w:spacing w:val="4"/>
          <w:kern w:val="0"/>
          <w:sz w:val="28"/>
        </w:rPr>
        <w:t>總排放量</w:t>
      </w:r>
      <w:r>
        <w:rPr>
          <w:rFonts w:eastAsia="標楷體"/>
          <w:spacing w:val="4"/>
          <w:kern w:val="0"/>
          <w:sz w:val="28"/>
        </w:rPr>
        <w:t>12,630</w:t>
      </w:r>
      <w:r>
        <w:rPr>
          <w:rFonts w:eastAsia="標楷體"/>
          <w:spacing w:val="4"/>
          <w:kern w:val="0"/>
          <w:sz w:val="28"/>
        </w:rPr>
        <w:t>百萬公噸。其中，以美國</w:t>
      </w:r>
      <w:r>
        <w:rPr>
          <w:rFonts w:eastAsia="標楷體"/>
          <w:spacing w:val="4"/>
          <w:kern w:val="0"/>
          <w:sz w:val="28"/>
        </w:rPr>
        <w:t>5,595.9</w:t>
      </w:r>
      <w:r>
        <w:rPr>
          <w:rFonts w:eastAsia="標楷體"/>
          <w:spacing w:val="4"/>
          <w:kern w:val="0"/>
          <w:sz w:val="28"/>
        </w:rPr>
        <w:t>百萬公噸最高；我國</w:t>
      </w:r>
      <w:r>
        <w:rPr>
          <w:rFonts w:eastAsia="標楷體"/>
          <w:spacing w:val="4"/>
          <w:kern w:val="0"/>
          <w:sz w:val="28"/>
        </w:rPr>
        <w:t>CO</w:t>
      </w:r>
      <w:r>
        <w:rPr>
          <w:rFonts w:eastAsia="標楷體"/>
          <w:spacing w:val="4"/>
          <w:kern w:val="0"/>
          <w:sz w:val="28"/>
          <w:vertAlign w:val="subscript"/>
        </w:rPr>
        <w:t>2</w:t>
      </w:r>
      <w:r>
        <w:rPr>
          <w:rFonts w:eastAsia="標楷體"/>
          <w:spacing w:val="4"/>
          <w:kern w:val="0"/>
          <w:sz w:val="28"/>
        </w:rPr>
        <w:t>總排放量</w:t>
      </w:r>
      <w:r>
        <w:rPr>
          <w:rFonts w:eastAsia="標楷體"/>
          <w:spacing w:val="4"/>
          <w:kern w:val="0"/>
          <w:sz w:val="28"/>
        </w:rPr>
        <w:t>264.3</w:t>
      </w:r>
      <w:r>
        <w:rPr>
          <w:rFonts w:eastAsia="標楷體"/>
          <w:spacing w:val="4"/>
          <w:kern w:val="0"/>
          <w:sz w:val="28"/>
        </w:rPr>
        <w:t>百萬公噸，高於同期</w:t>
      </w:r>
      <w:r>
        <w:rPr>
          <w:rFonts w:eastAsia="標楷體"/>
          <w:spacing w:val="4"/>
          <w:kern w:val="0"/>
          <w:sz w:val="28"/>
        </w:rPr>
        <w:t>OECD</w:t>
      </w:r>
      <w:r>
        <w:rPr>
          <w:rFonts w:eastAsia="標楷體"/>
          <w:spacing w:val="4"/>
          <w:kern w:val="0"/>
          <w:sz w:val="28"/>
        </w:rPr>
        <w:t>國家中位數的</w:t>
      </w:r>
      <w:r>
        <w:rPr>
          <w:rFonts w:eastAsia="標楷體"/>
          <w:spacing w:val="4"/>
          <w:kern w:val="0"/>
          <w:sz w:val="28"/>
        </w:rPr>
        <w:t>114</w:t>
      </w:r>
      <w:r>
        <w:rPr>
          <w:rFonts w:eastAsia="標楷體"/>
          <w:spacing w:val="4"/>
          <w:kern w:val="0"/>
          <w:sz w:val="28"/>
        </w:rPr>
        <w:t>百萬公噸，若與</w:t>
      </w:r>
      <w:r>
        <w:rPr>
          <w:rFonts w:eastAsia="標楷體"/>
          <w:spacing w:val="4"/>
          <w:kern w:val="0"/>
          <w:sz w:val="28"/>
        </w:rPr>
        <w:t>30</w:t>
      </w:r>
      <w:r>
        <w:rPr>
          <w:rFonts w:eastAsia="標楷體"/>
          <w:spacing w:val="4"/>
          <w:kern w:val="0"/>
          <w:sz w:val="28"/>
        </w:rPr>
        <w:t>個</w:t>
      </w:r>
      <w:r>
        <w:rPr>
          <w:rFonts w:eastAsia="標楷體"/>
          <w:spacing w:val="4"/>
          <w:kern w:val="0"/>
          <w:sz w:val="28"/>
        </w:rPr>
        <w:t>OECD</w:t>
      </w:r>
      <w:r>
        <w:rPr>
          <w:rFonts w:eastAsia="標楷體"/>
          <w:spacing w:val="4"/>
          <w:kern w:val="0"/>
          <w:sz w:val="28"/>
        </w:rPr>
        <w:t>國家相較，居第</w:t>
      </w:r>
      <w:r>
        <w:rPr>
          <w:rFonts w:eastAsia="標楷體"/>
          <w:spacing w:val="4"/>
          <w:kern w:val="0"/>
          <w:sz w:val="28"/>
        </w:rPr>
        <w:t>13</w:t>
      </w:r>
      <w:r>
        <w:rPr>
          <w:rFonts w:eastAsia="標楷體"/>
          <w:spacing w:val="4"/>
          <w:kern w:val="0"/>
          <w:sz w:val="28"/>
        </w:rPr>
        <w:t>位；</w:t>
      </w:r>
      <w:r>
        <w:rPr>
          <w:rFonts w:eastAsia="標楷體"/>
          <w:spacing w:val="4"/>
          <w:kern w:val="0"/>
          <w:sz w:val="28"/>
        </w:rPr>
        <w:t>2009</w:t>
      </w:r>
      <w:r>
        <w:rPr>
          <w:rFonts w:eastAsia="標楷體"/>
          <w:spacing w:val="4"/>
          <w:kern w:val="0"/>
          <w:sz w:val="28"/>
        </w:rPr>
        <w:t>年及</w:t>
      </w:r>
      <w:r>
        <w:rPr>
          <w:rFonts w:eastAsia="標楷體"/>
          <w:spacing w:val="4"/>
          <w:kern w:val="0"/>
          <w:sz w:val="28"/>
        </w:rPr>
        <w:t>2010</w:t>
      </w:r>
      <w:r>
        <w:rPr>
          <w:rFonts w:eastAsia="標楷體"/>
          <w:spacing w:val="4"/>
          <w:kern w:val="0"/>
          <w:sz w:val="28"/>
        </w:rPr>
        <w:t>年我國</w:t>
      </w:r>
      <w:r>
        <w:rPr>
          <w:rFonts w:eastAsia="標楷體"/>
          <w:spacing w:val="4"/>
          <w:kern w:val="0"/>
          <w:sz w:val="28"/>
        </w:rPr>
        <w:t>CO</w:t>
      </w:r>
      <w:r>
        <w:rPr>
          <w:rFonts w:eastAsia="標楷體"/>
          <w:spacing w:val="4"/>
          <w:kern w:val="0"/>
          <w:sz w:val="28"/>
          <w:vertAlign w:val="subscript"/>
        </w:rPr>
        <w:t>2</w:t>
      </w:r>
      <w:r>
        <w:rPr>
          <w:rFonts w:eastAsia="標楷體"/>
          <w:spacing w:val="4"/>
          <w:kern w:val="0"/>
          <w:sz w:val="28"/>
        </w:rPr>
        <w:t>總排放量分別為</w:t>
      </w:r>
      <w:r>
        <w:rPr>
          <w:rFonts w:eastAsia="標楷體"/>
          <w:spacing w:val="4"/>
          <w:kern w:val="0"/>
          <w:sz w:val="28"/>
        </w:rPr>
        <w:t>251</w:t>
      </w:r>
      <w:r>
        <w:rPr>
          <w:rFonts w:eastAsia="標楷體"/>
          <w:spacing w:val="4"/>
          <w:kern w:val="0"/>
          <w:sz w:val="28"/>
        </w:rPr>
        <w:t>及</w:t>
      </w:r>
      <w:r>
        <w:rPr>
          <w:rFonts w:eastAsia="標楷體"/>
          <w:spacing w:val="4"/>
          <w:kern w:val="0"/>
          <w:sz w:val="28"/>
        </w:rPr>
        <w:t>265</w:t>
      </w:r>
      <w:r>
        <w:rPr>
          <w:rFonts w:eastAsia="標楷體"/>
          <w:spacing w:val="4"/>
          <w:kern w:val="0"/>
          <w:sz w:val="28"/>
        </w:rPr>
        <w:t>百萬公噸。</w:t>
      </w:r>
    </w:p>
    <w:p w14:paraId="304BFA3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eastAsia="標楷體"/>
          <w:spacing w:val="4"/>
          <w:kern w:val="0"/>
          <w:sz w:val="28"/>
        </w:rPr>
        <w:t>－</w:t>
      </w:r>
      <w:r>
        <w:rPr>
          <w:rFonts w:eastAsia="標楷體"/>
          <w:spacing w:val="4"/>
          <w:kern w:val="0"/>
          <w:sz w:val="28"/>
        </w:rPr>
        <w:t>2008</w:t>
      </w:r>
      <w:r>
        <w:rPr>
          <w:rFonts w:eastAsia="標楷體"/>
          <w:spacing w:val="4"/>
          <w:kern w:val="0"/>
          <w:sz w:val="28"/>
        </w:rPr>
        <w:t>年我國平均每人</w:t>
      </w:r>
      <w:r>
        <w:rPr>
          <w:rFonts w:eastAsia="標楷體"/>
          <w:spacing w:val="4"/>
          <w:kern w:val="0"/>
          <w:sz w:val="28"/>
        </w:rPr>
        <w:t>CO</w:t>
      </w:r>
      <w:r>
        <w:rPr>
          <w:rFonts w:eastAsia="標楷體"/>
          <w:spacing w:val="4"/>
          <w:kern w:val="0"/>
          <w:sz w:val="28"/>
          <w:vertAlign w:val="subscript"/>
        </w:rPr>
        <w:t>2</w:t>
      </w:r>
      <w:r>
        <w:rPr>
          <w:rFonts w:eastAsia="標楷體"/>
          <w:spacing w:val="4"/>
          <w:kern w:val="0"/>
          <w:sz w:val="28"/>
        </w:rPr>
        <w:t>排放量為</w:t>
      </w:r>
      <w:r>
        <w:rPr>
          <w:rFonts w:eastAsia="標楷體"/>
          <w:spacing w:val="4"/>
          <w:kern w:val="0"/>
          <w:sz w:val="28"/>
        </w:rPr>
        <w:t>11.53</w:t>
      </w:r>
      <w:r>
        <w:rPr>
          <w:rFonts w:eastAsia="標楷體"/>
          <w:spacing w:val="4"/>
          <w:kern w:val="0"/>
          <w:sz w:val="28"/>
        </w:rPr>
        <w:t>公噸</w:t>
      </w:r>
      <w:r>
        <w:rPr>
          <w:rFonts w:ascii="標楷體" w:eastAsia="標楷體" w:hAnsi="標楷體"/>
          <w:spacing w:val="4"/>
          <w:kern w:val="0"/>
          <w:sz w:val="28"/>
        </w:rPr>
        <w:t>(</w:t>
      </w:r>
      <w:r>
        <w:rPr>
          <w:rFonts w:eastAsia="標楷體"/>
          <w:spacing w:val="4"/>
          <w:kern w:val="0"/>
          <w:sz w:val="28"/>
        </w:rPr>
        <w:t>2009</w:t>
      </w:r>
      <w:r>
        <w:rPr>
          <w:rFonts w:eastAsia="標楷體"/>
          <w:spacing w:val="4"/>
          <w:kern w:val="0"/>
          <w:sz w:val="28"/>
        </w:rPr>
        <w:t>年及</w:t>
      </w:r>
      <w:r>
        <w:rPr>
          <w:rFonts w:eastAsia="標楷體"/>
          <w:spacing w:val="4"/>
          <w:kern w:val="0"/>
          <w:sz w:val="28"/>
        </w:rPr>
        <w:t>2010</w:t>
      </w:r>
      <w:r>
        <w:rPr>
          <w:rFonts w:eastAsia="標楷體"/>
          <w:spacing w:val="4"/>
          <w:kern w:val="0"/>
          <w:sz w:val="28"/>
        </w:rPr>
        <w:t>年分別為</w:t>
      </w:r>
      <w:r>
        <w:rPr>
          <w:rFonts w:eastAsia="標楷體"/>
          <w:spacing w:val="4"/>
          <w:kern w:val="0"/>
          <w:sz w:val="28"/>
        </w:rPr>
        <w:t>10.9</w:t>
      </w:r>
      <w:r>
        <w:rPr>
          <w:rFonts w:eastAsia="標楷體"/>
          <w:spacing w:val="4"/>
          <w:kern w:val="0"/>
          <w:sz w:val="28"/>
        </w:rPr>
        <w:t>及</w:t>
      </w:r>
      <w:r>
        <w:rPr>
          <w:rFonts w:eastAsia="標楷體"/>
          <w:spacing w:val="4"/>
          <w:kern w:val="0"/>
          <w:sz w:val="28"/>
        </w:rPr>
        <w:t>11.5</w:t>
      </w:r>
      <w:r>
        <w:rPr>
          <w:rFonts w:eastAsia="標楷體"/>
          <w:spacing w:val="4"/>
          <w:kern w:val="0"/>
          <w:sz w:val="28"/>
        </w:rPr>
        <w:t>公噸</w:t>
      </w:r>
      <w:r>
        <w:rPr>
          <w:rFonts w:ascii="標楷體" w:eastAsia="標楷體" w:hAnsi="標楷體"/>
          <w:spacing w:val="4"/>
          <w:kern w:val="0"/>
          <w:sz w:val="28"/>
        </w:rPr>
        <w:t>)</w:t>
      </w:r>
      <w:r>
        <w:rPr>
          <w:rFonts w:eastAsia="標楷體"/>
          <w:spacing w:val="4"/>
          <w:kern w:val="0"/>
          <w:sz w:val="28"/>
        </w:rPr>
        <w:t>，高於同期</w:t>
      </w:r>
      <w:r>
        <w:rPr>
          <w:rFonts w:eastAsia="標楷體"/>
          <w:spacing w:val="4"/>
          <w:kern w:val="0"/>
          <w:sz w:val="28"/>
        </w:rPr>
        <w:t>OECD</w:t>
      </w:r>
      <w:r>
        <w:rPr>
          <w:rFonts w:eastAsia="標楷體"/>
          <w:spacing w:val="4"/>
          <w:kern w:val="0"/>
          <w:sz w:val="28"/>
        </w:rPr>
        <w:t>國家中位數的</w:t>
      </w:r>
      <w:r>
        <w:rPr>
          <w:rFonts w:eastAsia="標楷體"/>
          <w:spacing w:val="4"/>
          <w:kern w:val="0"/>
          <w:sz w:val="28"/>
        </w:rPr>
        <w:t>8.31</w:t>
      </w:r>
      <w:r>
        <w:rPr>
          <w:rFonts w:eastAsia="標楷體"/>
          <w:spacing w:val="4"/>
          <w:kern w:val="0"/>
          <w:sz w:val="28"/>
        </w:rPr>
        <w:t>公噸，若與</w:t>
      </w:r>
      <w:r>
        <w:rPr>
          <w:rFonts w:eastAsia="標楷體"/>
          <w:spacing w:val="4"/>
          <w:kern w:val="0"/>
          <w:sz w:val="28"/>
        </w:rPr>
        <w:t>30</w:t>
      </w:r>
      <w:r>
        <w:rPr>
          <w:rFonts w:eastAsia="標楷體"/>
          <w:spacing w:val="4"/>
          <w:kern w:val="0"/>
          <w:sz w:val="28"/>
        </w:rPr>
        <w:t>個</w:t>
      </w:r>
      <w:r>
        <w:rPr>
          <w:rFonts w:eastAsia="標楷體"/>
          <w:spacing w:val="4"/>
          <w:kern w:val="0"/>
          <w:sz w:val="28"/>
        </w:rPr>
        <w:t>OECD</w:t>
      </w:r>
      <w:r>
        <w:rPr>
          <w:rFonts w:eastAsia="標楷體"/>
          <w:spacing w:val="4"/>
          <w:kern w:val="0"/>
          <w:sz w:val="28"/>
        </w:rPr>
        <w:t>國家相較，居第</w:t>
      </w:r>
      <w:r>
        <w:rPr>
          <w:rFonts w:eastAsia="標楷體"/>
          <w:spacing w:val="4"/>
          <w:kern w:val="0"/>
          <w:sz w:val="28"/>
        </w:rPr>
        <w:t>5</w:t>
      </w:r>
      <w:r>
        <w:rPr>
          <w:rFonts w:eastAsia="標楷體"/>
          <w:spacing w:val="4"/>
          <w:kern w:val="0"/>
          <w:sz w:val="28"/>
        </w:rPr>
        <w:t>位，低於美國</w:t>
      </w:r>
      <w:r>
        <w:rPr>
          <w:rFonts w:ascii="標楷體" w:eastAsia="標楷體" w:hAnsi="標楷體"/>
          <w:spacing w:val="4"/>
          <w:kern w:val="0"/>
          <w:sz w:val="28"/>
        </w:rPr>
        <w:t>(</w:t>
      </w:r>
      <w:r>
        <w:rPr>
          <w:rFonts w:eastAsia="標楷體"/>
          <w:spacing w:val="4"/>
          <w:kern w:val="0"/>
          <w:sz w:val="28"/>
        </w:rPr>
        <w:t>18.38</w:t>
      </w:r>
      <w:r>
        <w:rPr>
          <w:rFonts w:eastAsia="標楷體"/>
          <w:spacing w:val="4"/>
          <w:kern w:val="0"/>
          <w:sz w:val="28"/>
        </w:rPr>
        <w:t>公噸</w:t>
      </w:r>
      <w:r>
        <w:rPr>
          <w:rFonts w:ascii="標楷體" w:eastAsia="標楷體" w:hAnsi="標楷體"/>
          <w:spacing w:val="4"/>
          <w:kern w:val="0"/>
          <w:sz w:val="28"/>
        </w:rPr>
        <w:t>)</w:t>
      </w:r>
      <w:r>
        <w:rPr>
          <w:rFonts w:eastAsia="標楷體"/>
          <w:spacing w:val="4"/>
          <w:kern w:val="0"/>
          <w:sz w:val="28"/>
        </w:rPr>
        <w:t>、南韓</w:t>
      </w:r>
      <w:r>
        <w:rPr>
          <w:rFonts w:ascii="標楷體" w:eastAsia="標楷體" w:hAnsi="標楷體"/>
          <w:spacing w:val="4"/>
          <w:kern w:val="0"/>
          <w:sz w:val="28"/>
        </w:rPr>
        <w:t>(</w:t>
      </w:r>
      <w:r>
        <w:rPr>
          <w:rFonts w:eastAsia="標楷體"/>
          <w:spacing w:val="4"/>
          <w:kern w:val="0"/>
          <w:sz w:val="28"/>
        </w:rPr>
        <w:t>10.31</w:t>
      </w:r>
      <w:r>
        <w:rPr>
          <w:rFonts w:eastAsia="標楷體"/>
          <w:spacing w:val="4"/>
          <w:kern w:val="0"/>
          <w:sz w:val="28"/>
        </w:rPr>
        <w:t>公噸</w:t>
      </w:r>
      <w:r>
        <w:rPr>
          <w:rFonts w:ascii="標楷體" w:eastAsia="標楷體" w:hAnsi="標楷體"/>
          <w:spacing w:val="4"/>
          <w:kern w:val="0"/>
          <w:sz w:val="28"/>
        </w:rPr>
        <w:t>)</w:t>
      </w:r>
      <w:r>
        <w:rPr>
          <w:rFonts w:eastAsia="標楷體"/>
          <w:spacing w:val="4"/>
          <w:kern w:val="0"/>
          <w:sz w:val="28"/>
        </w:rPr>
        <w:t>及日本</w:t>
      </w:r>
      <w:r>
        <w:rPr>
          <w:rFonts w:ascii="標楷體" w:eastAsia="標楷體" w:hAnsi="標楷體"/>
          <w:spacing w:val="4"/>
          <w:kern w:val="0"/>
          <w:sz w:val="28"/>
        </w:rPr>
        <w:t>(</w:t>
      </w:r>
      <w:r>
        <w:rPr>
          <w:rFonts w:eastAsia="標楷體"/>
          <w:spacing w:val="4"/>
          <w:kern w:val="0"/>
          <w:sz w:val="28"/>
        </w:rPr>
        <w:t>9.02</w:t>
      </w:r>
      <w:r>
        <w:rPr>
          <w:rFonts w:eastAsia="標楷體"/>
          <w:spacing w:val="4"/>
          <w:kern w:val="0"/>
          <w:sz w:val="28"/>
        </w:rPr>
        <w:t>公噸</w:t>
      </w:r>
      <w:r>
        <w:rPr>
          <w:rFonts w:ascii="標楷體" w:eastAsia="標楷體" w:hAnsi="標楷體"/>
          <w:spacing w:val="4"/>
          <w:kern w:val="0"/>
          <w:sz w:val="28"/>
        </w:rPr>
        <w:t>)</w:t>
      </w:r>
      <w:r>
        <w:rPr>
          <w:rFonts w:eastAsia="標楷體"/>
          <w:spacing w:val="4"/>
          <w:kern w:val="0"/>
          <w:sz w:val="28"/>
        </w:rPr>
        <w:t>。</w:t>
      </w:r>
    </w:p>
    <w:p w14:paraId="6DCBEBB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eastAsia="標楷體"/>
          <w:spacing w:val="4"/>
          <w:kern w:val="0"/>
          <w:sz w:val="28"/>
        </w:rPr>
        <w:t>－</w:t>
      </w:r>
      <w:r>
        <w:rPr>
          <w:rFonts w:eastAsia="標楷體"/>
          <w:spacing w:val="4"/>
          <w:kern w:val="0"/>
          <w:sz w:val="28"/>
        </w:rPr>
        <w:t>1998</w:t>
      </w:r>
      <w:r>
        <w:rPr>
          <w:rFonts w:eastAsia="標楷體"/>
          <w:spacing w:val="4"/>
          <w:kern w:val="0"/>
          <w:sz w:val="28"/>
        </w:rPr>
        <w:t>至</w:t>
      </w:r>
      <w:r>
        <w:rPr>
          <w:rFonts w:eastAsia="標楷體"/>
          <w:spacing w:val="4"/>
          <w:kern w:val="0"/>
          <w:sz w:val="28"/>
        </w:rPr>
        <w:t>2008</w:t>
      </w:r>
      <w:r>
        <w:rPr>
          <w:rFonts w:eastAsia="標楷體"/>
          <w:spacing w:val="4"/>
          <w:kern w:val="0"/>
          <w:sz w:val="28"/>
        </w:rPr>
        <w:t>年間，</w:t>
      </w:r>
      <w:r>
        <w:rPr>
          <w:rFonts w:eastAsia="標楷體"/>
          <w:spacing w:val="4"/>
          <w:kern w:val="0"/>
          <w:sz w:val="28"/>
        </w:rPr>
        <w:t>OECD</w:t>
      </w:r>
      <w:r>
        <w:rPr>
          <w:rFonts w:eastAsia="標楷體"/>
          <w:spacing w:val="4"/>
          <w:kern w:val="0"/>
          <w:sz w:val="28"/>
        </w:rPr>
        <w:t>國家平均每人</w:t>
      </w:r>
      <w:r>
        <w:rPr>
          <w:rFonts w:eastAsia="標楷體"/>
          <w:spacing w:val="4"/>
          <w:kern w:val="0"/>
          <w:sz w:val="28"/>
        </w:rPr>
        <w:t>CO</w:t>
      </w:r>
      <w:r>
        <w:rPr>
          <w:rFonts w:eastAsia="標楷體"/>
          <w:spacing w:val="4"/>
          <w:kern w:val="0"/>
          <w:sz w:val="28"/>
          <w:vertAlign w:val="subscript"/>
        </w:rPr>
        <w:t>2</w:t>
      </w:r>
      <w:r>
        <w:rPr>
          <w:rFonts w:eastAsia="標楷體"/>
          <w:spacing w:val="4"/>
          <w:kern w:val="0"/>
          <w:sz w:val="28"/>
        </w:rPr>
        <w:t>排放量中位數計減少</w:t>
      </w:r>
      <w:r>
        <w:rPr>
          <w:rFonts w:eastAsia="標楷體"/>
          <w:spacing w:val="4"/>
          <w:kern w:val="0"/>
          <w:sz w:val="28"/>
        </w:rPr>
        <w:t>0.27</w:t>
      </w:r>
      <w:r>
        <w:rPr>
          <w:rFonts w:eastAsia="標楷體"/>
          <w:spacing w:val="4"/>
          <w:kern w:val="0"/>
          <w:sz w:val="28"/>
        </w:rPr>
        <w:t>公噸，我國則增加</w:t>
      </w:r>
      <w:r>
        <w:rPr>
          <w:rFonts w:eastAsia="標楷體"/>
          <w:spacing w:val="4"/>
          <w:kern w:val="0"/>
          <w:sz w:val="28"/>
        </w:rPr>
        <w:t>2.8</w:t>
      </w:r>
      <w:r>
        <w:rPr>
          <w:rFonts w:eastAsia="標楷體"/>
          <w:spacing w:val="4"/>
          <w:kern w:val="0"/>
          <w:sz w:val="28"/>
        </w:rPr>
        <w:t>公噸，增幅僅低於盧森堡</w:t>
      </w:r>
      <w:r>
        <w:rPr>
          <w:rFonts w:eastAsia="標楷體"/>
          <w:spacing w:val="4"/>
          <w:kern w:val="0"/>
          <w:sz w:val="28"/>
        </w:rPr>
        <w:t>4.5</w:t>
      </w:r>
      <w:r>
        <w:rPr>
          <w:rFonts w:eastAsia="標楷體"/>
          <w:spacing w:val="4"/>
          <w:kern w:val="0"/>
          <w:sz w:val="28"/>
        </w:rPr>
        <w:t>公噸，高於南韓及日本的分別增加</w:t>
      </w:r>
      <w:r>
        <w:rPr>
          <w:rFonts w:eastAsia="標楷體"/>
          <w:spacing w:val="4"/>
          <w:kern w:val="0"/>
          <w:sz w:val="28"/>
        </w:rPr>
        <w:t>2.7</w:t>
      </w:r>
      <w:r>
        <w:rPr>
          <w:rFonts w:eastAsia="標楷體"/>
          <w:spacing w:val="4"/>
          <w:kern w:val="0"/>
          <w:sz w:val="28"/>
        </w:rPr>
        <w:t>公噸及</w:t>
      </w:r>
      <w:r>
        <w:rPr>
          <w:rFonts w:eastAsia="標楷體"/>
          <w:spacing w:val="4"/>
          <w:kern w:val="0"/>
          <w:sz w:val="28"/>
        </w:rPr>
        <w:t>0.1</w:t>
      </w:r>
      <w:r>
        <w:rPr>
          <w:rFonts w:eastAsia="標楷體"/>
          <w:spacing w:val="4"/>
          <w:kern w:val="0"/>
          <w:sz w:val="28"/>
        </w:rPr>
        <w:t>公噸。</w:t>
      </w:r>
    </w:p>
    <w:p w14:paraId="431EF1D2" w14:textId="77777777" w:rsidR="00052596" w:rsidRDefault="00000000">
      <w:pPr>
        <w:overflowPunct w:val="0"/>
        <w:autoSpaceDE w:val="0"/>
        <w:snapToGrid w:val="0"/>
        <w:spacing w:before="240" w:after="120" w:line="280" w:lineRule="exact"/>
        <w:ind w:left="708"/>
        <w:jc w:val="center"/>
        <w:textAlignment w:val="center"/>
      </w:pPr>
      <w:r>
        <w:rPr>
          <w:rFonts w:eastAsia="標楷體"/>
          <w:b/>
          <w:color w:val="0000FF"/>
          <w:kern w:val="0"/>
          <w:sz w:val="25"/>
          <w:szCs w:val="22"/>
        </w:rPr>
        <w:t>表</w:t>
      </w:r>
      <w:r>
        <w:rPr>
          <w:rFonts w:eastAsia="標楷體"/>
          <w:b/>
          <w:color w:val="0000FF"/>
          <w:kern w:val="0"/>
          <w:sz w:val="25"/>
          <w:szCs w:val="22"/>
        </w:rPr>
        <w:t>1.2.11</w:t>
      </w:r>
      <w:r>
        <w:rPr>
          <w:rFonts w:eastAsia="標楷體"/>
          <w:b/>
          <w:color w:val="0000FF"/>
          <w:kern w:val="0"/>
          <w:sz w:val="25"/>
          <w:szCs w:val="22"/>
        </w:rPr>
        <w:t xml:space="preserve">　</w:t>
      </w:r>
      <w:r>
        <w:rPr>
          <w:rFonts w:eastAsia="標楷體"/>
          <w:b/>
          <w:color w:val="0000FF"/>
          <w:kern w:val="0"/>
          <w:sz w:val="25"/>
          <w:szCs w:val="22"/>
        </w:rPr>
        <w:t>2008</w:t>
      </w:r>
      <w:r>
        <w:rPr>
          <w:rFonts w:eastAsia="標楷體"/>
          <w:b/>
          <w:color w:val="0000FF"/>
          <w:kern w:val="0"/>
          <w:sz w:val="25"/>
          <w:szCs w:val="22"/>
        </w:rPr>
        <w:t>年我國及</w:t>
      </w:r>
      <w:r>
        <w:rPr>
          <w:rFonts w:eastAsia="標楷體"/>
          <w:b/>
          <w:color w:val="0000FF"/>
          <w:kern w:val="0"/>
          <w:sz w:val="25"/>
          <w:szCs w:val="22"/>
        </w:rPr>
        <w:t>OECD</w:t>
      </w:r>
      <w:r>
        <w:rPr>
          <w:rFonts w:eastAsia="標楷體"/>
          <w:b/>
          <w:color w:val="0000FF"/>
          <w:kern w:val="0"/>
          <w:sz w:val="25"/>
          <w:szCs w:val="22"/>
        </w:rPr>
        <w:t>國家</w:t>
      </w:r>
      <w:r>
        <w:rPr>
          <w:rFonts w:eastAsia="標楷體"/>
          <w:b/>
          <w:color w:val="0000FF"/>
          <w:kern w:val="0"/>
          <w:sz w:val="25"/>
          <w:szCs w:val="22"/>
        </w:rPr>
        <w:t>CO</w:t>
      </w:r>
      <w:r>
        <w:rPr>
          <w:rFonts w:eastAsia="標楷體"/>
          <w:b/>
          <w:color w:val="0000FF"/>
          <w:kern w:val="0"/>
          <w:sz w:val="25"/>
          <w:szCs w:val="22"/>
          <w:vertAlign w:val="subscript"/>
        </w:rPr>
        <w:t>2</w:t>
      </w:r>
      <w:r>
        <w:rPr>
          <w:rFonts w:eastAsia="標楷體"/>
          <w:b/>
          <w:color w:val="0000FF"/>
          <w:kern w:val="0"/>
          <w:sz w:val="25"/>
          <w:szCs w:val="22"/>
        </w:rPr>
        <w:t>總排放量</w:t>
      </w:r>
    </w:p>
    <w:p w14:paraId="152FE86C" w14:textId="77777777" w:rsidR="00052596" w:rsidRDefault="00000000">
      <w:pPr>
        <w:widowControl/>
        <w:tabs>
          <w:tab w:val="left" w:pos="0"/>
        </w:tabs>
        <w:ind w:right="566"/>
        <w:jc w:val="right"/>
        <w:rPr>
          <w:rFonts w:ascii="標楷體" w:eastAsia="標楷體" w:hAnsi="標楷體"/>
          <w:kern w:val="0"/>
          <w:sz w:val="20"/>
          <w:szCs w:val="24"/>
        </w:rPr>
      </w:pPr>
      <w:r>
        <w:rPr>
          <w:rFonts w:ascii="標楷體" w:eastAsia="標楷體" w:hAnsi="標楷體"/>
          <w:kern w:val="0"/>
          <w:sz w:val="20"/>
          <w:szCs w:val="24"/>
        </w:rPr>
        <w:t>單位：百萬公噸</w:t>
      </w:r>
    </w:p>
    <w:tbl>
      <w:tblPr>
        <w:tblW w:w="6771" w:type="dxa"/>
        <w:tblInd w:w="1247" w:type="dxa"/>
        <w:tblCellMar>
          <w:left w:w="10" w:type="dxa"/>
          <w:right w:w="10" w:type="dxa"/>
        </w:tblCellMar>
        <w:tblLook w:val="04A0" w:firstRow="1" w:lastRow="0" w:firstColumn="1" w:lastColumn="0" w:noHBand="0" w:noVBand="1"/>
      </w:tblPr>
      <w:tblGrid>
        <w:gridCol w:w="1128"/>
        <w:gridCol w:w="1129"/>
        <w:gridCol w:w="1128"/>
        <w:gridCol w:w="1129"/>
        <w:gridCol w:w="1128"/>
        <w:gridCol w:w="1129"/>
      </w:tblGrid>
      <w:tr w:rsidR="00052596" w14:paraId="11D62C52" w14:textId="77777777">
        <w:tblPrEx>
          <w:tblCellMar>
            <w:top w:w="0" w:type="dxa"/>
            <w:bottom w:w="0" w:type="dxa"/>
          </w:tblCellMar>
        </w:tblPrEx>
        <w:trPr>
          <w:trHeight w:val="397"/>
        </w:trPr>
        <w:tc>
          <w:tcPr>
            <w:tcW w:w="112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4369F" w14:textId="77777777" w:rsidR="00052596" w:rsidRDefault="00000000">
            <w:pPr>
              <w:spacing w:line="300" w:lineRule="exact"/>
              <w:jc w:val="center"/>
              <w:rPr>
                <w:rFonts w:eastAsia="標楷體"/>
                <w:kern w:val="0"/>
                <w:sz w:val="22"/>
                <w:szCs w:val="22"/>
              </w:rPr>
            </w:pPr>
            <w:r>
              <w:rPr>
                <w:rFonts w:eastAsia="標楷體"/>
                <w:kern w:val="0"/>
                <w:sz w:val="22"/>
                <w:szCs w:val="22"/>
              </w:rPr>
              <w:t>國家</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0653A" w14:textId="77777777" w:rsidR="00052596" w:rsidRDefault="00000000">
            <w:pPr>
              <w:spacing w:line="300" w:lineRule="exact"/>
              <w:jc w:val="center"/>
              <w:rPr>
                <w:rFonts w:eastAsia="標楷體"/>
                <w:kern w:val="0"/>
                <w:sz w:val="22"/>
                <w:szCs w:val="22"/>
              </w:rPr>
            </w:pPr>
            <w:r>
              <w:rPr>
                <w:rFonts w:eastAsia="標楷體"/>
                <w:kern w:val="0"/>
                <w:sz w:val="22"/>
                <w:szCs w:val="22"/>
              </w:rPr>
              <w:t>排放量</w:t>
            </w:r>
          </w:p>
        </w:tc>
        <w:tc>
          <w:tcPr>
            <w:tcW w:w="112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14:paraId="33983864" w14:textId="77777777" w:rsidR="00052596" w:rsidRDefault="00000000">
            <w:pPr>
              <w:spacing w:line="300" w:lineRule="exact"/>
              <w:jc w:val="center"/>
              <w:rPr>
                <w:rFonts w:eastAsia="標楷體"/>
                <w:kern w:val="0"/>
                <w:sz w:val="22"/>
                <w:szCs w:val="22"/>
              </w:rPr>
            </w:pPr>
            <w:r>
              <w:rPr>
                <w:rFonts w:eastAsia="標楷體"/>
                <w:kern w:val="0"/>
                <w:sz w:val="22"/>
                <w:szCs w:val="22"/>
              </w:rPr>
              <w:t>排名</w:t>
            </w:r>
          </w:p>
        </w:tc>
        <w:tc>
          <w:tcPr>
            <w:tcW w:w="112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81164" w14:textId="77777777" w:rsidR="00052596" w:rsidRDefault="00000000">
            <w:pPr>
              <w:spacing w:line="300" w:lineRule="exact"/>
              <w:jc w:val="center"/>
              <w:rPr>
                <w:rFonts w:eastAsia="標楷體"/>
                <w:kern w:val="0"/>
                <w:sz w:val="22"/>
                <w:szCs w:val="22"/>
              </w:rPr>
            </w:pPr>
            <w:r>
              <w:rPr>
                <w:rFonts w:eastAsia="標楷體"/>
                <w:kern w:val="0"/>
                <w:sz w:val="22"/>
                <w:szCs w:val="22"/>
              </w:rPr>
              <w:t>國家</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02AF4" w14:textId="77777777" w:rsidR="00052596" w:rsidRDefault="00000000">
            <w:pPr>
              <w:spacing w:line="300" w:lineRule="exact"/>
              <w:jc w:val="center"/>
              <w:rPr>
                <w:rFonts w:eastAsia="標楷體"/>
                <w:kern w:val="0"/>
                <w:sz w:val="22"/>
                <w:szCs w:val="22"/>
              </w:rPr>
            </w:pPr>
            <w:r>
              <w:rPr>
                <w:rFonts w:eastAsia="標楷體"/>
                <w:kern w:val="0"/>
                <w:sz w:val="22"/>
                <w:szCs w:val="22"/>
              </w:rPr>
              <w:t>排放量</w:t>
            </w:r>
          </w:p>
        </w:tc>
        <w:tc>
          <w:tcPr>
            <w:tcW w:w="1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FCB5C5" w14:textId="77777777" w:rsidR="00052596" w:rsidRDefault="00000000">
            <w:pPr>
              <w:spacing w:line="300" w:lineRule="exact"/>
              <w:jc w:val="center"/>
              <w:rPr>
                <w:rFonts w:eastAsia="標楷體"/>
                <w:kern w:val="0"/>
                <w:sz w:val="22"/>
                <w:szCs w:val="22"/>
              </w:rPr>
            </w:pPr>
            <w:r>
              <w:rPr>
                <w:rFonts w:eastAsia="標楷體"/>
                <w:kern w:val="0"/>
                <w:sz w:val="22"/>
                <w:szCs w:val="22"/>
              </w:rPr>
              <w:t>排名</w:t>
            </w:r>
          </w:p>
        </w:tc>
      </w:tr>
      <w:tr w:rsidR="00052596" w14:paraId="5569B4E4" w14:textId="77777777">
        <w:tblPrEx>
          <w:tblCellMar>
            <w:top w:w="0" w:type="dxa"/>
            <w:bottom w:w="0" w:type="dxa"/>
          </w:tblCellMar>
        </w:tblPrEx>
        <w:trPr>
          <w:trHeight w:val="329"/>
        </w:trPr>
        <w:tc>
          <w:tcPr>
            <w:tcW w:w="1128"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606F130A" w14:textId="77777777" w:rsidR="00052596" w:rsidRDefault="00000000">
            <w:pPr>
              <w:spacing w:line="260" w:lineRule="atLeast"/>
              <w:jc w:val="center"/>
              <w:rPr>
                <w:rFonts w:eastAsia="標楷體"/>
                <w:kern w:val="0"/>
                <w:sz w:val="22"/>
                <w:szCs w:val="22"/>
              </w:rPr>
            </w:pPr>
            <w:r>
              <w:rPr>
                <w:rFonts w:eastAsia="標楷體"/>
                <w:kern w:val="0"/>
                <w:sz w:val="22"/>
                <w:szCs w:val="22"/>
              </w:rPr>
              <w:t>美國</w:t>
            </w:r>
          </w:p>
        </w:tc>
        <w:tc>
          <w:tcPr>
            <w:tcW w:w="112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3A4AE4"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5,595.9</w:t>
            </w:r>
          </w:p>
        </w:tc>
        <w:tc>
          <w:tcPr>
            <w:tcW w:w="1128" w:type="dxa"/>
            <w:tcBorders>
              <w:top w:val="single" w:sz="4" w:space="0" w:color="000000"/>
              <w:left w:val="single" w:sz="4" w:space="0" w:color="000000"/>
              <w:right w:val="double" w:sz="4" w:space="0" w:color="000000"/>
            </w:tcBorders>
            <w:shd w:val="clear" w:color="auto" w:fill="auto"/>
            <w:tcMar>
              <w:top w:w="0" w:type="dxa"/>
              <w:left w:w="108" w:type="dxa"/>
              <w:bottom w:w="0" w:type="dxa"/>
              <w:right w:w="108" w:type="dxa"/>
            </w:tcMar>
            <w:vAlign w:val="center"/>
          </w:tcPr>
          <w:p w14:paraId="7757C1A6" w14:textId="77777777" w:rsidR="00052596" w:rsidRDefault="00000000">
            <w:pPr>
              <w:spacing w:line="260" w:lineRule="atLeast"/>
              <w:jc w:val="center"/>
              <w:rPr>
                <w:rFonts w:eastAsia="標楷體"/>
                <w:kern w:val="0"/>
                <w:sz w:val="22"/>
                <w:szCs w:val="22"/>
              </w:rPr>
            </w:pPr>
            <w:r>
              <w:rPr>
                <w:rFonts w:eastAsia="標楷體"/>
                <w:kern w:val="0"/>
                <w:sz w:val="22"/>
                <w:szCs w:val="22"/>
              </w:rPr>
              <w:t>1</w:t>
            </w:r>
          </w:p>
        </w:tc>
        <w:tc>
          <w:tcPr>
            <w:tcW w:w="1129" w:type="dxa"/>
            <w:tcBorders>
              <w:top w:val="single" w:sz="4" w:space="0" w:color="000000"/>
              <w:left w:val="double" w:sz="4" w:space="0" w:color="000000"/>
              <w:right w:val="single" w:sz="4" w:space="0" w:color="000000"/>
            </w:tcBorders>
            <w:shd w:val="clear" w:color="auto" w:fill="auto"/>
            <w:tcMar>
              <w:top w:w="0" w:type="dxa"/>
              <w:left w:w="108" w:type="dxa"/>
              <w:bottom w:w="0" w:type="dxa"/>
              <w:right w:w="108" w:type="dxa"/>
            </w:tcMar>
            <w:vAlign w:val="center"/>
          </w:tcPr>
          <w:p w14:paraId="7CACFFAD" w14:textId="77777777" w:rsidR="00052596" w:rsidRDefault="00000000">
            <w:pPr>
              <w:spacing w:line="260" w:lineRule="atLeast"/>
              <w:jc w:val="center"/>
              <w:rPr>
                <w:rFonts w:eastAsia="標楷體"/>
                <w:kern w:val="0"/>
                <w:sz w:val="22"/>
                <w:szCs w:val="22"/>
              </w:rPr>
            </w:pPr>
            <w:r>
              <w:rPr>
                <w:rFonts w:eastAsia="標楷體"/>
                <w:kern w:val="0"/>
                <w:sz w:val="22"/>
                <w:szCs w:val="22"/>
              </w:rPr>
              <w:t>比利時</w:t>
            </w:r>
          </w:p>
        </w:tc>
        <w:tc>
          <w:tcPr>
            <w:tcW w:w="112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3D99227"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110.0</w:t>
            </w:r>
          </w:p>
        </w:tc>
        <w:tc>
          <w:tcPr>
            <w:tcW w:w="1129"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1CC890DA" w14:textId="77777777" w:rsidR="00052596" w:rsidRDefault="00000000">
            <w:pPr>
              <w:spacing w:line="260" w:lineRule="atLeast"/>
              <w:jc w:val="center"/>
              <w:rPr>
                <w:rFonts w:eastAsia="標楷體"/>
                <w:kern w:val="0"/>
                <w:sz w:val="22"/>
                <w:szCs w:val="22"/>
              </w:rPr>
            </w:pPr>
            <w:r>
              <w:rPr>
                <w:rFonts w:eastAsia="標楷體"/>
                <w:kern w:val="0"/>
                <w:sz w:val="22"/>
                <w:szCs w:val="22"/>
              </w:rPr>
              <w:t>17</w:t>
            </w:r>
          </w:p>
        </w:tc>
      </w:tr>
      <w:tr w:rsidR="00052596" w14:paraId="3097A622"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534D636C" w14:textId="77777777" w:rsidR="00052596" w:rsidRDefault="00000000">
            <w:pPr>
              <w:spacing w:line="260" w:lineRule="atLeast"/>
              <w:jc w:val="center"/>
              <w:rPr>
                <w:rFonts w:eastAsia="標楷體"/>
                <w:kern w:val="0"/>
                <w:sz w:val="22"/>
                <w:szCs w:val="22"/>
              </w:rPr>
            </w:pPr>
            <w:r>
              <w:rPr>
                <w:rFonts w:eastAsia="標楷體"/>
                <w:kern w:val="0"/>
                <w:sz w:val="22"/>
                <w:szCs w:val="22"/>
              </w:rPr>
              <w:t>日本</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EC02D8"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1,151.1</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2B3605CA" w14:textId="77777777" w:rsidR="00052596" w:rsidRDefault="00000000">
            <w:pPr>
              <w:spacing w:line="260" w:lineRule="atLeast"/>
              <w:jc w:val="center"/>
              <w:rPr>
                <w:rFonts w:eastAsia="標楷體"/>
                <w:kern w:val="0"/>
                <w:sz w:val="22"/>
                <w:szCs w:val="22"/>
              </w:rPr>
            </w:pPr>
            <w:r>
              <w:rPr>
                <w:rFonts w:eastAsia="標楷體"/>
                <w:kern w:val="0"/>
                <w:sz w:val="22"/>
                <w:szCs w:val="22"/>
              </w:rPr>
              <w:t>2</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5288F0BF" w14:textId="77777777" w:rsidR="00052596" w:rsidRDefault="00000000">
            <w:pPr>
              <w:spacing w:line="260" w:lineRule="atLeast"/>
              <w:jc w:val="center"/>
              <w:rPr>
                <w:rFonts w:eastAsia="標楷體"/>
                <w:kern w:val="0"/>
                <w:sz w:val="22"/>
                <w:szCs w:val="22"/>
              </w:rPr>
            </w:pPr>
            <w:r>
              <w:rPr>
                <w:rFonts w:eastAsia="標楷體"/>
                <w:kern w:val="0"/>
                <w:sz w:val="22"/>
                <w:szCs w:val="22"/>
              </w:rPr>
              <w:t>希臘</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88AB79"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93.4</w:t>
            </w:r>
          </w:p>
        </w:tc>
        <w:tc>
          <w:tcPr>
            <w:tcW w:w="1129" w:type="dxa"/>
            <w:tcBorders>
              <w:left w:val="single" w:sz="4" w:space="0" w:color="000000"/>
            </w:tcBorders>
            <w:shd w:val="clear" w:color="auto" w:fill="auto"/>
            <w:tcMar>
              <w:top w:w="0" w:type="dxa"/>
              <w:left w:w="108" w:type="dxa"/>
              <w:bottom w:w="0" w:type="dxa"/>
              <w:right w:w="108" w:type="dxa"/>
            </w:tcMar>
            <w:vAlign w:val="center"/>
          </w:tcPr>
          <w:p w14:paraId="182723DD" w14:textId="77777777" w:rsidR="00052596" w:rsidRDefault="00000000">
            <w:pPr>
              <w:spacing w:line="260" w:lineRule="atLeast"/>
              <w:jc w:val="center"/>
              <w:rPr>
                <w:rFonts w:eastAsia="標楷體"/>
                <w:kern w:val="0"/>
                <w:sz w:val="22"/>
                <w:szCs w:val="22"/>
              </w:rPr>
            </w:pPr>
            <w:r>
              <w:rPr>
                <w:rFonts w:eastAsia="標楷體"/>
                <w:kern w:val="0"/>
                <w:sz w:val="22"/>
                <w:szCs w:val="22"/>
              </w:rPr>
              <w:t>18</w:t>
            </w:r>
          </w:p>
        </w:tc>
      </w:tr>
      <w:tr w:rsidR="00052596" w14:paraId="26135C56"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44CD3FD1" w14:textId="77777777" w:rsidR="00052596" w:rsidRDefault="00000000">
            <w:pPr>
              <w:spacing w:line="260" w:lineRule="atLeast"/>
              <w:jc w:val="center"/>
              <w:rPr>
                <w:rFonts w:eastAsia="標楷體"/>
                <w:kern w:val="0"/>
                <w:sz w:val="22"/>
                <w:szCs w:val="22"/>
              </w:rPr>
            </w:pPr>
            <w:r>
              <w:rPr>
                <w:rFonts w:eastAsia="標楷體"/>
                <w:kern w:val="0"/>
                <w:sz w:val="22"/>
                <w:szCs w:val="22"/>
              </w:rPr>
              <w:t>德國</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160A1F"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803.9</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158F0EE5" w14:textId="77777777" w:rsidR="00052596" w:rsidRDefault="00000000">
            <w:pPr>
              <w:spacing w:line="260" w:lineRule="atLeast"/>
              <w:jc w:val="center"/>
              <w:rPr>
                <w:rFonts w:eastAsia="標楷體"/>
                <w:kern w:val="0"/>
                <w:sz w:val="22"/>
                <w:szCs w:val="22"/>
              </w:rPr>
            </w:pPr>
            <w:r>
              <w:rPr>
                <w:rFonts w:eastAsia="標楷體"/>
                <w:kern w:val="0"/>
                <w:sz w:val="22"/>
                <w:szCs w:val="22"/>
              </w:rPr>
              <w:t>3</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2C3B338B" w14:textId="77777777" w:rsidR="00052596" w:rsidRDefault="00000000">
            <w:pPr>
              <w:spacing w:line="260" w:lineRule="atLeast"/>
              <w:jc w:val="center"/>
              <w:rPr>
                <w:rFonts w:eastAsia="標楷體"/>
                <w:kern w:val="0"/>
                <w:sz w:val="22"/>
                <w:szCs w:val="22"/>
              </w:rPr>
            </w:pPr>
            <w:r>
              <w:rPr>
                <w:rFonts w:eastAsia="標楷體"/>
                <w:kern w:val="0"/>
                <w:sz w:val="22"/>
                <w:szCs w:val="22"/>
              </w:rPr>
              <w:t>奧地利</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3538DB"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69.3</w:t>
            </w:r>
          </w:p>
        </w:tc>
        <w:tc>
          <w:tcPr>
            <w:tcW w:w="1129" w:type="dxa"/>
            <w:tcBorders>
              <w:left w:val="single" w:sz="4" w:space="0" w:color="000000"/>
            </w:tcBorders>
            <w:shd w:val="clear" w:color="auto" w:fill="auto"/>
            <w:tcMar>
              <w:top w:w="0" w:type="dxa"/>
              <w:left w:w="108" w:type="dxa"/>
              <w:bottom w:w="0" w:type="dxa"/>
              <w:right w:w="108" w:type="dxa"/>
            </w:tcMar>
            <w:vAlign w:val="center"/>
          </w:tcPr>
          <w:p w14:paraId="72D30FD5" w14:textId="77777777" w:rsidR="00052596" w:rsidRDefault="00000000">
            <w:pPr>
              <w:spacing w:line="260" w:lineRule="atLeast"/>
              <w:jc w:val="center"/>
              <w:rPr>
                <w:rFonts w:eastAsia="標楷體"/>
                <w:kern w:val="0"/>
                <w:sz w:val="22"/>
                <w:szCs w:val="22"/>
              </w:rPr>
            </w:pPr>
            <w:r>
              <w:rPr>
                <w:rFonts w:eastAsia="標楷體"/>
                <w:kern w:val="0"/>
                <w:sz w:val="22"/>
                <w:szCs w:val="22"/>
              </w:rPr>
              <w:t>19</w:t>
            </w:r>
          </w:p>
        </w:tc>
      </w:tr>
      <w:tr w:rsidR="00052596" w14:paraId="4A756717"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4FCA0FC1" w14:textId="77777777" w:rsidR="00052596" w:rsidRDefault="00000000">
            <w:pPr>
              <w:spacing w:line="260" w:lineRule="atLeast"/>
              <w:jc w:val="center"/>
              <w:rPr>
                <w:rFonts w:eastAsia="標楷體"/>
                <w:kern w:val="0"/>
                <w:sz w:val="22"/>
                <w:szCs w:val="22"/>
              </w:rPr>
            </w:pPr>
            <w:r>
              <w:rPr>
                <w:rFonts w:eastAsia="標楷體"/>
                <w:kern w:val="0"/>
                <w:sz w:val="22"/>
                <w:szCs w:val="22"/>
              </w:rPr>
              <w:t>加拿大</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CB4804"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550.9</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32968052" w14:textId="77777777" w:rsidR="00052596" w:rsidRDefault="00000000">
            <w:pPr>
              <w:spacing w:line="260" w:lineRule="atLeast"/>
              <w:jc w:val="center"/>
              <w:rPr>
                <w:rFonts w:eastAsia="標楷體"/>
                <w:kern w:val="0"/>
                <w:sz w:val="22"/>
                <w:szCs w:val="22"/>
              </w:rPr>
            </w:pPr>
            <w:r>
              <w:rPr>
                <w:rFonts w:eastAsia="標楷體"/>
                <w:kern w:val="0"/>
                <w:sz w:val="22"/>
                <w:szCs w:val="22"/>
              </w:rPr>
              <w:t>4</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52C58C79" w14:textId="77777777" w:rsidR="00052596" w:rsidRDefault="00000000">
            <w:pPr>
              <w:spacing w:line="260" w:lineRule="atLeast"/>
              <w:jc w:val="center"/>
              <w:rPr>
                <w:rFonts w:eastAsia="標楷體"/>
                <w:kern w:val="0"/>
                <w:sz w:val="22"/>
                <w:szCs w:val="22"/>
              </w:rPr>
            </w:pPr>
            <w:r>
              <w:rPr>
                <w:rFonts w:eastAsia="標楷體"/>
                <w:kern w:val="0"/>
                <w:sz w:val="22"/>
                <w:szCs w:val="22"/>
              </w:rPr>
              <w:t>芬蘭</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AAF11E"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56.6</w:t>
            </w:r>
          </w:p>
        </w:tc>
        <w:tc>
          <w:tcPr>
            <w:tcW w:w="1129" w:type="dxa"/>
            <w:tcBorders>
              <w:left w:val="single" w:sz="4" w:space="0" w:color="000000"/>
            </w:tcBorders>
            <w:shd w:val="clear" w:color="auto" w:fill="auto"/>
            <w:tcMar>
              <w:top w:w="0" w:type="dxa"/>
              <w:left w:w="108" w:type="dxa"/>
              <w:bottom w:w="0" w:type="dxa"/>
              <w:right w:w="108" w:type="dxa"/>
            </w:tcMar>
            <w:vAlign w:val="center"/>
          </w:tcPr>
          <w:p w14:paraId="5BF11311" w14:textId="77777777" w:rsidR="00052596" w:rsidRDefault="00000000">
            <w:pPr>
              <w:spacing w:line="260" w:lineRule="atLeast"/>
              <w:jc w:val="center"/>
              <w:rPr>
                <w:rFonts w:eastAsia="標楷體"/>
                <w:kern w:val="0"/>
                <w:sz w:val="22"/>
                <w:szCs w:val="22"/>
              </w:rPr>
            </w:pPr>
            <w:r>
              <w:rPr>
                <w:rFonts w:eastAsia="標楷體"/>
                <w:kern w:val="0"/>
                <w:sz w:val="22"/>
                <w:szCs w:val="22"/>
              </w:rPr>
              <w:t>20</w:t>
            </w:r>
          </w:p>
        </w:tc>
      </w:tr>
      <w:tr w:rsidR="00052596" w14:paraId="57A2CBF9"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1500B71F" w14:textId="77777777" w:rsidR="00052596" w:rsidRDefault="00000000">
            <w:pPr>
              <w:spacing w:line="260" w:lineRule="atLeast"/>
              <w:jc w:val="center"/>
              <w:rPr>
                <w:rFonts w:eastAsia="標楷體"/>
                <w:kern w:val="0"/>
                <w:sz w:val="22"/>
                <w:szCs w:val="22"/>
              </w:rPr>
            </w:pPr>
            <w:r>
              <w:rPr>
                <w:rFonts w:eastAsia="標楷體"/>
                <w:kern w:val="0"/>
                <w:sz w:val="22"/>
                <w:szCs w:val="22"/>
              </w:rPr>
              <w:t>英國</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7DEAF7"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510.6</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14ABE33E" w14:textId="77777777" w:rsidR="00052596" w:rsidRDefault="00000000">
            <w:pPr>
              <w:spacing w:line="260" w:lineRule="atLeast"/>
              <w:jc w:val="center"/>
              <w:rPr>
                <w:rFonts w:eastAsia="標楷體"/>
                <w:kern w:val="0"/>
                <w:sz w:val="22"/>
                <w:szCs w:val="22"/>
              </w:rPr>
            </w:pPr>
            <w:r>
              <w:rPr>
                <w:rFonts w:eastAsia="標楷體"/>
                <w:kern w:val="0"/>
                <w:sz w:val="22"/>
                <w:szCs w:val="22"/>
              </w:rPr>
              <w:t>5</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21398F60" w14:textId="77777777" w:rsidR="00052596" w:rsidRDefault="00000000">
            <w:pPr>
              <w:spacing w:line="260" w:lineRule="atLeast"/>
              <w:jc w:val="center"/>
              <w:rPr>
                <w:rFonts w:eastAsia="標楷體"/>
                <w:kern w:val="0"/>
                <w:sz w:val="22"/>
                <w:szCs w:val="22"/>
              </w:rPr>
            </w:pPr>
            <w:r>
              <w:rPr>
                <w:rFonts w:eastAsia="標楷體"/>
                <w:kern w:val="0"/>
                <w:sz w:val="22"/>
                <w:szCs w:val="22"/>
              </w:rPr>
              <w:t>匈牙利</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3E2526"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53.0</w:t>
            </w:r>
          </w:p>
        </w:tc>
        <w:tc>
          <w:tcPr>
            <w:tcW w:w="1129" w:type="dxa"/>
            <w:tcBorders>
              <w:left w:val="single" w:sz="4" w:space="0" w:color="000000"/>
            </w:tcBorders>
            <w:shd w:val="clear" w:color="auto" w:fill="auto"/>
            <w:tcMar>
              <w:top w:w="0" w:type="dxa"/>
              <w:left w:w="108" w:type="dxa"/>
              <w:bottom w:w="0" w:type="dxa"/>
              <w:right w:w="108" w:type="dxa"/>
            </w:tcMar>
            <w:vAlign w:val="center"/>
          </w:tcPr>
          <w:p w14:paraId="43240363" w14:textId="77777777" w:rsidR="00052596" w:rsidRDefault="00000000">
            <w:pPr>
              <w:spacing w:line="260" w:lineRule="atLeast"/>
              <w:jc w:val="center"/>
              <w:rPr>
                <w:rFonts w:eastAsia="標楷體"/>
                <w:kern w:val="0"/>
                <w:sz w:val="22"/>
                <w:szCs w:val="22"/>
              </w:rPr>
            </w:pPr>
            <w:r>
              <w:rPr>
                <w:rFonts w:eastAsia="標楷體"/>
                <w:kern w:val="0"/>
                <w:sz w:val="22"/>
                <w:szCs w:val="22"/>
              </w:rPr>
              <w:t>21</w:t>
            </w:r>
          </w:p>
        </w:tc>
      </w:tr>
      <w:tr w:rsidR="00052596" w14:paraId="65DDAA25"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1B77F596" w14:textId="77777777" w:rsidR="00052596" w:rsidRDefault="00000000">
            <w:pPr>
              <w:spacing w:line="260" w:lineRule="atLeast"/>
              <w:jc w:val="center"/>
              <w:rPr>
                <w:rFonts w:eastAsia="標楷體"/>
                <w:kern w:val="0"/>
                <w:sz w:val="22"/>
                <w:szCs w:val="22"/>
              </w:rPr>
            </w:pPr>
            <w:r>
              <w:rPr>
                <w:rFonts w:eastAsia="標楷體"/>
                <w:kern w:val="0"/>
                <w:sz w:val="22"/>
                <w:szCs w:val="22"/>
              </w:rPr>
              <w:t>南韓</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154512"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501.3</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1F07AB9E" w14:textId="77777777" w:rsidR="00052596" w:rsidRDefault="00000000">
            <w:pPr>
              <w:spacing w:line="260" w:lineRule="atLeast"/>
              <w:jc w:val="center"/>
              <w:rPr>
                <w:rFonts w:eastAsia="標楷體"/>
                <w:kern w:val="0"/>
                <w:sz w:val="22"/>
                <w:szCs w:val="22"/>
              </w:rPr>
            </w:pPr>
            <w:r>
              <w:rPr>
                <w:rFonts w:eastAsia="標楷體"/>
                <w:kern w:val="0"/>
                <w:sz w:val="22"/>
                <w:szCs w:val="22"/>
              </w:rPr>
              <w:t>6</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044F8B58" w14:textId="77777777" w:rsidR="00052596" w:rsidRDefault="00000000">
            <w:pPr>
              <w:spacing w:line="260" w:lineRule="atLeast"/>
              <w:jc w:val="center"/>
              <w:rPr>
                <w:rFonts w:eastAsia="標楷體"/>
                <w:kern w:val="0"/>
                <w:sz w:val="22"/>
                <w:szCs w:val="22"/>
              </w:rPr>
            </w:pPr>
            <w:r>
              <w:rPr>
                <w:rFonts w:eastAsia="標楷體"/>
                <w:kern w:val="0"/>
                <w:sz w:val="22"/>
                <w:szCs w:val="22"/>
              </w:rPr>
              <w:t>葡萄牙</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A15242"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52.4</w:t>
            </w:r>
          </w:p>
        </w:tc>
        <w:tc>
          <w:tcPr>
            <w:tcW w:w="1129" w:type="dxa"/>
            <w:tcBorders>
              <w:left w:val="single" w:sz="4" w:space="0" w:color="000000"/>
            </w:tcBorders>
            <w:shd w:val="clear" w:color="auto" w:fill="auto"/>
            <w:tcMar>
              <w:top w:w="0" w:type="dxa"/>
              <w:left w:w="108" w:type="dxa"/>
              <w:bottom w:w="0" w:type="dxa"/>
              <w:right w:w="108" w:type="dxa"/>
            </w:tcMar>
            <w:vAlign w:val="center"/>
          </w:tcPr>
          <w:p w14:paraId="19DD9D06" w14:textId="77777777" w:rsidR="00052596" w:rsidRDefault="00000000">
            <w:pPr>
              <w:spacing w:line="260" w:lineRule="atLeast"/>
              <w:jc w:val="center"/>
              <w:rPr>
                <w:rFonts w:eastAsia="標楷體"/>
                <w:kern w:val="0"/>
                <w:sz w:val="22"/>
                <w:szCs w:val="22"/>
              </w:rPr>
            </w:pPr>
            <w:r>
              <w:rPr>
                <w:rFonts w:eastAsia="標楷體"/>
                <w:kern w:val="0"/>
                <w:sz w:val="22"/>
                <w:szCs w:val="22"/>
              </w:rPr>
              <w:t>22</w:t>
            </w:r>
          </w:p>
        </w:tc>
      </w:tr>
      <w:tr w:rsidR="00052596" w14:paraId="2875A951"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03D54BC6" w14:textId="77777777" w:rsidR="00052596" w:rsidRDefault="00000000">
            <w:pPr>
              <w:spacing w:line="260" w:lineRule="atLeast"/>
              <w:jc w:val="center"/>
              <w:rPr>
                <w:rFonts w:eastAsia="標楷體"/>
                <w:kern w:val="0"/>
                <w:sz w:val="22"/>
                <w:szCs w:val="22"/>
              </w:rPr>
            </w:pPr>
            <w:r>
              <w:rPr>
                <w:rFonts w:eastAsia="標楷體"/>
                <w:kern w:val="0"/>
                <w:sz w:val="22"/>
                <w:szCs w:val="22"/>
              </w:rPr>
              <w:t>義大利</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C8A7D9"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430.1</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34DBFD29" w14:textId="77777777" w:rsidR="00052596" w:rsidRDefault="00000000">
            <w:pPr>
              <w:spacing w:line="260" w:lineRule="atLeast"/>
              <w:jc w:val="center"/>
              <w:rPr>
                <w:rFonts w:eastAsia="標楷體"/>
                <w:kern w:val="0"/>
                <w:sz w:val="22"/>
                <w:szCs w:val="22"/>
              </w:rPr>
            </w:pPr>
            <w:r>
              <w:rPr>
                <w:rFonts w:eastAsia="標楷體"/>
                <w:kern w:val="0"/>
                <w:sz w:val="22"/>
                <w:szCs w:val="22"/>
              </w:rPr>
              <w:t>7</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768BD2C0" w14:textId="77777777" w:rsidR="00052596" w:rsidRDefault="00000000">
            <w:pPr>
              <w:spacing w:line="260" w:lineRule="atLeast"/>
              <w:jc w:val="center"/>
              <w:rPr>
                <w:rFonts w:eastAsia="標楷體"/>
                <w:kern w:val="0"/>
                <w:sz w:val="22"/>
                <w:szCs w:val="22"/>
              </w:rPr>
            </w:pPr>
            <w:r>
              <w:rPr>
                <w:rFonts w:eastAsia="標楷體"/>
                <w:kern w:val="0"/>
                <w:sz w:val="22"/>
                <w:szCs w:val="22"/>
              </w:rPr>
              <w:t>丹麥</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210D2D"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48.4</w:t>
            </w:r>
          </w:p>
        </w:tc>
        <w:tc>
          <w:tcPr>
            <w:tcW w:w="1129" w:type="dxa"/>
            <w:tcBorders>
              <w:left w:val="single" w:sz="4" w:space="0" w:color="000000"/>
            </w:tcBorders>
            <w:shd w:val="clear" w:color="auto" w:fill="auto"/>
            <w:tcMar>
              <w:top w:w="0" w:type="dxa"/>
              <w:left w:w="108" w:type="dxa"/>
              <w:bottom w:w="0" w:type="dxa"/>
              <w:right w:w="108" w:type="dxa"/>
            </w:tcMar>
            <w:vAlign w:val="center"/>
          </w:tcPr>
          <w:p w14:paraId="28037A40" w14:textId="77777777" w:rsidR="00052596" w:rsidRDefault="00000000">
            <w:pPr>
              <w:spacing w:line="260" w:lineRule="atLeast"/>
              <w:jc w:val="center"/>
              <w:rPr>
                <w:rFonts w:eastAsia="標楷體"/>
                <w:kern w:val="0"/>
                <w:sz w:val="22"/>
                <w:szCs w:val="22"/>
              </w:rPr>
            </w:pPr>
            <w:r>
              <w:rPr>
                <w:rFonts w:eastAsia="標楷體"/>
                <w:kern w:val="0"/>
                <w:sz w:val="22"/>
                <w:szCs w:val="22"/>
              </w:rPr>
              <w:t>23</w:t>
            </w:r>
          </w:p>
        </w:tc>
      </w:tr>
      <w:tr w:rsidR="00052596" w14:paraId="603CE9D1"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44ED4784" w14:textId="77777777" w:rsidR="00052596" w:rsidRDefault="00000000">
            <w:pPr>
              <w:spacing w:line="260" w:lineRule="atLeast"/>
              <w:jc w:val="center"/>
              <w:rPr>
                <w:rFonts w:eastAsia="標楷體"/>
                <w:kern w:val="0"/>
                <w:sz w:val="22"/>
                <w:szCs w:val="22"/>
              </w:rPr>
            </w:pPr>
            <w:r>
              <w:rPr>
                <w:rFonts w:eastAsia="標楷體"/>
                <w:kern w:val="0"/>
                <w:sz w:val="22"/>
                <w:szCs w:val="22"/>
              </w:rPr>
              <w:t>墨西哥</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DD6A8B"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408.3</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124D3D4D" w14:textId="77777777" w:rsidR="00052596" w:rsidRDefault="00000000">
            <w:pPr>
              <w:spacing w:line="260" w:lineRule="atLeast"/>
              <w:jc w:val="center"/>
              <w:rPr>
                <w:rFonts w:eastAsia="標楷體"/>
                <w:kern w:val="0"/>
                <w:sz w:val="22"/>
                <w:szCs w:val="22"/>
              </w:rPr>
            </w:pPr>
            <w:r>
              <w:rPr>
                <w:rFonts w:eastAsia="標楷體"/>
                <w:kern w:val="0"/>
                <w:sz w:val="22"/>
                <w:szCs w:val="22"/>
              </w:rPr>
              <w:t>8</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38356E8B" w14:textId="77777777" w:rsidR="00052596" w:rsidRDefault="00000000">
            <w:pPr>
              <w:spacing w:line="260" w:lineRule="atLeast"/>
              <w:jc w:val="center"/>
              <w:rPr>
                <w:rFonts w:eastAsia="標楷體"/>
                <w:kern w:val="0"/>
                <w:sz w:val="22"/>
                <w:szCs w:val="22"/>
              </w:rPr>
            </w:pPr>
            <w:r>
              <w:rPr>
                <w:rFonts w:eastAsia="標楷體"/>
                <w:kern w:val="0"/>
                <w:sz w:val="22"/>
                <w:szCs w:val="22"/>
              </w:rPr>
              <w:t>瑞典</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DE8D7B"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45.9</w:t>
            </w:r>
          </w:p>
        </w:tc>
        <w:tc>
          <w:tcPr>
            <w:tcW w:w="1129" w:type="dxa"/>
            <w:tcBorders>
              <w:left w:val="single" w:sz="4" w:space="0" w:color="000000"/>
            </w:tcBorders>
            <w:shd w:val="clear" w:color="auto" w:fill="auto"/>
            <w:tcMar>
              <w:top w:w="0" w:type="dxa"/>
              <w:left w:w="108" w:type="dxa"/>
              <w:bottom w:w="0" w:type="dxa"/>
              <w:right w:w="108" w:type="dxa"/>
            </w:tcMar>
            <w:vAlign w:val="center"/>
          </w:tcPr>
          <w:p w14:paraId="18E6905C" w14:textId="77777777" w:rsidR="00052596" w:rsidRDefault="00000000">
            <w:pPr>
              <w:spacing w:line="260" w:lineRule="atLeast"/>
              <w:jc w:val="center"/>
              <w:rPr>
                <w:rFonts w:eastAsia="標楷體"/>
                <w:kern w:val="0"/>
                <w:sz w:val="22"/>
                <w:szCs w:val="22"/>
              </w:rPr>
            </w:pPr>
            <w:r>
              <w:rPr>
                <w:rFonts w:eastAsia="標楷體"/>
                <w:kern w:val="0"/>
                <w:sz w:val="22"/>
                <w:szCs w:val="22"/>
              </w:rPr>
              <w:t>24</w:t>
            </w:r>
          </w:p>
        </w:tc>
      </w:tr>
      <w:tr w:rsidR="00052596" w14:paraId="7F635311"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1BE2F34F" w14:textId="77777777" w:rsidR="00052596" w:rsidRDefault="00000000">
            <w:pPr>
              <w:spacing w:line="260" w:lineRule="atLeast"/>
              <w:jc w:val="center"/>
              <w:rPr>
                <w:rFonts w:eastAsia="標楷體"/>
                <w:kern w:val="0"/>
                <w:sz w:val="22"/>
                <w:szCs w:val="22"/>
              </w:rPr>
            </w:pPr>
            <w:r>
              <w:rPr>
                <w:rFonts w:eastAsia="標楷體"/>
                <w:kern w:val="0"/>
                <w:sz w:val="22"/>
                <w:szCs w:val="22"/>
              </w:rPr>
              <w:t>澳洲</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9CE541"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397.5</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5A13DA5C" w14:textId="77777777" w:rsidR="00052596" w:rsidRDefault="00000000">
            <w:pPr>
              <w:spacing w:line="260" w:lineRule="atLeast"/>
              <w:jc w:val="center"/>
              <w:rPr>
                <w:rFonts w:eastAsia="標楷體"/>
                <w:kern w:val="0"/>
                <w:sz w:val="22"/>
                <w:szCs w:val="22"/>
              </w:rPr>
            </w:pPr>
            <w:r>
              <w:rPr>
                <w:rFonts w:eastAsia="標楷體"/>
                <w:kern w:val="0"/>
                <w:sz w:val="22"/>
                <w:szCs w:val="22"/>
              </w:rPr>
              <w:t>9</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46ACDD0E" w14:textId="77777777" w:rsidR="00052596" w:rsidRDefault="00000000">
            <w:pPr>
              <w:spacing w:line="260" w:lineRule="atLeast"/>
              <w:jc w:val="center"/>
              <w:rPr>
                <w:rFonts w:eastAsia="標楷體"/>
                <w:kern w:val="0"/>
                <w:sz w:val="22"/>
                <w:szCs w:val="22"/>
              </w:rPr>
            </w:pPr>
            <w:r>
              <w:rPr>
                <w:rFonts w:eastAsia="標楷體"/>
                <w:kern w:val="0"/>
                <w:sz w:val="22"/>
                <w:szCs w:val="22"/>
              </w:rPr>
              <w:t>愛爾蘭</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A92F8F"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43.8</w:t>
            </w:r>
          </w:p>
        </w:tc>
        <w:tc>
          <w:tcPr>
            <w:tcW w:w="1129" w:type="dxa"/>
            <w:tcBorders>
              <w:left w:val="single" w:sz="4" w:space="0" w:color="000000"/>
            </w:tcBorders>
            <w:shd w:val="clear" w:color="auto" w:fill="auto"/>
            <w:tcMar>
              <w:top w:w="0" w:type="dxa"/>
              <w:left w:w="108" w:type="dxa"/>
              <w:bottom w:w="0" w:type="dxa"/>
              <w:right w:w="108" w:type="dxa"/>
            </w:tcMar>
            <w:vAlign w:val="center"/>
          </w:tcPr>
          <w:p w14:paraId="25927A1C" w14:textId="77777777" w:rsidR="00052596" w:rsidRDefault="00000000">
            <w:pPr>
              <w:spacing w:line="260" w:lineRule="atLeast"/>
              <w:jc w:val="center"/>
              <w:rPr>
                <w:rFonts w:eastAsia="標楷體"/>
                <w:kern w:val="0"/>
                <w:sz w:val="22"/>
                <w:szCs w:val="22"/>
              </w:rPr>
            </w:pPr>
            <w:r>
              <w:rPr>
                <w:rFonts w:eastAsia="標楷體"/>
                <w:kern w:val="0"/>
                <w:sz w:val="22"/>
                <w:szCs w:val="22"/>
              </w:rPr>
              <w:t>25</w:t>
            </w:r>
          </w:p>
        </w:tc>
      </w:tr>
      <w:tr w:rsidR="00052596" w14:paraId="24A931E1"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2076BDA5" w14:textId="77777777" w:rsidR="00052596" w:rsidRDefault="00000000">
            <w:pPr>
              <w:spacing w:line="260" w:lineRule="atLeast"/>
              <w:jc w:val="center"/>
              <w:rPr>
                <w:rFonts w:eastAsia="標楷體"/>
                <w:kern w:val="0"/>
                <w:sz w:val="22"/>
                <w:szCs w:val="22"/>
              </w:rPr>
            </w:pPr>
            <w:r>
              <w:rPr>
                <w:rFonts w:eastAsia="標楷體"/>
                <w:kern w:val="0"/>
                <w:sz w:val="22"/>
                <w:szCs w:val="22"/>
              </w:rPr>
              <w:t>法國</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563032"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368.2</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3383AC0E" w14:textId="77777777" w:rsidR="00052596" w:rsidRDefault="00000000">
            <w:pPr>
              <w:spacing w:line="260" w:lineRule="atLeast"/>
              <w:jc w:val="center"/>
              <w:rPr>
                <w:rFonts w:eastAsia="標楷體"/>
                <w:kern w:val="0"/>
                <w:sz w:val="22"/>
                <w:szCs w:val="22"/>
              </w:rPr>
            </w:pPr>
            <w:r>
              <w:rPr>
                <w:rFonts w:eastAsia="標楷體"/>
                <w:kern w:val="0"/>
                <w:sz w:val="22"/>
                <w:szCs w:val="22"/>
              </w:rPr>
              <w:t>10</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5D6C7046" w14:textId="77777777" w:rsidR="00052596" w:rsidRDefault="00000000">
            <w:pPr>
              <w:spacing w:line="260" w:lineRule="atLeast"/>
              <w:jc w:val="center"/>
              <w:rPr>
                <w:rFonts w:eastAsia="標楷體"/>
                <w:kern w:val="0"/>
                <w:sz w:val="22"/>
                <w:szCs w:val="22"/>
              </w:rPr>
            </w:pPr>
            <w:r>
              <w:rPr>
                <w:rFonts w:eastAsia="標楷體"/>
                <w:kern w:val="0"/>
                <w:sz w:val="22"/>
                <w:szCs w:val="22"/>
              </w:rPr>
              <w:t>瑞士</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1C0972"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43.7</w:t>
            </w:r>
          </w:p>
        </w:tc>
        <w:tc>
          <w:tcPr>
            <w:tcW w:w="1129" w:type="dxa"/>
            <w:tcBorders>
              <w:left w:val="single" w:sz="4" w:space="0" w:color="000000"/>
            </w:tcBorders>
            <w:shd w:val="clear" w:color="auto" w:fill="auto"/>
            <w:tcMar>
              <w:top w:w="0" w:type="dxa"/>
              <w:left w:w="108" w:type="dxa"/>
              <w:bottom w:w="0" w:type="dxa"/>
              <w:right w:w="108" w:type="dxa"/>
            </w:tcMar>
            <w:vAlign w:val="center"/>
          </w:tcPr>
          <w:p w14:paraId="62A30FFC" w14:textId="77777777" w:rsidR="00052596" w:rsidRDefault="00000000">
            <w:pPr>
              <w:spacing w:line="260" w:lineRule="atLeast"/>
              <w:jc w:val="center"/>
              <w:rPr>
                <w:rFonts w:eastAsia="標楷體"/>
                <w:kern w:val="0"/>
                <w:sz w:val="22"/>
                <w:szCs w:val="22"/>
              </w:rPr>
            </w:pPr>
            <w:r>
              <w:rPr>
                <w:rFonts w:eastAsia="標楷體"/>
                <w:kern w:val="0"/>
                <w:sz w:val="22"/>
                <w:szCs w:val="22"/>
              </w:rPr>
              <w:t>26</w:t>
            </w:r>
          </w:p>
        </w:tc>
      </w:tr>
      <w:tr w:rsidR="00052596" w14:paraId="24BC0328"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09EB5DD5" w14:textId="77777777" w:rsidR="00052596" w:rsidRDefault="00000000">
            <w:pPr>
              <w:spacing w:line="260" w:lineRule="atLeast"/>
              <w:jc w:val="center"/>
              <w:rPr>
                <w:rFonts w:eastAsia="標楷體"/>
                <w:kern w:val="0"/>
                <w:sz w:val="22"/>
                <w:szCs w:val="22"/>
              </w:rPr>
            </w:pPr>
            <w:r>
              <w:rPr>
                <w:rFonts w:eastAsia="標楷體"/>
                <w:kern w:val="0"/>
                <w:sz w:val="22"/>
                <w:szCs w:val="22"/>
              </w:rPr>
              <w:t>西班牙</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7B66BC"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317.6</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0A20F02D" w14:textId="77777777" w:rsidR="00052596" w:rsidRDefault="00000000">
            <w:pPr>
              <w:spacing w:line="260" w:lineRule="atLeast"/>
              <w:jc w:val="center"/>
              <w:rPr>
                <w:rFonts w:eastAsia="標楷體"/>
                <w:kern w:val="0"/>
                <w:sz w:val="22"/>
                <w:szCs w:val="22"/>
              </w:rPr>
            </w:pPr>
            <w:r>
              <w:rPr>
                <w:rFonts w:eastAsia="標楷體"/>
                <w:kern w:val="0"/>
                <w:sz w:val="22"/>
                <w:szCs w:val="22"/>
              </w:rPr>
              <w:t>11</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2CAA9277" w14:textId="77777777" w:rsidR="00052596" w:rsidRDefault="00000000">
            <w:pPr>
              <w:spacing w:line="260" w:lineRule="atLeast"/>
              <w:jc w:val="center"/>
              <w:rPr>
                <w:rFonts w:eastAsia="標楷體"/>
                <w:kern w:val="0"/>
                <w:sz w:val="22"/>
                <w:szCs w:val="22"/>
              </w:rPr>
            </w:pPr>
            <w:r>
              <w:rPr>
                <w:rFonts w:eastAsia="標楷體"/>
                <w:kern w:val="0"/>
                <w:sz w:val="22"/>
                <w:szCs w:val="22"/>
              </w:rPr>
              <w:t>挪威</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C1A7D6"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37.6</w:t>
            </w:r>
          </w:p>
        </w:tc>
        <w:tc>
          <w:tcPr>
            <w:tcW w:w="1129" w:type="dxa"/>
            <w:tcBorders>
              <w:left w:val="single" w:sz="4" w:space="0" w:color="000000"/>
            </w:tcBorders>
            <w:shd w:val="clear" w:color="auto" w:fill="auto"/>
            <w:tcMar>
              <w:top w:w="0" w:type="dxa"/>
              <w:left w:w="108" w:type="dxa"/>
              <w:bottom w:w="0" w:type="dxa"/>
              <w:right w:w="108" w:type="dxa"/>
            </w:tcMar>
            <w:vAlign w:val="center"/>
          </w:tcPr>
          <w:p w14:paraId="6E5096F4" w14:textId="77777777" w:rsidR="00052596" w:rsidRDefault="00000000">
            <w:pPr>
              <w:spacing w:line="260" w:lineRule="atLeast"/>
              <w:jc w:val="center"/>
              <w:rPr>
                <w:rFonts w:eastAsia="標楷體"/>
                <w:kern w:val="0"/>
                <w:sz w:val="22"/>
                <w:szCs w:val="22"/>
              </w:rPr>
            </w:pPr>
            <w:r>
              <w:rPr>
                <w:rFonts w:eastAsia="標楷體"/>
                <w:kern w:val="0"/>
                <w:sz w:val="22"/>
                <w:szCs w:val="22"/>
              </w:rPr>
              <w:t>27</w:t>
            </w:r>
          </w:p>
        </w:tc>
      </w:tr>
      <w:tr w:rsidR="00052596" w14:paraId="27796D47"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5BD1DA64" w14:textId="77777777" w:rsidR="00052596" w:rsidRDefault="00000000">
            <w:pPr>
              <w:spacing w:line="260" w:lineRule="atLeast"/>
              <w:jc w:val="center"/>
              <w:rPr>
                <w:rFonts w:eastAsia="標楷體"/>
                <w:kern w:val="0"/>
                <w:sz w:val="22"/>
                <w:szCs w:val="22"/>
              </w:rPr>
            </w:pPr>
            <w:r>
              <w:rPr>
                <w:rFonts w:eastAsia="標楷體"/>
                <w:kern w:val="0"/>
                <w:sz w:val="22"/>
                <w:szCs w:val="22"/>
              </w:rPr>
              <w:t>波蘭</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B40566"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298.7</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413FD014" w14:textId="77777777" w:rsidR="00052596" w:rsidRDefault="00000000">
            <w:pPr>
              <w:spacing w:line="260" w:lineRule="atLeast"/>
              <w:jc w:val="center"/>
              <w:rPr>
                <w:rFonts w:eastAsia="標楷體"/>
                <w:kern w:val="0"/>
                <w:sz w:val="22"/>
                <w:szCs w:val="22"/>
              </w:rPr>
            </w:pPr>
            <w:r>
              <w:rPr>
                <w:rFonts w:eastAsia="標楷體"/>
                <w:kern w:val="0"/>
                <w:sz w:val="22"/>
                <w:szCs w:val="22"/>
              </w:rPr>
              <w:t>12</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481E67AE" w14:textId="77777777" w:rsidR="00052596" w:rsidRDefault="00000000">
            <w:pPr>
              <w:spacing w:line="260" w:lineRule="atLeast"/>
              <w:jc w:val="center"/>
              <w:rPr>
                <w:rFonts w:eastAsia="標楷體"/>
                <w:kern w:val="0"/>
                <w:sz w:val="22"/>
                <w:szCs w:val="22"/>
              </w:rPr>
            </w:pPr>
            <w:r>
              <w:rPr>
                <w:rFonts w:eastAsia="標楷體"/>
                <w:kern w:val="0"/>
                <w:sz w:val="22"/>
                <w:szCs w:val="22"/>
              </w:rPr>
              <w:t>斯洛伐克</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7C64F0"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36.2</w:t>
            </w:r>
          </w:p>
        </w:tc>
        <w:tc>
          <w:tcPr>
            <w:tcW w:w="1129" w:type="dxa"/>
            <w:tcBorders>
              <w:left w:val="single" w:sz="4" w:space="0" w:color="000000"/>
            </w:tcBorders>
            <w:shd w:val="clear" w:color="auto" w:fill="auto"/>
            <w:tcMar>
              <w:top w:w="0" w:type="dxa"/>
              <w:left w:w="108" w:type="dxa"/>
              <w:bottom w:w="0" w:type="dxa"/>
              <w:right w:w="108" w:type="dxa"/>
            </w:tcMar>
            <w:vAlign w:val="center"/>
          </w:tcPr>
          <w:p w14:paraId="2C392627" w14:textId="77777777" w:rsidR="00052596" w:rsidRDefault="00000000">
            <w:pPr>
              <w:spacing w:line="260" w:lineRule="atLeast"/>
              <w:jc w:val="center"/>
              <w:rPr>
                <w:rFonts w:eastAsia="標楷體"/>
                <w:kern w:val="0"/>
                <w:sz w:val="22"/>
                <w:szCs w:val="22"/>
              </w:rPr>
            </w:pPr>
            <w:r>
              <w:rPr>
                <w:rFonts w:eastAsia="標楷體"/>
                <w:kern w:val="0"/>
                <w:sz w:val="22"/>
                <w:szCs w:val="22"/>
              </w:rPr>
              <w:t>28</w:t>
            </w:r>
          </w:p>
        </w:tc>
      </w:tr>
      <w:tr w:rsidR="00052596" w14:paraId="21BD2409"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7861FEBA" w14:textId="77777777" w:rsidR="00052596" w:rsidRDefault="00000000">
            <w:pPr>
              <w:spacing w:line="260" w:lineRule="atLeast"/>
              <w:jc w:val="center"/>
              <w:rPr>
                <w:rFonts w:eastAsia="標楷體"/>
                <w:b/>
                <w:color w:val="800000"/>
                <w:kern w:val="0"/>
                <w:sz w:val="22"/>
                <w:szCs w:val="22"/>
              </w:rPr>
            </w:pPr>
            <w:r>
              <w:rPr>
                <w:rFonts w:eastAsia="標楷體"/>
                <w:b/>
                <w:color w:val="800000"/>
                <w:kern w:val="0"/>
                <w:sz w:val="22"/>
                <w:szCs w:val="22"/>
              </w:rPr>
              <w:t>臺灣</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761FC7" w14:textId="77777777" w:rsidR="00052596" w:rsidRDefault="00000000">
            <w:pPr>
              <w:spacing w:line="260" w:lineRule="atLeast"/>
              <w:ind w:right="89"/>
              <w:jc w:val="right"/>
              <w:rPr>
                <w:rFonts w:eastAsia="標楷體"/>
                <w:b/>
                <w:color w:val="800000"/>
                <w:kern w:val="0"/>
                <w:sz w:val="22"/>
                <w:szCs w:val="22"/>
              </w:rPr>
            </w:pPr>
            <w:r>
              <w:rPr>
                <w:rFonts w:eastAsia="標楷體"/>
                <w:b/>
                <w:color w:val="800000"/>
                <w:kern w:val="0"/>
                <w:sz w:val="22"/>
                <w:szCs w:val="22"/>
              </w:rPr>
              <w:t>264.3</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68ADF905" w14:textId="77777777" w:rsidR="00052596" w:rsidRDefault="00000000">
            <w:pPr>
              <w:spacing w:line="260" w:lineRule="atLeast"/>
              <w:jc w:val="center"/>
              <w:rPr>
                <w:rFonts w:eastAsia="標楷體"/>
                <w:b/>
                <w:color w:val="800000"/>
                <w:kern w:val="0"/>
                <w:sz w:val="22"/>
                <w:szCs w:val="22"/>
              </w:rPr>
            </w:pPr>
            <w:r>
              <w:rPr>
                <w:rFonts w:eastAsia="標楷體"/>
                <w:b/>
                <w:color w:val="800000"/>
                <w:kern w:val="0"/>
                <w:sz w:val="22"/>
                <w:szCs w:val="22"/>
              </w:rPr>
              <w:t>13</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75372BF3" w14:textId="77777777" w:rsidR="00052596" w:rsidRDefault="00000000">
            <w:pPr>
              <w:spacing w:line="260" w:lineRule="atLeast"/>
              <w:jc w:val="center"/>
              <w:rPr>
                <w:rFonts w:eastAsia="標楷體"/>
                <w:kern w:val="0"/>
                <w:sz w:val="22"/>
                <w:szCs w:val="22"/>
              </w:rPr>
            </w:pPr>
            <w:r>
              <w:rPr>
                <w:rFonts w:eastAsia="標楷體"/>
                <w:kern w:val="0"/>
                <w:sz w:val="22"/>
                <w:szCs w:val="22"/>
              </w:rPr>
              <w:t>紐西蘭</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9E0223"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33.3</w:t>
            </w:r>
          </w:p>
        </w:tc>
        <w:tc>
          <w:tcPr>
            <w:tcW w:w="1129" w:type="dxa"/>
            <w:tcBorders>
              <w:left w:val="single" w:sz="4" w:space="0" w:color="000000"/>
            </w:tcBorders>
            <w:shd w:val="clear" w:color="auto" w:fill="auto"/>
            <w:tcMar>
              <w:top w:w="0" w:type="dxa"/>
              <w:left w:w="108" w:type="dxa"/>
              <w:bottom w:w="0" w:type="dxa"/>
              <w:right w:w="108" w:type="dxa"/>
            </w:tcMar>
            <w:vAlign w:val="center"/>
          </w:tcPr>
          <w:p w14:paraId="28C4D21B" w14:textId="77777777" w:rsidR="00052596" w:rsidRDefault="00000000">
            <w:pPr>
              <w:spacing w:line="260" w:lineRule="atLeast"/>
              <w:jc w:val="center"/>
              <w:rPr>
                <w:rFonts w:eastAsia="標楷體"/>
                <w:kern w:val="0"/>
                <w:sz w:val="22"/>
                <w:szCs w:val="22"/>
              </w:rPr>
            </w:pPr>
            <w:r>
              <w:rPr>
                <w:rFonts w:eastAsia="標楷體"/>
                <w:kern w:val="0"/>
                <w:sz w:val="22"/>
                <w:szCs w:val="22"/>
              </w:rPr>
              <w:t>29</w:t>
            </w:r>
          </w:p>
        </w:tc>
      </w:tr>
      <w:tr w:rsidR="00052596" w14:paraId="03ED4BAF"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701C3905" w14:textId="77777777" w:rsidR="00052596" w:rsidRDefault="00000000">
            <w:pPr>
              <w:spacing w:line="260" w:lineRule="atLeast"/>
              <w:jc w:val="center"/>
              <w:rPr>
                <w:rFonts w:eastAsia="標楷體"/>
                <w:kern w:val="0"/>
                <w:sz w:val="22"/>
                <w:szCs w:val="22"/>
              </w:rPr>
            </w:pPr>
            <w:r>
              <w:rPr>
                <w:rFonts w:eastAsia="標楷體"/>
                <w:kern w:val="0"/>
                <w:sz w:val="22"/>
                <w:szCs w:val="22"/>
              </w:rPr>
              <w:t>土耳其</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C46729"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263.5</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5AB64A90" w14:textId="77777777" w:rsidR="00052596" w:rsidRDefault="00000000">
            <w:pPr>
              <w:spacing w:line="260" w:lineRule="atLeast"/>
              <w:jc w:val="center"/>
              <w:rPr>
                <w:rFonts w:eastAsia="標楷體"/>
                <w:kern w:val="0"/>
                <w:sz w:val="22"/>
                <w:szCs w:val="22"/>
              </w:rPr>
            </w:pPr>
            <w:r>
              <w:rPr>
                <w:rFonts w:eastAsia="標楷體"/>
                <w:kern w:val="0"/>
                <w:sz w:val="22"/>
                <w:szCs w:val="22"/>
              </w:rPr>
              <w:t>14</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1E5758C5" w14:textId="77777777" w:rsidR="00052596" w:rsidRDefault="00000000">
            <w:pPr>
              <w:spacing w:line="260" w:lineRule="atLeast"/>
              <w:jc w:val="center"/>
              <w:rPr>
                <w:rFonts w:eastAsia="標楷體"/>
                <w:kern w:val="0"/>
                <w:sz w:val="22"/>
                <w:szCs w:val="22"/>
              </w:rPr>
            </w:pPr>
            <w:r>
              <w:rPr>
                <w:rFonts w:eastAsia="標楷體"/>
                <w:kern w:val="0"/>
                <w:sz w:val="22"/>
                <w:szCs w:val="22"/>
              </w:rPr>
              <w:t>盧森堡</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F54AF8"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10.4</w:t>
            </w:r>
          </w:p>
        </w:tc>
        <w:tc>
          <w:tcPr>
            <w:tcW w:w="1129" w:type="dxa"/>
            <w:tcBorders>
              <w:left w:val="single" w:sz="4" w:space="0" w:color="000000"/>
            </w:tcBorders>
            <w:shd w:val="clear" w:color="auto" w:fill="auto"/>
            <w:tcMar>
              <w:top w:w="0" w:type="dxa"/>
              <w:left w:w="108" w:type="dxa"/>
              <w:bottom w:w="0" w:type="dxa"/>
              <w:right w:w="108" w:type="dxa"/>
            </w:tcMar>
            <w:vAlign w:val="center"/>
          </w:tcPr>
          <w:p w14:paraId="3849D7EC" w14:textId="77777777" w:rsidR="00052596" w:rsidRDefault="00000000">
            <w:pPr>
              <w:spacing w:line="260" w:lineRule="atLeast"/>
              <w:jc w:val="center"/>
              <w:rPr>
                <w:rFonts w:eastAsia="標楷體"/>
                <w:kern w:val="0"/>
                <w:sz w:val="22"/>
                <w:szCs w:val="22"/>
              </w:rPr>
            </w:pPr>
            <w:r>
              <w:rPr>
                <w:rFonts w:eastAsia="標楷體"/>
                <w:kern w:val="0"/>
                <w:sz w:val="22"/>
                <w:szCs w:val="22"/>
              </w:rPr>
              <w:t>30</w:t>
            </w:r>
          </w:p>
        </w:tc>
      </w:tr>
      <w:tr w:rsidR="00052596" w14:paraId="43C12B8A" w14:textId="77777777">
        <w:tblPrEx>
          <w:tblCellMar>
            <w:top w:w="0" w:type="dxa"/>
            <w:bottom w:w="0" w:type="dxa"/>
          </w:tblCellMar>
        </w:tblPrEx>
        <w:trPr>
          <w:trHeight w:val="329"/>
        </w:trPr>
        <w:tc>
          <w:tcPr>
            <w:tcW w:w="1128" w:type="dxa"/>
            <w:tcBorders>
              <w:right w:val="single" w:sz="4" w:space="0" w:color="000000"/>
            </w:tcBorders>
            <w:shd w:val="clear" w:color="auto" w:fill="auto"/>
            <w:tcMar>
              <w:top w:w="0" w:type="dxa"/>
              <w:left w:w="108" w:type="dxa"/>
              <w:bottom w:w="0" w:type="dxa"/>
              <w:right w:w="108" w:type="dxa"/>
            </w:tcMar>
            <w:vAlign w:val="center"/>
          </w:tcPr>
          <w:p w14:paraId="417D2EF9" w14:textId="77777777" w:rsidR="00052596" w:rsidRDefault="00000000">
            <w:pPr>
              <w:spacing w:line="260" w:lineRule="atLeast"/>
              <w:jc w:val="center"/>
              <w:rPr>
                <w:rFonts w:eastAsia="標楷體"/>
                <w:kern w:val="0"/>
                <w:sz w:val="22"/>
                <w:szCs w:val="22"/>
              </w:rPr>
            </w:pPr>
            <w:r>
              <w:rPr>
                <w:rFonts w:eastAsia="標楷體"/>
                <w:kern w:val="0"/>
                <w:sz w:val="22"/>
                <w:szCs w:val="22"/>
              </w:rPr>
              <w:t>荷蘭</w:t>
            </w:r>
          </w:p>
        </w:tc>
        <w:tc>
          <w:tcPr>
            <w:tcW w:w="112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7FDB59"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177.9</w:t>
            </w:r>
          </w:p>
        </w:tc>
        <w:tc>
          <w:tcPr>
            <w:tcW w:w="1128" w:type="dxa"/>
            <w:tcBorders>
              <w:left w:val="single" w:sz="4" w:space="0" w:color="000000"/>
              <w:right w:val="double" w:sz="4" w:space="0" w:color="000000"/>
            </w:tcBorders>
            <w:shd w:val="clear" w:color="auto" w:fill="auto"/>
            <w:tcMar>
              <w:top w:w="0" w:type="dxa"/>
              <w:left w:w="108" w:type="dxa"/>
              <w:bottom w:w="0" w:type="dxa"/>
              <w:right w:w="108" w:type="dxa"/>
            </w:tcMar>
            <w:vAlign w:val="center"/>
          </w:tcPr>
          <w:p w14:paraId="160EDDD2" w14:textId="77777777" w:rsidR="00052596" w:rsidRDefault="00000000">
            <w:pPr>
              <w:spacing w:line="260" w:lineRule="atLeast"/>
              <w:jc w:val="center"/>
              <w:rPr>
                <w:rFonts w:eastAsia="標楷體"/>
                <w:kern w:val="0"/>
                <w:sz w:val="22"/>
                <w:szCs w:val="22"/>
              </w:rPr>
            </w:pPr>
            <w:r>
              <w:rPr>
                <w:rFonts w:eastAsia="標楷體"/>
                <w:kern w:val="0"/>
                <w:sz w:val="22"/>
                <w:szCs w:val="22"/>
              </w:rPr>
              <w:t>15</w:t>
            </w:r>
          </w:p>
        </w:tc>
        <w:tc>
          <w:tcPr>
            <w:tcW w:w="1129" w:type="dxa"/>
            <w:tcBorders>
              <w:left w:val="double" w:sz="4" w:space="0" w:color="000000"/>
              <w:right w:val="single" w:sz="4" w:space="0" w:color="000000"/>
            </w:tcBorders>
            <w:shd w:val="clear" w:color="auto" w:fill="auto"/>
            <w:tcMar>
              <w:top w:w="0" w:type="dxa"/>
              <w:left w:w="108" w:type="dxa"/>
              <w:bottom w:w="0" w:type="dxa"/>
              <w:right w:w="108" w:type="dxa"/>
            </w:tcMar>
            <w:vAlign w:val="center"/>
          </w:tcPr>
          <w:p w14:paraId="536077C3" w14:textId="77777777" w:rsidR="00052596" w:rsidRDefault="00000000">
            <w:pPr>
              <w:spacing w:line="260" w:lineRule="atLeast"/>
              <w:jc w:val="center"/>
              <w:rPr>
                <w:rFonts w:eastAsia="標楷體"/>
                <w:kern w:val="0"/>
                <w:sz w:val="22"/>
                <w:szCs w:val="22"/>
              </w:rPr>
            </w:pPr>
            <w:r>
              <w:rPr>
                <w:rFonts w:eastAsia="標楷體"/>
                <w:kern w:val="0"/>
                <w:sz w:val="22"/>
                <w:szCs w:val="22"/>
              </w:rPr>
              <w:t>冰島</w:t>
            </w:r>
          </w:p>
        </w:tc>
        <w:tc>
          <w:tcPr>
            <w:tcW w:w="1128"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DF4FB4" w14:textId="77777777" w:rsidR="00052596" w:rsidRDefault="00000000">
            <w:pPr>
              <w:spacing w:line="260" w:lineRule="atLeast"/>
              <w:ind w:right="91"/>
              <w:jc w:val="right"/>
              <w:rPr>
                <w:rFonts w:eastAsia="標楷體"/>
                <w:kern w:val="0"/>
                <w:sz w:val="22"/>
                <w:szCs w:val="22"/>
              </w:rPr>
            </w:pPr>
            <w:r>
              <w:rPr>
                <w:rFonts w:eastAsia="標楷體"/>
                <w:kern w:val="0"/>
                <w:sz w:val="22"/>
                <w:szCs w:val="22"/>
              </w:rPr>
              <w:t>2.2</w:t>
            </w:r>
          </w:p>
        </w:tc>
        <w:tc>
          <w:tcPr>
            <w:tcW w:w="1129" w:type="dxa"/>
            <w:tcBorders>
              <w:left w:val="single" w:sz="4" w:space="0" w:color="000000"/>
            </w:tcBorders>
            <w:shd w:val="clear" w:color="auto" w:fill="auto"/>
            <w:tcMar>
              <w:top w:w="0" w:type="dxa"/>
              <w:left w:w="108" w:type="dxa"/>
              <w:bottom w:w="0" w:type="dxa"/>
              <w:right w:w="108" w:type="dxa"/>
            </w:tcMar>
            <w:vAlign w:val="center"/>
          </w:tcPr>
          <w:p w14:paraId="30017A64" w14:textId="77777777" w:rsidR="00052596" w:rsidRDefault="00000000">
            <w:pPr>
              <w:spacing w:line="260" w:lineRule="atLeast"/>
              <w:jc w:val="center"/>
              <w:rPr>
                <w:rFonts w:eastAsia="標楷體"/>
                <w:kern w:val="0"/>
                <w:sz w:val="22"/>
                <w:szCs w:val="22"/>
              </w:rPr>
            </w:pPr>
            <w:r>
              <w:rPr>
                <w:rFonts w:eastAsia="標楷體"/>
                <w:kern w:val="0"/>
                <w:sz w:val="22"/>
                <w:szCs w:val="22"/>
              </w:rPr>
              <w:t>31</w:t>
            </w:r>
          </w:p>
        </w:tc>
      </w:tr>
      <w:tr w:rsidR="00052596" w14:paraId="2E720358" w14:textId="77777777">
        <w:tblPrEx>
          <w:tblCellMar>
            <w:top w:w="0" w:type="dxa"/>
            <w:bottom w:w="0" w:type="dxa"/>
          </w:tblCellMar>
        </w:tblPrEx>
        <w:trPr>
          <w:trHeight w:val="329"/>
        </w:trPr>
        <w:tc>
          <w:tcPr>
            <w:tcW w:w="11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B02579" w14:textId="77777777" w:rsidR="00052596" w:rsidRDefault="00000000">
            <w:pPr>
              <w:spacing w:line="260" w:lineRule="atLeast"/>
              <w:jc w:val="center"/>
              <w:rPr>
                <w:rFonts w:eastAsia="標楷體"/>
                <w:kern w:val="0"/>
                <w:sz w:val="22"/>
                <w:szCs w:val="22"/>
              </w:rPr>
            </w:pPr>
            <w:r>
              <w:rPr>
                <w:rFonts w:eastAsia="標楷體"/>
                <w:kern w:val="0"/>
                <w:sz w:val="22"/>
                <w:szCs w:val="22"/>
              </w:rPr>
              <w:t>捷克</w:t>
            </w:r>
          </w:p>
        </w:tc>
        <w:tc>
          <w:tcPr>
            <w:tcW w:w="11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A72B7" w14:textId="77777777" w:rsidR="00052596" w:rsidRDefault="00000000">
            <w:pPr>
              <w:spacing w:line="260" w:lineRule="atLeast"/>
              <w:ind w:right="89"/>
              <w:jc w:val="right"/>
              <w:rPr>
                <w:rFonts w:eastAsia="標楷體"/>
                <w:kern w:val="0"/>
                <w:sz w:val="22"/>
                <w:szCs w:val="22"/>
              </w:rPr>
            </w:pPr>
            <w:r>
              <w:rPr>
                <w:rFonts w:eastAsia="標楷體"/>
                <w:kern w:val="0"/>
                <w:sz w:val="22"/>
                <w:szCs w:val="22"/>
              </w:rPr>
              <w:t>116.8</w:t>
            </w:r>
          </w:p>
        </w:tc>
        <w:tc>
          <w:tcPr>
            <w:tcW w:w="1128" w:type="dxa"/>
            <w:tcBorders>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14:paraId="442FB591" w14:textId="77777777" w:rsidR="00052596" w:rsidRDefault="00000000">
            <w:pPr>
              <w:spacing w:line="260" w:lineRule="atLeast"/>
              <w:jc w:val="center"/>
              <w:rPr>
                <w:rFonts w:eastAsia="標楷體"/>
                <w:kern w:val="0"/>
                <w:sz w:val="22"/>
                <w:szCs w:val="22"/>
              </w:rPr>
            </w:pPr>
            <w:r>
              <w:rPr>
                <w:rFonts w:eastAsia="標楷體"/>
                <w:kern w:val="0"/>
                <w:sz w:val="22"/>
                <w:szCs w:val="22"/>
              </w:rPr>
              <w:t>16</w:t>
            </w:r>
          </w:p>
        </w:tc>
        <w:tc>
          <w:tcPr>
            <w:tcW w:w="1129" w:type="dxa"/>
            <w:tcBorders>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54268" w14:textId="77777777" w:rsidR="00052596" w:rsidRDefault="00052596">
            <w:pPr>
              <w:spacing w:line="260" w:lineRule="atLeast"/>
              <w:jc w:val="center"/>
              <w:rPr>
                <w:rFonts w:eastAsia="標楷體"/>
                <w:kern w:val="0"/>
                <w:sz w:val="22"/>
                <w:szCs w:val="22"/>
              </w:rPr>
            </w:pPr>
          </w:p>
        </w:tc>
        <w:tc>
          <w:tcPr>
            <w:tcW w:w="11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17B9A" w14:textId="77777777" w:rsidR="00052596" w:rsidRDefault="00052596">
            <w:pPr>
              <w:spacing w:line="260" w:lineRule="atLeast"/>
              <w:jc w:val="center"/>
              <w:rPr>
                <w:rFonts w:eastAsia="標楷體"/>
                <w:kern w:val="0"/>
                <w:sz w:val="22"/>
                <w:szCs w:val="22"/>
              </w:rPr>
            </w:pPr>
          </w:p>
        </w:tc>
        <w:tc>
          <w:tcPr>
            <w:tcW w:w="112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F4FAB77" w14:textId="77777777" w:rsidR="00052596" w:rsidRDefault="00052596">
            <w:pPr>
              <w:spacing w:line="260" w:lineRule="atLeast"/>
              <w:jc w:val="center"/>
              <w:rPr>
                <w:rFonts w:eastAsia="標楷體"/>
                <w:kern w:val="0"/>
                <w:sz w:val="22"/>
                <w:szCs w:val="22"/>
              </w:rPr>
            </w:pPr>
          </w:p>
        </w:tc>
      </w:tr>
    </w:tbl>
    <w:p w14:paraId="66F71E68" w14:textId="77777777" w:rsidR="00052596" w:rsidRDefault="00000000">
      <w:pPr>
        <w:widowControl/>
        <w:spacing w:before="84"/>
        <w:ind w:left="1133" w:right="1020"/>
      </w:pPr>
      <w:r>
        <w:rPr>
          <w:rFonts w:eastAsia="標楷體"/>
          <w:kern w:val="0"/>
          <w:sz w:val="20"/>
        </w:rPr>
        <w:t xml:space="preserve">  </w:t>
      </w:r>
      <w:r>
        <w:rPr>
          <w:rFonts w:eastAsia="標楷體"/>
          <w:kern w:val="0"/>
          <w:sz w:val="20"/>
        </w:rPr>
        <w:t>資料來源：</w:t>
      </w:r>
      <w:r>
        <w:rPr>
          <w:rFonts w:eastAsia="標楷體"/>
          <w:kern w:val="0"/>
          <w:sz w:val="20"/>
        </w:rPr>
        <w:t>IEA</w:t>
      </w:r>
      <w:r>
        <w:rPr>
          <w:rFonts w:ascii="標楷體" w:eastAsia="標楷體" w:hAnsi="標楷體"/>
          <w:kern w:val="0"/>
          <w:sz w:val="20"/>
        </w:rPr>
        <w:t>(</w:t>
      </w:r>
      <w:r>
        <w:rPr>
          <w:rFonts w:eastAsia="標楷體"/>
          <w:kern w:val="0"/>
          <w:sz w:val="20"/>
        </w:rPr>
        <w:t>2010</w:t>
      </w:r>
      <w:r>
        <w:rPr>
          <w:rFonts w:ascii="標楷體" w:eastAsia="標楷體" w:hAnsi="標楷體"/>
          <w:kern w:val="0"/>
          <w:sz w:val="20"/>
        </w:rPr>
        <w:t>)</w:t>
      </w:r>
      <w:r>
        <w:rPr>
          <w:rFonts w:eastAsia="標楷體"/>
          <w:kern w:val="0"/>
          <w:sz w:val="20"/>
        </w:rPr>
        <w:t xml:space="preserve">, </w:t>
      </w:r>
      <w:r>
        <w:rPr>
          <w:rFonts w:eastAsia="標楷體"/>
          <w:i/>
          <w:kern w:val="0"/>
          <w:sz w:val="20"/>
        </w:rPr>
        <w:t>CO</w:t>
      </w:r>
      <w:r>
        <w:rPr>
          <w:rFonts w:eastAsia="標楷體"/>
          <w:i/>
          <w:kern w:val="0"/>
          <w:sz w:val="20"/>
          <w:vertAlign w:val="subscript"/>
        </w:rPr>
        <w:t>2</w:t>
      </w:r>
      <w:r>
        <w:rPr>
          <w:rFonts w:eastAsia="標楷體"/>
          <w:i/>
          <w:kern w:val="0"/>
          <w:sz w:val="20"/>
        </w:rPr>
        <w:t xml:space="preserve"> Emissions from Fuel Combustion.</w:t>
      </w:r>
    </w:p>
    <w:p w14:paraId="31567B03" w14:textId="77777777" w:rsidR="00052596" w:rsidRDefault="00000000">
      <w:pPr>
        <w:overflowPunct w:val="0"/>
        <w:autoSpaceDE w:val="0"/>
        <w:snapToGrid w:val="0"/>
        <w:spacing w:before="240" w:after="120" w:line="280" w:lineRule="exact"/>
        <w:jc w:val="center"/>
        <w:textAlignment w:val="center"/>
      </w:pPr>
      <w:r>
        <w:rPr>
          <w:rFonts w:eastAsia="標楷體"/>
          <w:b/>
          <w:color w:val="0000FF"/>
          <w:kern w:val="0"/>
          <w:sz w:val="25"/>
          <w:szCs w:val="22"/>
        </w:rPr>
        <w:lastRenderedPageBreak/>
        <w:t>圖</w:t>
      </w:r>
      <w:r>
        <w:rPr>
          <w:rFonts w:eastAsia="標楷體"/>
          <w:b/>
          <w:color w:val="0000FF"/>
          <w:kern w:val="0"/>
          <w:sz w:val="25"/>
          <w:szCs w:val="22"/>
        </w:rPr>
        <w:t>1.2.15</w:t>
      </w:r>
      <w:r>
        <w:rPr>
          <w:rFonts w:eastAsia="標楷體"/>
          <w:b/>
          <w:color w:val="0000FF"/>
          <w:kern w:val="0"/>
          <w:sz w:val="25"/>
          <w:szCs w:val="22"/>
        </w:rPr>
        <w:t xml:space="preserve">　</w:t>
      </w:r>
      <w:r>
        <w:rPr>
          <w:rFonts w:eastAsia="標楷體"/>
          <w:b/>
          <w:color w:val="0000FF"/>
          <w:kern w:val="0"/>
          <w:sz w:val="25"/>
          <w:szCs w:val="22"/>
        </w:rPr>
        <w:t>2008</w:t>
      </w:r>
      <w:r>
        <w:rPr>
          <w:rFonts w:eastAsia="標楷體"/>
          <w:b/>
          <w:color w:val="0000FF"/>
          <w:kern w:val="0"/>
          <w:sz w:val="25"/>
          <w:szCs w:val="22"/>
        </w:rPr>
        <w:t>年我國及</w:t>
      </w:r>
      <w:r>
        <w:rPr>
          <w:rFonts w:eastAsia="標楷體"/>
          <w:b/>
          <w:color w:val="0000FF"/>
          <w:kern w:val="0"/>
          <w:sz w:val="25"/>
          <w:szCs w:val="22"/>
        </w:rPr>
        <w:t>OECD</w:t>
      </w:r>
      <w:r>
        <w:rPr>
          <w:rFonts w:eastAsia="標楷體"/>
          <w:b/>
          <w:color w:val="0000FF"/>
          <w:kern w:val="0"/>
          <w:sz w:val="25"/>
          <w:szCs w:val="22"/>
        </w:rPr>
        <w:t>國家平均每人</w:t>
      </w:r>
      <w:r>
        <w:rPr>
          <w:rFonts w:eastAsia="標楷體"/>
          <w:b/>
          <w:color w:val="0000FF"/>
          <w:kern w:val="0"/>
          <w:sz w:val="25"/>
          <w:szCs w:val="22"/>
        </w:rPr>
        <w:t>CO</w:t>
      </w:r>
      <w:r>
        <w:rPr>
          <w:rFonts w:eastAsia="標楷體"/>
          <w:b/>
          <w:color w:val="0000FF"/>
          <w:kern w:val="0"/>
          <w:sz w:val="25"/>
          <w:szCs w:val="22"/>
          <w:vertAlign w:val="subscript"/>
        </w:rPr>
        <w:t>2</w:t>
      </w:r>
      <w:r>
        <w:rPr>
          <w:rFonts w:eastAsia="標楷體"/>
          <w:b/>
          <w:color w:val="0000FF"/>
          <w:kern w:val="0"/>
          <w:sz w:val="25"/>
          <w:szCs w:val="22"/>
        </w:rPr>
        <w:t>總排放量</w:t>
      </w:r>
    </w:p>
    <w:p w14:paraId="5DB9E5E6" w14:textId="77777777" w:rsidR="00052596" w:rsidRDefault="00000000">
      <w:pPr>
        <w:widowControl/>
        <w:jc w:val="center"/>
      </w:pPr>
      <w:r>
        <w:rPr>
          <w:rFonts w:ascii="Calibri" w:hAnsi="Calibri"/>
          <w:noProof/>
          <w:kern w:val="0"/>
          <w:szCs w:val="24"/>
        </w:rPr>
        <w:drawing>
          <wp:inline distT="0" distB="0" distL="0" distR="0" wp14:anchorId="3117022B" wp14:editId="5ABAEF35">
            <wp:extent cx="4401821" cy="3594104"/>
            <wp:effectExtent l="0" t="0" r="0" b="6346"/>
            <wp:docPr id="172" name="圖表 430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4401821" cy="3594104"/>
                    </a:xfrm>
                    <a:prstGeom prst="rect">
                      <a:avLst/>
                    </a:prstGeom>
                    <a:noFill/>
                    <a:ln>
                      <a:noFill/>
                      <a:prstDash/>
                    </a:ln>
                  </pic:spPr>
                </pic:pic>
              </a:graphicData>
            </a:graphic>
          </wp:inline>
        </w:drawing>
      </w:r>
    </w:p>
    <w:p w14:paraId="3FB59128" w14:textId="77777777" w:rsidR="00052596" w:rsidRDefault="00000000">
      <w:pPr>
        <w:tabs>
          <w:tab w:val="left" w:pos="960"/>
          <w:tab w:val="left" w:pos="1920"/>
          <w:tab w:val="left" w:pos="2880"/>
          <w:tab w:val="left" w:pos="3840"/>
          <w:tab w:val="left" w:pos="4800"/>
          <w:tab w:val="left" w:pos="5760"/>
        </w:tabs>
        <w:overflowPunct w:val="0"/>
        <w:autoSpaceDE w:val="0"/>
        <w:spacing w:after="120" w:line="420" w:lineRule="exact"/>
        <w:ind w:firstLine="1040"/>
        <w:jc w:val="both"/>
        <w:textAlignment w:val="center"/>
      </w:pPr>
      <w:r>
        <w:rPr>
          <w:rFonts w:eastAsia="標楷體"/>
          <w:color w:val="000000"/>
          <w:spacing w:val="4"/>
          <w:kern w:val="0"/>
          <w:sz w:val="20"/>
        </w:rPr>
        <w:t>資料來源：行政院主計總處，社會指標統計年報</w:t>
      </w:r>
      <w:r>
        <w:rPr>
          <w:rFonts w:eastAsia="標楷體"/>
          <w:color w:val="000000"/>
          <w:spacing w:val="4"/>
          <w:kern w:val="0"/>
          <w:sz w:val="20"/>
        </w:rPr>
        <w:t>2010</w:t>
      </w:r>
      <w:r>
        <w:rPr>
          <w:rFonts w:eastAsia="標楷體"/>
          <w:color w:val="000000"/>
          <w:spacing w:val="4"/>
          <w:kern w:val="0"/>
          <w:sz w:val="20"/>
        </w:rPr>
        <w:t>。</w:t>
      </w:r>
    </w:p>
    <w:p w14:paraId="338E74E3" w14:textId="77777777" w:rsidR="00052596" w:rsidRDefault="00000000">
      <w:pPr>
        <w:tabs>
          <w:tab w:val="left" w:pos="960"/>
          <w:tab w:val="left" w:pos="1920"/>
          <w:tab w:val="left" w:pos="2880"/>
          <w:tab w:val="left" w:pos="3840"/>
          <w:tab w:val="left" w:pos="4800"/>
          <w:tab w:val="left" w:pos="5760"/>
        </w:tabs>
        <w:overflowPunct w:val="0"/>
        <w:autoSpaceDE w:val="0"/>
        <w:spacing w:before="240" w:after="120" w:line="420" w:lineRule="exact"/>
        <w:ind w:left="187" w:hanging="259"/>
        <w:jc w:val="both"/>
        <w:textAlignment w:val="center"/>
        <w:rPr>
          <w:rFonts w:eastAsia="標楷體"/>
          <w:b/>
          <w:color w:val="0000FF"/>
          <w:spacing w:val="4"/>
          <w:kern w:val="0"/>
          <w:sz w:val="28"/>
        </w:rPr>
      </w:pPr>
      <w:r>
        <w:rPr>
          <w:rFonts w:eastAsia="標楷體"/>
          <w:b/>
          <w:color w:val="0000FF"/>
          <w:spacing w:val="4"/>
          <w:kern w:val="0"/>
          <w:sz w:val="28"/>
        </w:rPr>
        <w:t>二、社會包容</w:t>
      </w:r>
    </w:p>
    <w:p w14:paraId="7B26FBA2"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世界銀行強調，綠色成長是永續發展的重要途徑，而永續發展應同時兼顧經濟、環境與社會責任。然綠色成長政策本身並未直接涵蓋包容性，因此各國在推動綠色成長政策時，應將促進包容性的考量納入決策過程。國際經驗顯示，創造綠色就業是解決失業、所得分配惡化及環境污染問題的重要途徑。近年政府除積極擴大綠色投資，發展綠色產業，創造綠色就業機會外，並加速產業轉型與技能培訓，以因應綠色成長潮流。惟目前我國在厚植綠色就業市場潛力及綠色勞動供給方面，仍有努力空間。</w:t>
      </w:r>
    </w:p>
    <w:p w14:paraId="219067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rPr>
        <w:t>(</w:t>
      </w:r>
      <w:r>
        <w:rPr>
          <w:rFonts w:eastAsia="標楷體"/>
          <w:spacing w:val="4"/>
          <w:kern w:val="0"/>
          <w:sz w:val="28"/>
        </w:rPr>
        <w:t>一</w:t>
      </w:r>
      <w:r>
        <w:rPr>
          <w:rFonts w:ascii="標楷體" w:eastAsia="標楷體" w:hAnsi="標楷體"/>
          <w:spacing w:val="4"/>
          <w:kern w:val="0"/>
          <w:sz w:val="28"/>
        </w:rPr>
        <w:t>)社會福利支出與包容性成長</w:t>
      </w:r>
    </w:p>
    <w:p w14:paraId="3BE021EC" w14:textId="77777777" w:rsidR="00052596" w:rsidRDefault="00000000">
      <w:pPr>
        <w:overflowPunct w:val="0"/>
        <w:autoSpaceDE w:val="0"/>
        <w:spacing w:line="420" w:lineRule="exact"/>
        <w:ind w:left="792" w:firstLine="576"/>
        <w:jc w:val="both"/>
        <w:textAlignment w:val="center"/>
        <w:rPr>
          <w:rFonts w:eastAsia="標楷體"/>
          <w:spacing w:val="4"/>
          <w:kern w:val="0"/>
          <w:sz w:val="28"/>
          <w:szCs w:val="26"/>
        </w:rPr>
      </w:pPr>
      <w:r>
        <w:rPr>
          <w:rFonts w:eastAsia="標楷體"/>
          <w:spacing w:val="4"/>
          <w:kern w:val="0"/>
          <w:sz w:val="28"/>
          <w:szCs w:val="26"/>
        </w:rPr>
        <w:t>受全球化及科技進步影響，近年我國非典型就業增加，青年失業情勢惡化，薪資成長停滯，所得分配差距呈現長期緩慢擴大趨勢。因此政府將積極調整經濟結構，創造就業，並強化社會福利政策，運用移轉收支相關措施，以縮小所得差距。</w:t>
      </w:r>
    </w:p>
    <w:p w14:paraId="208234F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lastRenderedPageBreak/>
        <w:t>－</w:t>
      </w:r>
      <w:r>
        <w:rPr>
          <w:rFonts w:eastAsia="標楷體"/>
          <w:spacing w:val="4"/>
          <w:kern w:val="0"/>
          <w:sz w:val="28"/>
          <w:szCs w:val="26"/>
        </w:rPr>
        <w:t>100</w:t>
      </w:r>
      <w:r>
        <w:rPr>
          <w:rFonts w:eastAsia="標楷體"/>
          <w:spacing w:val="4"/>
          <w:kern w:val="0"/>
          <w:sz w:val="28"/>
          <w:szCs w:val="26"/>
        </w:rPr>
        <w:t>年各級政府社會福利支出淨額</w:t>
      </w:r>
      <w:r>
        <w:rPr>
          <w:rFonts w:eastAsia="標楷體"/>
          <w:spacing w:val="4"/>
          <w:kern w:val="0"/>
          <w:sz w:val="28"/>
          <w:szCs w:val="26"/>
        </w:rPr>
        <w:t>4,469</w:t>
      </w:r>
      <w:r>
        <w:rPr>
          <w:rFonts w:eastAsia="標楷體"/>
          <w:spacing w:val="4"/>
          <w:kern w:val="0"/>
          <w:sz w:val="28"/>
          <w:szCs w:val="26"/>
        </w:rPr>
        <w:t>億元，占政府支出比率</w:t>
      </w:r>
      <w:r>
        <w:rPr>
          <w:rFonts w:eastAsia="標楷體"/>
          <w:spacing w:val="4"/>
          <w:kern w:val="0"/>
          <w:sz w:val="28"/>
          <w:szCs w:val="26"/>
        </w:rPr>
        <w:t>17.1%</w:t>
      </w:r>
      <w:r>
        <w:rPr>
          <w:rFonts w:eastAsia="標楷體"/>
          <w:spacing w:val="4"/>
          <w:kern w:val="0"/>
          <w:sz w:val="28"/>
          <w:szCs w:val="26"/>
        </w:rPr>
        <w:t>，占</w:t>
      </w:r>
      <w:r>
        <w:rPr>
          <w:rFonts w:eastAsia="標楷體"/>
          <w:spacing w:val="4"/>
          <w:kern w:val="0"/>
          <w:sz w:val="28"/>
          <w:szCs w:val="26"/>
        </w:rPr>
        <w:t>GNP</w:t>
      </w:r>
      <w:r>
        <w:rPr>
          <w:rFonts w:eastAsia="標楷體"/>
          <w:spacing w:val="4"/>
          <w:kern w:val="0"/>
          <w:sz w:val="28"/>
          <w:szCs w:val="26"/>
        </w:rPr>
        <w:t>比率</w:t>
      </w:r>
      <w:r>
        <w:rPr>
          <w:rFonts w:eastAsia="標楷體"/>
          <w:spacing w:val="4"/>
          <w:kern w:val="0"/>
          <w:sz w:val="28"/>
          <w:szCs w:val="26"/>
        </w:rPr>
        <w:t>3.2%</w:t>
      </w:r>
      <w:r>
        <w:rPr>
          <w:rFonts w:eastAsia="標楷體"/>
          <w:spacing w:val="4"/>
          <w:kern w:val="0"/>
          <w:sz w:val="28"/>
          <w:szCs w:val="26"/>
        </w:rPr>
        <w:t>，皆為</w:t>
      </w:r>
      <w:r>
        <w:rPr>
          <w:rFonts w:eastAsia="標楷體"/>
          <w:spacing w:val="4"/>
          <w:kern w:val="0"/>
          <w:sz w:val="28"/>
          <w:szCs w:val="26"/>
        </w:rPr>
        <w:t>96</w:t>
      </w:r>
      <w:r>
        <w:rPr>
          <w:rFonts w:eastAsia="標楷體"/>
          <w:spacing w:val="4"/>
          <w:kern w:val="0"/>
          <w:sz w:val="28"/>
          <w:szCs w:val="26"/>
        </w:rPr>
        <w:t>年以來最高水準，顯示政府雖然財政資源有限，但仍強化社會福利體系，致力照顧弱勢。</w:t>
      </w:r>
    </w:p>
    <w:p w14:paraId="3E361C6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w:t>
      </w:r>
      <w:r>
        <w:rPr>
          <w:rFonts w:eastAsia="標楷體"/>
          <w:spacing w:val="4"/>
          <w:kern w:val="0"/>
          <w:sz w:val="28"/>
          <w:szCs w:val="26"/>
        </w:rPr>
        <w:t>100</w:t>
      </w:r>
      <w:r>
        <w:rPr>
          <w:rFonts w:eastAsia="標楷體"/>
          <w:spacing w:val="4"/>
          <w:kern w:val="0"/>
          <w:sz w:val="28"/>
          <w:szCs w:val="26"/>
        </w:rPr>
        <w:t>年國內平均每人社會福利受益淨額</w:t>
      </w:r>
      <w:r>
        <w:rPr>
          <w:rFonts w:eastAsia="標楷體"/>
          <w:spacing w:val="4"/>
          <w:kern w:val="0"/>
          <w:sz w:val="28"/>
          <w:szCs w:val="26"/>
        </w:rPr>
        <w:t>19,270</w:t>
      </w:r>
      <w:r>
        <w:rPr>
          <w:rFonts w:eastAsia="標楷體"/>
          <w:spacing w:val="4"/>
          <w:kern w:val="0"/>
          <w:sz w:val="28"/>
          <w:szCs w:val="26"/>
        </w:rPr>
        <w:t>元，較</w:t>
      </w:r>
      <w:r>
        <w:rPr>
          <w:rFonts w:eastAsia="標楷體"/>
          <w:spacing w:val="4"/>
          <w:kern w:val="0"/>
          <w:sz w:val="28"/>
          <w:szCs w:val="26"/>
        </w:rPr>
        <w:t>99</w:t>
      </w:r>
      <w:r>
        <w:rPr>
          <w:rFonts w:eastAsia="標楷體"/>
          <w:spacing w:val="4"/>
          <w:kern w:val="0"/>
          <w:sz w:val="28"/>
          <w:szCs w:val="26"/>
        </w:rPr>
        <w:t>年成長</w:t>
      </w:r>
      <w:r>
        <w:rPr>
          <w:rFonts w:eastAsia="標楷體"/>
          <w:spacing w:val="4"/>
          <w:kern w:val="0"/>
          <w:sz w:val="28"/>
          <w:szCs w:val="26"/>
        </w:rPr>
        <w:t>7.36%</w:t>
      </w:r>
      <w:r>
        <w:rPr>
          <w:rFonts w:eastAsia="標楷體"/>
          <w:spacing w:val="4"/>
          <w:kern w:val="0"/>
          <w:sz w:val="28"/>
          <w:szCs w:val="26"/>
        </w:rPr>
        <w:t>，創下歷史新高，有助減輕低收入戶及中低收入戶生活壓力。</w:t>
      </w:r>
    </w:p>
    <w:p w14:paraId="3CED6CBF" w14:textId="77777777" w:rsidR="00052596" w:rsidRDefault="00000000">
      <w:pPr>
        <w:overflowPunct w:val="0"/>
        <w:autoSpaceDE w:val="0"/>
        <w:snapToGrid w:val="0"/>
        <w:spacing w:before="240" w:after="120" w:line="280" w:lineRule="exact"/>
        <w:jc w:val="center"/>
        <w:textAlignment w:val="center"/>
        <w:rPr>
          <w:rFonts w:eastAsia="標楷體"/>
          <w:b/>
          <w:color w:val="0000FF"/>
          <w:kern w:val="0"/>
          <w:sz w:val="25"/>
          <w:szCs w:val="22"/>
        </w:rPr>
      </w:pPr>
      <w:r>
        <w:rPr>
          <w:rFonts w:eastAsia="標楷體"/>
          <w:b/>
          <w:color w:val="0000FF"/>
          <w:kern w:val="0"/>
          <w:sz w:val="25"/>
          <w:szCs w:val="22"/>
        </w:rPr>
        <w:t xml:space="preserve">         </w:t>
      </w:r>
      <w:r>
        <w:rPr>
          <w:rFonts w:eastAsia="標楷體"/>
          <w:b/>
          <w:color w:val="0000FF"/>
          <w:kern w:val="0"/>
          <w:sz w:val="25"/>
          <w:szCs w:val="22"/>
        </w:rPr>
        <w:t>表</w:t>
      </w:r>
      <w:r>
        <w:rPr>
          <w:rFonts w:eastAsia="標楷體"/>
          <w:b/>
          <w:color w:val="0000FF"/>
          <w:kern w:val="0"/>
          <w:sz w:val="25"/>
          <w:szCs w:val="22"/>
        </w:rPr>
        <w:t>1.2.12</w:t>
      </w:r>
      <w:r>
        <w:rPr>
          <w:rFonts w:eastAsia="標楷體"/>
          <w:b/>
          <w:color w:val="0000FF"/>
          <w:kern w:val="0"/>
          <w:sz w:val="25"/>
          <w:szCs w:val="22"/>
        </w:rPr>
        <w:t xml:space="preserve">　社會福利支出</w:t>
      </w:r>
    </w:p>
    <w:tbl>
      <w:tblPr>
        <w:tblW w:w="7652" w:type="dxa"/>
        <w:jc w:val="right"/>
        <w:tblCellMar>
          <w:left w:w="10" w:type="dxa"/>
          <w:right w:w="10" w:type="dxa"/>
        </w:tblCellMar>
        <w:tblLook w:val="04A0" w:firstRow="1" w:lastRow="0" w:firstColumn="1" w:lastColumn="0" w:noHBand="0" w:noVBand="1"/>
      </w:tblPr>
      <w:tblGrid>
        <w:gridCol w:w="1247"/>
        <w:gridCol w:w="1587"/>
        <w:gridCol w:w="1757"/>
        <w:gridCol w:w="1474"/>
        <w:gridCol w:w="1587"/>
      </w:tblGrid>
      <w:tr w:rsidR="00052596" w14:paraId="7BC826C6" w14:textId="77777777">
        <w:tblPrEx>
          <w:tblCellMar>
            <w:top w:w="0" w:type="dxa"/>
            <w:bottom w:w="0" w:type="dxa"/>
          </w:tblCellMar>
        </w:tblPrEx>
        <w:trPr>
          <w:jc w:val="right"/>
        </w:trPr>
        <w:tc>
          <w:tcPr>
            <w:tcW w:w="1247" w:type="dxa"/>
            <w:vMerge w:val="restart"/>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7B71AB7B" w14:textId="77777777" w:rsidR="00052596" w:rsidRDefault="00000000">
            <w:pPr>
              <w:spacing w:line="320" w:lineRule="atLeast"/>
              <w:jc w:val="center"/>
              <w:rPr>
                <w:rFonts w:eastAsia="標楷體"/>
                <w:kern w:val="0"/>
                <w:sz w:val="22"/>
                <w:szCs w:val="22"/>
              </w:rPr>
            </w:pPr>
            <w:r>
              <w:rPr>
                <w:rFonts w:eastAsia="標楷體"/>
                <w:kern w:val="0"/>
                <w:sz w:val="22"/>
                <w:szCs w:val="22"/>
              </w:rPr>
              <w:t>年別</w:t>
            </w:r>
          </w:p>
        </w:tc>
        <w:tc>
          <w:tcPr>
            <w:tcW w:w="1587" w:type="dxa"/>
            <w:vMerge w:val="restart"/>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52CC948E" w14:textId="77777777" w:rsidR="00052596" w:rsidRDefault="00000000">
            <w:pPr>
              <w:spacing w:line="320" w:lineRule="atLeast"/>
              <w:jc w:val="center"/>
              <w:rPr>
                <w:rFonts w:eastAsia="標楷體"/>
                <w:kern w:val="0"/>
                <w:sz w:val="22"/>
                <w:szCs w:val="22"/>
              </w:rPr>
            </w:pPr>
            <w:r>
              <w:rPr>
                <w:rFonts w:eastAsia="標楷體"/>
                <w:kern w:val="0"/>
                <w:sz w:val="22"/>
                <w:szCs w:val="22"/>
              </w:rPr>
              <w:t>各級政府社會福利支出淨額</w:t>
            </w:r>
          </w:p>
          <w:p w14:paraId="0D6BE3A1" w14:textId="77777777" w:rsidR="00052596" w:rsidRDefault="00000000">
            <w:pPr>
              <w:spacing w:line="320" w:lineRule="atLeast"/>
              <w:jc w:val="center"/>
            </w:pPr>
            <w:r>
              <w:rPr>
                <w:rFonts w:ascii="標楷體" w:eastAsia="標楷體" w:hAnsi="標楷體"/>
                <w:kern w:val="0"/>
                <w:sz w:val="22"/>
                <w:szCs w:val="22"/>
              </w:rPr>
              <w:t>(</w:t>
            </w:r>
            <w:r>
              <w:rPr>
                <w:rFonts w:eastAsia="標楷體"/>
                <w:kern w:val="0"/>
                <w:sz w:val="22"/>
                <w:szCs w:val="22"/>
              </w:rPr>
              <w:t>億元</w:t>
            </w:r>
            <w:r>
              <w:rPr>
                <w:rFonts w:ascii="標楷體" w:eastAsia="標楷體" w:hAnsi="標楷體"/>
                <w:kern w:val="0"/>
                <w:sz w:val="22"/>
                <w:szCs w:val="22"/>
              </w:rPr>
              <w:t>)</w:t>
            </w:r>
          </w:p>
        </w:tc>
        <w:tc>
          <w:tcPr>
            <w:tcW w:w="3231" w:type="dxa"/>
            <w:gridSpan w:val="2"/>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7F085B5F" w14:textId="77777777" w:rsidR="00052596" w:rsidRDefault="00052596">
            <w:pPr>
              <w:spacing w:line="320" w:lineRule="atLeast"/>
              <w:jc w:val="center"/>
              <w:rPr>
                <w:rFonts w:eastAsia="標楷體"/>
                <w:kern w:val="0"/>
                <w:sz w:val="22"/>
                <w:szCs w:val="22"/>
              </w:rPr>
            </w:pPr>
          </w:p>
        </w:tc>
        <w:tc>
          <w:tcPr>
            <w:tcW w:w="1587" w:type="dxa"/>
            <w:vMerge w:val="restart"/>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7EA63B14" w14:textId="77777777" w:rsidR="00052596" w:rsidRDefault="00000000">
            <w:pPr>
              <w:spacing w:line="320" w:lineRule="atLeast"/>
              <w:jc w:val="center"/>
              <w:rPr>
                <w:rFonts w:eastAsia="標楷體"/>
                <w:kern w:val="0"/>
                <w:sz w:val="22"/>
                <w:szCs w:val="22"/>
              </w:rPr>
            </w:pPr>
            <w:r>
              <w:rPr>
                <w:rFonts w:eastAsia="標楷體"/>
                <w:kern w:val="0"/>
                <w:sz w:val="22"/>
                <w:szCs w:val="22"/>
              </w:rPr>
              <w:t>平均每人社會福利受益淨額</w:t>
            </w:r>
          </w:p>
          <w:p w14:paraId="4A3559F0" w14:textId="77777777" w:rsidR="00052596" w:rsidRDefault="00000000">
            <w:pPr>
              <w:spacing w:line="320" w:lineRule="atLeast"/>
              <w:jc w:val="center"/>
            </w:pPr>
            <w:r>
              <w:rPr>
                <w:rFonts w:ascii="標楷體" w:eastAsia="標楷體" w:hAnsi="標楷體"/>
                <w:kern w:val="0"/>
                <w:sz w:val="22"/>
                <w:szCs w:val="22"/>
              </w:rPr>
              <w:t>(</w:t>
            </w:r>
            <w:r>
              <w:rPr>
                <w:rFonts w:eastAsia="標楷體"/>
                <w:kern w:val="0"/>
                <w:sz w:val="22"/>
                <w:szCs w:val="22"/>
              </w:rPr>
              <w:t>元</w:t>
            </w:r>
            <w:r>
              <w:rPr>
                <w:rFonts w:ascii="標楷體" w:eastAsia="標楷體" w:hAnsi="標楷體"/>
                <w:kern w:val="0"/>
                <w:sz w:val="22"/>
                <w:szCs w:val="22"/>
              </w:rPr>
              <w:t>)</w:t>
            </w:r>
          </w:p>
        </w:tc>
      </w:tr>
      <w:tr w:rsidR="00052596" w14:paraId="2F5CE102" w14:textId="77777777">
        <w:tblPrEx>
          <w:tblCellMar>
            <w:top w:w="0" w:type="dxa"/>
            <w:bottom w:w="0" w:type="dxa"/>
          </w:tblCellMar>
        </w:tblPrEx>
        <w:trPr>
          <w:jc w:val="right"/>
        </w:trPr>
        <w:tc>
          <w:tcPr>
            <w:tcW w:w="1247" w:type="dxa"/>
            <w:vMerge/>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48846AEC" w14:textId="77777777" w:rsidR="00052596" w:rsidRDefault="00052596">
            <w:pPr>
              <w:spacing w:line="320" w:lineRule="atLeast"/>
              <w:rPr>
                <w:rFonts w:eastAsia="標楷體"/>
                <w:kern w:val="0"/>
                <w:sz w:val="22"/>
                <w:szCs w:val="22"/>
              </w:rPr>
            </w:pPr>
          </w:p>
        </w:tc>
        <w:tc>
          <w:tcPr>
            <w:tcW w:w="1587" w:type="dxa"/>
            <w:vMerge/>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1B06B647" w14:textId="77777777" w:rsidR="00052596" w:rsidRDefault="00052596">
            <w:pPr>
              <w:spacing w:line="320" w:lineRule="atLeast"/>
              <w:rPr>
                <w:rFonts w:eastAsia="標楷體"/>
                <w:kern w:val="0"/>
                <w:sz w:val="22"/>
                <w:szCs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6B8B93C3" w14:textId="77777777" w:rsidR="00052596" w:rsidRDefault="00000000">
            <w:pPr>
              <w:spacing w:line="320" w:lineRule="atLeast"/>
              <w:jc w:val="center"/>
              <w:rPr>
                <w:rFonts w:eastAsia="標楷體"/>
                <w:kern w:val="0"/>
                <w:sz w:val="22"/>
                <w:szCs w:val="22"/>
              </w:rPr>
            </w:pPr>
            <w:r>
              <w:rPr>
                <w:rFonts w:eastAsia="標楷體"/>
                <w:kern w:val="0"/>
                <w:sz w:val="22"/>
                <w:szCs w:val="22"/>
              </w:rPr>
              <w:t>占政府支出比率</w:t>
            </w:r>
          </w:p>
          <w:p w14:paraId="64B0951A" w14:textId="77777777" w:rsidR="00052596" w:rsidRDefault="00000000">
            <w:pPr>
              <w:spacing w:line="320" w:lineRule="atLeast"/>
              <w:jc w:val="center"/>
            </w:pPr>
            <w:r>
              <w:rPr>
                <w:rFonts w:ascii="標楷體" w:eastAsia="標楷體" w:hAnsi="標楷體"/>
                <w:kern w:val="0"/>
                <w:sz w:val="22"/>
                <w:szCs w:val="22"/>
              </w:rPr>
              <w:t>(</w:t>
            </w:r>
            <w:r>
              <w:rPr>
                <w:rFonts w:eastAsia="標楷體"/>
                <w:kern w:val="0"/>
                <w:sz w:val="22"/>
                <w:szCs w:val="22"/>
              </w:rPr>
              <w:t>%</w:t>
            </w:r>
            <w:r>
              <w:rPr>
                <w:rFonts w:ascii="標楷體" w:eastAsia="標楷體" w:hAnsi="標楷體"/>
                <w:kern w:val="0"/>
                <w:sz w:val="22"/>
                <w:szCs w:val="22"/>
              </w:rPr>
              <w:t>)</w:t>
            </w:r>
          </w:p>
        </w:tc>
        <w:tc>
          <w:tcPr>
            <w:tcW w:w="1474"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6554EA9F" w14:textId="77777777" w:rsidR="00052596" w:rsidRDefault="00000000">
            <w:pPr>
              <w:autoSpaceDE w:val="0"/>
              <w:spacing w:line="320" w:lineRule="atLeast"/>
              <w:jc w:val="center"/>
              <w:rPr>
                <w:rFonts w:eastAsia="標楷體"/>
                <w:kern w:val="0"/>
                <w:sz w:val="22"/>
                <w:szCs w:val="22"/>
              </w:rPr>
            </w:pPr>
            <w:r>
              <w:rPr>
                <w:rFonts w:eastAsia="標楷體"/>
                <w:kern w:val="0"/>
                <w:sz w:val="22"/>
                <w:szCs w:val="22"/>
              </w:rPr>
              <w:t>占</w:t>
            </w:r>
            <w:r>
              <w:rPr>
                <w:rFonts w:eastAsia="標楷體"/>
                <w:kern w:val="0"/>
                <w:sz w:val="22"/>
                <w:szCs w:val="22"/>
              </w:rPr>
              <w:t>GNP</w:t>
            </w:r>
            <w:r>
              <w:rPr>
                <w:rFonts w:eastAsia="標楷體"/>
                <w:kern w:val="0"/>
                <w:sz w:val="22"/>
                <w:szCs w:val="22"/>
              </w:rPr>
              <w:t>比率</w:t>
            </w:r>
          </w:p>
          <w:p w14:paraId="05B9D059" w14:textId="77777777" w:rsidR="00052596" w:rsidRDefault="00000000">
            <w:pPr>
              <w:spacing w:line="320" w:lineRule="atLeast"/>
              <w:jc w:val="center"/>
            </w:pPr>
            <w:r>
              <w:rPr>
                <w:rFonts w:ascii="標楷體" w:eastAsia="標楷體" w:hAnsi="標楷體"/>
                <w:kern w:val="0"/>
                <w:sz w:val="22"/>
                <w:szCs w:val="22"/>
              </w:rPr>
              <w:t>(</w:t>
            </w:r>
            <w:r>
              <w:rPr>
                <w:rFonts w:eastAsia="標楷體"/>
                <w:kern w:val="0"/>
                <w:sz w:val="22"/>
                <w:szCs w:val="22"/>
              </w:rPr>
              <w:t>%</w:t>
            </w:r>
            <w:r>
              <w:rPr>
                <w:rFonts w:ascii="標楷體" w:eastAsia="標楷體" w:hAnsi="標楷體"/>
                <w:kern w:val="0"/>
                <w:sz w:val="22"/>
                <w:szCs w:val="22"/>
              </w:rPr>
              <w:t>)</w:t>
            </w:r>
          </w:p>
        </w:tc>
        <w:tc>
          <w:tcPr>
            <w:tcW w:w="1587" w:type="dxa"/>
            <w:vMerge/>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447AA01A" w14:textId="77777777" w:rsidR="00052596" w:rsidRDefault="00052596">
            <w:pPr>
              <w:spacing w:line="320" w:lineRule="atLeast"/>
              <w:rPr>
                <w:rFonts w:eastAsia="標楷體"/>
                <w:kern w:val="0"/>
                <w:sz w:val="22"/>
                <w:szCs w:val="22"/>
              </w:rPr>
            </w:pPr>
          </w:p>
        </w:tc>
      </w:tr>
      <w:tr w:rsidR="00052596" w14:paraId="7D1A69EC" w14:textId="77777777">
        <w:tblPrEx>
          <w:tblCellMar>
            <w:top w:w="0" w:type="dxa"/>
            <w:bottom w:w="0" w:type="dxa"/>
          </w:tblCellMar>
        </w:tblPrEx>
        <w:trPr>
          <w:trHeight w:val="482"/>
          <w:jc w:val="right"/>
        </w:trPr>
        <w:tc>
          <w:tcPr>
            <w:tcW w:w="1247" w:type="dxa"/>
            <w:tcBorders>
              <w:top w:val="single" w:sz="4" w:space="0" w:color="000000"/>
              <w:right w:val="single" w:sz="4" w:space="0" w:color="000000"/>
            </w:tcBorders>
            <w:shd w:val="clear" w:color="auto" w:fill="FFF0E1"/>
            <w:tcMar>
              <w:top w:w="0" w:type="dxa"/>
              <w:left w:w="108" w:type="dxa"/>
              <w:bottom w:w="0" w:type="dxa"/>
              <w:right w:w="108" w:type="dxa"/>
            </w:tcMar>
            <w:vAlign w:val="center"/>
          </w:tcPr>
          <w:p w14:paraId="1930E238" w14:textId="77777777" w:rsidR="00052596" w:rsidRDefault="00000000">
            <w:pPr>
              <w:spacing w:line="340" w:lineRule="atLeast"/>
              <w:jc w:val="center"/>
              <w:rPr>
                <w:rFonts w:eastAsia="標楷體"/>
                <w:kern w:val="0"/>
                <w:sz w:val="22"/>
                <w:szCs w:val="22"/>
              </w:rPr>
            </w:pPr>
            <w:r>
              <w:rPr>
                <w:rFonts w:eastAsia="標楷體"/>
                <w:kern w:val="0"/>
                <w:sz w:val="22"/>
                <w:szCs w:val="22"/>
              </w:rPr>
              <w:t>96</w:t>
            </w:r>
          </w:p>
        </w:tc>
        <w:tc>
          <w:tcPr>
            <w:tcW w:w="1587"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036345AE" w14:textId="77777777" w:rsidR="00052596" w:rsidRDefault="00000000">
            <w:pPr>
              <w:spacing w:line="340" w:lineRule="atLeast"/>
              <w:jc w:val="center"/>
              <w:rPr>
                <w:rFonts w:eastAsia="標楷體"/>
                <w:kern w:val="0"/>
                <w:sz w:val="22"/>
                <w:szCs w:val="22"/>
              </w:rPr>
            </w:pPr>
            <w:r>
              <w:rPr>
                <w:rFonts w:eastAsia="標楷體"/>
                <w:kern w:val="0"/>
                <w:sz w:val="22"/>
                <w:szCs w:val="22"/>
              </w:rPr>
              <w:t>3,722</w:t>
            </w:r>
          </w:p>
        </w:tc>
        <w:tc>
          <w:tcPr>
            <w:tcW w:w="1757"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1274D4B1" w14:textId="77777777" w:rsidR="00052596" w:rsidRDefault="00000000">
            <w:pPr>
              <w:spacing w:line="340" w:lineRule="atLeast"/>
              <w:jc w:val="center"/>
              <w:rPr>
                <w:rFonts w:eastAsia="標楷體"/>
                <w:kern w:val="0"/>
                <w:sz w:val="22"/>
                <w:szCs w:val="22"/>
              </w:rPr>
            </w:pPr>
            <w:r>
              <w:rPr>
                <w:rFonts w:eastAsia="標楷體"/>
                <w:kern w:val="0"/>
                <w:sz w:val="22"/>
                <w:szCs w:val="22"/>
              </w:rPr>
              <w:t>16.3</w:t>
            </w:r>
          </w:p>
        </w:tc>
        <w:tc>
          <w:tcPr>
            <w:tcW w:w="1474"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271051C9" w14:textId="77777777" w:rsidR="00052596" w:rsidRDefault="00000000">
            <w:pPr>
              <w:spacing w:line="340" w:lineRule="atLeast"/>
              <w:jc w:val="center"/>
              <w:rPr>
                <w:rFonts w:eastAsia="標楷體"/>
                <w:kern w:val="0"/>
                <w:sz w:val="22"/>
                <w:szCs w:val="22"/>
              </w:rPr>
            </w:pPr>
            <w:r>
              <w:rPr>
                <w:rFonts w:eastAsia="標楷體"/>
                <w:kern w:val="0"/>
                <w:sz w:val="22"/>
                <w:szCs w:val="22"/>
              </w:rPr>
              <w:t>2.8</w:t>
            </w:r>
          </w:p>
        </w:tc>
        <w:tc>
          <w:tcPr>
            <w:tcW w:w="1587" w:type="dxa"/>
            <w:tcBorders>
              <w:top w:val="single" w:sz="4" w:space="0" w:color="000000"/>
              <w:left w:val="single" w:sz="4" w:space="0" w:color="000000"/>
            </w:tcBorders>
            <w:shd w:val="clear" w:color="auto" w:fill="FFF0E1"/>
            <w:tcMar>
              <w:top w:w="0" w:type="dxa"/>
              <w:left w:w="108" w:type="dxa"/>
              <w:bottom w:w="0" w:type="dxa"/>
              <w:right w:w="108" w:type="dxa"/>
            </w:tcMar>
            <w:vAlign w:val="center"/>
          </w:tcPr>
          <w:p w14:paraId="381E4A70" w14:textId="77777777" w:rsidR="00052596" w:rsidRDefault="00000000">
            <w:pPr>
              <w:spacing w:line="340" w:lineRule="atLeast"/>
              <w:jc w:val="center"/>
              <w:rPr>
                <w:rFonts w:eastAsia="標楷體"/>
                <w:kern w:val="0"/>
                <w:sz w:val="22"/>
                <w:szCs w:val="22"/>
              </w:rPr>
            </w:pPr>
            <w:r>
              <w:rPr>
                <w:rFonts w:eastAsia="標楷體"/>
                <w:kern w:val="0"/>
                <w:sz w:val="22"/>
                <w:szCs w:val="22"/>
              </w:rPr>
              <w:t>16,241</w:t>
            </w:r>
          </w:p>
        </w:tc>
      </w:tr>
      <w:tr w:rsidR="00052596" w14:paraId="396719E9" w14:textId="77777777">
        <w:tblPrEx>
          <w:tblCellMar>
            <w:top w:w="0" w:type="dxa"/>
            <w:bottom w:w="0" w:type="dxa"/>
          </w:tblCellMar>
        </w:tblPrEx>
        <w:trPr>
          <w:trHeight w:val="482"/>
          <w:jc w:val="right"/>
        </w:trPr>
        <w:tc>
          <w:tcPr>
            <w:tcW w:w="1247" w:type="dxa"/>
            <w:tcBorders>
              <w:right w:val="single" w:sz="4" w:space="0" w:color="000000"/>
            </w:tcBorders>
            <w:shd w:val="clear" w:color="auto" w:fill="FFF0E1"/>
            <w:tcMar>
              <w:top w:w="0" w:type="dxa"/>
              <w:left w:w="108" w:type="dxa"/>
              <w:bottom w:w="0" w:type="dxa"/>
              <w:right w:w="108" w:type="dxa"/>
            </w:tcMar>
            <w:vAlign w:val="center"/>
          </w:tcPr>
          <w:p w14:paraId="795E8E9F" w14:textId="77777777" w:rsidR="00052596" w:rsidRDefault="00000000">
            <w:pPr>
              <w:spacing w:line="340" w:lineRule="atLeast"/>
              <w:jc w:val="center"/>
              <w:rPr>
                <w:rFonts w:eastAsia="標楷體"/>
                <w:kern w:val="0"/>
                <w:sz w:val="22"/>
                <w:szCs w:val="22"/>
              </w:rPr>
            </w:pPr>
            <w:r>
              <w:rPr>
                <w:rFonts w:eastAsia="標楷體"/>
                <w:kern w:val="0"/>
                <w:sz w:val="22"/>
                <w:szCs w:val="22"/>
              </w:rPr>
              <w:t>97</w:t>
            </w:r>
          </w:p>
        </w:tc>
        <w:tc>
          <w:tcPr>
            <w:tcW w:w="158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B926EC3" w14:textId="77777777" w:rsidR="00052596" w:rsidRDefault="00000000">
            <w:pPr>
              <w:spacing w:line="340" w:lineRule="atLeast"/>
              <w:jc w:val="center"/>
              <w:rPr>
                <w:rFonts w:eastAsia="標楷體"/>
                <w:kern w:val="0"/>
                <w:sz w:val="22"/>
                <w:szCs w:val="22"/>
              </w:rPr>
            </w:pPr>
            <w:r>
              <w:rPr>
                <w:rFonts w:eastAsia="標楷體"/>
                <w:kern w:val="0"/>
                <w:sz w:val="22"/>
                <w:szCs w:val="22"/>
              </w:rPr>
              <w:t>3,681</w:t>
            </w:r>
          </w:p>
        </w:tc>
        <w:tc>
          <w:tcPr>
            <w:tcW w:w="175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7BAFF232" w14:textId="77777777" w:rsidR="00052596" w:rsidRDefault="00000000">
            <w:pPr>
              <w:spacing w:line="340" w:lineRule="atLeast"/>
              <w:jc w:val="center"/>
              <w:rPr>
                <w:rFonts w:eastAsia="標楷體"/>
                <w:kern w:val="0"/>
                <w:sz w:val="22"/>
                <w:szCs w:val="22"/>
              </w:rPr>
            </w:pPr>
            <w:r>
              <w:rPr>
                <w:rFonts w:eastAsia="標楷體"/>
                <w:kern w:val="0"/>
                <w:sz w:val="22"/>
                <w:szCs w:val="22"/>
              </w:rPr>
              <w:t>15.7</w:t>
            </w:r>
          </w:p>
        </w:tc>
        <w:tc>
          <w:tcPr>
            <w:tcW w:w="147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7EB73AF" w14:textId="77777777" w:rsidR="00052596" w:rsidRDefault="00000000">
            <w:pPr>
              <w:spacing w:line="340" w:lineRule="atLeast"/>
              <w:jc w:val="center"/>
              <w:rPr>
                <w:rFonts w:eastAsia="標楷體"/>
                <w:kern w:val="0"/>
                <w:sz w:val="22"/>
                <w:szCs w:val="22"/>
              </w:rPr>
            </w:pPr>
            <w:r>
              <w:rPr>
                <w:rFonts w:eastAsia="標楷體"/>
                <w:kern w:val="0"/>
                <w:sz w:val="22"/>
                <w:szCs w:val="22"/>
              </w:rPr>
              <w:t>2.8</w:t>
            </w:r>
          </w:p>
        </w:tc>
        <w:tc>
          <w:tcPr>
            <w:tcW w:w="1587" w:type="dxa"/>
            <w:tcBorders>
              <w:left w:val="single" w:sz="4" w:space="0" w:color="000000"/>
            </w:tcBorders>
            <w:shd w:val="clear" w:color="auto" w:fill="FFF0E1"/>
            <w:tcMar>
              <w:top w:w="0" w:type="dxa"/>
              <w:left w:w="108" w:type="dxa"/>
              <w:bottom w:w="0" w:type="dxa"/>
              <w:right w:w="108" w:type="dxa"/>
            </w:tcMar>
            <w:vAlign w:val="center"/>
          </w:tcPr>
          <w:p w14:paraId="0EC1BC72" w14:textId="77777777" w:rsidR="00052596" w:rsidRDefault="00000000">
            <w:pPr>
              <w:spacing w:line="340" w:lineRule="atLeast"/>
              <w:jc w:val="center"/>
              <w:rPr>
                <w:rFonts w:eastAsia="標楷體"/>
                <w:kern w:val="0"/>
                <w:sz w:val="22"/>
                <w:szCs w:val="22"/>
              </w:rPr>
            </w:pPr>
            <w:r>
              <w:rPr>
                <w:rFonts w:eastAsia="標楷體"/>
                <w:kern w:val="0"/>
                <w:sz w:val="22"/>
                <w:szCs w:val="22"/>
              </w:rPr>
              <w:t>16,008</w:t>
            </w:r>
          </w:p>
        </w:tc>
      </w:tr>
      <w:tr w:rsidR="00052596" w14:paraId="48BF9CDC" w14:textId="77777777">
        <w:tblPrEx>
          <w:tblCellMar>
            <w:top w:w="0" w:type="dxa"/>
            <w:bottom w:w="0" w:type="dxa"/>
          </w:tblCellMar>
        </w:tblPrEx>
        <w:trPr>
          <w:trHeight w:val="482"/>
          <w:jc w:val="right"/>
        </w:trPr>
        <w:tc>
          <w:tcPr>
            <w:tcW w:w="1247" w:type="dxa"/>
            <w:tcBorders>
              <w:right w:val="single" w:sz="4" w:space="0" w:color="000000"/>
            </w:tcBorders>
            <w:shd w:val="clear" w:color="auto" w:fill="FFF0E1"/>
            <w:tcMar>
              <w:top w:w="0" w:type="dxa"/>
              <w:left w:w="108" w:type="dxa"/>
              <w:bottom w:w="0" w:type="dxa"/>
              <w:right w:w="108" w:type="dxa"/>
            </w:tcMar>
            <w:vAlign w:val="center"/>
          </w:tcPr>
          <w:p w14:paraId="4359D7D6" w14:textId="77777777" w:rsidR="00052596" w:rsidRDefault="00000000">
            <w:pPr>
              <w:spacing w:line="340" w:lineRule="atLeast"/>
              <w:jc w:val="center"/>
              <w:rPr>
                <w:rFonts w:eastAsia="標楷體"/>
                <w:kern w:val="0"/>
                <w:sz w:val="22"/>
                <w:szCs w:val="22"/>
              </w:rPr>
            </w:pPr>
            <w:r>
              <w:rPr>
                <w:rFonts w:eastAsia="標楷體"/>
                <w:kern w:val="0"/>
                <w:sz w:val="22"/>
                <w:szCs w:val="22"/>
              </w:rPr>
              <w:t>98</w:t>
            </w:r>
          </w:p>
        </w:tc>
        <w:tc>
          <w:tcPr>
            <w:tcW w:w="158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8B9FE90" w14:textId="77777777" w:rsidR="00052596" w:rsidRDefault="00000000">
            <w:pPr>
              <w:spacing w:line="340" w:lineRule="atLeast"/>
              <w:jc w:val="center"/>
              <w:rPr>
                <w:rFonts w:eastAsia="標楷體"/>
                <w:kern w:val="0"/>
                <w:sz w:val="22"/>
                <w:szCs w:val="22"/>
              </w:rPr>
            </w:pPr>
            <w:r>
              <w:rPr>
                <w:rFonts w:eastAsia="標楷體"/>
                <w:kern w:val="0"/>
                <w:sz w:val="22"/>
                <w:szCs w:val="22"/>
              </w:rPr>
              <w:t>3,886</w:t>
            </w:r>
          </w:p>
        </w:tc>
        <w:tc>
          <w:tcPr>
            <w:tcW w:w="175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267C1A4" w14:textId="77777777" w:rsidR="00052596" w:rsidRDefault="00000000">
            <w:pPr>
              <w:spacing w:line="340" w:lineRule="atLeast"/>
              <w:jc w:val="center"/>
              <w:rPr>
                <w:rFonts w:eastAsia="標楷體"/>
                <w:kern w:val="0"/>
                <w:sz w:val="22"/>
                <w:szCs w:val="22"/>
              </w:rPr>
            </w:pPr>
            <w:r>
              <w:rPr>
                <w:rFonts w:eastAsia="標楷體"/>
                <w:kern w:val="0"/>
                <w:sz w:val="22"/>
                <w:szCs w:val="22"/>
              </w:rPr>
              <w:t>14.5</w:t>
            </w:r>
          </w:p>
        </w:tc>
        <w:tc>
          <w:tcPr>
            <w:tcW w:w="147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17C7690" w14:textId="77777777" w:rsidR="00052596" w:rsidRDefault="00000000">
            <w:pPr>
              <w:spacing w:line="340" w:lineRule="atLeast"/>
              <w:jc w:val="center"/>
              <w:rPr>
                <w:rFonts w:eastAsia="標楷體"/>
                <w:kern w:val="0"/>
                <w:sz w:val="22"/>
                <w:szCs w:val="22"/>
              </w:rPr>
            </w:pPr>
            <w:r>
              <w:rPr>
                <w:rFonts w:eastAsia="標楷體"/>
                <w:kern w:val="0"/>
                <w:sz w:val="22"/>
                <w:szCs w:val="22"/>
              </w:rPr>
              <w:t>3.0</w:t>
            </w:r>
          </w:p>
        </w:tc>
        <w:tc>
          <w:tcPr>
            <w:tcW w:w="1587" w:type="dxa"/>
            <w:tcBorders>
              <w:left w:val="single" w:sz="4" w:space="0" w:color="000000"/>
            </w:tcBorders>
            <w:shd w:val="clear" w:color="auto" w:fill="FFF0E1"/>
            <w:tcMar>
              <w:top w:w="0" w:type="dxa"/>
              <w:left w:w="108" w:type="dxa"/>
              <w:bottom w:w="0" w:type="dxa"/>
              <w:right w:w="108" w:type="dxa"/>
            </w:tcMar>
            <w:vAlign w:val="center"/>
          </w:tcPr>
          <w:p w14:paraId="3EDD3ED1" w14:textId="77777777" w:rsidR="00052596" w:rsidRDefault="00000000">
            <w:pPr>
              <w:spacing w:line="340" w:lineRule="atLeast"/>
              <w:jc w:val="center"/>
              <w:rPr>
                <w:rFonts w:eastAsia="標楷體"/>
                <w:kern w:val="0"/>
                <w:sz w:val="22"/>
                <w:szCs w:val="22"/>
              </w:rPr>
            </w:pPr>
            <w:r>
              <w:rPr>
                <w:rFonts w:eastAsia="標楷體"/>
                <w:kern w:val="0"/>
                <w:sz w:val="22"/>
                <w:szCs w:val="22"/>
              </w:rPr>
              <w:t>16,837</w:t>
            </w:r>
          </w:p>
        </w:tc>
      </w:tr>
      <w:tr w:rsidR="00052596" w14:paraId="74C9D9B2" w14:textId="77777777">
        <w:tblPrEx>
          <w:tblCellMar>
            <w:top w:w="0" w:type="dxa"/>
            <w:bottom w:w="0" w:type="dxa"/>
          </w:tblCellMar>
        </w:tblPrEx>
        <w:trPr>
          <w:trHeight w:val="482"/>
          <w:jc w:val="right"/>
        </w:trPr>
        <w:tc>
          <w:tcPr>
            <w:tcW w:w="1247" w:type="dxa"/>
            <w:tcBorders>
              <w:right w:val="single" w:sz="4" w:space="0" w:color="000000"/>
            </w:tcBorders>
            <w:shd w:val="clear" w:color="auto" w:fill="FFF0E1"/>
            <w:tcMar>
              <w:top w:w="0" w:type="dxa"/>
              <w:left w:w="108" w:type="dxa"/>
              <w:bottom w:w="0" w:type="dxa"/>
              <w:right w:w="108" w:type="dxa"/>
            </w:tcMar>
            <w:vAlign w:val="center"/>
          </w:tcPr>
          <w:p w14:paraId="79F181F4" w14:textId="77777777" w:rsidR="00052596" w:rsidRDefault="00000000">
            <w:pPr>
              <w:spacing w:line="340" w:lineRule="atLeast"/>
              <w:jc w:val="center"/>
              <w:rPr>
                <w:rFonts w:eastAsia="標楷體"/>
                <w:kern w:val="0"/>
                <w:sz w:val="22"/>
                <w:szCs w:val="22"/>
              </w:rPr>
            </w:pPr>
            <w:r>
              <w:rPr>
                <w:rFonts w:eastAsia="標楷體"/>
                <w:kern w:val="0"/>
                <w:sz w:val="22"/>
                <w:szCs w:val="22"/>
              </w:rPr>
              <w:t>99</w:t>
            </w:r>
          </w:p>
        </w:tc>
        <w:tc>
          <w:tcPr>
            <w:tcW w:w="158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41136C45" w14:textId="77777777" w:rsidR="00052596" w:rsidRDefault="00000000">
            <w:pPr>
              <w:spacing w:line="340" w:lineRule="atLeast"/>
              <w:jc w:val="center"/>
              <w:rPr>
                <w:rFonts w:eastAsia="標楷體"/>
                <w:kern w:val="0"/>
                <w:sz w:val="22"/>
                <w:szCs w:val="22"/>
              </w:rPr>
            </w:pPr>
            <w:r>
              <w:rPr>
                <w:rFonts w:eastAsia="標楷體"/>
                <w:kern w:val="0"/>
                <w:sz w:val="22"/>
                <w:szCs w:val="22"/>
              </w:rPr>
              <w:t>4,154</w:t>
            </w:r>
          </w:p>
        </w:tc>
        <w:tc>
          <w:tcPr>
            <w:tcW w:w="175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212D6C02" w14:textId="77777777" w:rsidR="00052596" w:rsidRDefault="00000000">
            <w:pPr>
              <w:spacing w:line="340" w:lineRule="atLeast"/>
              <w:jc w:val="center"/>
              <w:rPr>
                <w:rFonts w:eastAsia="標楷體"/>
                <w:kern w:val="0"/>
                <w:sz w:val="22"/>
                <w:szCs w:val="22"/>
              </w:rPr>
            </w:pPr>
            <w:r>
              <w:rPr>
                <w:rFonts w:eastAsia="標楷體"/>
                <w:kern w:val="0"/>
                <w:sz w:val="22"/>
                <w:szCs w:val="22"/>
              </w:rPr>
              <w:t>16.2</w:t>
            </w:r>
          </w:p>
        </w:tc>
        <w:tc>
          <w:tcPr>
            <w:tcW w:w="1474"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6955381" w14:textId="77777777" w:rsidR="00052596" w:rsidRDefault="00000000">
            <w:pPr>
              <w:spacing w:line="340" w:lineRule="atLeast"/>
              <w:jc w:val="center"/>
              <w:rPr>
                <w:rFonts w:eastAsia="標楷體"/>
                <w:kern w:val="0"/>
                <w:sz w:val="22"/>
                <w:szCs w:val="22"/>
              </w:rPr>
            </w:pPr>
            <w:r>
              <w:rPr>
                <w:rFonts w:eastAsia="標楷體"/>
                <w:kern w:val="0"/>
                <w:sz w:val="22"/>
                <w:szCs w:val="22"/>
              </w:rPr>
              <w:t>3.0</w:t>
            </w:r>
          </w:p>
        </w:tc>
        <w:tc>
          <w:tcPr>
            <w:tcW w:w="1587" w:type="dxa"/>
            <w:tcBorders>
              <w:left w:val="single" w:sz="4" w:space="0" w:color="000000"/>
            </w:tcBorders>
            <w:shd w:val="clear" w:color="auto" w:fill="FFF0E1"/>
            <w:tcMar>
              <w:top w:w="0" w:type="dxa"/>
              <w:left w:w="108" w:type="dxa"/>
              <w:bottom w:w="0" w:type="dxa"/>
              <w:right w:w="108" w:type="dxa"/>
            </w:tcMar>
            <w:vAlign w:val="center"/>
          </w:tcPr>
          <w:p w14:paraId="09B16059" w14:textId="77777777" w:rsidR="00052596" w:rsidRDefault="00000000">
            <w:pPr>
              <w:spacing w:line="340" w:lineRule="atLeast"/>
              <w:jc w:val="center"/>
              <w:rPr>
                <w:rFonts w:eastAsia="標楷體"/>
                <w:kern w:val="0"/>
                <w:sz w:val="22"/>
                <w:szCs w:val="22"/>
              </w:rPr>
            </w:pPr>
            <w:r>
              <w:rPr>
                <w:rFonts w:eastAsia="標楷體"/>
                <w:kern w:val="0"/>
                <w:sz w:val="22"/>
                <w:szCs w:val="22"/>
              </w:rPr>
              <w:t>17,949</w:t>
            </w:r>
          </w:p>
        </w:tc>
      </w:tr>
      <w:tr w:rsidR="00052596" w14:paraId="27D44938" w14:textId="77777777">
        <w:tblPrEx>
          <w:tblCellMar>
            <w:top w:w="0" w:type="dxa"/>
            <w:bottom w:w="0" w:type="dxa"/>
          </w:tblCellMar>
        </w:tblPrEx>
        <w:trPr>
          <w:trHeight w:val="482"/>
          <w:jc w:val="right"/>
        </w:trPr>
        <w:tc>
          <w:tcPr>
            <w:tcW w:w="1247"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7EB177AC" w14:textId="77777777" w:rsidR="00052596" w:rsidRDefault="00000000">
            <w:pPr>
              <w:spacing w:line="340" w:lineRule="atLeast"/>
              <w:jc w:val="center"/>
              <w:rPr>
                <w:rFonts w:eastAsia="標楷體"/>
                <w:kern w:val="0"/>
                <w:sz w:val="22"/>
                <w:szCs w:val="22"/>
              </w:rPr>
            </w:pPr>
            <w:r>
              <w:rPr>
                <w:rFonts w:eastAsia="標楷體"/>
                <w:kern w:val="0"/>
                <w:sz w:val="22"/>
                <w:szCs w:val="22"/>
              </w:rPr>
              <w:t>100</w:t>
            </w:r>
          </w:p>
        </w:tc>
        <w:tc>
          <w:tcPr>
            <w:tcW w:w="158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794904FB" w14:textId="77777777" w:rsidR="00052596" w:rsidRDefault="00000000">
            <w:pPr>
              <w:spacing w:line="340" w:lineRule="atLeast"/>
              <w:jc w:val="center"/>
              <w:rPr>
                <w:rFonts w:eastAsia="標楷體"/>
                <w:kern w:val="0"/>
                <w:sz w:val="22"/>
                <w:szCs w:val="22"/>
              </w:rPr>
            </w:pPr>
            <w:r>
              <w:rPr>
                <w:rFonts w:eastAsia="標楷體"/>
                <w:kern w:val="0"/>
                <w:sz w:val="22"/>
                <w:szCs w:val="22"/>
              </w:rPr>
              <w:t>4,469</w:t>
            </w:r>
          </w:p>
        </w:tc>
        <w:tc>
          <w:tcPr>
            <w:tcW w:w="175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01510900" w14:textId="77777777" w:rsidR="00052596" w:rsidRDefault="00000000">
            <w:pPr>
              <w:spacing w:line="340" w:lineRule="atLeast"/>
              <w:jc w:val="center"/>
              <w:rPr>
                <w:rFonts w:eastAsia="標楷體"/>
                <w:kern w:val="0"/>
                <w:sz w:val="22"/>
                <w:szCs w:val="22"/>
              </w:rPr>
            </w:pPr>
            <w:r>
              <w:rPr>
                <w:rFonts w:eastAsia="標楷體"/>
                <w:kern w:val="0"/>
                <w:sz w:val="22"/>
                <w:szCs w:val="22"/>
              </w:rPr>
              <w:t>17.1</w:t>
            </w:r>
          </w:p>
        </w:tc>
        <w:tc>
          <w:tcPr>
            <w:tcW w:w="1474"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1CD2E333" w14:textId="77777777" w:rsidR="00052596" w:rsidRDefault="00000000">
            <w:pPr>
              <w:spacing w:line="340" w:lineRule="atLeast"/>
              <w:jc w:val="center"/>
              <w:rPr>
                <w:rFonts w:eastAsia="標楷體"/>
                <w:kern w:val="0"/>
                <w:sz w:val="22"/>
                <w:szCs w:val="22"/>
              </w:rPr>
            </w:pPr>
            <w:r>
              <w:rPr>
                <w:rFonts w:eastAsia="標楷體"/>
                <w:kern w:val="0"/>
                <w:sz w:val="22"/>
                <w:szCs w:val="22"/>
              </w:rPr>
              <w:t>3.2</w:t>
            </w:r>
          </w:p>
        </w:tc>
        <w:tc>
          <w:tcPr>
            <w:tcW w:w="1587" w:type="dxa"/>
            <w:tcBorders>
              <w:left w:val="single" w:sz="4" w:space="0" w:color="000000"/>
              <w:bottom w:val="single" w:sz="4" w:space="0" w:color="000000"/>
            </w:tcBorders>
            <w:shd w:val="clear" w:color="auto" w:fill="FFF0E1"/>
            <w:tcMar>
              <w:top w:w="0" w:type="dxa"/>
              <w:left w:w="108" w:type="dxa"/>
              <w:bottom w:w="0" w:type="dxa"/>
              <w:right w:w="108" w:type="dxa"/>
            </w:tcMar>
            <w:vAlign w:val="center"/>
          </w:tcPr>
          <w:p w14:paraId="6162D6B8" w14:textId="77777777" w:rsidR="00052596" w:rsidRDefault="00000000">
            <w:pPr>
              <w:spacing w:line="340" w:lineRule="atLeast"/>
              <w:jc w:val="center"/>
              <w:rPr>
                <w:rFonts w:eastAsia="標楷體"/>
                <w:kern w:val="0"/>
                <w:sz w:val="22"/>
                <w:szCs w:val="22"/>
              </w:rPr>
            </w:pPr>
            <w:r>
              <w:rPr>
                <w:rFonts w:eastAsia="標楷體"/>
                <w:kern w:val="0"/>
                <w:sz w:val="22"/>
                <w:szCs w:val="22"/>
              </w:rPr>
              <w:t>19,270</w:t>
            </w:r>
          </w:p>
        </w:tc>
      </w:tr>
    </w:tbl>
    <w:p w14:paraId="1609A896" w14:textId="77777777" w:rsidR="00052596" w:rsidRDefault="00000000">
      <w:pPr>
        <w:widowControl/>
        <w:ind w:firstLine="1620"/>
      </w:pPr>
      <w:r>
        <w:rPr>
          <w:rFonts w:ascii="標楷體" w:eastAsia="標楷體" w:hAnsi="標楷體"/>
          <w:kern w:val="0"/>
          <w:sz w:val="20"/>
        </w:rPr>
        <w:t>註：</w:t>
      </w:r>
      <w:r>
        <w:rPr>
          <w:rFonts w:ascii="標楷體" w:eastAsia="標楷體" w:hAnsi="標楷體"/>
          <w:spacing w:val="-4"/>
          <w:kern w:val="0"/>
          <w:sz w:val="20"/>
        </w:rPr>
        <w:t>社會福利支出包括社會保險、社會救助、福利服務、國民就業及醫療保健等。</w:t>
      </w:r>
    </w:p>
    <w:p w14:paraId="0B9541A9" w14:textId="77777777" w:rsidR="00052596" w:rsidRDefault="00000000">
      <w:pPr>
        <w:widowControl/>
        <w:spacing w:after="240"/>
        <w:ind w:firstLine="1000"/>
        <w:rPr>
          <w:rFonts w:ascii="標楷體" w:eastAsia="標楷體" w:hAnsi="標楷體"/>
          <w:kern w:val="0"/>
          <w:sz w:val="20"/>
        </w:rPr>
      </w:pPr>
      <w:r>
        <w:rPr>
          <w:rFonts w:ascii="標楷體" w:eastAsia="標楷體" w:hAnsi="標楷體"/>
          <w:kern w:val="0"/>
          <w:sz w:val="20"/>
        </w:rPr>
        <w:t>資料來源：行政院主計總處、財政部統計處。</w:t>
      </w:r>
    </w:p>
    <w:p w14:paraId="7804A896" w14:textId="77777777" w:rsidR="00052596" w:rsidRDefault="00000000">
      <w:pPr>
        <w:tabs>
          <w:tab w:val="left" w:pos="960"/>
          <w:tab w:val="left" w:pos="1920"/>
          <w:tab w:val="left" w:pos="2880"/>
          <w:tab w:val="left" w:pos="3840"/>
          <w:tab w:val="left" w:pos="4800"/>
          <w:tab w:val="left" w:pos="5760"/>
        </w:tabs>
        <w:overflowPunct w:val="0"/>
        <w:autoSpaceDE w:val="0"/>
        <w:spacing w:before="120" w:line="420" w:lineRule="exact"/>
        <w:ind w:left="792" w:hanging="576"/>
        <w:jc w:val="both"/>
        <w:textAlignment w:val="center"/>
      </w:pPr>
      <w:r>
        <w:rPr>
          <w:rFonts w:ascii="標楷體" w:eastAsia="標楷體" w:hAnsi="標楷體"/>
          <w:spacing w:val="4"/>
          <w:kern w:val="0"/>
          <w:sz w:val="28"/>
        </w:rPr>
        <w:t>(</w:t>
      </w:r>
      <w:r>
        <w:rPr>
          <w:rFonts w:eastAsia="標楷體"/>
          <w:spacing w:val="4"/>
          <w:kern w:val="0"/>
          <w:sz w:val="28"/>
        </w:rPr>
        <w:t>二</w:t>
      </w:r>
      <w:r>
        <w:rPr>
          <w:rFonts w:ascii="標楷體" w:eastAsia="標楷體" w:hAnsi="標楷體"/>
          <w:spacing w:val="4"/>
          <w:kern w:val="0"/>
          <w:sz w:val="28"/>
        </w:rPr>
        <w:t>)綠色就業與包容性成長</w:t>
      </w:r>
    </w:p>
    <w:p w14:paraId="65C48B89" w14:textId="77777777" w:rsidR="00052596" w:rsidRDefault="00000000">
      <w:pPr>
        <w:overflowPunct w:val="0"/>
        <w:autoSpaceDE w:val="0"/>
        <w:spacing w:line="420" w:lineRule="exact"/>
        <w:ind w:left="792" w:firstLine="576"/>
        <w:jc w:val="both"/>
        <w:textAlignment w:val="center"/>
      </w:pPr>
      <w:r>
        <w:rPr>
          <w:rFonts w:ascii="標楷體" w:eastAsia="標楷體" w:hAnsi="標楷體"/>
          <w:spacing w:val="4"/>
          <w:kern w:val="0"/>
          <w:sz w:val="28"/>
          <w:szCs w:val="26"/>
        </w:rPr>
        <w:t>國際勞工組織(</w:t>
      </w:r>
      <w:r>
        <w:rPr>
          <w:rFonts w:eastAsia="標楷體"/>
          <w:spacing w:val="4"/>
          <w:kern w:val="0"/>
          <w:sz w:val="28"/>
          <w:szCs w:val="26"/>
        </w:rPr>
        <w:t>International Labor Organization, ILO</w:t>
      </w:r>
      <w:r>
        <w:rPr>
          <w:rFonts w:ascii="標楷體" w:eastAsia="標楷體" w:hAnsi="標楷體"/>
          <w:spacing w:val="4"/>
          <w:kern w:val="0"/>
          <w:sz w:val="28"/>
          <w:szCs w:val="26"/>
        </w:rPr>
        <w:t>)</w:t>
      </w:r>
      <w:r>
        <w:rPr>
          <w:rFonts w:eastAsia="標楷體"/>
          <w:spacing w:val="4"/>
          <w:kern w:val="0"/>
          <w:sz w:val="28"/>
          <w:szCs w:val="26"/>
        </w:rPr>
        <w:t>指出，凡是與綠色產業相關，具節能減碳、減少污染效益的工作均可稱為綠色就業。歐美國家的發展經驗顯示，綠色就業可同時解決失業、所得分配不均，重建中產階級及生態環境治理等問題，是實現充分就業的可行途徑。</w:t>
      </w:r>
    </w:p>
    <w:p w14:paraId="4029E927" w14:textId="77777777" w:rsidR="00052596" w:rsidRDefault="00000000">
      <w:pPr>
        <w:overflowPunct w:val="0"/>
        <w:autoSpaceDE w:val="0"/>
        <w:spacing w:line="420" w:lineRule="exact"/>
        <w:ind w:left="792" w:firstLine="576"/>
        <w:jc w:val="both"/>
        <w:textAlignment w:val="center"/>
        <w:rPr>
          <w:rFonts w:eastAsia="標楷體"/>
          <w:spacing w:val="4"/>
          <w:kern w:val="0"/>
          <w:sz w:val="28"/>
          <w:szCs w:val="26"/>
        </w:rPr>
      </w:pPr>
      <w:r>
        <w:rPr>
          <w:rFonts w:eastAsia="標楷體"/>
          <w:spacing w:val="4"/>
          <w:kern w:val="0"/>
          <w:sz w:val="28"/>
          <w:szCs w:val="26"/>
        </w:rPr>
        <w:t>另</w:t>
      </w:r>
      <w:r>
        <w:rPr>
          <w:rFonts w:eastAsia="標楷體"/>
          <w:spacing w:val="4"/>
          <w:kern w:val="0"/>
          <w:sz w:val="28"/>
          <w:szCs w:val="26"/>
        </w:rPr>
        <w:t>OECD</w:t>
      </w:r>
      <w:r>
        <w:rPr>
          <w:rFonts w:eastAsia="標楷體"/>
          <w:spacing w:val="4"/>
          <w:kern w:val="0"/>
          <w:sz w:val="28"/>
          <w:szCs w:val="26"/>
        </w:rPr>
        <w:t>強調，以出口為導向的亞洲新興經濟體出口產品多非綠色產品，隨著國際環保貿易規範蔚為風潮，該等國家的出口成長勢將受限，應有效因應，以提升綠色貿易競爭力。近年政府積極因應全球綠色經濟潮流，期能在相關產業鏈中取得領先技術，開拓綠色供應鏈商機，並創造優質的綠色就業機</w:t>
      </w:r>
      <w:r>
        <w:rPr>
          <w:rFonts w:eastAsia="標楷體"/>
          <w:spacing w:val="4"/>
          <w:kern w:val="0"/>
          <w:sz w:val="28"/>
          <w:szCs w:val="26"/>
        </w:rPr>
        <w:lastRenderedPageBreak/>
        <w:t>會，以促進包容性成長。</w:t>
      </w:r>
    </w:p>
    <w:tbl>
      <w:tblPr>
        <w:tblW w:w="8505" w:type="dxa"/>
        <w:tblInd w:w="108" w:type="dxa"/>
        <w:tblCellMar>
          <w:left w:w="10" w:type="dxa"/>
          <w:right w:w="10" w:type="dxa"/>
        </w:tblCellMar>
        <w:tblLook w:val="04A0" w:firstRow="1" w:lastRow="0" w:firstColumn="1" w:lastColumn="0" w:noHBand="0" w:noVBand="1"/>
      </w:tblPr>
      <w:tblGrid>
        <w:gridCol w:w="8505"/>
      </w:tblGrid>
      <w:tr w:rsidR="00052596" w14:paraId="7B302183" w14:textId="77777777">
        <w:tblPrEx>
          <w:tblCellMar>
            <w:top w:w="0" w:type="dxa"/>
            <w:bottom w:w="0" w:type="dxa"/>
          </w:tblCellMar>
        </w:tblPrEx>
        <w:trPr>
          <w:trHeight w:val="12727"/>
        </w:trPr>
        <w:tc>
          <w:tcPr>
            <w:tcW w:w="8505" w:type="dxa"/>
            <w:tcBorders>
              <w:top w:val="single" w:sz="6" w:space="0" w:color="000000"/>
              <w:left w:val="single" w:sz="6" w:space="0" w:color="000000"/>
              <w:bottom w:val="single" w:sz="6" w:space="0" w:color="000000"/>
              <w:right w:val="single" w:sz="6" w:space="0" w:color="000000"/>
            </w:tcBorders>
            <w:shd w:val="clear" w:color="auto" w:fill="EFF5FF"/>
            <w:tcMar>
              <w:top w:w="0" w:type="dxa"/>
              <w:left w:w="108" w:type="dxa"/>
              <w:bottom w:w="0" w:type="dxa"/>
              <w:right w:w="108" w:type="dxa"/>
            </w:tcMar>
          </w:tcPr>
          <w:p w14:paraId="22E2439A" w14:textId="77777777" w:rsidR="00052596" w:rsidRDefault="00000000">
            <w:pPr>
              <w:overflowPunct w:val="0"/>
              <w:autoSpaceDE w:val="0"/>
              <w:spacing w:before="192" w:after="120" w:line="380" w:lineRule="exact"/>
              <w:jc w:val="center"/>
              <w:textAlignment w:val="center"/>
              <w:rPr>
                <w:rFonts w:ascii="新細明體" w:hAnsi="新細明體"/>
                <w:b/>
                <w:color w:val="0000FF"/>
                <w:spacing w:val="14"/>
                <w:kern w:val="0"/>
                <w:szCs w:val="24"/>
              </w:rPr>
            </w:pPr>
            <w:r>
              <w:rPr>
                <w:rFonts w:ascii="新細明體" w:hAnsi="新細明體"/>
                <w:b/>
                <w:color w:val="0000FF"/>
                <w:spacing w:val="14"/>
                <w:kern w:val="0"/>
                <w:szCs w:val="24"/>
              </w:rPr>
              <w:lastRenderedPageBreak/>
              <w:t>推動綠能產業，促進包容性綠色成長</w:t>
            </w:r>
          </w:p>
          <w:p w14:paraId="5D483AE4" w14:textId="77777777" w:rsidR="00052596" w:rsidRDefault="00000000">
            <w:pPr>
              <w:overflowPunct w:val="0"/>
              <w:autoSpaceDE w:val="0"/>
              <w:spacing w:line="39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世界各國為因應全球氣候變遷及節能減碳趨勢，均大力推動綠色新政(Green New Deal)，其中發展新興綠能產業尤為關鍵。國際經驗顯示，推動綠能產業不但能引領綠色成長，更可創造就業，是實現包容性綠色成長的關鍵動力。</w:t>
            </w:r>
          </w:p>
          <w:p w14:paraId="370835C3" w14:textId="77777777" w:rsidR="00052596" w:rsidRDefault="00000000">
            <w:pPr>
              <w:overflowPunct w:val="0"/>
              <w:autoSpaceDE w:val="0"/>
              <w:spacing w:line="39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綠能產業為我國六大新興產業之一，100年臺灣綠能產業產值已由97年的1,598.9億元，增至4,062.5億元；同期間就業人數亦由1.6萬人增至5.98萬人，顯示我國綠能產業已展現初步成效。展望未來，政府賡續透過技術精進、關鍵投資、環境塑造、出口擴張、內需擴大等五項策略，加速綠能產業升級及提升產業價值，期能成為綠能技術與生產大國，實現臺灣綠色成長。近年國內重要綠能產業發展如次：</w:t>
            </w:r>
          </w:p>
          <w:p w14:paraId="51035A1F" w14:textId="77777777" w:rsidR="00052596" w:rsidRDefault="00000000">
            <w:pPr>
              <w:overflowPunct w:val="0"/>
              <w:autoSpaceDE w:val="0"/>
              <w:spacing w:line="390" w:lineRule="exact"/>
              <w:ind w:left="332" w:hanging="248"/>
              <w:jc w:val="both"/>
              <w:textAlignment w:val="center"/>
              <w:rPr>
                <w:rFonts w:ascii="新細明體" w:hAnsi="新細明體"/>
                <w:bCs/>
                <w:spacing w:val="8"/>
                <w:kern w:val="0"/>
                <w:sz w:val="22"/>
                <w:szCs w:val="22"/>
              </w:rPr>
            </w:pPr>
            <w:r>
              <w:rPr>
                <w:rFonts w:ascii="新細明體" w:hAnsi="新細明體"/>
                <w:bCs/>
                <w:spacing w:val="8"/>
                <w:kern w:val="0"/>
                <w:sz w:val="22"/>
                <w:szCs w:val="22"/>
              </w:rPr>
              <w:t>－太陽光電產業：順應全球太陽光電市場成長趨勢，100年產值規模由97年的1,011億元，倍增成長至1,979億元；同期間，就業人數由0.92萬人增至2.25萬人。</w:t>
            </w:r>
          </w:p>
          <w:p w14:paraId="08A540C4" w14:textId="77777777" w:rsidR="00052596" w:rsidRDefault="00000000">
            <w:pPr>
              <w:overflowPunct w:val="0"/>
              <w:autoSpaceDE w:val="0"/>
              <w:spacing w:line="390" w:lineRule="exact"/>
              <w:ind w:left="332" w:hanging="248"/>
              <w:jc w:val="both"/>
              <w:textAlignment w:val="center"/>
              <w:rPr>
                <w:rFonts w:ascii="新細明體" w:hAnsi="新細明體"/>
                <w:bCs/>
                <w:spacing w:val="8"/>
                <w:kern w:val="0"/>
                <w:sz w:val="22"/>
                <w:szCs w:val="22"/>
              </w:rPr>
            </w:pPr>
            <w:r>
              <w:rPr>
                <w:rFonts w:ascii="新細明體" w:hAnsi="新細明體"/>
                <w:bCs/>
                <w:spacing w:val="8"/>
                <w:kern w:val="0"/>
                <w:sz w:val="22"/>
                <w:szCs w:val="22"/>
              </w:rPr>
              <w:t>－LED照明光電產業：我國LED元件產業已建構完整的價值鏈，製程技術能力居全球領導地位。產業產值由98年936億元成長至100年1,867億元，成長率達99.5%；同期間就業人數由2.1萬人增至3.21萬人。</w:t>
            </w:r>
          </w:p>
          <w:p w14:paraId="46B24917" w14:textId="77777777" w:rsidR="00052596" w:rsidRDefault="00000000">
            <w:pPr>
              <w:spacing w:before="72" w:after="120" w:line="340" w:lineRule="exact"/>
              <w:ind w:left="220" w:hanging="220"/>
              <w:jc w:val="center"/>
              <w:rPr>
                <w:rFonts w:ascii="新細明體" w:hAnsi="新細明體"/>
                <w:b/>
                <w:color w:val="0000FF"/>
                <w:kern w:val="0"/>
                <w:sz w:val="22"/>
                <w:szCs w:val="22"/>
                <w:lang w:bidi="ml-IN"/>
              </w:rPr>
            </w:pPr>
            <w:r>
              <w:rPr>
                <w:rFonts w:ascii="新細明體" w:hAnsi="新細明體"/>
                <w:b/>
                <w:color w:val="0000FF"/>
                <w:kern w:val="0"/>
                <w:sz w:val="22"/>
                <w:szCs w:val="22"/>
                <w:lang w:bidi="ml-IN"/>
              </w:rPr>
              <w:t>我國綠能產業發展概況</w:t>
            </w:r>
          </w:p>
          <w:tbl>
            <w:tblPr>
              <w:tblW w:w="6802" w:type="dxa"/>
              <w:jc w:val="center"/>
              <w:tblCellMar>
                <w:left w:w="10" w:type="dxa"/>
                <w:right w:w="10" w:type="dxa"/>
              </w:tblCellMar>
              <w:tblLook w:val="04A0" w:firstRow="1" w:lastRow="0" w:firstColumn="1" w:lastColumn="0" w:noHBand="0" w:noVBand="1"/>
            </w:tblPr>
            <w:tblGrid>
              <w:gridCol w:w="2494"/>
              <w:gridCol w:w="1077"/>
              <w:gridCol w:w="1077"/>
              <w:gridCol w:w="1077"/>
              <w:gridCol w:w="1077"/>
            </w:tblGrid>
            <w:tr w:rsidR="00052596" w14:paraId="08706779" w14:textId="77777777">
              <w:tblPrEx>
                <w:tblCellMar>
                  <w:top w:w="0" w:type="dxa"/>
                  <w:bottom w:w="0" w:type="dxa"/>
                </w:tblCellMar>
              </w:tblPrEx>
              <w:trPr>
                <w:trHeight w:val="624"/>
                <w:jc w:val="center"/>
              </w:trPr>
              <w:tc>
                <w:tcPr>
                  <w:tcW w:w="2494" w:type="dxa"/>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40AABF70" w14:textId="77777777" w:rsidR="00052596" w:rsidRDefault="00000000">
                  <w:pPr>
                    <w:spacing w:line="360" w:lineRule="atLeast"/>
                    <w:jc w:val="center"/>
                  </w:pPr>
                  <w:r>
                    <w:rPr>
                      <w:rFonts w:ascii="新細明體" w:hAnsi="新細明體"/>
                      <w:spacing w:val="216"/>
                      <w:kern w:val="0"/>
                      <w:sz w:val="22"/>
                      <w:szCs w:val="22"/>
                    </w:rPr>
                    <w:t>項</w:t>
                  </w:r>
                  <w:r>
                    <w:rPr>
                      <w:rFonts w:ascii="新細明體" w:hAnsi="新細明體"/>
                      <w:spacing w:val="6"/>
                      <w:kern w:val="0"/>
                      <w:sz w:val="22"/>
                      <w:szCs w:val="22"/>
                    </w:rPr>
                    <w:t>目</w:t>
                  </w:r>
                </w:p>
              </w:tc>
              <w:tc>
                <w:tcPr>
                  <w:tcW w:w="1077"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717EFB7C"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97年</w:t>
                  </w:r>
                </w:p>
              </w:tc>
              <w:tc>
                <w:tcPr>
                  <w:tcW w:w="1077"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2F82AF0C"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98年</w:t>
                  </w:r>
                </w:p>
              </w:tc>
              <w:tc>
                <w:tcPr>
                  <w:tcW w:w="1077"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vAlign w:val="center"/>
                </w:tcPr>
                <w:p w14:paraId="43822185"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99年</w:t>
                  </w:r>
                </w:p>
              </w:tc>
              <w:tc>
                <w:tcPr>
                  <w:tcW w:w="1077" w:type="dxa"/>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vAlign w:val="center"/>
                </w:tcPr>
                <w:p w14:paraId="724CD410"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100年</w:t>
                  </w:r>
                </w:p>
              </w:tc>
            </w:tr>
            <w:tr w:rsidR="00052596" w14:paraId="76EFCA2E" w14:textId="77777777">
              <w:tblPrEx>
                <w:tblCellMar>
                  <w:top w:w="0" w:type="dxa"/>
                  <w:bottom w:w="0" w:type="dxa"/>
                </w:tblCellMar>
              </w:tblPrEx>
              <w:trPr>
                <w:trHeight w:val="340"/>
                <w:jc w:val="center"/>
              </w:trPr>
              <w:tc>
                <w:tcPr>
                  <w:tcW w:w="2494" w:type="dxa"/>
                  <w:tcBorders>
                    <w:top w:val="single" w:sz="4" w:space="0" w:color="000000"/>
                    <w:bottom w:val="dashed" w:sz="4" w:space="0" w:color="000000"/>
                    <w:right w:val="single" w:sz="4" w:space="0" w:color="000000"/>
                  </w:tcBorders>
                  <w:shd w:val="clear" w:color="auto" w:fill="FFF0E1"/>
                  <w:tcMar>
                    <w:top w:w="0" w:type="dxa"/>
                    <w:left w:w="108" w:type="dxa"/>
                    <w:bottom w:w="0" w:type="dxa"/>
                    <w:right w:w="108" w:type="dxa"/>
                  </w:tcMar>
                  <w:vAlign w:val="center"/>
                </w:tcPr>
                <w:p w14:paraId="5B3E3198" w14:textId="77777777" w:rsidR="00052596" w:rsidRDefault="00000000">
                  <w:pPr>
                    <w:spacing w:line="360" w:lineRule="atLeast"/>
                    <w:jc w:val="both"/>
                    <w:rPr>
                      <w:rFonts w:ascii="新細明體" w:hAnsi="新細明體"/>
                      <w:kern w:val="0"/>
                      <w:sz w:val="22"/>
                      <w:szCs w:val="22"/>
                    </w:rPr>
                  </w:pPr>
                  <w:r>
                    <w:rPr>
                      <w:rFonts w:ascii="新細明體" w:hAnsi="新細明體"/>
                      <w:kern w:val="0"/>
                      <w:sz w:val="22"/>
                      <w:szCs w:val="22"/>
                    </w:rPr>
                    <w:t>投資額(億元)</w:t>
                  </w:r>
                </w:p>
              </w:tc>
              <w:tc>
                <w:tcPr>
                  <w:tcW w:w="1077" w:type="dxa"/>
                  <w:tcBorders>
                    <w:top w:val="single" w:sz="4" w:space="0" w:color="000000"/>
                    <w:left w:val="single" w:sz="4" w:space="0" w:color="000000"/>
                    <w:bottom w:val="dashed" w:sz="4" w:space="0" w:color="000000"/>
                    <w:right w:val="single" w:sz="4" w:space="0" w:color="000000"/>
                  </w:tcBorders>
                  <w:shd w:val="clear" w:color="auto" w:fill="FFF0E1"/>
                  <w:tcMar>
                    <w:top w:w="0" w:type="dxa"/>
                    <w:left w:w="108" w:type="dxa"/>
                    <w:bottom w:w="0" w:type="dxa"/>
                    <w:right w:w="108" w:type="dxa"/>
                  </w:tcMar>
                  <w:vAlign w:val="center"/>
                </w:tcPr>
                <w:p w14:paraId="7C018D99"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489.8</w:t>
                  </w:r>
                </w:p>
              </w:tc>
              <w:tc>
                <w:tcPr>
                  <w:tcW w:w="1077" w:type="dxa"/>
                  <w:tcBorders>
                    <w:top w:val="single" w:sz="4" w:space="0" w:color="000000"/>
                    <w:left w:val="single" w:sz="4" w:space="0" w:color="000000"/>
                    <w:bottom w:val="dashed" w:sz="4" w:space="0" w:color="000000"/>
                    <w:right w:val="single" w:sz="4" w:space="0" w:color="000000"/>
                  </w:tcBorders>
                  <w:shd w:val="clear" w:color="auto" w:fill="FFF0E1"/>
                  <w:tcMar>
                    <w:top w:w="0" w:type="dxa"/>
                    <w:left w:w="108" w:type="dxa"/>
                    <w:bottom w:w="0" w:type="dxa"/>
                    <w:right w:w="108" w:type="dxa"/>
                  </w:tcMar>
                  <w:vAlign w:val="center"/>
                </w:tcPr>
                <w:p w14:paraId="62A230AC"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633.6</w:t>
                  </w:r>
                </w:p>
              </w:tc>
              <w:tc>
                <w:tcPr>
                  <w:tcW w:w="1077" w:type="dxa"/>
                  <w:tcBorders>
                    <w:top w:val="single" w:sz="4" w:space="0" w:color="000000"/>
                    <w:left w:val="single" w:sz="4" w:space="0" w:color="000000"/>
                    <w:bottom w:val="dashed" w:sz="4" w:space="0" w:color="000000"/>
                    <w:right w:val="single" w:sz="4" w:space="0" w:color="000000"/>
                  </w:tcBorders>
                  <w:shd w:val="clear" w:color="auto" w:fill="FFF0E1"/>
                  <w:tcMar>
                    <w:top w:w="0" w:type="dxa"/>
                    <w:left w:w="108" w:type="dxa"/>
                    <w:bottom w:w="0" w:type="dxa"/>
                    <w:right w:w="108" w:type="dxa"/>
                  </w:tcMar>
                  <w:vAlign w:val="center"/>
                </w:tcPr>
                <w:p w14:paraId="03322DB3"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660.3</w:t>
                  </w:r>
                </w:p>
              </w:tc>
              <w:tc>
                <w:tcPr>
                  <w:tcW w:w="1077" w:type="dxa"/>
                  <w:tcBorders>
                    <w:top w:val="single" w:sz="4" w:space="0" w:color="000000"/>
                    <w:left w:val="single" w:sz="4" w:space="0" w:color="000000"/>
                    <w:bottom w:val="dashed" w:sz="4" w:space="0" w:color="000000"/>
                  </w:tcBorders>
                  <w:shd w:val="clear" w:color="auto" w:fill="FFF0E1"/>
                  <w:tcMar>
                    <w:top w:w="0" w:type="dxa"/>
                    <w:left w:w="108" w:type="dxa"/>
                    <w:bottom w:w="0" w:type="dxa"/>
                    <w:right w:w="108" w:type="dxa"/>
                  </w:tcMar>
                  <w:vAlign w:val="center"/>
                </w:tcPr>
                <w:p w14:paraId="370FDF21"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499.6</w:t>
                  </w:r>
                </w:p>
              </w:tc>
            </w:tr>
            <w:tr w:rsidR="00052596" w14:paraId="0FAB0506" w14:textId="77777777">
              <w:tblPrEx>
                <w:tblCellMar>
                  <w:top w:w="0" w:type="dxa"/>
                  <w:bottom w:w="0" w:type="dxa"/>
                </w:tblCellMar>
              </w:tblPrEx>
              <w:trPr>
                <w:trHeight w:val="340"/>
                <w:jc w:val="center"/>
              </w:trPr>
              <w:tc>
                <w:tcPr>
                  <w:tcW w:w="2494" w:type="dxa"/>
                  <w:tcBorders>
                    <w:top w:val="dashed" w:sz="4" w:space="0" w:color="000000"/>
                    <w:right w:val="single" w:sz="4" w:space="0" w:color="000000"/>
                  </w:tcBorders>
                  <w:shd w:val="clear" w:color="auto" w:fill="FFF0E1"/>
                  <w:tcMar>
                    <w:top w:w="0" w:type="dxa"/>
                    <w:left w:w="108" w:type="dxa"/>
                    <w:bottom w:w="0" w:type="dxa"/>
                    <w:right w:w="108" w:type="dxa"/>
                  </w:tcMar>
                  <w:vAlign w:val="center"/>
                </w:tcPr>
                <w:p w14:paraId="682C4BB5" w14:textId="77777777" w:rsidR="00052596" w:rsidRDefault="00000000">
                  <w:pPr>
                    <w:spacing w:line="360" w:lineRule="atLeast"/>
                    <w:ind w:firstLine="286"/>
                    <w:jc w:val="both"/>
                    <w:rPr>
                      <w:rFonts w:ascii="新細明體" w:hAnsi="新細明體"/>
                      <w:kern w:val="0"/>
                      <w:sz w:val="22"/>
                      <w:szCs w:val="22"/>
                    </w:rPr>
                  </w:pPr>
                  <w:r>
                    <w:rPr>
                      <w:rFonts w:ascii="新細明體" w:hAnsi="新細明體"/>
                      <w:kern w:val="0"/>
                      <w:sz w:val="22"/>
                      <w:szCs w:val="22"/>
                    </w:rPr>
                    <w:t>太陽光電產業</w:t>
                  </w:r>
                </w:p>
              </w:tc>
              <w:tc>
                <w:tcPr>
                  <w:tcW w:w="1077" w:type="dxa"/>
                  <w:tcBorders>
                    <w:top w:val="dashed"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0661487B"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280.0</w:t>
                  </w:r>
                </w:p>
              </w:tc>
              <w:tc>
                <w:tcPr>
                  <w:tcW w:w="1077" w:type="dxa"/>
                  <w:tcBorders>
                    <w:top w:val="dashed"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5D265579"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336.0</w:t>
                  </w:r>
                </w:p>
              </w:tc>
              <w:tc>
                <w:tcPr>
                  <w:tcW w:w="1077" w:type="dxa"/>
                  <w:tcBorders>
                    <w:top w:val="dashed"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22A9E50A"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400.3</w:t>
                  </w:r>
                </w:p>
              </w:tc>
              <w:tc>
                <w:tcPr>
                  <w:tcW w:w="1077" w:type="dxa"/>
                  <w:tcBorders>
                    <w:top w:val="dashed" w:sz="4" w:space="0" w:color="000000"/>
                    <w:left w:val="single" w:sz="4" w:space="0" w:color="000000"/>
                  </w:tcBorders>
                  <w:shd w:val="clear" w:color="auto" w:fill="FFF0E1"/>
                  <w:tcMar>
                    <w:top w:w="0" w:type="dxa"/>
                    <w:left w:w="108" w:type="dxa"/>
                    <w:bottom w:w="0" w:type="dxa"/>
                    <w:right w:w="108" w:type="dxa"/>
                  </w:tcMar>
                  <w:vAlign w:val="center"/>
                </w:tcPr>
                <w:p w14:paraId="6AC4818E"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377.9</w:t>
                  </w:r>
                </w:p>
              </w:tc>
            </w:tr>
            <w:tr w:rsidR="00052596" w14:paraId="4467C164" w14:textId="77777777">
              <w:tblPrEx>
                <w:tblCellMar>
                  <w:top w:w="0" w:type="dxa"/>
                  <w:bottom w:w="0" w:type="dxa"/>
                </w:tblCellMar>
              </w:tblPrEx>
              <w:trPr>
                <w:trHeight w:val="340"/>
                <w:jc w:val="center"/>
              </w:trPr>
              <w:tc>
                <w:tcPr>
                  <w:tcW w:w="2494" w:type="dxa"/>
                  <w:tcBorders>
                    <w:right w:val="single" w:sz="4" w:space="0" w:color="000000"/>
                  </w:tcBorders>
                  <w:shd w:val="clear" w:color="auto" w:fill="FFF0E1"/>
                  <w:tcMar>
                    <w:top w:w="0" w:type="dxa"/>
                    <w:left w:w="108" w:type="dxa"/>
                    <w:bottom w:w="0" w:type="dxa"/>
                    <w:right w:w="108" w:type="dxa"/>
                  </w:tcMar>
                  <w:vAlign w:val="center"/>
                </w:tcPr>
                <w:p w14:paraId="2EEC61F7" w14:textId="77777777" w:rsidR="00052596" w:rsidRDefault="00000000">
                  <w:pPr>
                    <w:spacing w:line="360" w:lineRule="atLeast"/>
                    <w:ind w:firstLine="286"/>
                    <w:jc w:val="both"/>
                    <w:rPr>
                      <w:rFonts w:ascii="新細明體" w:hAnsi="新細明體"/>
                      <w:kern w:val="0"/>
                      <w:sz w:val="22"/>
                      <w:szCs w:val="22"/>
                    </w:rPr>
                  </w:pPr>
                  <w:r>
                    <w:rPr>
                      <w:rFonts w:ascii="新細明體" w:hAnsi="新細明體"/>
                      <w:kern w:val="0"/>
                      <w:sz w:val="22"/>
                      <w:szCs w:val="22"/>
                    </w:rPr>
                    <w:t>LED照明光電產業</w:t>
                  </w:r>
                </w:p>
              </w:tc>
              <w:tc>
                <w:tcPr>
                  <w:tcW w:w="107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D770FB5"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199.0</w:t>
                  </w:r>
                </w:p>
              </w:tc>
              <w:tc>
                <w:tcPr>
                  <w:tcW w:w="107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1BA25777"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276.0</w:t>
                  </w:r>
                </w:p>
              </w:tc>
              <w:tc>
                <w:tcPr>
                  <w:tcW w:w="107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E02395C"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234.2</w:t>
                  </w:r>
                </w:p>
              </w:tc>
              <w:tc>
                <w:tcPr>
                  <w:tcW w:w="1077" w:type="dxa"/>
                  <w:tcBorders>
                    <w:left w:val="single" w:sz="4" w:space="0" w:color="000000"/>
                  </w:tcBorders>
                  <w:shd w:val="clear" w:color="auto" w:fill="FFF0E1"/>
                  <w:tcMar>
                    <w:top w:w="0" w:type="dxa"/>
                    <w:left w:w="108" w:type="dxa"/>
                    <w:bottom w:w="0" w:type="dxa"/>
                    <w:right w:w="108" w:type="dxa"/>
                  </w:tcMar>
                  <w:vAlign w:val="center"/>
                </w:tcPr>
                <w:p w14:paraId="765F630C"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88.6</w:t>
                  </w:r>
                </w:p>
              </w:tc>
            </w:tr>
            <w:tr w:rsidR="00052596" w14:paraId="221CE2A5" w14:textId="77777777">
              <w:tblPrEx>
                <w:tblCellMar>
                  <w:top w:w="0" w:type="dxa"/>
                  <w:bottom w:w="0" w:type="dxa"/>
                </w:tblCellMar>
              </w:tblPrEx>
              <w:trPr>
                <w:trHeight w:val="340"/>
                <w:jc w:val="center"/>
              </w:trPr>
              <w:tc>
                <w:tcPr>
                  <w:tcW w:w="2494"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5B72E0E2" w14:textId="77777777" w:rsidR="00052596" w:rsidRDefault="00000000">
                  <w:pPr>
                    <w:spacing w:line="360" w:lineRule="atLeast"/>
                    <w:ind w:firstLine="286"/>
                    <w:jc w:val="both"/>
                    <w:rPr>
                      <w:rFonts w:ascii="新細明體" w:hAnsi="新細明體"/>
                      <w:kern w:val="0"/>
                      <w:sz w:val="22"/>
                      <w:szCs w:val="22"/>
                    </w:rPr>
                  </w:pPr>
                  <w:r>
                    <w:rPr>
                      <w:rFonts w:ascii="新細明體" w:hAnsi="新細明體"/>
                      <w:kern w:val="0"/>
                      <w:sz w:val="22"/>
                      <w:szCs w:val="22"/>
                    </w:rPr>
                    <w:t>其他綠能產業*</w:t>
                  </w:r>
                </w:p>
              </w:tc>
              <w:tc>
                <w:tcPr>
                  <w:tcW w:w="107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612A29D9"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10.8</w:t>
                  </w:r>
                </w:p>
              </w:tc>
              <w:tc>
                <w:tcPr>
                  <w:tcW w:w="107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29944B51"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21.6</w:t>
                  </w:r>
                </w:p>
              </w:tc>
              <w:tc>
                <w:tcPr>
                  <w:tcW w:w="107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391A21F7"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25.8</w:t>
                  </w:r>
                </w:p>
              </w:tc>
              <w:tc>
                <w:tcPr>
                  <w:tcW w:w="1077" w:type="dxa"/>
                  <w:tcBorders>
                    <w:left w:val="single" w:sz="4" w:space="0" w:color="000000"/>
                    <w:bottom w:val="single" w:sz="4" w:space="0" w:color="000000"/>
                  </w:tcBorders>
                  <w:shd w:val="clear" w:color="auto" w:fill="FFF0E1"/>
                  <w:tcMar>
                    <w:top w:w="0" w:type="dxa"/>
                    <w:left w:w="108" w:type="dxa"/>
                    <w:bottom w:w="0" w:type="dxa"/>
                    <w:right w:w="108" w:type="dxa"/>
                  </w:tcMar>
                  <w:vAlign w:val="center"/>
                </w:tcPr>
                <w:p w14:paraId="3A95DBC5"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33.1</w:t>
                  </w:r>
                </w:p>
              </w:tc>
            </w:tr>
            <w:tr w:rsidR="00052596" w14:paraId="42AEB7E5" w14:textId="77777777">
              <w:tblPrEx>
                <w:tblCellMar>
                  <w:top w:w="0" w:type="dxa"/>
                  <w:bottom w:w="0" w:type="dxa"/>
                </w:tblCellMar>
              </w:tblPrEx>
              <w:trPr>
                <w:trHeight w:val="340"/>
                <w:jc w:val="center"/>
              </w:trPr>
              <w:tc>
                <w:tcPr>
                  <w:tcW w:w="2494" w:type="dxa"/>
                  <w:tcBorders>
                    <w:top w:val="single" w:sz="4" w:space="0" w:color="000000"/>
                    <w:bottom w:val="dashed" w:sz="4" w:space="0" w:color="000000"/>
                    <w:right w:val="single" w:sz="4" w:space="0" w:color="000000"/>
                  </w:tcBorders>
                  <w:shd w:val="clear" w:color="auto" w:fill="FFF0E1"/>
                  <w:tcMar>
                    <w:top w:w="0" w:type="dxa"/>
                    <w:left w:w="108" w:type="dxa"/>
                    <w:bottom w:w="0" w:type="dxa"/>
                    <w:right w:w="108" w:type="dxa"/>
                  </w:tcMar>
                  <w:vAlign w:val="center"/>
                </w:tcPr>
                <w:p w14:paraId="492F91C2" w14:textId="77777777" w:rsidR="00052596" w:rsidRDefault="00000000">
                  <w:pPr>
                    <w:spacing w:line="360" w:lineRule="atLeast"/>
                    <w:jc w:val="both"/>
                    <w:rPr>
                      <w:rFonts w:ascii="新細明體" w:hAnsi="新細明體"/>
                      <w:kern w:val="0"/>
                      <w:sz w:val="22"/>
                      <w:szCs w:val="22"/>
                    </w:rPr>
                  </w:pPr>
                  <w:r>
                    <w:rPr>
                      <w:rFonts w:ascii="新細明體" w:hAnsi="新細明體"/>
                      <w:kern w:val="0"/>
                      <w:sz w:val="22"/>
                      <w:szCs w:val="22"/>
                    </w:rPr>
                    <w:t>總產值(億元)</w:t>
                  </w:r>
                </w:p>
              </w:tc>
              <w:tc>
                <w:tcPr>
                  <w:tcW w:w="1077" w:type="dxa"/>
                  <w:tcBorders>
                    <w:top w:val="single" w:sz="4" w:space="0" w:color="000000"/>
                    <w:left w:val="single" w:sz="4" w:space="0" w:color="000000"/>
                    <w:bottom w:val="dashed" w:sz="4" w:space="0" w:color="000000"/>
                    <w:right w:val="single" w:sz="4" w:space="0" w:color="000000"/>
                  </w:tcBorders>
                  <w:shd w:val="clear" w:color="auto" w:fill="FFF0E1"/>
                  <w:tcMar>
                    <w:top w:w="0" w:type="dxa"/>
                    <w:left w:w="108" w:type="dxa"/>
                    <w:bottom w:w="0" w:type="dxa"/>
                    <w:right w:w="108" w:type="dxa"/>
                  </w:tcMar>
                  <w:vAlign w:val="center"/>
                </w:tcPr>
                <w:p w14:paraId="40F793B2"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1,598.9</w:t>
                  </w:r>
                </w:p>
              </w:tc>
              <w:tc>
                <w:tcPr>
                  <w:tcW w:w="1077" w:type="dxa"/>
                  <w:tcBorders>
                    <w:top w:val="single" w:sz="4" w:space="0" w:color="000000"/>
                    <w:left w:val="single" w:sz="4" w:space="0" w:color="000000"/>
                    <w:bottom w:val="dashed" w:sz="4" w:space="0" w:color="000000"/>
                    <w:right w:val="single" w:sz="4" w:space="0" w:color="000000"/>
                  </w:tcBorders>
                  <w:shd w:val="clear" w:color="auto" w:fill="FFF0E1"/>
                  <w:tcMar>
                    <w:top w:w="0" w:type="dxa"/>
                    <w:left w:w="108" w:type="dxa"/>
                    <w:bottom w:w="0" w:type="dxa"/>
                    <w:right w:w="108" w:type="dxa"/>
                  </w:tcMar>
                  <w:vAlign w:val="center"/>
                </w:tcPr>
                <w:p w14:paraId="74E9F3CB"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2,152.4</w:t>
                  </w:r>
                </w:p>
              </w:tc>
              <w:tc>
                <w:tcPr>
                  <w:tcW w:w="1077" w:type="dxa"/>
                  <w:tcBorders>
                    <w:top w:val="single" w:sz="4" w:space="0" w:color="000000"/>
                    <w:left w:val="single" w:sz="4" w:space="0" w:color="000000"/>
                    <w:bottom w:val="dashed" w:sz="4" w:space="0" w:color="000000"/>
                    <w:right w:val="single" w:sz="4" w:space="0" w:color="000000"/>
                  </w:tcBorders>
                  <w:shd w:val="clear" w:color="auto" w:fill="FFF0E1"/>
                  <w:tcMar>
                    <w:top w:w="0" w:type="dxa"/>
                    <w:left w:w="108" w:type="dxa"/>
                    <w:bottom w:w="0" w:type="dxa"/>
                    <w:right w:w="108" w:type="dxa"/>
                  </w:tcMar>
                  <w:vAlign w:val="center"/>
                </w:tcPr>
                <w:p w14:paraId="4E3AB4AC"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3,866.8</w:t>
                  </w:r>
                </w:p>
              </w:tc>
              <w:tc>
                <w:tcPr>
                  <w:tcW w:w="1077" w:type="dxa"/>
                  <w:tcBorders>
                    <w:top w:val="single" w:sz="4" w:space="0" w:color="000000"/>
                    <w:left w:val="single" w:sz="4" w:space="0" w:color="000000"/>
                    <w:bottom w:val="dashed" w:sz="4" w:space="0" w:color="000000"/>
                  </w:tcBorders>
                  <w:shd w:val="clear" w:color="auto" w:fill="FFF0E1"/>
                  <w:tcMar>
                    <w:top w:w="0" w:type="dxa"/>
                    <w:left w:w="108" w:type="dxa"/>
                    <w:bottom w:w="0" w:type="dxa"/>
                    <w:right w:w="108" w:type="dxa"/>
                  </w:tcMar>
                  <w:vAlign w:val="center"/>
                </w:tcPr>
                <w:p w14:paraId="3D320320"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4,062.5</w:t>
                  </w:r>
                </w:p>
              </w:tc>
            </w:tr>
            <w:tr w:rsidR="00052596" w14:paraId="11E55673" w14:textId="77777777">
              <w:tblPrEx>
                <w:tblCellMar>
                  <w:top w:w="0" w:type="dxa"/>
                  <w:bottom w:w="0" w:type="dxa"/>
                </w:tblCellMar>
              </w:tblPrEx>
              <w:trPr>
                <w:trHeight w:val="340"/>
                <w:jc w:val="center"/>
              </w:trPr>
              <w:tc>
                <w:tcPr>
                  <w:tcW w:w="2494" w:type="dxa"/>
                  <w:tcBorders>
                    <w:top w:val="dashed" w:sz="4" w:space="0" w:color="000000"/>
                    <w:right w:val="single" w:sz="4" w:space="0" w:color="000000"/>
                  </w:tcBorders>
                  <w:shd w:val="clear" w:color="auto" w:fill="FFF0E1"/>
                  <w:tcMar>
                    <w:top w:w="0" w:type="dxa"/>
                    <w:left w:w="108" w:type="dxa"/>
                    <w:bottom w:w="0" w:type="dxa"/>
                    <w:right w:w="108" w:type="dxa"/>
                  </w:tcMar>
                  <w:vAlign w:val="center"/>
                </w:tcPr>
                <w:p w14:paraId="43D19ACB" w14:textId="77777777" w:rsidR="00052596" w:rsidRDefault="00000000">
                  <w:pPr>
                    <w:spacing w:line="360" w:lineRule="atLeast"/>
                    <w:ind w:firstLine="286"/>
                    <w:jc w:val="both"/>
                    <w:rPr>
                      <w:rFonts w:ascii="新細明體" w:hAnsi="新細明體"/>
                      <w:kern w:val="0"/>
                      <w:sz w:val="22"/>
                      <w:szCs w:val="22"/>
                    </w:rPr>
                  </w:pPr>
                  <w:r>
                    <w:rPr>
                      <w:rFonts w:ascii="新細明體" w:hAnsi="新細明體"/>
                      <w:kern w:val="0"/>
                      <w:sz w:val="22"/>
                      <w:szCs w:val="22"/>
                    </w:rPr>
                    <w:t>太陽光電產業</w:t>
                  </w:r>
                </w:p>
              </w:tc>
              <w:tc>
                <w:tcPr>
                  <w:tcW w:w="1077" w:type="dxa"/>
                  <w:tcBorders>
                    <w:top w:val="dashed"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5B2C25FA"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1011.0</w:t>
                  </w:r>
                </w:p>
              </w:tc>
              <w:tc>
                <w:tcPr>
                  <w:tcW w:w="1077" w:type="dxa"/>
                  <w:tcBorders>
                    <w:top w:val="dashed"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47B9C58E"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1069.0</w:t>
                  </w:r>
                </w:p>
              </w:tc>
              <w:tc>
                <w:tcPr>
                  <w:tcW w:w="1077" w:type="dxa"/>
                  <w:tcBorders>
                    <w:top w:val="dashed" w:sz="4" w:space="0" w:color="000000"/>
                    <w:left w:val="single" w:sz="4" w:space="0" w:color="000000"/>
                    <w:right w:val="single" w:sz="4" w:space="0" w:color="000000"/>
                  </w:tcBorders>
                  <w:shd w:val="clear" w:color="auto" w:fill="FFF0E1"/>
                  <w:tcMar>
                    <w:top w:w="0" w:type="dxa"/>
                    <w:left w:w="108" w:type="dxa"/>
                    <w:bottom w:w="0" w:type="dxa"/>
                    <w:right w:w="108" w:type="dxa"/>
                  </w:tcMar>
                  <w:vAlign w:val="center"/>
                </w:tcPr>
                <w:p w14:paraId="3CDCBB58"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2066.0</w:t>
                  </w:r>
                </w:p>
              </w:tc>
              <w:tc>
                <w:tcPr>
                  <w:tcW w:w="1077" w:type="dxa"/>
                  <w:tcBorders>
                    <w:top w:val="dashed" w:sz="4" w:space="0" w:color="000000"/>
                    <w:left w:val="single" w:sz="4" w:space="0" w:color="000000"/>
                  </w:tcBorders>
                  <w:shd w:val="clear" w:color="auto" w:fill="FFF0E1"/>
                  <w:tcMar>
                    <w:top w:w="0" w:type="dxa"/>
                    <w:left w:w="108" w:type="dxa"/>
                    <w:bottom w:w="0" w:type="dxa"/>
                    <w:right w:w="108" w:type="dxa"/>
                  </w:tcMar>
                  <w:vAlign w:val="center"/>
                </w:tcPr>
                <w:p w14:paraId="7B0BE1E0"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1979.0</w:t>
                  </w:r>
                </w:p>
              </w:tc>
            </w:tr>
            <w:tr w:rsidR="00052596" w14:paraId="67BD2ECE" w14:textId="77777777">
              <w:tblPrEx>
                <w:tblCellMar>
                  <w:top w:w="0" w:type="dxa"/>
                  <w:bottom w:w="0" w:type="dxa"/>
                </w:tblCellMar>
              </w:tblPrEx>
              <w:trPr>
                <w:trHeight w:val="340"/>
                <w:jc w:val="center"/>
              </w:trPr>
              <w:tc>
                <w:tcPr>
                  <w:tcW w:w="2494" w:type="dxa"/>
                  <w:tcBorders>
                    <w:right w:val="single" w:sz="4" w:space="0" w:color="000000"/>
                  </w:tcBorders>
                  <w:shd w:val="clear" w:color="auto" w:fill="FFF0E1"/>
                  <w:tcMar>
                    <w:top w:w="0" w:type="dxa"/>
                    <w:left w:w="108" w:type="dxa"/>
                    <w:bottom w:w="0" w:type="dxa"/>
                    <w:right w:w="108" w:type="dxa"/>
                  </w:tcMar>
                  <w:vAlign w:val="center"/>
                </w:tcPr>
                <w:p w14:paraId="263227DC" w14:textId="77777777" w:rsidR="00052596" w:rsidRDefault="00000000">
                  <w:pPr>
                    <w:spacing w:line="360" w:lineRule="atLeast"/>
                    <w:ind w:firstLine="286"/>
                    <w:jc w:val="both"/>
                    <w:rPr>
                      <w:rFonts w:ascii="新細明體" w:hAnsi="新細明體"/>
                      <w:kern w:val="0"/>
                      <w:sz w:val="22"/>
                      <w:szCs w:val="22"/>
                    </w:rPr>
                  </w:pPr>
                  <w:r>
                    <w:rPr>
                      <w:rFonts w:ascii="新細明體" w:hAnsi="新細明體"/>
                      <w:kern w:val="0"/>
                      <w:sz w:val="22"/>
                      <w:szCs w:val="22"/>
                    </w:rPr>
                    <w:t>LED照明光電產業</w:t>
                  </w:r>
                </w:p>
              </w:tc>
              <w:tc>
                <w:tcPr>
                  <w:tcW w:w="107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D2FF198"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460.0</w:t>
                  </w:r>
                </w:p>
              </w:tc>
              <w:tc>
                <w:tcPr>
                  <w:tcW w:w="107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635449C8"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936.0</w:t>
                  </w:r>
                </w:p>
              </w:tc>
              <w:tc>
                <w:tcPr>
                  <w:tcW w:w="1077" w:type="dxa"/>
                  <w:tcBorders>
                    <w:left w:val="single" w:sz="4" w:space="0" w:color="000000"/>
                    <w:right w:val="single" w:sz="4" w:space="0" w:color="000000"/>
                  </w:tcBorders>
                  <w:shd w:val="clear" w:color="auto" w:fill="FFF0E1"/>
                  <w:tcMar>
                    <w:top w:w="0" w:type="dxa"/>
                    <w:left w:w="108" w:type="dxa"/>
                    <w:bottom w:w="0" w:type="dxa"/>
                    <w:right w:w="108" w:type="dxa"/>
                  </w:tcMar>
                  <w:vAlign w:val="center"/>
                </w:tcPr>
                <w:p w14:paraId="339F5759"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1626.0</w:t>
                  </w:r>
                </w:p>
              </w:tc>
              <w:tc>
                <w:tcPr>
                  <w:tcW w:w="1077" w:type="dxa"/>
                  <w:tcBorders>
                    <w:left w:val="single" w:sz="4" w:space="0" w:color="000000"/>
                  </w:tcBorders>
                  <w:shd w:val="clear" w:color="auto" w:fill="FFF0E1"/>
                  <w:tcMar>
                    <w:top w:w="0" w:type="dxa"/>
                    <w:left w:w="108" w:type="dxa"/>
                    <w:bottom w:w="0" w:type="dxa"/>
                    <w:right w:w="108" w:type="dxa"/>
                  </w:tcMar>
                  <w:vAlign w:val="center"/>
                </w:tcPr>
                <w:p w14:paraId="02E6B512"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1867.0</w:t>
                  </w:r>
                </w:p>
              </w:tc>
            </w:tr>
            <w:tr w:rsidR="00052596" w14:paraId="53A9D7DF" w14:textId="77777777">
              <w:tblPrEx>
                <w:tblCellMar>
                  <w:top w:w="0" w:type="dxa"/>
                  <w:bottom w:w="0" w:type="dxa"/>
                </w:tblCellMar>
              </w:tblPrEx>
              <w:trPr>
                <w:trHeight w:val="340"/>
                <w:jc w:val="center"/>
              </w:trPr>
              <w:tc>
                <w:tcPr>
                  <w:tcW w:w="2494"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5FB988AD" w14:textId="77777777" w:rsidR="00052596" w:rsidRDefault="00000000">
                  <w:pPr>
                    <w:spacing w:line="360" w:lineRule="atLeast"/>
                    <w:ind w:firstLine="286"/>
                    <w:jc w:val="both"/>
                    <w:rPr>
                      <w:rFonts w:ascii="新細明體" w:hAnsi="新細明體"/>
                      <w:kern w:val="0"/>
                      <w:sz w:val="22"/>
                      <w:szCs w:val="22"/>
                    </w:rPr>
                  </w:pPr>
                  <w:r>
                    <w:rPr>
                      <w:rFonts w:ascii="新細明體" w:hAnsi="新細明體"/>
                      <w:kern w:val="0"/>
                      <w:sz w:val="22"/>
                      <w:szCs w:val="22"/>
                    </w:rPr>
                    <w:t>其他綠能產業</w:t>
                  </w:r>
                </w:p>
              </w:tc>
              <w:tc>
                <w:tcPr>
                  <w:tcW w:w="107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6BBD3EA5"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127.9</w:t>
                  </w:r>
                </w:p>
              </w:tc>
              <w:tc>
                <w:tcPr>
                  <w:tcW w:w="107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56192C10"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147.4</w:t>
                  </w:r>
                </w:p>
              </w:tc>
              <w:tc>
                <w:tcPr>
                  <w:tcW w:w="107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vAlign w:val="center"/>
                </w:tcPr>
                <w:p w14:paraId="1EBC3FDA"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174.9</w:t>
                  </w:r>
                </w:p>
              </w:tc>
              <w:tc>
                <w:tcPr>
                  <w:tcW w:w="1077" w:type="dxa"/>
                  <w:tcBorders>
                    <w:left w:val="single" w:sz="4" w:space="0" w:color="000000"/>
                    <w:bottom w:val="single" w:sz="4" w:space="0" w:color="000000"/>
                  </w:tcBorders>
                  <w:shd w:val="clear" w:color="auto" w:fill="FFF0E1"/>
                  <w:tcMar>
                    <w:top w:w="0" w:type="dxa"/>
                    <w:left w:w="108" w:type="dxa"/>
                    <w:bottom w:w="0" w:type="dxa"/>
                    <w:right w:w="108" w:type="dxa"/>
                  </w:tcMar>
                  <w:vAlign w:val="center"/>
                </w:tcPr>
                <w:p w14:paraId="36EA4019"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216.5</w:t>
                  </w:r>
                </w:p>
              </w:tc>
            </w:tr>
            <w:tr w:rsidR="00052596" w14:paraId="5F227521" w14:textId="77777777">
              <w:tblPrEx>
                <w:tblCellMar>
                  <w:top w:w="0" w:type="dxa"/>
                  <w:bottom w:w="0" w:type="dxa"/>
                </w:tblCellMar>
              </w:tblPrEx>
              <w:trPr>
                <w:trHeight w:val="340"/>
                <w:jc w:val="center"/>
              </w:trPr>
              <w:tc>
                <w:tcPr>
                  <w:tcW w:w="2494" w:type="dxa"/>
                  <w:tcBorders>
                    <w:top w:val="single" w:sz="4" w:space="0" w:color="000000"/>
                    <w:bottom w:val="dashed" w:sz="4" w:space="0" w:color="000000"/>
                    <w:right w:val="single" w:sz="4" w:space="0" w:color="000000"/>
                  </w:tcBorders>
                  <w:shd w:val="clear" w:color="auto" w:fill="FFF0E1"/>
                  <w:tcMar>
                    <w:top w:w="0" w:type="dxa"/>
                    <w:left w:w="108" w:type="dxa"/>
                    <w:bottom w:w="0" w:type="dxa"/>
                    <w:right w:w="108" w:type="dxa"/>
                  </w:tcMar>
                  <w:vAlign w:val="center"/>
                </w:tcPr>
                <w:p w14:paraId="35CB6938" w14:textId="77777777" w:rsidR="00052596" w:rsidRDefault="00000000">
                  <w:pPr>
                    <w:spacing w:line="360" w:lineRule="atLeast"/>
                    <w:jc w:val="both"/>
                    <w:rPr>
                      <w:rFonts w:ascii="新細明體" w:hAnsi="新細明體"/>
                      <w:kern w:val="0"/>
                      <w:sz w:val="22"/>
                      <w:szCs w:val="22"/>
                    </w:rPr>
                  </w:pPr>
                  <w:r>
                    <w:rPr>
                      <w:rFonts w:ascii="新細明體" w:hAnsi="新細明體"/>
                      <w:kern w:val="0"/>
                      <w:sz w:val="22"/>
                      <w:szCs w:val="22"/>
                    </w:rPr>
                    <w:t>就業人數(萬人)</w:t>
                  </w:r>
                </w:p>
              </w:tc>
              <w:tc>
                <w:tcPr>
                  <w:tcW w:w="1077" w:type="dxa"/>
                  <w:tcBorders>
                    <w:top w:val="single" w:sz="4" w:space="0" w:color="000000"/>
                    <w:left w:val="single" w:sz="4" w:space="0" w:color="000000"/>
                    <w:bottom w:val="dashed" w:sz="4" w:space="0" w:color="000000"/>
                    <w:right w:val="single" w:sz="4" w:space="0" w:color="000000"/>
                  </w:tcBorders>
                  <w:shd w:val="clear" w:color="auto" w:fill="FFF0E1"/>
                  <w:tcMar>
                    <w:top w:w="0" w:type="dxa"/>
                    <w:left w:w="108" w:type="dxa"/>
                    <w:bottom w:w="0" w:type="dxa"/>
                    <w:right w:w="108" w:type="dxa"/>
                  </w:tcMar>
                </w:tcPr>
                <w:p w14:paraId="57904FB3"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1.60</w:t>
                  </w:r>
                </w:p>
              </w:tc>
              <w:tc>
                <w:tcPr>
                  <w:tcW w:w="1077" w:type="dxa"/>
                  <w:tcBorders>
                    <w:top w:val="single" w:sz="4" w:space="0" w:color="000000"/>
                    <w:left w:val="single" w:sz="4" w:space="0" w:color="000000"/>
                    <w:bottom w:val="dashed" w:sz="4" w:space="0" w:color="000000"/>
                    <w:right w:val="single" w:sz="4" w:space="0" w:color="000000"/>
                  </w:tcBorders>
                  <w:shd w:val="clear" w:color="auto" w:fill="FFF0E1"/>
                  <w:tcMar>
                    <w:top w:w="0" w:type="dxa"/>
                    <w:left w:w="108" w:type="dxa"/>
                    <w:bottom w:w="0" w:type="dxa"/>
                    <w:right w:w="108" w:type="dxa"/>
                  </w:tcMar>
                </w:tcPr>
                <w:p w14:paraId="564E755F"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3.47</w:t>
                  </w:r>
                </w:p>
              </w:tc>
              <w:tc>
                <w:tcPr>
                  <w:tcW w:w="1077" w:type="dxa"/>
                  <w:tcBorders>
                    <w:top w:val="single" w:sz="4" w:space="0" w:color="000000"/>
                    <w:left w:val="single" w:sz="4" w:space="0" w:color="000000"/>
                    <w:bottom w:val="dashed" w:sz="4" w:space="0" w:color="000000"/>
                    <w:right w:val="single" w:sz="4" w:space="0" w:color="000000"/>
                  </w:tcBorders>
                  <w:shd w:val="clear" w:color="auto" w:fill="FFF0E1"/>
                  <w:tcMar>
                    <w:top w:w="0" w:type="dxa"/>
                    <w:left w:w="108" w:type="dxa"/>
                    <w:bottom w:w="0" w:type="dxa"/>
                    <w:right w:w="108" w:type="dxa"/>
                  </w:tcMar>
                </w:tcPr>
                <w:p w14:paraId="1AF99435"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5.59</w:t>
                  </w:r>
                </w:p>
              </w:tc>
              <w:tc>
                <w:tcPr>
                  <w:tcW w:w="1077" w:type="dxa"/>
                  <w:tcBorders>
                    <w:top w:val="single" w:sz="4" w:space="0" w:color="000000"/>
                    <w:left w:val="single" w:sz="4" w:space="0" w:color="000000"/>
                    <w:bottom w:val="dashed" w:sz="4" w:space="0" w:color="000000"/>
                  </w:tcBorders>
                  <w:shd w:val="clear" w:color="auto" w:fill="FFF0E1"/>
                  <w:tcMar>
                    <w:top w:w="0" w:type="dxa"/>
                    <w:left w:w="108" w:type="dxa"/>
                    <w:bottom w:w="0" w:type="dxa"/>
                    <w:right w:w="108" w:type="dxa"/>
                  </w:tcMar>
                </w:tcPr>
                <w:p w14:paraId="73B76ECC"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5.98</w:t>
                  </w:r>
                </w:p>
              </w:tc>
            </w:tr>
            <w:tr w:rsidR="00052596" w14:paraId="4A29736C" w14:textId="77777777">
              <w:tblPrEx>
                <w:tblCellMar>
                  <w:top w:w="0" w:type="dxa"/>
                  <w:bottom w:w="0" w:type="dxa"/>
                </w:tblCellMar>
              </w:tblPrEx>
              <w:trPr>
                <w:trHeight w:val="340"/>
                <w:jc w:val="center"/>
              </w:trPr>
              <w:tc>
                <w:tcPr>
                  <w:tcW w:w="2494" w:type="dxa"/>
                  <w:tcBorders>
                    <w:top w:val="dashed" w:sz="4" w:space="0" w:color="000000"/>
                    <w:right w:val="single" w:sz="4" w:space="0" w:color="000000"/>
                  </w:tcBorders>
                  <w:shd w:val="clear" w:color="auto" w:fill="FFF0E1"/>
                  <w:tcMar>
                    <w:top w:w="0" w:type="dxa"/>
                    <w:left w:w="108" w:type="dxa"/>
                    <w:bottom w:w="0" w:type="dxa"/>
                    <w:right w:w="108" w:type="dxa"/>
                  </w:tcMar>
                  <w:vAlign w:val="center"/>
                </w:tcPr>
                <w:p w14:paraId="47F457EB" w14:textId="77777777" w:rsidR="00052596" w:rsidRDefault="00000000">
                  <w:pPr>
                    <w:spacing w:line="360" w:lineRule="atLeast"/>
                    <w:ind w:firstLine="286"/>
                    <w:jc w:val="both"/>
                    <w:rPr>
                      <w:rFonts w:ascii="新細明體" w:hAnsi="新細明體"/>
                      <w:kern w:val="0"/>
                      <w:sz w:val="22"/>
                      <w:szCs w:val="22"/>
                    </w:rPr>
                  </w:pPr>
                  <w:r>
                    <w:rPr>
                      <w:rFonts w:ascii="新細明體" w:hAnsi="新細明體"/>
                      <w:kern w:val="0"/>
                      <w:sz w:val="22"/>
                      <w:szCs w:val="22"/>
                    </w:rPr>
                    <w:t>太陽光電產業</w:t>
                  </w:r>
                </w:p>
              </w:tc>
              <w:tc>
                <w:tcPr>
                  <w:tcW w:w="1077" w:type="dxa"/>
                  <w:tcBorders>
                    <w:top w:val="dashed" w:sz="4" w:space="0" w:color="000000"/>
                    <w:left w:val="single" w:sz="4" w:space="0" w:color="000000"/>
                    <w:right w:val="single" w:sz="4" w:space="0" w:color="000000"/>
                  </w:tcBorders>
                  <w:shd w:val="clear" w:color="auto" w:fill="FFF0E1"/>
                  <w:tcMar>
                    <w:top w:w="0" w:type="dxa"/>
                    <w:left w:w="108" w:type="dxa"/>
                    <w:bottom w:w="0" w:type="dxa"/>
                    <w:right w:w="108" w:type="dxa"/>
                  </w:tcMar>
                </w:tcPr>
                <w:p w14:paraId="03DD9F8D"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0.92</w:t>
                  </w:r>
                </w:p>
              </w:tc>
              <w:tc>
                <w:tcPr>
                  <w:tcW w:w="1077" w:type="dxa"/>
                  <w:tcBorders>
                    <w:top w:val="dashed" w:sz="4" w:space="0" w:color="000000"/>
                    <w:left w:val="single" w:sz="4" w:space="0" w:color="000000"/>
                    <w:right w:val="single" w:sz="4" w:space="0" w:color="000000"/>
                  </w:tcBorders>
                  <w:shd w:val="clear" w:color="auto" w:fill="FFF0E1"/>
                  <w:tcMar>
                    <w:top w:w="0" w:type="dxa"/>
                    <w:left w:w="108" w:type="dxa"/>
                    <w:bottom w:w="0" w:type="dxa"/>
                    <w:right w:w="108" w:type="dxa"/>
                  </w:tcMar>
                </w:tcPr>
                <w:p w14:paraId="683E9B25"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1.01</w:t>
                  </w:r>
                </w:p>
              </w:tc>
              <w:tc>
                <w:tcPr>
                  <w:tcW w:w="1077" w:type="dxa"/>
                  <w:tcBorders>
                    <w:top w:val="dashed" w:sz="4" w:space="0" w:color="000000"/>
                    <w:left w:val="single" w:sz="4" w:space="0" w:color="000000"/>
                    <w:right w:val="single" w:sz="4" w:space="0" w:color="000000"/>
                  </w:tcBorders>
                  <w:shd w:val="clear" w:color="auto" w:fill="FFF0E1"/>
                  <w:tcMar>
                    <w:top w:w="0" w:type="dxa"/>
                    <w:left w:w="108" w:type="dxa"/>
                    <w:bottom w:w="0" w:type="dxa"/>
                    <w:right w:w="108" w:type="dxa"/>
                  </w:tcMar>
                </w:tcPr>
                <w:p w14:paraId="44D2B9C0"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2.18</w:t>
                  </w:r>
                </w:p>
              </w:tc>
              <w:tc>
                <w:tcPr>
                  <w:tcW w:w="1077" w:type="dxa"/>
                  <w:tcBorders>
                    <w:top w:val="dashed" w:sz="4" w:space="0" w:color="000000"/>
                    <w:left w:val="single" w:sz="4" w:space="0" w:color="000000"/>
                  </w:tcBorders>
                  <w:shd w:val="clear" w:color="auto" w:fill="FFF0E1"/>
                  <w:tcMar>
                    <w:top w:w="0" w:type="dxa"/>
                    <w:left w:w="108" w:type="dxa"/>
                    <w:bottom w:w="0" w:type="dxa"/>
                    <w:right w:w="108" w:type="dxa"/>
                  </w:tcMar>
                </w:tcPr>
                <w:p w14:paraId="632CD663"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2.25</w:t>
                  </w:r>
                </w:p>
              </w:tc>
            </w:tr>
            <w:tr w:rsidR="00052596" w14:paraId="56306CF2" w14:textId="77777777">
              <w:tblPrEx>
                <w:tblCellMar>
                  <w:top w:w="0" w:type="dxa"/>
                  <w:bottom w:w="0" w:type="dxa"/>
                </w:tblCellMar>
              </w:tblPrEx>
              <w:trPr>
                <w:trHeight w:val="340"/>
                <w:jc w:val="center"/>
              </w:trPr>
              <w:tc>
                <w:tcPr>
                  <w:tcW w:w="2494" w:type="dxa"/>
                  <w:tcBorders>
                    <w:right w:val="single" w:sz="4" w:space="0" w:color="000000"/>
                  </w:tcBorders>
                  <w:shd w:val="clear" w:color="auto" w:fill="FFF0E1"/>
                  <w:tcMar>
                    <w:top w:w="0" w:type="dxa"/>
                    <w:left w:w="108" w:type="dxa"/>
                    <w:bottom w:w="0" w:type="dxa"/>
                    <w:right w:w="108" w:type="dxa"/>
                  </w:tcMar>
                  <w:vAlign w:val="center"/>
                </w:tcPr>
                <w:p w14:paraId="333DDFCF" w14:textId="77777777" w:rsidR="00052596" w:rsidRDefault="00000000">
                  <w:pPr>
                    <w:spacing w:line="360" w:lineRule="atLeast"/>
                    <w:ind w:firstLine="286"/>
                    <w:jc w:val="both"/>
                    <w:rPr>
                      <w:rFonts w:ascii="新細明體" w:hAnsi="新細明體"/>
                      <w:kern w:val="0"/>
                      <w:sz w:val="22"/>
                      <w:szCs w:val="22"/>
                    </w:rPr>
                  </w:pPr>
                  <w:r>
                    <w:rPr>
                      <w:rFonts w:ascii="新細明體" w:hAnsi="新細明體"/>
                      <w:kern w:val="0"/>
                      <w:sz w:val="22"/>
                      <w:szCs w:val="22"/>
                    </w:rPr>
                    <w:t>LED照明光電產業</w:t>
                  </w:r>
                </w:p>
              </w:tc>
              <w:tc>
                <w:tcPr>
                  <w:tcW w:w="1077" w:type="dxa"/>
                  <w:tcBorders>
                    <w:left w:val="single" w:sz="4" w:space="0" w:color="000000"/>
                    <w:right w:val="single" w:sz="4" w:space="0" w:color="000000"/>
                  </w:tcBorders>
                  <w:shd w:val="clear" w:color="auto" w:fill="FFF0E1"/>
                  <w:tcMar>
                    <w:top w:w="0" w:type="dxa"/>
                    <w:left w:w="108" w:type="dxa"/>
                    <w:bottom w:w="0" w:type="dxa"/>
                    <w:right w:w="108" w:type="dxa"/>
                  </w:tcMar>
                </w:tcPr>
                <w:p w14:paraId="67BFDF6A"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0.46</w:t>
                  </w:r>
                </w:p>
              </w:tc>
              <w:tc>
                <w:tcPr>
                  <w:tcW w:w="1077" w:type="dxa"/>
                  <w:tcBorders>
                    <w:left w:val="single" w:sz="4" w:space="0" w:color="000000"/>
                    <w:right w:val="single" w:sz="4" w:space="0" w:color="000000"/>
                  </w:tcBorders>
                  <w:shd w:val="clear" w:color="auto" w:fill="FFF0E1"/>
                  <w:tcMar>
                    <w:top w:w="0" w:type="dxa"/>
                    <w:left w:w="108" w:type="dxa"/>
                    <w:bottom w:w="0" w:type="dxa"/>
                    <w:right w:w="108" w:type="dxa"/>
                  </w:tcMar>
                </w:tcPr>
                <w:p w14:paraId="46EACFD5"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2.10</w:t>
                  </w:r>
                </w:p>
              </w:tc>
              <w:tc>
                <w:tcPr>
                  <w:tcW w:w="1077" w:type="dxa"/>
                  <w:tcBorders>
                    <w:left w:val="single" w:sz="4" w:space="0" w:color="000000"/>
                    <w:right w:val="single" w:sz="4" w:space="0" w:color="000000"/>
                  </w:tcBorders>
                  <w:shd w:val="clear" w:color="auto" w:fill="FFF0E1"/>
                  <w:tcMar>
                    <w:top w:w="0" w:type="dxa"/>
                    <w:left w:w="108" w:type="dxa"/>
                    <w:bottom w:w="0" w:type="dxa"/>
                    <w:right w:w="108" w:type="dxa"/>
                  </w:tcMar>
                </w:tcPr>
                <w:p w14:paraId="3933EE8E"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3.00</w:t>
                  </w:r>
                </w:p>
              </w:tc>
              <w:tc>
                <w:tcPr>
                  <w:tcW w:w="1077" w:type="dxa"/>
                  <w:tcBorders>
                    <w:left w:val="single" w:sz="4" w:space="0" w:color="000000"/>
                  </w:tcBorders>
                  <w:shd w:val="clear" w:color="auto" w:fill="FFF0E1"/>
                  <w:tcMar>
                    <w:top w:w="0" w:type="dxa"/>
                    <w:left w:w="108" w:type="dxa"/>
                    <w:bottom w:w="0" w:type="dxa"/>
                    <w:right w:w="108" w:type="dxa"/>
                  </w:tcMar>
                </w:tcPr>
                <w:p w14:paraId="18537EB4"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3.21</w:t>
                  </w:r>
                </w:p>
              </w:tc>
            </w:tr>
            <w:tr w:rsidR="00052596" w14:paraId="0DD153BA" w14:textId="77777777">
              <w:tblPrEx>
                <w:tblCellMar>
                  <w:top w:w="0" w:type="dxa"/>
                  <w:bottom w:w="0" w:type="dxa"/>
                </w:tblCellMar>
              </w:tblPrEx>
              <w:trPr>
                <w:trHeight w:val="340"/>
                <w:jc w:val="center"/>
              </w:trPr>
              <w:tc>
                <w:tcPr>
                  <w:tcW w:w="2494" w:type="dxa"/>
                  <w:tcBorders>
                    <w:bottom w:val="single" w:sz="4" w:space="0" w:color="000000"/>
                    <w:right w:val="single" w:sz="4" w:space="0" w:color="000000"/>
                  </w:tcBorders>
                  <w:shd w:val="clear" w:color="auto" w:fill="FFF0E1"/>
                  <w:tcMar>
                    <w:top w:w="0" w:type="dxa"/>
                    <w:left w:w="108" w:type="dxa"/>
                    <w:bottom w:w="0" w:type="dxa"/>
                    <w:right w:w="108" w:type="dxa"/>
                  </w:tcMar>
                  <w:vAlign w:val="center"/>
                </w:tcPr>
                <w:p w14:paraId="1AD06A8A" w14:textId="77777777" w:rsidR="00052596" w:rsidRDefault="00000000">
                  <w:pPr>
                    <w:spacing w:line="360" w:lineRule="atLeast"/>
                    <w:ind w:firstLine="286"/>
                    <w:jc w:val="both"/>
                    <w:rPr>
                      <w:rFonts w:ascii="新細明體" w:hAnsi="新細明體"/>
                      <w:kern w:val="0"/>
                      <w:sz w:val="22"/>
                      <w:szCs w:val="22"/>
                    </w:rPr>
                  </w:pPr>
                  <w:r>
                    <w:rPr>
                      <w:rFonts w:ascii="新細明體" w:hAnsi="新細明體"/>
                      <w:kern w:val="0"/>
                      <w:sz w:val="22"/>
                      <w:szCs w:val="22"/>
                    </w:rPr>
                    <w:t>其他綠能產業</w:t>
                  </w:r>
                </w:p>
              </w:tc>
              <w:tc>
                <w:tcPr>
                  <w:tcW w:w="107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4893F5D1"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0.22</w:t>
                  </w:r>
                </w:p>
              </w:tc>
              <w:tc>
                <w:tcPr>
                  <w:tcW w:w="107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6F4A29EA"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0.36</w:t>
                  </w:r>
                </w:p>
              </w:tc>
              <w:tc>
                <w:tcPr>
                  <w:tcW w:w="1077"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0B36F1CB"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0.41</w:t>
                  </w:r>
                </w:p>
              </w:tc>
              <w:tc>
                <w:tcPr>
                  <w:tcW w:w="1077" w:type="dxa"/>
                  <w:tcBorders>
                    <w:left w:val="single" w:sz="4" w:space="0" w:color="000000"/>
                    <w:bottom w:val="single" w:sz="4" w:space="0" w:color="000000"/>
                  </w:tcBorders>
                  <w:shd w:val="clear" w:color="auto" w:fill="FFF0E1"/>
                  <w:tcMar>
                    <w:top w:w="0" w:type="dxa"/>
                    <w:left w:w="108" w:type="dxa"/>
                    <w:bottom w:w="0" w:type="dxa"/>
                    <w:right w:w="108" w:type="dxa"/>
                  </w:tcMar>
                </w:tcPr>
                <w:p w14:paraId="55E6AEEB" w14:textId="77777777" w:rsidR="00052596" w:rsidRDefault="00000000">
                  <w:pPr>
                    <w:spacing w:line="360" w:lineRule="atLeast"/>
                    <w:jc w:val="center"/>
                    <w:rPr>
                      <w:rFonts w:ascii="新細明體" w:hAnsi="新細明體"/>
                      <w:kern w:val="0"/>
                      <w:sz w:val="22"/>
                      <w:szCs w:val="22"/>
                    </w:rPr>
                  </w:pPr>
                  <w:r>
                    <w:rPr>
                      <w:rFonts w:ascii="新細明體" w:hAnsi="新細明體"/>
                      <w:kern w:val="0"/>
                      <w:sz w:val="22"/>
                      <w:szCs w:val="22"/>
                    </w:rPr>
                    <w:t>0.52</w:t>
                  </w:r>
                </w:p>
              </w:tc>
            </w:tr>
          </w:tbl>
          <w:p w14:paraId="3285BEB1" w14:textId="77777777" w:rsidR="00052596" w:rsidRDefault="00000000">
            <w:pPr>
              <w:spacing w:before="48" w:line="280" w:lineRule="atLeast"/>
              <w:ind w:left="1046" w:right="1025" w:hanging="180"/>
            </w:pPr>
            <w:r>
              <w:rPr>
                <w:rFonts w:ascii="新細明體" w:hAnsi="新細明體"/>
                <w:kern w:val="0"/>
                <w:sz w:val="20"/>
              </w:rPr>
              <w:t>*</w:t>
            </w:r>
            <w:r>
              <w:rPr>
                <w:rFonts w:ascii="新細明體" w:hAnsi="新細明體"/>
                <w:kern w:val="0"/>
                <w:sz w:val="16"/>
                <w:szCs w:val="16"/>
              </w:rPr>
              <w:t xml:space="preserve"> </w:t>
            </w:r>
            <w:r>
              <w:rPr>
                <w:rFonts w:ascii="新細明體" w:hAnsi="新細明體"/>
                <w:kern w:val="0"/>
                <w:sz w:val="20"/>
              </w:rPr>
              <w:t>其他綠能產業包括風力發電、生質燃料、氫能與燃料電池、能源資通訊與電動車輛產業。</w:t>
            </w:r>
          </w:p>
          <w:p w14:paraId="4FF16803" w14:textId="77777777" w:rsidR="00052596" w:rsidRDefault="00000000">
            <w:pPr>
              <w:overflowPunct w:val="0"/>
              <w:autoSpaceDE w:val="0"/>
              <w:spacing w:line="280" w:lineRule="atLeast"/>
              <w:ind w:firstLine="868"/>
              <w:rPr>
                <w:rFonts w:ascii="新細明體" w:hAnsi="新細明體"/>
                <w:kern w:val="0"/>
                <w:sz w:val="20"/>
              </w:rPr>
            </w:pPr>
            <w:r>
              <w:rPr>
                <w:rFonts w:ascii="新細明體" w:hAnsi="新細明體"/>
                <w:kern w:val="0"/>
                <w:sz w:val="20"/>
              </w:rPr>
              <w:t>資料來源：經濟部，民國101年7月。</w:t>
            </w:r>
          </w:p>
        </w:tc>
      </w:tr>
    </w:tbl>
    <w:p w14:paraId="0082AA69" w14:textId="77777777" w:rsidR="00052596" w:rsidRDefault="00052596">
      <w:pPr>
        <w:widowControl/>
        <w:spacing w:line="14" w:lineRule="exact"/>
        <w:rPr>
          <w:kern w:val="0"/>
          <w:sz w:val="16"/>
          <w:szCs w:val="16"/>
        </w:rPr>
        <w:sectPr w:rsidR="00052596">
          <w:headerReference w:type="even" r:id="rId64"/>
          <w:headerReference w:type="default" r:id="rId65"/>
          <w:footerReference w:type="even" r:id="rId66"/>
          <w:footerReference w:type="default" r:id="rId67"/>
          <w:pgSz w:w="11907" w:h="16840"/>
          <w:pgMar w:top="2268" w:right="1701" w:bottom="1701" w:left="1701" w:header="680" w:footer="737" w:gutter="0"/>
          <w:pgNumType w:start="1"/>
          <w:cols w:space="720"/>
        </w:sectPr>
      </w:pPr>
    </w:p>
    <w:p w14:paraId="2FD02F86"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kern w:val="0"/>
          <w:sz w:val="32"/>
          <w:szCs w:val="22"/>
        </w:rPr>
      </w:pPr>
      <w:r>
        <w:rPr>
          <w:rFonts w:eastAsia="標楷體"/>
          <w:b/>
          <w:color w:val="0000FF"/>
          <w:kern w:val="0"/>
          <w:sz w:val="32"/>
          <w:szCs w:val="22"/>
        </w:rPr>
        <w:lastRenderedPageBreak/>
        <w:t>第二章　國家發展願景與目標</w:t>
      </w:r>
    </w:p>
    <w:p w14:paraId="60BBF60E"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5DB5C47"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第一節　國家發展願景</w:t>
      </w:r>
    </w:p>
    <w:p w14:paraId="6B6FE23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E462A54"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面對後金融海嘯時期全球經貿新局、國人對幸福有感的殷切期盼，以及全球綠色環保風潮的挑戰，「國家發展計畫</w:t>
      </w:r>
      <w:r>
        <w:rPr>
          <w:rFonts w:ascii="標楷體" w:eastAsia="標楷體" w:hAnsi="標楷體"/>
          <w:spacing w:val="4"/>
          <w:kern w:val="0"/>
          <w:sz w:val="28"/>
          <w:szCs w:val="26"/>
        </w:rPr>
        <w:t>(</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w:t>
      </w:r>
      <w:r>
        <w:rPr>
          <w:rFonts w:ascii="標楷體" w:eastAsia="標楷體" w:hAnsi="標楷體"/>
          <w:spacing w:val="4"/>
          <w:kern w:val="0"/>
          <w:sz w:val="28"/>
          <w:szCs w:val="26"/>
        </w:rPr>
        <w:t>)</w:t>
      </w:r>
      <w:r>
        <w:rPr>
          <w:rFonts w:eastAsia="標楷體"/>
          <w:spacing w:val="4"/>
          <w:kern w:val="0"/>
          <w:sz w:val="28"/>
          <w:szCs w:val="26"/>
        </w:rPr>
        <w:t>」將具體實踐「黃金十年　國家願景」計畫所揭示「繁榮、和諧、永續的幸福臺灣」之總目標，使國家發展再創新局。</w:t>
      </w:r>
    </w:p>
    <w:p w14:paraId="24D2A3F8" w14:textId="77777777" w:rsidR="00052596" w:rsidRDefault="00052596">
      <w:pPr>
        <w:widowControl/>
        <w:rPr>
          <w:rFonts w:ascii="Calibri" w:hAnsi="Calibri"/>
          <w:b/>
          <w:spacing w:val="10"/>
          <w:kern w:val="0"/>
          <w:sz w:val="30"/>
          <w:szCs w:val="28"/>
        </w:rPr>
      </w:pPr>
    </w:p>
    <w:p w14:paraId="3FE93790" w14:textId="77777777" w:rsidR="00052596" w:rsidRDefault="00000000">
      <w:pPr>
        <w:overflowPunct w:val="0"/>
        <w:autoSpaceDE w:val="0"/>
        <w:snapToGrid w:val="0"/>
        <w:spacing w:line="280" w:lineRule="exact"/>
        <w:ind w:left="120" w:firstLine="2943"/>
        <w:textAlignment w:val="center"/>
        <w:rPr>
          <w:rFonts w:eastAsia="標楷體"/>
          <w:b/>
          <w:color w:val="0000FF"/>
          <w:kern w:val="0"/>
          <w:sz w:val="28"/>
          <w:szCs w:val="28"/>
        </w:rPr>
      </w:pPr>
      <w:r>
        <w:rPr>
          <w:rFonts w:eastAsia="標楷體"/>
          <w:b/>
          <w:color w:val="0000FF"/>
          <w:kern w:val="0"/>
          <w:sz w:val="28"/>
          <w:szCs w:val="28"/>
        </w:rPr>
        <w:t>圖</w:t>
      </w:r>
      <w:r>
        <w:rPr>
          <w:rFonts w:eastAsia="標楷體"/>
          <w:b/>
          <w:color w:val="0000FF"/>
          <w:kern w:val="0"/>
          <w:sz w:val="28"/>
          <w:szCs w:val="28"/>
        </w:rPr>
        <w:t>2.1.1</w:t>
      </w:r>
      <w:r>
        <w:rPr>
          <w:rFonts w:eastAsia="標楷體"/>
          <w:b/>
          <w:color w:val="0000FF"/>
          <w:kern w:val="0"/>
          <w:sz w:val="28"/>
          <w:szCs w:val="28"/>
        </w:rPr>
        <w:t xml:space="preserve">　國家發展願景</w:t>
      </w:r>
    </w:p>
    <w:p w14:paraId="71055A50" w14:textId="77777777" w:rsidR="00052596" w:rsidRDefault="00000000">
      <w:pPr>
        <w:widowControl/>
      </w:pPr>
      <w:r>
        <w:rPr>
          <w:noProof/>
        </w:rPr>
        <mc:AlternateContent>
          <mc:Choice Requires="wps">
            <w:drawing>
              <wp:anchor distT="0" distB="0" distL="114300" distR="114300" simplePos="0" relativeHeight="251682304" behindDoc="1" locked="0" layoutInCell="1" allowOverlap="1" wp14:anchorId="507797F3" wp14:editId="170D1B00">
                <wp:simplePos x="0" y="0"/>
                <wp:positionH relativeFrom="column">
                  <wp:posOffset>1992633</wp:posOffset>
                </wp:positionH>
                <wp:positionV relativeFrom="paragraph">
                  <wp:posOffset>53336</wp:posOffset>
                </wp:positionV>
                <wp:extent cx="1847846" cy="4026532"/>
                <wp:effectExtent l="19050" t="19050" r="38104" b="50168"/>
                <wp:wrapNone/>
                <wp:docPr id="173" name="手繪多邊形 50"/>
                <wp:cNvGraphicFramePr/>
                <a:graphic xmlns:a="http://schemas.openxmlformats.org/drawingml/2006/main">
                  <a:graphicData uri="http://schemas.microsoft.com/office/word/2010/wordprocessingShape">
                    <wps:wsp>
                      <wps:cNvSpPr/>
                      <wps:spPr>
                        <a:xfrm>
                          <a:off x="0" y="0"/>
                          <a:ext cx="1847846" cy="4026532"/>
                        </a:xfrm>
                        <a:custGeom>
                          <a:avLst/>
                          <a:gdLst>
                            <a:gd name="f0" fmla="val 10800000"/>
                            <a:gd name="f1" fmla="val 5400000"/>
                            <a:gd name="f2" fmla="val 180"/>
                            <a:gd name="f3" fmla="val w"/>
                            <a:gd name="f4" fmla="val h"/>
                            <a:gd name="f5" fmla="val 0"/>
                            <a:gd name="f6" fmla="val 2431"/>
                            <a:gd name="f7" fmla="val 4496"/>
                            <a:gd name="f8" fmla="val 2041"/>
                            <a:gd name="f9" fmla="val 166"/>
                            <a:gd name="f10" fmla="val 2023"/>
                            <a:gd name="f11" fmla="val 155"/>
                            <a:gd name="f12" fmla="val 1985"/>
                            <a:gd name="f13" fmla="val 108"/>
                            <a:gd name="f14" fmla="val 1969"/>
                            <a:gd name="f15" fmla="val 104"/>
                            <a:gd name="f16" fmla="val 1925"/>
                            <a:gd name="f17" fmla="val 98"/>
                            <a:gd name="f18" fmla="val 1894"/>
                            <a:gd name="f19" fmla="val 29"/>
                            <a:gd name="f20" fmla="val 1863"/>
                            <a:gd name="f21" fmla="val 4"/>
                            <a:gd name="f22" fmla="val 1831"/>
                            <a:gd name="f23" fmla="val 1762"/>
                            <a:gd name="f24" fmla="val 25"/>
                            <a:gd name="f25" fmla="val 1650"/>
                            <a:gd name="f26" fmla="val 109"/>
                            <a:gd name="f27" fmla="val 1617"/>
                            <a:gd name="f28" fmla="val 191"/>
                            <a:gd name="f29" fmla="val 1474"/>
                            <a:gd name="f30" fmla="val 252"/>
                            <a:gd name="f31" fmla="val 1473"/>
                            <a:gd name="f32" fmla="val 1352"/>
                            <a:gd name="f33" fmla="val 282"/>
                            <a:gd name="f34" fmla="val 1215"/>
                            <a:gd name="f35" fmla="val 376"/>
                            <a:gd name="f36" fmla="val 1185"/>
                            <a:gd name="f37" fmla="val 382"/>
                            <a:gd name="f38" fmla="val 1090"/>
                            <a:gd name="f39" fmla="val 498"/>
                            <a:gd name="f40" fmla="val 499"/>
                            <a:gd name="f41" fmla="val 1004"/>
                            <a:gd name="f42" fmla="val 607"/>
                            <a:gd name="f43" fmla="val 996"/>
                            <a:gd name="f44" fmla="val 618"/>
                            <a:gd name="f45" fmla="val 991"/>
                            <a:gd name="f46" fmla="val 622"/>
                            <a:gd name="f47" fmla="val 983"/>
                            <a:gd name="f48" fmla="val 641"/>
                            <a:gd name="f49" fmla="val 982"/>
                            <a:gd name="f50" fmla="val 650"/>
                            <a:gd name="f51" fmla="val 999"/>
                            <a:gd name="f52" fmla="val 666"/>
                            <a:gd name="f53" fmla="val 978"/>
                            <a:gd name="f54" fmla="val 667"/>
                            <a:gd name="f55" fmla="val 974"/>
                            <a:gd name="f56" fmla="val 734"/>
                            <a:gd name="f57" fmla="val 967"/>
                            <a:gd name="f58" fmla="val 770"/>
                            <a:gd name="f59" fmla="val 951"/>
                            <a:gd name="f60" fmla="val 790"/>
                            <a:gd name="f61" fmla="val 953"/>
                            <a:gd name="f62" fmla="val 947"/>
                            <a:gd name="f63" fmla="val 793"/>
                            <a:gd name="f64" fmla="val 921"/>
                            <a:gd name="f65" fmla="val 827"/>
                            <a:gd name="f66" fmla="val 888"/>
                            <a:gd name="f67" fmla="val 885"/>
                            <a:gd name="f68" fmla="val 815"/>
                            <a:gd name="f69" fmla="val 914"/>
                            <a:gd name="f70" fmla="val 798"/>
                            <a:gd name="f71" fmla="val 948"/>
                            <a:gd name="f72" fmla="val 742"/>
                            <a:gd name="f73" fmla="val 992"/>
                            <a:gd name="f74" fmla="val 642"/>
                            <a:gd name="f75" fmla="val 1171"/>
                            <a:gd name="f76" fmla="val 635"/>
                            <a:gd name="f77" fmla="val 1186"/>
                            <a:gd name="f78" fmla="val 632"/>
                            <a:gd name="f79" fmla="val 1193"/>
                            <a:gd name="f80" fmla="val 559"/>
                            <a:gd name="f81" fmla="val 1330"/>
                            <a:gd name="f82" fmla="val 528"/>
                            <a:gd name="f83" fmla="val 1420"/>
                            <a:gd name="f84" fmla="val 474"/>
                            <a:gd name="f85" fmla="val 1504"/>
                            <a:gd name="f86" fmla="val 1506"/>
                            <a:gd name="f87" fmla="val 381"/>
                            <a:gd name="f88" fmla="val 1679"/>
                            <a:gd name="f89" fmla="val 304"/>
                            <a:gd name="f90" fmla="val 1775"/>
                            <a:gd name="f91" fmla="val 278"/>
                            <a:gd name="f92" fmla="val 1826"/>
                            <a:gd name="f93" fmla="val 238"/>
                            <a:gd name="f94" fmla="val 1931"/>
                            <a:gd name="f95" fmla="val 192"/>
                            <a:gd name="f96" fmla="val 1988"/>
                            <a:gd name="f97" fmla="val 151"/>
                            <a:gd name="f98" fmla="val 2038"/>
                            <a:gd name="f99" fmla="val 126"/>
                            <a:gd name="f100" fmla="val 2095"/>
                            <a:gd name="f101" fmla="val 69"/>
                            <a:gd name="f102" fmla="val 2211"/>
                            <a:gd name="f103" fmla="val 43"/>
                            <a:gd name="f104" fmla="val 2410"/>
                            <a:gd name="f105" fmla="val 48"/>
                            <a:gd name="f106" fmla="val 63"/>
                            <a:gd name="f107" fmla="val 2477"/>
                            <a:gd name="f108" fmla="val 2609"/>
                            <a:gd name="f109" fmla="val 40"/>
                            <a:gd name="f110" fmla="val 2683"/>
                            <a:gd name="f111" fmla="val 26"/>
                            <a:gd name="f112" fmla="val 2784"/>
                            <a:gd name="f113" fmla="val 2904"/>
                            <a:gd name="f114" fmla="val 14"/>
                            <a:gd name="f115" fmla="val 2924"/>
                            <a:gd name="f116" fmla="val 30"/>
                            <a:gd name="f117" fmla="val 3055"/>
                            <a:gd name="f118" fmla="val 88"/>
                            <a:gd name="f119" fmla="val 3096"/>
                            <a:gd name="f120" fmla="val 176"/>
                            <a:gd name="f121" fmla="val 3209"/>
                            <a:gd name="f122" fmla="val 179"/>
                            <a:gd name="f123" fmla="val 3214"/>
                            <a:gd name="f124" fmla="val 186"/>
                            <a:gd name="f125" fmla="val 3227"/>
                            <a:gd name="f126" fmla="val 313"/>
                            <a:gd name="f127" fmla="val 3449"/>
                            <a:gd name="f128" fmla="val 321"/>
                            <a:gd name="f129" fmla="val 3462"/>
                            <a:gd name="f130" fmla="val 3469"/>
                            <a:gd name="f131" fmla="val 331"/>
                            <a:gd name="f132" fmla="val 3458"/>
                            <a:gd name="f133" fmla="val 345"/>
                            <a:gd name="f134" fmla="val 3491"/>
                            <a:gd name="f135" fmla="val 337"/>
                            <a:gd name="f136" fmla="val 3502"/>
                            <a:gd name="f137" fmla="val 325"/>
                            <a:gd name="f138" fmla="val 3489"/>
                            <a:gd name="f139" fmla="val 3506"/>
                            <a:gd name="f140" fmla="val 318"/>
                            <a:gd name="f141" fmla="val 3516"/>
                            <a:gd name="f142" fmla="val 316"/>
                            <a:gd name="f143" fmla="val 3551"/>
                            <a:gd name="f144" fmla="val 322"/>
                            <a:gd name="f145" fmla="val 3559"/>
                            <a:gd name="f146" fmla="val 330"/>
                            <a:gd name="f147" fmla="val 3565"/>
                            <a:gd name="f148" fmla="val 329"/>
                            <a:gd name="f149" fmla="val 3570"/>
                            <a:gd name="f150" fmla="val 335"/>
                            <a:gd name="f151" fmla="val 3579"/>
                            <a:gd name="f152" fmla="val 341"/>
                            <a:gd name="f153" fmla="val 3581"/>
                            <a:gd name="f154" fmla="val 3629"/>
                            <a:gd name="f155" fmla="val 411"/>
                            <a:gd name="f156" fmla="val 3676"/>
                            <a:gd name="f157" fmla="val 449"/>
                            <a:gd name="f158" fmla="val 3706"/>
                            <a:gd name="f159" fmla="val 437"/>
                            <a:gd name="f160" fmla="val 3712"/>
                            <a:gd name="f161" fmla="val 408"/>
                            <a:gd name="f162" fmla="val 3693"/>
                            <a:gd name="f163" fmla="val 400"/>
                            <a:gd name="f164" fmla="val 3705"/>
                            <a:gd name="f165" fmla="val 401"/>
                            <a:gd name="f166" fmla="val 3708"/>
                            <a:gd name="f167" fmla="val 463"/>
                            <a:gd name="f168" fmla="val 3735"/>
                            <a:gd name="f169" fmla="val 469"/>
                            <a:gd name="f170" fmla="val 3736"/>
                            <a:gd name="f171" fmla="val 535"/>
                            <a:gd name="f172" fmla="val 3779"/>
                            <a:gd name="f173" fmla="val 609"/>
                            <a:gd name="f174" fmla="val 3804"/>
                            <a:gd name="f175" fmla="val 3772"/>
                            <a:gd name="f176" fmla="val 653"/>
                            <a:gd name="f177" fmla="val 3818"/>
                            <a:gd name="f178" fmla="val 717"/>
                            <a:gd name="f179" fmla="val 3845"/>
                            <a:gd name="f180" fmla="val 796"/>
                            <a:gd name="f181" fmla="val 3937"/>
                            <a:gd name="f182" fmla="val 4029"/>
                            <a:gd name="f183" fmla="val 1026"/>
                            <a:gd name="f184" fmla="val 4215"/>
                            <a:gd name="f185" fmla="val 994"/>
                            <a:gd name="f186" fmla="val 4318"/>
                            <a:gd name="f187" fmla="val 1116"/>
                            <a:gd name="f188" fmla="val 4487"/>
                            <a:gd name="f189" fmla="val 1145"/>
                            <a:gd name="f190" fmla="val 4424"/>
                            <a:gd name="f191" fmla="val 1255"/>
                            <a:gd name="f192" fmla="val 1259"/>
                            <a:gd name="f193" fmla="val 4330"/>
                            <a:gd name="f194" fmla="val 1295"/>
                            <a:gd name="f195" fmla="val 4260"/>
                            <a:gd name="f196" fmla="val 1270"/>
                            <a:gd name="f197" fmla="val 4189"/>
                            <a:gd name="f198" fmla="val 1275"/>
                            <a:gd name="f199" fmla="val 4101"/>
                            <a:gd name="f200" fmla="val 1252"/>
                            <a:gd name="f201" fmla="val 4017"/>
                            <a:gd name="f202" fmla="val 1251"/>
                            <a:gd name="f203" fmla="val 1272"/>
                            <a:gd name="f204" fmla="val 3848"/>
                            <a:gd name="f205" fmla="val 1304"/>
                            <a:gd name="f206" fmla="val 3824"/>
                            <a:gd name="f207" fmla="val 1362"/>
                            <a:gd name="f208" fmla="val 1616"/>
                            <a:gd name="f209" fmla="val 3243"/>
                            <a:gd name="f210" fmla="val 1613"/>
                            <a:gd name="f211" fmla="val 3174"/>
                            <a:gd name="f212" fmla="val 1682"/>
                            <a:gd name="f213" fmla="val 3162"/>
                            <a:gd name="f214" fmla="val 2860"/>
                            <a:gd name="f215" fmla="val 1848"/>
                            <a:gd name="f216" fmla="val 2743"/>
                            <a:gd name="f217" fmla="val 1922"/>
                            <a:gd name="f218" fmla="val 2507"/>
                            <a:gd name="f219" fmla="val 1924"/>
                            <a:gd name="f220" fmla="val 2420"/>
                            <a:gd name="f221" fmla="val 1941"/>
                            <a:gd name="f222" fmla="val 2361"/>
                            <a:gd name="f223" fmla="val 1911"/>
                            <a:gd name="f224" fmla="val 2310"/>
                            <a:gd name="f225" fmla="val 1938"/>
                            <a:gd name="f226" fmla="val 2251"/>
                            <a:gd name="f227" fmla="val 2013"/>
                            <a:gd name="f228" fmla="val 2052"/>
                            <a:gd name="f229" fmla="val 1667"/>
                            <a:gd name="f230" fmla="val 2042"/>
                            <a:gd name="f231" fmla="val 1585"/>
                            <a:gd name="f232" fmla="val 2079"/>
                            <a:gd name="f233" fmla="val 1470"/>
                            <a:gd name="f234" fmla="val 2066"/>
                            <a:gd name="f235" fmla="val 1410"/>
                            <a:gd name="f236" fmla="val 2190"/>
                            <a:gd name="f237" fmla="val 1316"/>
                            <a:gd name="f238" fmla="val 1253"/>
                            <a:gd name="f239" fmla="val 2202"/>
                            <a:gd name="f240" fmla="val 1187"/>
                            <a:gd name="f241" fmla="val 2253"/>
                            <a:gd name="f242" fmla="val 1118"/>
                            <a:gd name="f243" fmla="val 2263"/>
                            <a:gd name="f244" fmla="val 1067"/>
                            <a:gd name="f245" fmla="val 2286"/>
                            <a:gd name="f246" fmla="val 1036"/>
                            <a:gd name="f247" fmla="val 2300"/>
                            <a:gd name="f248" fmla="val 954"/>
                            <a:gd name="f249" fmla="val 2325"/>
                            <a:gd name="f250" fmla="val 913"/>
                            <a:gd name="f251" fmla="val 2245"/>
                            <a:gd name="f252" fmla="val 830"/>
                            <a:gd name="f253" fmla="val 2215"/>
                            <a:gd name="f254" fmla="val 659"/>
                            <a:gd name="f255" fmla="val 2269"/>
                            <a:gd name="f256" fmla="val 517"/>
                            <a:gd name="f257" fmla="val 2359"/>
                            <a:gd name="f258" fmla="val 421"/>
                            <a:gd name="f259" fmla="val 2392"/>
                            <a:gd name="f260" fmla="val 2429"/>
                            <a:gd name="f261" fmla="val 385"/>
                            <a:gd name="f262" fmla="val 2418"/>
                            <a:gd name="f263" fmla="val 346"/>
                            <a:gd name="f264" fmla="val 2339"/>
                            <a:gd name="f265" fmla="val 307"/>
                            <a:gd name="f266" fmla="val 268"/>
                            <a:gd name="f267" fmla="val 2296"/>
                            <a:gd name="f268" fmla="val 240"/>
                            <a:gd name="f269" fmla="val 2242"/>
                            <a:gd name="f270" fmla="val 234"/>
                            <a:gd name="f271" fmla="val 2196"/>
                            <a:gd name="f272" fmla="val 215"/>
                            <a:gd name="f273" fmla="val 2182"/>
                            <a:gd name="f274" fmla="val 208"/>
                            <a:gd name="f275" fmla="val 2089"/>
                            <a:gd name="f276" fmla="val 198"/>
                            <a:gd name="f277" fmla="+- 0 0 -90"/>
                            <a:gd name="f278" fmla="*/ f3 1 2431"/>
                            <a:gd name="f279" fmla="*/ f4 1 4496"/>
                            <a:gd name="f280" fmla="val f5"/>
                            <a:gd name="f281" fmla="val f6"/>
                            <a:gd name="f282" fmla="val f7"/>
                            <a:gd name="f283" fmla="*/ f277 f0 1"/>
                            <a:gd name="f284" fmla="+- f282 0 f280"/>
                            <a:gd name="f285" fmla="+- f281 0 f280"/>
                            <a:gd name="f286" fmla="*/ f283 1 f2"/>
                            <a:gd name="f287" fmla="*/ f285 1 2431"/>
                            <a:gd name="f288" fmla="*/ f284 1 4496"/>
                            <a:gd name="f289" fmla="*/ 1508837 f285 1"/>
                            <a:gd name="f290" fmla="*/ 96723 f284 1"/>
                            <a:gd name="f291" fmla="*/ 1439666 f285 1"/>
                            <a:gd name="f292" fmla="*/ 25972 f284 1"/>
                            <a:gd name="f293" fmla="*/ 1339330 f285 1"/>
                            <a:gd name="f294" fmla="*/ 22390 f284 1"/>
                            <a:gd name="f295" fmla="*/ 1120416 f285 1"/>
                            <a:gd name="f296" fmla="*/ 225687 f284 1"/>
                            <a:gd name="f297" fmla="*/ 923545 f285 1"/>
                            <a:gd name="f298" fmla="*/ 336739 f284 1"/>
                            <a:gd name="f299" fmla="*/ 828530 f285 1"/>
                            <a:gd name="f300" fmla="*/ 446895 f284 1"/>
                            <a:gd name="f301" fmla="*/ 753278 f285 1"/>
                            <a:gd name="f302" fmla="*/ 557052 f284 1"/>
                            <a:gd name="f303" fmla="*/ 759359 f285 1"/>
                            <a:gd name="f304" fmla="*/ 596457 f284 1"/>
                            <a:gd name="f305" fmla="*/ 735035 f285 1"/>
                            <a:gd name="f306" fmla="*/ 689598 f284 1"/>
                            <a:gd name="f307" fmla="*/ 719833 f285 1"/>
                            <a:gd name="f308" fmla="*/ 710196 f284 1"/>
                            <a:gd name="f309" fmla="*/ 619497 f285 1"/>
                            <a:gd name="f310" fmla="*/ 818562 f284 1"/>
                            <a:gd name="f311" fmla="*/ 487997 f285 1"/>
                            <a:gd name="f312" fmla="*/ 1048726 f284 1"/>
                            <a:gd name="f313" fmla="*/ 424907 f285 1"/>
                            <a:gd name="f314" fmla="*/ 1191124 f284 1"/>
                            <a:gd name="f315" fmla="*/ 360297 f285 1"/>
                            <a:gd name="f316" fmla="*/ 1348746 f284 1"/>
                            <a:gd name="f317" fmla="*/ 211313 f285 1"/>
                            <a:gd name="f318" fmla="*/ 1635332 f284 1"/>
                            <a:gd name="f319" fmla="*/ 145183 f285 1"/>
                            <a:gd name="f320" fmla="*/ 1780416 f284 1"/>
                            <a:gd name="f321" fmla="*/ 52448 f285 1"/>
                            <a:gd name="f322" fmla="*/ 1980131 f284 1"/>
                            <a:gd name="f323" fmla="*/ 47888 f285 1"/>
                            <a:gd name="f324" fmla="*/ 2218356 f284 1"/>
                            <a:gd name="f325" fmla="*/ 19763 f285 1"/>
                            <a:gd name="f326" fmla="*/ 2493299 f284 1"/>
                            <a:gd name="f327" fmla="*/ 22804 f285 1"/>
                            <a:gd name="f328" fmla="*/ 2736002 f284 1"/>
                            <a:gd name="f329" fmla="*/ 136061 f285 1"/>
                            <a:gd name="f330" fmla="*/ 2878399 f284 1"/>
                            <a:gd name="f331" fmla="*/ 243998 f285 1"/>
                            <a:gd name="f332" fmla="*/ 3100504 f284 1"/>
                            <a:gd name="f333" fmla="*/ 262241 f285 1"/>
                            <a:gd name="f334" fmla="*/ 3126475 f284 1"/>
                            <a:gd name="f335" fmla="*/ 247039 f285 1"/>
                            <a:gd name="f336" fmla="*/ 3139909 f284 1"/>
                            <a:gd name="f337" fmla="*/ 244758 f285 1"/>
                            <a:gd name="f338" fmla="*/ 3187375 f284 1"/>
                            <a:gd name="f339" fmla="*/ 254640 f285 1"/>
                            <a:gd name="f340" fmla="*/ 3205287 f284 1"/>
                            <a:gd name="f341" fmla="*/ 312409 f285 1"/>
                            <a:gd name="f342" fmla="*/ 3292158 f284 1"/>
                            <a:gd name="f343" fmla="*/ 310129 f285 1"/>
                            <a:gd name="f344" fmla="*/ 3307383 f284 1"/>
                            <a:gd name="f345" fmla="*/ 351935 f285 1"/>
                            <a:gd name="f346" fmla="*/ 3344997 f284 1"/>
                            <a:gd name="f347" fmla="*/ 462913 f285 1"/>
                            <a:gd name="f348" fmla="*/ 3406793 f284 1"/>
                            <a:gd name="f349" fmla="*/ 545006 f285 1"/>
                            <a:gd name="f350" fmla="*/ 3443511 f284 1"/>
                            <a:gd name="f351" fmla="*/ 779882 f285 1"/>
                            <a:gd name="f352" fmla="*/ 3774877 f284 1"/>
                            <a:gd name="f353" fmla="*/ 870337 f285 1"/>
                            <a:gd name="f354" fmla="*/ 3962053 f284 1"/>
                            <a:gd name="f355" fmla="*/ 984354 f285 1"/>
                            <a:gd name="f356" fmla="*/ 3815178 f284 1"/>
                            <a:gd name="f357" fmla="*/ 951669 f285 1"/>
                            <a:gd name="f358" fmla="*/ 3597551 f284 1"/>
                            <a:gd name="f359" fmla="*/ 991196 f285 1"/>
                            <a:gd name="f360" fmla="*/ 3424704 f284 1"/>
                            <a:gd name="f361" fmla="*/ 1226072 f285 1"/>
                            <a:gd name="f362" fmla="*/ 2842576 f284 1"/>
                            <a:gd name="f363" fmla="*/ 1404700 f285 1"/>
                            <a:gd name="f364" fmla="*/ 2456580 f284 1"/>
                            <a:gd name="f365" fmla="*/ 1475392 f285 1"/>
                            <a:gd name="f366" fmla="*/ 2114468 f284 1"/>
                            <a:gd name="f367" fmla="*/ 1530120 f285 1"/>
                            <a:gd name="f368" fmla="*/ 1578015 f284 1"/>
                            <a:gd name="f369" fmla="*/ 1580288 f285 1"/>
                            <a:gd name="f370" fmla="*/ 1316505 f284 1"/>
                            <a:gd name="f371" fmla="*/ 1664661 f285 1"/>
                            <a:gd name="f372" fmla="*/ 1122164 f284 1"/>
                            <a:gd name="f373" fmla="*/ 1720150 f285 1"/>
                            <a:gd name="f374" fmla="*/ 955586 f284 1"/>
                            <a:gd name="f375" fmla="*/ 1767277 f285 1"/>
                            <a:gd name="f376" fmla="*/ 817666 f284 1"/>
                            <a:gd name="f377" fmla="*/ 1724711 f285 1"/>
                            <a:gd name="f378" fmla="*/ 463016 f284 1"/>
                            <a:gd name="f379" fmla="*/ 1846330 f285 1"/>
                            <a:gd name="f380" fmla="*/ 344799 f284 1"/>
                            <a:gd name="f381" fmla="*/ 1793121 f285 1"/>
                            <a:gd name="f382" fmla="*/ 296438 f284 1"/>
                            <a:gd name="f383" fmla="*/ 1745234 f285 1"/>
                            <a:gd name="f384" fmla="*/ 214940 f284 1"/>
                            <a:gd name="f385" fmla="*/ 1658580 f285 1"/>
                            <a:gd name="f386" fmla="*/ 186281 f284 1"/>
                            <a:gd name="f387" fmla="+- f286 0 f1"/>
                            <a:gd name="f388" fmla="*/ f289 1 2431"/>
                            <a:gd name="f389" fmla="*/ f290 1 4496"/>
                            <a:gd name="f390" fmla="*/ f291 1 2431"/>
                            <a:gd name="f391" fmla="*/ f292 1 4496"/>
                            <a:gd name="f392" fmla="*/ f293 1 2431"/>
                            <a:gd name="f393" fmla="*/ f294 1 4496"/>
                            <a:gd name="f394" fmla="*/ f295 1 2431"/>
                            <a:gd name="f395" fmla="*/ f296 1 4496"/>
                            <a:gd name="f396" fmla="*/ f297 1 2431"/>
                            <a:gd name="f397" fmla="*/ f298 1 4496"/>
                            <a:gd name="f398" fmla="*/ f299 1 2431"/>
                            <a:gd name="f399" fmla="*/ f300 1 4496"/>
                            <a:gd name="f400" fmla="*/ f301 1 2431"/>
                            <a:gd name="f401" fmla="*/ f302 1 4496"/>
                            <a:gd name="f402" fmla="*/ f303 1 2431"/>
                            <a:gd name="f403" fmla="*/ f304 1 4496"/>
                            <a:gd name="f404" fmla="*/ f305 1 2431"/>
                            <a:gd name="f405" fmla="*/ f306 1 4496"/>
                            <a:gd name="f406" fmla="*/ f307 1 2431"/>
                            <a:gd name="f407" fmla="*/ f308 1 4496"/>
                            <a:gd name="f408" fmla="*/ f309 1 2431"/>
                            <a:gd name="f409" fmla="*/ f310 1 4496"/>
                            <a:gd name="f410" fmla="*/ f311 1 2431"/>
                            <a:gd name="f411" fmla="*/ f312 1 4496"/>
                            <a:gd name="f412" fmla="*/ f313 1 2431"/>
                            <a:gd name="f413" fmla="*/ f314 1 4496"/>
                            <a:gd name="f414" fmla="*/ f315 1 2431"/>
                            <a:gd name="f415" fmla="*/ f316 1 4496"/>
                            <a:gd name="f416" fmla="*/ f317 1 2431"/>
                            <a:gd name="f417" fmla="*/ f318 1 4496"/>
                            <a:gd name="f418" fmla="*/ f319 1 2431"/>
                            <a:gd name="f419" fmla="*/ f320 1 4496"/>
                            <a:gd name="f420" fmla="*/ f321 1 2431"/>
                            <a:gd name="f421" fmla="*/ f322 1 4496"/>
                            <a:gd name="f422" fmla="*/ f323 1 2431"/>
                            <a:gd name="f423" fmla="*/ f324 1 4496"/>
                            <a:gd name="f424" fmla="*/ f325 1 2431"/>
                            <a:gd name="f425" fmla="*/ f326 1 4496"/>
                            <a:gd name="f426" fmla="*/ f327 1 2431"/>
                            <a:gd name="f427" fmla="*/ f328 1 4496"/>
                            <a:gd name="f428" fmla="*/ f329 1 2431"/>
                            <a:gd name="f429" fmla="*/ f330 1 4496"/>
                            <a:gd name="f430" fmla="*/ f331 1 2431"/>
                            <a:gd name="f431" fmla="*/ f332 1 4496"/>
                            <a:gd name="f432" fmla="*/ f333 1 2431"/>
                            <a:gd name="f433" fmla="*/ f334 1 4496"/>
                            <a:gd name="f434" fmla="*/ f335 1 2431"/>
                            <a:gd name="f435" fmla="*/ f336 1 4496"/>
                            <a:gd name="f436" fmla="*/ f337 1 2431"/>
                            <a:gd name="f437" fmla="*/ f338 1 4496"/>
                            <a:gd name="f438" fmla="*/ f339 1 2431"/>
                            <a:gd name="f439" fmla="*/ f340 1 4496"/>
                            <a:gd name="f440" fmla="*/ f341 1 2431"/>
                            <a:gd name="f441" fmla="*/ f342 1 4496"/>
                            <a:gd name="f442" fmla="*/ f343 1 2431"/>
                            <a:gd name="f443" fmla="*/ f344 1 4496"/>
                            <a:gd name="f444" fmla="*/ f345 1 2431"/>
                            <a:gd name="f445" fmla="*/ f346 1 4496"/>
                            <a:gd name="f446" fmla="*/ f347 1 2431"/>
                            <a:gd name="f447" fmla="*/ f348 1 4496"/>
                            <a:gd name="f448" fmla="*/ f349 1 2431"/>
                            <a:gd name="f449" fmla="*/ f350 1 4496"/>
                            <a:gd name="f450" fmla="*/ f351 1 2431"/>
                            <a:gd name="f451" fmla="*/ f352 1 4496"/>
                            <a:gd name="f452" fmla="*/ f353 1 2431"/>
                            <a:gd name="f453" fmla="*/ f354 1 4496"/>
                            <a:gd name="f454" fmla="*/ f355 1 2431"/>
                            <a:gd name="f455" fmla="*/ f356 1 4496"/>
                            <a:gd name="f456" fmla="*/ f357 1 2431"/>
                            <a:gd name="f457" fmla="*/ f358 1 4496"/>
                            <a:gd name="f458" fmla="*/ f359 1 2431"/>
                            <a:gd name="f459" fmla="*/ f360 1 4496"/>
                            <a:gd name="f460" fmla="*/ f361 1 2431"/>
                            <a:gd name="f461" fmla="*/ f362 1 4496"/>
                            <a:gd name="f462" fmla="*/ f363 1 2431"/>
                            <a:gd name="f463" fmla="*/ f364 1 4496"/>
                            <a:gd name="f464" fmla="*/ f365 1 2431"/>
                            <a:gd name="f465" fmla="*/ f366 1 4496"/>
                            <a:gd name="f466" fmla="*/ f367 1 2431"/>
                            <a:gd name="f467" fmla="*/ f368 1 4496"/>
                            <a:gd name="f468" fmla="*/ f369 1 2431"/>
                            <a:gd name="f469" fmla="*/ f370 1 4496"/>
                            <a:gd name="f470" fmla="*/ f371 1 2431"/>
                            <a:gd name="f471" fmla="*/ f372 1 4496"/>
                            <a:gd name="f472" fmla="*/ f373 1 2431"/>
                            <a:gd name="f473" fmla="*/ f374 1 4496"/>
                            <a:gd name="f474" fmla="*/ f375 1 2431"/>
                            <a:gd name="f475" fmla="*/ f376 1 4496"/>
                            <a:gd name="f476" fmla="*/ f377 1 2431"/>
                            <a:gd name="f477" fmla="*/ f378 1 4496"/>
                            <a:gd name="f478" fmla="*/ f379 1 2431"/>
                            <a:gd name="f479" fmla="*/ f380 1 4496"/>
                            <a:gd name="f480" fmla="*/ f381 1 2431"/>
                            <a:gd name="f481" fmla="*/ f382 1 4496"/>
                            <a:gd name="f482" fmla="*/ f383 1 2431"/>
                            <a:gd name="f483" fmla="*/ f384 1 4496"/>
                            <a:gd name="f484" fmla="*/ f385 1 2431"/>
                            <a:gd name="f485" fmla="*/ f386 1 4496"/>
                            <a:gd name="f486" fmla="*/ 0 1 f287"/>
                            <a:gd name="f487" fmla="*/ f281 1 f287"/>
                            <a:gd name="f488" fmla="*/ 0 1 f288"/>
                            <a:gd name="f489" fmla="*/ f282 1 f288"/>
                            <a:gd name="f490" fmla="*/ f388 1 f287"/>
                            <a:gd name="f491" fmla="*/ f389 1 f288"/>
                            <a:gd name="f492" fmla="*/ f390 1 f287"/>
                            <a:gd name="f493" fmla="*/ f391 1 f288"/>
                            <a:gd name="f494" fmla="*/ f392 1 f287"/>
                            <a:gd name="f495" fmla="*/ f393 1 f288"/>
                            <a:gd name="f496" fmla="*/ f394 1 f287"/>
                            <a:gd name="f497" fmla="*/ f395 1 f288"/>
                            <a:gd name="f498" fmla="*/ f396 1 f287"/>
                            <a:gd name="f499" fmla="*/ f397 1 f288"/>
                            <a:gd name="f500" fmla="*/ f398 1 f287"/>
                            <a:gd name="f501" fmla="*/ f399 1 f288"/>
                            <a:gd name="f502" fmla="*/ f400 1 f287"/>
                            <a:gd name="f503" fmla="*/ f401 1 f288"/>
                            <a:gd name="f504" fmla="*/ f402 1 f287"/>
                            <a:gd name="f505" fmla="*/ f403 1 f288"/>
                            <a:gd name="f506" fmla="*/ f404 1 f287"/>
                            <a:gd name="f507" fmla="*/ f405 1 f288"/>
                            <a:gd name="f508" fmla="*/ f406 1 f287"/>
                            <a:gd name="f509" fmla="*/ f407 1 f288"/>
                            <a:gd name="f510" fmla="*/ f408 1 f287"/>
                            <a:gd name="f511" fmla="*/ f409 1 f288"/>
                            <a:gd name="f512" fmla="*/ f410 1 f287"/>
                            <a:gd name="f513" fmla="*/ f411 1 f288"/>
                            <a:gd name="f514" fmla="*/ f412 1 f287"/>
                            <a:gd name="f515" fmla="*/ f413 1 f288"/>
                            <a:gd name="f516" fmla="*/ f414 1 f287"/>
                            <a:gd name="f517" fmla="*/ f415 1 f288"/>
                            <a:gd name="f518" fmla="*/ f416 1 f287"/>
                            <a:gd name="f519" fmla="*/ f417 1 f288"/>
                            <a:gd name="f520" fmla="*/ f418 1 f287"/>
                            <a:gd name="f521" fmla="*/ f419 1 f288"/>
                            <a:gd name="f522" fmla="*/ f420 1 f287"/>
                            <a:gd name="f523" fmla="*/ f421 1 f288"/>
                            <a:gd name="f524" fmla="*/ f422 1 f287"/>
                            <a:gd name="f525" fmla="*/ f423 1 f288"/>
                            <a:gd name="f526" fmla="*/ f424 1 f287"/>
                            <a:gd name="f527" fmla="*/ f425 1 f288"/>
                            <a:gd name="f528" fmla="*/ f426 1 f287"/>
                            <a:gd name="f529" fmla="*/ f427 1 f288"/>
                            <a:gd name="f530" fmla="*/ f428 1 f287"/>
                            <a:gd name="f531" fmla="*/ f429 1 f288"/>
                            <a:gd name="f532" fmla="*/ f430 1 f287"/>
                            <a:gd name="f533" fmla="*/ f431 1 f288"/>
                            <a:gd name="f534" fmla="*/ f432 1 f287"/>
                            <a:gd name="f535" fmla="*/ f433 1 f288"/>
                            <a:gd name="f536" fmla="*/ f434 1 f287"/>
                            <a:gd name="f537" fmla="*/ f435 1 f288"/>
                            <a:gd name="f538" fmla="*/ f436 1 f287"/>
                            <a:gd name="f539" fmla="*/ f437 1 f288"/>
                            <a:gd name="f540" fmla="*/ f438 1 f287"/>
                            <a:gd name="f541" fmla="*/ f439 1 f288"/>
                            <a:gd name="f542" fmla="*/ f440 1 f287"/>
                            <a:gd name="f543" fmla="*/ f441 1 f288"/>
                            <a:gd name="f544" fmla="*/ f442 1 f287"/>
                            <a:gd name="f545" fmla="*/ f443 1 f288"/>
                            <a:gd name="f546" fmla="*/ f444 1 f287"/>
                            <a:gd name="f547" fmla="*/ f445 1 f288"/>
                            <a:gd name="f548" fmla="*/ f446 1 f287"/>
                            <a:gd name="f549" fmla="*/ f447 1 f288"/>
                            <a:gd name="f550" fmla="*/ f448 1 f287"/>
                            <a:gd name="f551" fmla="*/ f449 1 f288"/>
                            <a:gd name="f552" fmla="*/ f450 1 f287"/>
                            <a:gd name="f553" fmla="*/ f451 1 f288"/>
                            <a:gd name="f554" fmla="*/ f452 1 f287"/>
                            <a:gd name="f555" fmla="*/ f453 1 f288"/>
                            <a:gd name="f556" fmla="*/ f454 1 f287"/>
                            <a:gd name="f557" fmla="*/ f455 1 f288"/>
                            <a:gd name="f558" fmla="*/ f456 1 f287"/>
                            <a:gd name="f559" fmla="*/ f457 1 f288"/>
                            <a:gd name="f560" fmla="*/ f458 1 f287"/>
                            <a:gd name="f561" fmla="*/ f459 1 f288"/>
                            <a:gd name="f562" fmla="*/ f460 1 f287"/>
                            <a:gd name="f563" fmla="*/ f461 1 f288"/>
                            <a:gd name="f564" fmla="*/ f462 1 f287"/>
                            <a:gd name="f565" fmla="*/ f463 1 f288"/>
                            <a:gd name="f566" fmla="*/ f464 1 f287"/>
                            <a:gd name="f567" fmla="*/ f465 1 f288"/>
                            <a:gd name="f568" fmla="*/ f466 1 f287"/>
                            <a:gd name="f569" fmla="*/ f467 1 f288"/>
                            <a:gd name="f570" fmla="*/ f468 1 f287"/>
                            <a:gd name="f571" fmla="*/ f469 1 f288"/>
                            <a:gd name="f572" fmla="*/ f470 1 f287"/>
                            <a:gd name="f573" fmla="*/ f471 1 f288"/>
                            <a:gd name="f574" fmla="*/ f472 1 f287"/>
                            <a:gd name="f575" fmla="*/ f473 1 f288"/>
                            <a:gd name="f576" fmla="*/ f474 1 f287"/>
                            <a:gd name="f577" fmla="*/ f475 1 f288"/>
                            <a:gd name="f578" fmla="*/ f476 1 f287"/>
                            <a:gd name="f579" fmla="*/ f477 1 f288"/>
                            <a:gd name="f580" fmla="*/ f478 1 f287"/>
                            <a:gd name="f581" fmla="*/ f479 1 f288"/>
                            <a:gd name="f582" fmla="*/ f480 1 f287"/>
                            <a:gd name="f583" fmla="*/ f481 1 f288"/>
                            <a:gd name="f584" fmla="*/ f482 1 f287"/>
                            <a:gd name="f585" fmla="*/ f483 1 f288"/>
                            <a:gd name="f586" fmla="*/ f484 1 f287"/>
                            <a:gd name="f587" fmla="*/ f485 1 f288"/>
                            <a:gd name="f588" fmla="*/ f486 f278 1"/>
                            <a:gd name="f589" fmla="*/ f487 f278 1"/>
                            <a:gd name="f590" fmla="*/ f489 f279 1"/>
                            <a:gd name="f591" fmla="*/ f488 f279 1"/>
                            <a:gd name="f592" fmla="*/ f490 f278 1"/>
                            <a:gd name="f593" fmla="*/ f491 f279 1"/>
                            <a:gd name="f594" fmla="*/ f492 f278 1"/>
                            <a:gd name="f595" fmla="*/ f493 f279 1"/>
                            <a:gd name="f596" fmla="*/ f494 f278 1"/>
                            <a:gd name="f597" fmla="*/ f495 f279 1"/>
                            <a:gd name="f598" fmla="*/ f496 f278 1"/>
                            <a:gd name="f599" fmla="*/ f497 f279 1"/>
                            <a:gd name="f600" fmla="*/ f498 f278 1"/>
                            <a:gd name="f601" fmla="*/ f499 f279 1"/>
                            <a:gd name="f602" fmla="*/ f500 f278 1"/>
                            <a:gd name="f603" fmla="*/ f501 f279 1"/>
                            <a:gd name="f604" fmla="*/ f502 f278 1"/>
                            <a:gd name="f605" fmla="*/ f503 f279 1"/>
                            <a:gd name="f606" fmla="*/ f504 f278 1"/>
                            <a:gd name="f607" fmla="*/ f505 f279 1"/>
                            <a:gd name="f608" fmla="*/ f506 f278 1"/>
                            <a:gd name="f609" fmla="*/ f507 f279 1"/>
                            <a:gd name="f610" fmla="*/ f508 f278 1"/>
                            <a:gd name="f611" fmla="*/ f509 f279 1"/>
                            <a:gd name="f612" fmla="*/ f510 f278 1"/>
                            <a:gd name="f613" fmla="*/ f511 f279 1"/>
                            <a:gd name="f614" fmla="*/ f512 f278 1"/>
                            <a:gd name="f615" fmla="*/ f513 f279 1"/>
                            <a:gd name="f616" fmla="*/ f514 f278 1"/>
                            <a:gd name="f617" fmla="*/ f515 f279 1"/>
                            <a:gd name="f618" fmla="*/ f516 f278 1"/>
                            <a:gd name="f619" fmla="*/ f517 f279 1"/>
                            <a:gd name="f620" fmla="*/ f518 f278 1"/>
                            <a:gd name="f621" fmla="*/ f519 f279 1"/>
                            <a:gd name="f622" fmla="*/ f520 f278 1"/>
                            <a:gd name="f623" fmla="*/ f521 f279 1"/>
                            <a:gd name="f624" fmla="*/ f522 f278 1"/>
                            <a:gd name="f625" fmla="*/ f523 f279 1"/>
                            <a:gd name="f626" fmla="*/ f524 f278 1"/>
                            <a:gd name="f627" fmla="*/ f525 f279 1"/>
                            <a:gd name="f628" fmla="*/ f526 f278 1"/>
                            <a:gd name="f629" fmla="*/ f527 f279 1"/>
                            <a:gd name="f630" fmla="*/ f528 f278 1"/>
                            <a:gd name="f631" fmla="*/ f529 f279 1"/>
                            <a:gd name="f632" fmla="*/ f530 f278 1"/>
                            <a:gd name="f633" fmla="*/ f531 f279 1"/>
                            <a:gd name="f634" fmla="*/ f532 f278 1"/>
                            <a:gd name="f635" fmla="*/ f533 f279 1"/>
                            <a:gd name="f636" fmla="*/ f534 f278 1"/>
                            <a:gd name="f637" fmla="*/ f535 f279 1"/>
                            <a:gd name="f638" fmla="*/ f536 f278 1"/>
                            <a:gd name="f639" fmla="*/ f537 f279 1"/>
                            <a:gd name="f640" fmla="*/ f538 f278 1"/>
                            <a:gd name="f641" fmla="*/ f539 f279 1"/>
                            <a:gd name="f642" fmla="*/ f540 f278 1"/>
                            <a:gd name="f643" fmla="*/ f541 f279 1"/>
                            <a:gd name="f644" fmla="*/ f542 f278 1"/>
                            <a:gd name="f645" fmla="*/ f543 f279 1"/>
                            <a:gd name="f646" fmla="*/ f544 f278 1"/>
                            <a:gd name="f647" fmla="*/ f545 f279 1"/>
                            <a:gd name="f648" fmla="*/ f546 f278 1"/>
                            <a:gd name="f649" fmla="*/ f547 f279 1"/>
                            <a:gd name="f650" fmla="*/ f548 f278 1"/>
                            <a:gd name="f651" fmla="*/ f549 f279 1"/>
                            <a:gd name="f652" fmla="*/ f550 f278 1"/>
                            <a:gd name="f653" fmla="*/ f551 f279 1"/>
                            <a:gd name="f654" fmla="*/ f552 f278 1"/>
                            <a:gd name="f655" fmla="*/ f553 f279 1"/>
                            <a:gd name="f656" fmla="*/ f554 f278 1"/>
                            <a:gd name="f657" fmla="*/ f555 f279 1"/>
                            <a:gd name="f658" fmla="*/ f556 f278 1"/>
                            <a:gd name="f659" fmla="*/ f557 f279 1"/>
                            <a:gd name="f660" fmla="*/ f558 f278 1"/>
                            <a:gd name="f661" fmla="*/ f559 f279 1"/>
                            <a:gd name="f662" fmla="*/ f560 f278 1"/>
                            <a:gd name="f663" fmla="*/ f561 f279 1"/>
                            <a:gd name="f664" fmla="*/ f562 f278 1"/>
                            <a:gd name="f665" fmla="*/ f563 f279 1"/>
                            <a:gd name="f666" fmla="*/ f564 f278 1"/>
                            <a:gd name="f667" fmla="*/ f565 f279 1"/>
                            <a:gd name="f668" fmla="*/ f566 f278 1"/>
                            <a:gd name="f669" fmla="*/ f567 f279 1"/>
                            <a:gd name="f670" fmla="*/ f568 f278 1"/>
                            <a:gd name="f671" fmla="*/ f569 f279 1"/>
                            <a:gd name="f672" fmla="*/ f570 f278 1"/>
                            <a:gd name="f673" fmla="*/ f571 f279 1"/>
                            <a:gd name="f674" fmla="*/ f572 f278 1"/>
                            <a:gd name="f675" fmla="*/ f573 f279 1"/>
                            <a:gd name="f676" fmla="*/ f574 f278 1"/>
                            <a:gd name="f677" fmla="*/ f575 f279 1"/>
                            <a:gd name="f678" fmla="*/ f576 f278 1"/>
                            <a:gd name="f679" fmla="*/ f577 f279 1"/>
                            <a:gd name="f680" fmla="*/ f578 f278 1"/>
                            <a:gd name="f681" fmla="*/ f579 f279 1"/>
                            <a:gd name="f682" fmla="*/ f580 f278 1"/>
                            <a:gd name="f683" fmla="*/ f581 f279 1"/>
                            <a:gd name="f684" fmla="*/ f582 f278 1"/>
                            <a:gd name="f685" fmla="*/ f583 f279 1"/>
                            <a:gd name="f686" fmla="*/ f584 f278 1"/>
                            <a:gd name="f687" fmla="*/ f585 f279 1"/>
                            <a:gd name="f688" fmla="*/ f586 f278 1"/>
                            <a:gd name="f689" fmla="*/ f587 f279 1"/>
                          </a:gdLst>
                          <a:ahLst/>
                          <a:cxnLst>
                            <a:cxn ang="3cd4">
                              <a:pos x="hc" y="t"/>
                            </a:cxn>
                            <a:cxn ang="0">
                              <a:pos x="r" y="vc"/>
                            </a:cxn>
                            <a:cxn ang="cd4">
                              <a:pos x="hc" y="b"/>
                            </a:cxn>
                            <a:cxn ang="cd2">
                              <a:pos x="l" y="vc"/>
                            </a:cxn>
                            <a:cxn ang="f387">
                              <a:pos x="f592" y="f593"/>
                            </a:cxn>
                            <a:cxn ang="f387">
                              <a:pos x="f594" y="f595"/>
                            </a:cxn>
                            <a:cxn ang="f387">
                              <a:pos x="f596" y="f597"/>
                            </a:cxn>
                            <a:cxn ang="f387">
                              <a:pos x="f598" y="f599"/>
                            </a:cxn>
                            <a:cxn ang="f387">
                              <a:pos x="f600" y="f601"/>
                            </a:cxn>
                            <a:cxn ang="f387">
                              <a:pos x="f602" y="f603"/>
                            </a:cxn>
                            <a:cxn ang="f387">
                              <a:pos x="f604" y="f605"/>
                            </a:cxn>
                            <a:cxn ang="f387">
                              <a:pos x="f606" y="f607"/>
                            </a:cxn>
                            <a:cxn ang="f387">
                              <a:pos x="f608" y="f609"/>
                            </a:cxn>
                            <a:cxn ang="f387">
                              <a:pos x="f610" y="f611"/>
                            </a:cxn>
                            <a:cxn ang="f387">
                              <a:pos x="f612" y="f613"/>
                            </a:cxn>
                            <a:cxn ang="f387">
                              <a:pos x="f614" y="f615"/>
                            </a:cxn>
                            <a:cxn ang="f387">
                              <a:pos x="f616" y="f617"/>
                            </a:cxn>
                            <a:cxn ang="f387">
                              <a:pos x="f618" y="f619"/>
                            </a:cxn>
                            <a:cxn ang="f387">
                              <a:pos x="f620" y="f621"/>
                            </a:cxn>
                            <a:cxn ang="f387">
                              <a:pos x="f622" y="f623"/>
                            </a:cxn>
                            <a:cxn ang="f387">
                              <a:pos x="f624" y="f625"/>
                            </a:cxn>
                            <a:cxn ang="f387">
                              <a:pos x="f626" y="f627"/>
                            </a:cxn>
                            <a:cxn ang="f387">
                              <a:pos x="f628" y="f629"/>
                            </a:cxn>
                            <a:cxn ang="f387">
                              <a:pos x="f630" y="f631"/>
                            </a:cxn>
                            <a:cxn ang="f387">
                              <a:pos x="f632" y="f633"/>
                            </a:cxn>
                            <a:cxn ang="f387">
                              <a:pos x="f634" y="f635"/>
                            </a:cxn>
                            <a:cxn ang="f387">
                              <a:pos x="f636" y="f637"/>
                            </a:cxn>
                            <a:cxn ang="f387">
                              <a:pos x="f638" y="f639"/>
                            </a:cxn>
                            <a:cxn ang="f387">
                              <a:pos x="f640" y="f641"/>
                            </a:cxn>
                            <a:cxn ang="f387">
                              <a:pos x="f642" y="f643"/>
                            </a:cxn>
                            <a:cxn ang="f387">
                              <a:pos x="f644" y="f645"/>
                            </a:cxn>
                            <a:cxn ang="f387">
                              <a:pos x="f646" y="f647"/>
                            </a:cxn>
                            <a:cxn ang="f387">
                              <a:pos x="f648" y="f649"/>
                            </a:cxn>
                            <a:cxn ang="f387">
                              <a:pos x="f650" y="f651"/>
                            </a:cxn>
                            <a:cxn ang="f387">
                              <a:pos x="f652" y="f653"/>
                            </a:cxn>
                            <a:cxn ang="f387">
                              <a:pos x="f654" y="f655"/>
                            </a:cxn>
                            <a:cxn ang="f387">
                              <a:pos x="f656" y="f657"/>
                            </a:cxn>
                            <a:cxn ang="f387">
                              <a:pos x="f658" y="f659"/>
                            </a:cxn>
                            <a:cxn ang="f387">
                              <a:pos x="f660" y="f661"/>
                            </a:cxn>
                            <a:cxn ang="f387">
                              <a:pos x="f662" y="f663"/>
                            </a:cxn>
                            <a:cxn ang="f387">
                              <a:pos x="f664" y="f665"/>
                            </a:cxn>
                            <a:cxn ang="f387">
                              <a:pos x="f666" y="f667"/>
                            </a:cxn>
                            <a:cxn ang="f387">
                              <a:pos x="f668" y="f669"/>
                            </a:cxn>
                            <a:cxn ang="f387">
                              <a:pos x="f670" y="f671"/>
                            </a:cxn>
                            <a:cxn ang="f387">
                              <a:pos x="f672" y="f673"/>
                            </a:cxn>
                            <a:cxn ang="f387">
                              <a:pos x="f674" y="f675"/>
                            </a:cxn>
                            <a:cxn ang="f387">
                              <a:pos x="f676" y="f677"/>
                            </a:cxn>
                            <a:cxn ang="f387">
                              <a:pos x="f678" y="f679"/>
                            </a:cxn>
                            <a:cxn ang="f387">
                              <a:pos x="f680" y="f681"/>
                            </a:cxn>
                            <a:cxn ang="f387">
                              <a:pos x="f682" y="f683"/>
                            </a:cxn>
                            <a:cxn ang="f387">
                              <a:pos x="f684" y="f685"/>
                            </a:cxn>
                            <a:cxn ang="f387">
                              <a:pos x="f686" y="f687"/>
                            </a:cxn>
                            <a:cxn ang="f387">
                              <a:pos x="f688" y="f689"/>
                            </a:cxn>
                          </a:cxnLst>
                          <a:rect l="f588" t="f591" r="f589" b="f590"/>
                          <a:pathLst>
                            <a:path w="2431" h="4496">
                              <a:moveTo>
                                <a:pt x="f8" y="f9"/>
                              </a:moveTo>
                              <a:lnTo>
                                <a:pt x="f10" y="f11"/>
                              </a:lnTo>
                              <a:lnTo>
                                <a:pt x="f12" y="f13"/>
                              </a:lnTo>
                              <a:lnTo>
                                <a:pt x="f14" y="f15"/>
                              </a:lnTo>
                              <a:lnTo>
                                <a:pt x="f16" y="f17"/>
                              </a:lnTo>
                              <a:lnTo>
                                <a:pt x="f18" y="f19"/>
                              </a:lnTo>
                              <a:lnTo>
                                <a:pt x="f20" y="f21"/>
                              </a:lnTo>
                              <a:lnTo>
                                <a:pt x="f22" y="f5"/>
                              </a:lnTo>
                              <a:lnTo>
                                <a:pt x="f23" y="f24"/>
                              </a:lnTo>
                              <a:lnTo>
                                <a:pt x="f25" y="f26"/>
                              </a:lnTo>
                              <a:lnTo>
                                <a:pt x="f27" y="f28"/>
                              </a:lnTo>
                              <a:lnTo>
                                <a:pt x="f29" y="f30"/>
                              </a:lnTo>
                              <a:lnTo>
                                <a:pt x="f31" y="f30"/>
                              </a:lnTo>
                              <a:lnTo>
                                <a:pt x="f32" y="f33"/>
                              </a:lnTo>
                              <a:lnTo>
                                <a:pt x="f34" y="f35"/>
                              </a:lnTo>
                              <a:lnTo>
                                <a:pt x="f36" y="f37"/>
                              </a:lnTo>
                              <a:lnTo>
                                <a:pt x="f38" y="f39"/>
                              </a:lnTo>
                              <a:lnTo>
                                <a:pt x="f38" y="f40"/>
                              </a:lnTo>
                              <a:lnTo>
                                <a:pt x="f41" y="f42"/>
                              </a:lnTo>
                              <a:lnTo>
                                <a:pt x="f43" y="f44"/>
                              </a:lnTo>
                              <a:lnTo>
                                <a:pt x="f45" y="f46"/>
                              </a:lnTo>
                              <a:lnTo>
                                <a:pt x="f47" y="f48"/>
                              </a:lnTo>
                              <a:lnTo>
                                <a:pt x="f49" y="f50"/>
                              </a:lnTo>
                              <a:lnTo>
                                <a:pt x="f51" y="f52"/>
                              </a:lnTo>
                              <a:lnTo>
                                <a:pt x="f53" y="f54"/>
                              </a:lnTo>
                              <a:lnTo>
                                <a:pt x="f55" y="f56"/>
                              </a:lnTo>
                              <a:lnTo>
                                <a:pt x="f57" y="f58"/>
                              </a:lnTo>
                              <a:lnTo>
                                <a:pt x="f59" y="f60"/>
                              </a:lnTo>
                              <a:lnTo>
                                <a:pt x="f61" y="f60"/>
                              </a:lnTo>
                              <a:lnTo>
                                <a:pt x="f62" y="f63"/>
                              </a:lnTo>
                              <a:lnTo>
                                <a:pt x="f64" y="f65"/>
                              </a:lnTo>
                              <a:lnTo>
                                <a:pt x="f66" y="f67"/>
                              </a:lnTo>
                              <a:lnTo>
                                <a:pt x="f68" y="f69"/>
                              </a:lnTo>
                              <a:lnTo>
                                <a:pt x="f70" y="f71"/>
                              </a:lnTo>
                              <a:lnTo>
                                <a:pt x="f72" y="f73"/>
                              </a:lnTo>
                              <a:lnTo>
                                <a:pt x="f74" y="f75"/>
                              </a:lnTo>
                              <a:lnTo>
                                <a:pt x="f76" y="f77"/>
                              </a:lnTo>
                              <a:lnTo>
                                <a:pt x="f78" y="f79"/>
                              </a:lnTo>
                              <a:lnTo>
                                <a:pt x="f80" y="f81"/>
                              </a:lnTo>
                              <a:lnTo>
                                <a:pt x="f82" y="f83"/>
                              </a:lnTo>
                              <a:lnTo>
                                <a:pt x="f84" y="f85"/>
                              </a:lnTo>
                              <a:lnTo>
                                <a:pt x="f84" y="f86"/>
                              </a:lnTo>
                              <a:lnTo>
                                <a:pt x="f87" y="f88"/>
                              </a:lnTo>
                              <a:lnTo>
                                <a:pt x="f89" y="f90"/>
                              </a:lnTo>
                              <a:lnTo>
                                <a:pt x="f91" y="f92"/>
                              </a:lnTo>
                              <a:lnTo>
                                <a:pt x="f93" y="f94"/>
                              </a:lnTo>
                              <a:lnTo>
                                <a:pt x="f95" y="f96"/>
                              </a:lnTo>
                              <a:lnTo>
                                <a:pt x="f28" y="f96"/>
                              </a:lnTo>
                              <a:lnTo>
                                <a:pt x="f97" y="f98"/>
                              </a:lnTo>
                              <a:lnTo>
                                <a:pt x="f99" y="f100"/>
                              </a:lnTo>
                              <a:lnTo>
                                <a:pt x="f101" y="f102"/>
                              </a:lnTo>
                              <a:lnTo>
                                <a:pt x="f103" y="f104"/>
                              </a:lnTo>
                              <a:lnTo>
                                <a:pt x="f105" y="f104"/>
                              </a:lnTo>
                              <a:lnTo>
                                <a:pt x="f106" y="f107"/>
                              </a:lnTo>
                              <a:lnTo>
                                <a:pt x="f105" y="f108"/>
                              </a:lnTo>
                              <a:lnTo>
                                <a:pt x="f109" y="f110"/>
                              </a:lnTo>
                              <a:lnTo>
                                <a:pt x="f111" y="f112"/>
                              </a:lnTo>
                              <a:lnTo>
                                <a:pt x="f5" y="f113"/>
                              </a:lnTo>
                              <a:lnTo>
                                <a:pt x="f114" y="f115"/>
                              </a:lnTo>
                              <a:lnTo>
                                <a:pt x="f116" y="f117"/>
                              </a:lnTo>
                              <a:lnTo>
                                <a:pt x="f118" y="f119"/>
                              </a:lnTo>
                              <a:lnTo>
                                <a:pt x="f120" y="f121"/>
                              </a:lnTo>
                              <a:lnTo>
                                <a:pt x="f122" y="f123"/>
                              </a:lnTo>
                              <a:lnTo>
                                <a:pt x="f124" y="f125"/>
                              </a:lnTo>
                              <a:lnTo>
                                <a:pt x="f126" y="f127"/>
                              </a:lnTo>
                              <a:lnTo>
                                <a:pt x="f128" y="f129"/>
                              </a:lnTo>
                              <a:lnTo>
                                <a:pt x="f128" y="f130"/>
                              </a:lnTo>
                              <a:lnTo>
                                <a:pt x="f131" y="f132"/>
                              </a:lnTo>
                              <a:lnTo>
                                <a:pt x="f133" y="f134"/>
                              </a:lnTo>
                              <a:lnTo>
                                <a:pt x="f135" y="f136"/>
                              </a:lnTo>
                              <a:lnTo>
                                <a:pt x="f137" y="f138"/>
                              </a:lnTo>
                              <a:lnTo>
                                <a:pt x="f137" y="f139"/>
                              </a:lnTo>
                              <a:lnTo>
                                <a:pt x="f140" y="f141"/>
                              </a:lnTo>
                              <a:lnTo>
                                <a:pt x="f142" y="f143"/>
                              </a:lnTo>
                              <a:lnTo>
                                <a:pt x="f144" y="f145"/>
                              </a:lnTo>
                              <a:lnTo>
                                <a:pt x="f146" y="f147"/>
                              </a:lnTo>
                              <a:lnTo>
                                <a:pt x="f148" y="f149"/>
                              </a:lnTo>
                              <a:lnTo>
                                <a:pt x="f150" y="f151"/>
                              </a:lnTo>
                              <a:lnTo>
                                <a:pt x="f152" y="f153"/>
                              </a:lnTo>
                              <a:lnTo>
                                <a:pt x="f35" y="f154"/>
                              </a:lnTo>
                              <a:lnTo>
                                <a:pt x="f155" y="f156"/>
                              </a:lnTo>
                              <a:lnTo>
                                <a:pt x="f157" y="f158"/>
                              </a:lnTo>
                              <a:lnTo>
                                <a:pt x="f159" y="f160"/>
                              </a:lnTo>
                              <a:lnTo>
                                <a:pt x="f161" y="f162"/>
                              </a:lnTo>
                              <a:lnTo>
                                <a:pt x="f163" y="f164"/>
                              </a:lnTo>
                              <a:lnTo>
                                <a:pt x="f165" y="f166"/>
                              </a:lnTo>
                              <a:lnTo>
                                <a:pt x="f167" y="f168"/>
                              </a:lnTo>
                              <a:lnTo>
                                <a:pt x="f169" y="f170"/>
                              </a:lnTo>
                              <a:lnTo>
                                <a:pt x="f171" y="f172"/>
                              </a:lnTo>
                              <a:lnTo>
                                <a:pt x="f173" y="f174"/>
                              </a:lnTo>
                              <a:lnTo>
                                <a:pt x="f78" y="f175"/>
                              </a:lnTo>
                              <a:lnTo>
                                <a:pt x="f176" y="f177"/>
                              </a:lnTo>
                              <a:lnTo>
                                <a:pt x="f178" y="f179"/>
                              </a:lnTo>
                              <a:lnTo>
                                <a:pt x="f180" y="f181"/>
                              </a:lnTo>
                              <a:lnTo>
                                <a:pt x="f69" y="f182"/>
                              </a:lnTo>
                              <a:lnTo>
                                <a:pt x="f183" y="f184"/>
                              </a:lnTo>
                              <a:lnTo>
                                <a:pt x="f185" y="f186"/>
                              </a:lnTo>
                              <a:lnTo>
                                <a:pt x="f187" y="f188"/>
                              </a:lnTo>
                              <a:lnTo>
                                <a:pt x="f189" y="f190"/>
                              </a:lnTo>
                              <a:lnTo>
                                <a:pt x="f191" y="f7"/>
                              </a:lnTo>
                              <a:lnTo>
                                <a:pt x="f192" y="f193"/>
                              </a:lnTo>
                              <a:lnTo>
                                <a:pt x="f194" y="f195"/>
                              </a:lnTo>
                              <a:lnTo>
                                <a:pt x="f196" y="f197"/>
                              </a:lnTo>
                              <a:lnTo>
                                <a:pt x="f198" y="f199"/>
                              </a:lnTo>
                              <a:lnTo>
                                <a:pt x="f200" y="f201"/>
                              </a:lnTo>
                              <a:lnTo>
                                <a:pt x="f202" y="f201"/>
                              </a:lnTo>
                              <a:lnTo>
                                <a:pt x="f203" y="f204"/>
                              </a:lnTo>
                              <a:lnTo>
                                <a:pt x="f205" y="f206"/>
                              </a:lnTo>
                              <a:lnTo>
                                <a:pt x="f207" y="f147"/>
                              </a:lnTo>
                              <a:lnTo>
                                <a:pt x="f208" y="f209"/>
                              </a:lnTo>
                              <a:lnTo>
                                <a:pt x="f210" y="f211"/>
                              </a:lnTo>
                              <a:lnTo>
                                <a:pt x="f212" y="f213"/>
                              </a:lnTo>
                              <a:lnTo>
                                <a:pt x="f20" y="f214"/>
                              </a:lnTo>
                              <a:lnTo>
                                <a:pt x="f215" y="f216"/>
                              </a:lnTo>
                              <a:lnTo>
                                <a:pt x="f217" y="f218"/>
                              </a:lnTo>
                              <a:lnTo>
                                <a:pt x="f219" y="f220"/>
                              </a:lnTo>
                              <a:lnTo>
                                <a:pt x="f221" y="f222"/>
                              </a:lnTo>
                              <a:lnTo>
                                <a:pt x="f223" y="f224"/>
                              </a:lnTo>
                              <a:lnTo>
                                <a:pt x="f225" y="f226"/>
                              </a:lnTo>
                              <a:lnTo>
                                <a:pt x="f227" y="f23"/>
                              </a:lnTo>
                              <a:lnTo>
                                <a:pt x="f228" y="f229"/>
                              </a:lnTo>
                              <a:lnTo>
                                <a:pt x="f230" y="f231"/>
                              </a:lnTo>
                              <a:lnTo>
                                <a:pt x="f232" y="f233"/>
                              </a:lnTo>
                              <a:lnTo>
                                <a:pt x="f234" y="f235"/>
                              </a:lnTo>
                              <a:lnTo>
                                <a:pt x="f236" y="f237"/>
                              </a:lnTo>
                              <a:lnTo>
                                <a:pt x="f236" y="f238"/>
                              </a:lnTo>
                              <a:lnTo>
                                <a:pt x="f239" y="f240"/>
                              </a:lnTo>
                              <a:lnTo>
                                <a:pt x="f241" y="f242"/>
                              </a:lnTo>
                              <a:lnTo>
                                <a:pt x="f243" y="f244"/>
                              </a:lnTo>
                              <a:lnTo>
                                <a:pt x="f245" y="f246"/>
                              </a:lnTo>
                              <a:lnTo>
                                <a:pt x="f247" y="f248"/>
                              </a:lnTo>
                              <a:lnTo>
                                <a:pt x="f249" y="f250"/>
                              </a:lnTo>
                              <a:lnTo>
                                <a:pt x="f251" y="f252"/>
                              </a:lnTo>
                              <a:lnTo>
                                <a:pt x="f253" y="f254"/>
                              </a:lnTo>
                              <a:lnTo>
                                <a:pt x="f255" y="f256"/>
                              </a:lnTo>
                              <a:lnTo>
                                <a:pt x="f257" y="f258"/>
                              </a:lnTo>
                              <a:lnTo>
                                <a:pt x="f259" y="f165"/>
                              </a:lnTo>
                              <a:lnTo>
                                <a:pt x="f260" y="f261"/>
                              </a:lnTo>
                              <a:lnTo>
                                <a:pt x="f6" y="f261"/>
                              </a:lnTo>
                              <a:lnTo>
                                <a:pt x="f262" y="f263"/>
                              </a:lnTo>
                              <a:lnTo>
                                <a:pt x="f257" y="f131"/>
                              </a:lnTo>
                              <a:lnTo>
                                <a:pt x="f264" y="f265"/>
                              </a:lnTo>
                              <a:lnTo>
                                <a:pt x="f249" y="f266"/>
                              </a:lnTo>
                              <a:lnTo>
                                <a:pt x="f267" y="f268"/>
                              </a:lnTo>
                              <a:lnTo>
                                <a:pt x="f269" y="f270"/>
                              </a:lnTo>
                              <a:lnTo>
                                <a:pt x="f271" y="f272"/>
                              </a:lnTo>
                              <a:lnTo>
                                <a:pt x="f273" y="f274"/>
                              </a:lnTo>
                              <a:lnTo>
                                <a:pt x="f275" y="f276"/>
                              </a:lnTo>
                              <a:lnTo>
                                <a:pt x="f8" y="f9"/>
                              </a:lnTo>
                            </a:path>
                          </a:pathLst>
                        </a:custGeom>
                        <a:noFill/>
                        <a:ln w="38103">
                          <a:solidFill>
                            <a:srgbClr val="F2F2F2"/>
                          </a:solidFill>
                          <a:prstDash val="solid"/>
                          <a:round/>
                        </a:ln>
                        <a:effectLst>
                          <a:outerShdw dist="28400" dir="3806097" algn="tl">
                            <a:srgbClr val="243F60">
                              <a:alpha val="50000"/>
                            </a:srgbClr>
                          </a:outerShdw>
                        </a:effectLst>
                      </wps:spPr>
                      <wps:bodyPr lIns="0" tIns="0" rIns="0" bIns="0"/>
                    </wps:wsp>
                  </a:graphicData>
                </a:graphic>
              </wp:anchor>
            </w:drawing>
          </mc:Choice>
          <mc:Fallback>
            <w:pict>
              <v:shape w14:anchorId="61A47285" id="手繪多邊形 50" o:spid="_x0000_s1026" style="position:absolute;margin-left:156.9pt;margin-top:4.2pt;width:145.5pt;height:317.05pt;z-index:-251634176;visibility:visible;mso-wrap-style:square;mso-wrap-distance-left:9pt;mso-wrap-distance-top:0;mso-wrap-distance-right:9pt;mso-wrap-distance-bottom:0;mso-position-horizontal:absolute;mso-position-horizontal-relative:text;mso-position-vertical:absolute;mso-position-vertical-relative:text;v-text-anchor:top" coordsize="2431,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" path="m2041,166r-18,-11l1985,108r-16,-4l1925,98,1894,29,1863,4,1831,r-69,25l1650,109r-33,82l1474,252r-1,l1352,282r-137,94l1185,382r-95,116l1090,499r-86,108l996,618r-5,4l983,641r-1,9l999,666r-21,1l974,734r-7,36l951,790r2,l947,793r-26,34l888,885r-73,29l798,948r-56,44l642,1171r-7,15l632,1193r-73,137l528,1420r-54,84l474,1506r-93,173l304,1775r-26,51l238,1931r-46,57l191,1988r-40,50l126,2095,69,2211,43,2410r5,l63,2477,48,2609r-8,74l26,2784,,2904r14,20l30,3055r58,41l176,3209r3,5l186,3227r127,222l321,3462r,7l331,3458r14,33l337,3502r-12,-13l325,3506r-7,10l316,3551r6,8l330,3565r-1,5l335,3579r6,2l376,3629r35,47l449,3706r-12,6l408,3693r-8,12l401,3708r62,27l469,3736r66,43l609,3804r23,-32l653,3818r64,27l796,3937r118,92l1026,4215r-32,103l1116,4487r29,-63l1255,4496r4,-166l1295,4260r-25,-71l1275,4101r-23,-84l1251,4017r21,-169l1304,3824r58,-259l1616,3243r-3,-69l1682,3162r181,-302l1848,2743r74,-236l1924,2420r17,-59l1911,2310r27,-59l2013,1762r39,-95l2042,1585r37,-115l2066,1410r124,-94l2190,1253r12,-66l2253,1118r10,-51l2286,1036r14,-82l2325,913r-80,-83l2215,659r54,-142l2359,421r33,-20l2429,385r2,l2418,346r-59,-15l2339,307r-14,-39l2296,240r-54,-6l2196,215r-14,-7l2089,198r-48,-32e" filled="f" strokecolor="#f2f2f2" strokeweight="1.0584mm">
                <v:shadow on="t" color="#243f60" opacity=".5" origin="-.5,-.5" offset=".35281mm,.70561mm"/>
                <v:path arrowok="t" o:connecttype="custom" o:connectlocs="923923,0;1847846,2013266;923923,4026532;0,2013266;1146893630,86623277;1094315532,23260029;1018048368,20052058;851647974,202120980;702002852,301577037;629780274,400230654;572579901,498885165;577202176,534175533;558713075,617590839;547157766,636038016;470890602,733088542;370935131,939219039;322979309,1066747976;273868108,1207911239;160622740,1464572204;110356160,1594506672;39866650,1773367624;36400514,1986717398;15022205,2147483646;17333723,2147483646;103422367,2147483646;185467186,2147483646;199334012,2147483646;187778703,2147483646;186044875,2147483646;193556358,2147483646;237467594,2147483646;235734526,2147483646;267512004,2147483646;351868340,2147483646;414268678,2147483646;592802071,2147483646;661558513,2147483646;748224846,2147483646;723380401,2147483646;753425571,2147483646;931958964,2147483646;1067737259,2147483646;1121471496,1893677283;1163071214,1413240190;1201204796,1179036813;1265338202,1004988713;1307516371,855804628;1343338435,732286102;1310983267,414668314;1403428015,308795420;1362982915,265484229;1326583162,192496172;1260715927,166829717" o:connectangles="270,0,90,180,0,0,0,0,0,0,0,0,0,0,0,0,0,0,0,0,0,0,0,0,0,0,0,0,0,0,0,0,0,0,0,0,0,0,0,0,0,0,0,0,0,0,0,0,0,0,0,0,0" textboxrect="0,0,2431,4496"/>
              </v:shape>
            </w:pict>
          </mc:Fallback>
        </mc:AlternateContent>
      </w:r>
    </w:p>
    <w:p w14:paraId="7566A872" w14:textId="77777777" w:rsidR="00052596" w:rsidRDefault="00000000">
      <w:pPr>
        <w:widowControl/>
      </w:pPr>
      <w:r>
        <w:rPr>
          <w:noProof/>
        </w:rPr>
        <mc:AlternateContent>
          <mc:Choice Requires="wps">
            <w:drawing>
              <wp:anchor distT="0" distB="0" distL="114300" distR="114300" simplePos="0" relativeHeight="251616768" behindDoc="1" locked="0" layoutInCell="1" allowOverlap="1" wp14:anchorId="6CD17AAE" wp14:editId="3B5C6171">
                <wp:simplePos x="0" y="0"/>
                <wp:positionH relativeFrom="column">
                  <wp:posOffset>307338</wp:posOffset>
                </wp:positionH>
                <wp:positionV relativeFrom="paragraph">
                  <wp:posOffset>92711</wp:posOffset>
                </wp:positionV>
                <wp:extent cx="1927226" cy="1617975"/>
                <wp:effectExtent l="0" t="0" r="34924" b="39375"/>
                <wp:wrapNone/>
                <wp:docPr id="174" name="流程圖: 文件 17487"/>
                <wp:cNvGraphicFramePr/>
                <a:graphic xmlns:a="http://schemas.openxmlformats.org/drawingml/2006/main">
                  <a:graphicData uri="http://schemas.microsoft.com/office/word/2010/wordprocessingShape">
                    <wps:wsp>
                      <wps:cNvSpPr/>
                      <wps:spPr>
                        <a:xfrm>
                          <a:off x="0" y="0"/>
                          <a:ext cx="1927226" cy="1617975"/>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val f5"/>
                            <a:gd name="f15" fmla="val f6"/>
                            <a:gd name="f16" fmla="*/ f11 f0 1"/>
                            <a:gd name="f17" fmla="+- f15 0 f14"/>
                            <a:gd name="f18" fmla="*/ f16 1 f2"/>
                            <a:gd name="f19" fmla="*/ f17 1 2"/>
                            <a:gd name="f20" fmla="*/ f17 1 21600"/>
                            <a:gd name="f21" fmla="*/ f17 17322 1"/>
                            <a:gd name="f22" fmla="*/ f17 20172 1"/>
                            <a:gd name="f23" fmla="+- f18 0 f1"/>
                            <a:gd name="f24" fmla="+- f14 f19 0"/>
                            <a:gd name="f25" fmla="*/ f21 1 21600"/>
                            <a:gd name="f26" fmla="*/ f22 1 21600"/>
                            <a:gd name="f27" fmla="*/ f14 1 f20"/>
                            <a:gd name="f28" fmla="*/ f15 1 f20"/>
                            <a:gd name="f29" fmla="*/ f24 1 f20"/>
                            <a:gd name="f30" fmla="*/ f26 1 f20"/>
                            <a:gd name="f31" fmla="*/ f25 1 f20"/>
                            <a:gd name="f32" fmla="*/ f27 f12 1"/>
                            <a:gd name="f33" fmla="*/ f28 f12 1"/>
                            <a:gd name="f34" fmla="*/ f27 f13 1"/>
                            <a:gd name="f35" fmla="*/ f31 f13 1"/>
                            <a:gd name="f36" fmla="*/ f29 f12 1"/>
                            <a:gd name="f37" fmla="*/ f30 f13 1"/>
                          </a:gdLst>
                          <a:ahLst/>
                          <a:cxnLst>
                            <a:cxn ang="3cd4">
                              <a:pos x="hc" y="t"/>
                            </a:cxn>
                            <a:cxn ang="0">
                              <a:pos x="r" y="vc"/>
                            </a:cxn>
                            <a:cxn ang="cd4">
                              <a:pos x="hc" y="b"/>
                            </a:cxn>
                            <a:cxn ang="cd2">
                              <a:pos x="l" y="vc"/>
                            </a:cxn>
                            <a:cxn ang="f23">
                              <a:pos x="f36" y="f37"/>
                            </a:cxn>
                          </a:cxnLst>
                          <a:rect l="f32" t="f34" r="f33" b="f35"/>
                          <a:pathLst>
                            <a:path w="21600" h="21600">
                              <a:moveTo>
                                <a:pt x="f5" y="f5"/>
                              </a:moveTo>
                              <a:lnTo>
                                <a:pt x="f6" y="f5"/>
                              </a:lnTo>
                              <a:lnTo>
                                <a:pt x="f6" y="f7"/>
                              </a:lnTo>
                              <a:cubicBezTo>
                                <a:pt x="f8" y="f7"/>
                                <a:pt x="f8" y="f9"/>
                                <a:pt x="f5" y="f10"/>
                              </a:cubicBezTo>
                              <a:close/>
                            </a:path>
                          </a:pathLst>
                        </a:custGeom>
                        <a:gradFill>
                          <a:gsLst>
                            <a:gs pos="0">
                              <a:srgbClr val="E2ADAC"/>
                            </a:gs>
                            <a:gs pos="100000">
                              <a:srgbClr val="F9EFEE"/>
                            </a:gs>
                          </a:gsLst>
                          <a:lin ang="5400000"/>
                        </a:gradFill>
                        <a:ln w="12701">
                          <a:solidFill>
                            <a:srgbClr val="D99594"/>
                          </a:solidFill>
                          <a:prstDash val="solid"/>
                          <a:miter/>
                        </a:ln>
                        <a:effectLst>
                          <a:outerShdw dist="28400" dir="3806097" algn="tl">
                            <a:srgbClr val="622423">
                              <a:alpha val="50000"/>
                            </a:srgbClr>
                          </a:outerShdw>
                        </a:effectLst>
                      </wps:spPr>
                      <wps:txbx>
                        <w:txbxContent>
                          <w:p w14:paraId="3FDD547D" w14:textId="77777777" w:rsidR="00052596" w:rsidRDefault="00000000">
                            <w:pPr>
                              <w:jc w:val="center"/>
                            </w:pPr>
                            <w:r>
                              <w:rPr>
                                <w:rFonts w:ascii="標楷體" w:eastAsia="標楷體" w:hAnsi="標楷體" w:cs="標楷體"/>
                                <w:b/>
                                <w:bCs/>
                                <w:i/>
                                <w:color w:val="C00000"/>
                                <w:spacing w:val="10"/>
                                <w:sz w:val="36"/>
                                <w:szCs w:val="36"/>
                                <w:lang w:val="zh-TW"/>
                              </w:rPr>
                              <w:t>繁榮</w:t>
                            </w:r>
                          </w:p>
                          <w:p w14:paraId="28FF27F0" w14:textId="77777777" w:rsidR="00052596" w:rsidRDefault="00000000">
                            <w:pPr>
                              <w:widowControl/>
                              <w:numPr>
                                <w:ilvl w:val="0"/>
                                <w:numId w:val="2"/>
                              </w:numPr>
                              <w:spacing w:before="120" w:line="300" w:lineRule="exact"/>
                              <w:ind w:left="482" w:hanging="482"/>
                            </w:pPr>
                            <w:r>
                              <w:rPr>
                                <w:rFonts w:ascii="標楷體" w:eastAsia="標楷體" w:hAnsi="標楷體"/>
                                <w:b/>
                                <w:bCs/>
                                <w:color w:val="003399"/>
                              </w:rPr>
                              <w:t>打造「繁榮臺灣」，產業結構轉型升級，法規制度接軌國際，成為全球的創新中心與運籌樞紐。</w:t>
                            </w:r>
                          </w:p>
                        </w:txbxContent>
                      </wps:txbx>
                      <wps:bodyPr wrap="square" lIns="57607" tIns="28803" rIns="57607" bIns="28803" anchor="ctr">
                        <a:noAutofit/>
                      </wps:bodyPr>
                    </wps:wsp>
                  </a:graphicData>
                </a:graphic>
              </wp:anchor>
            </w:drawing>
          </mc:Choice>
          <mc:Fallback>
            <w:pict>
              <v:shape w14:anchorId="6CD17AAE" id="流程圖: 文件 17487" o:spid="_x0000_s1092" style="position:absolute;margin-left:24.2pt;margin-top:7.3pt;width:151.75pt;height:127.4pt;z-index:-25169971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" adj="-11796480,,5400" path="m,l21600,r,17322c10800,17322,10800,23922,,20172l,xe" fillcolor="#e2adac" strokecolor="#d99594" strokeweight=".35281mm">
                <v:fill color2="#f9efee" focus="100%" type="gradient">
                  <o:fill v:ext="view" type="gradientUnscaled"/>
                </v:fill>
                <v:stroke joinstyle="miter"/>
                <v:shadow on="t" color="#622423" opacity=".5" origin="-.5,-.5" offset=".35281mm,.70561mm"/>
                <v:formulas/>
                <v:path arrowok="t" o:connecttype="custom" o:connectlocs="963613,0;1927226,808988;963613,1617975;0,808988;963613,1511009" o:connectangles="270,0,90,180,90" textboxrect="0,0,21600,17322"/>
                <v:textbox inset="1.60019mm,.80008mm,1.60019mm,.80008mm">
                  <w:txbxContent>
                    <w:p w14:paraId="3FDD547D" w14:textId="77777777" w:rsidR="00052596" w:rsidRDefault="00000000">
                      <w:pPr>
                        <w:jc w:val="center"/>
                      </w:pPr>
                      <w:r>
                        <w:rPr>
                          <w:rFonts w:ascii="標楷體" w:eastAsia="標楷體" w:hAnsi="標楷體" w:cs="標楷體"/>
                          <w:b/>
                          <w:bCs/>
                          <w:i/>
                          <w:color w:val="C00000"/>
                          <w:spacing w:val="10"/>
                          <w:sz w:val="36"/>
                          <w:szCs w:val="36"/>
                          <w:lang w:val="zh-TW"/>
                        </w:rPr>
                        <w:t>繁榮</w:t>
                      </w:r>
                    </w:p>
                    <w:p w14:paraId="28FF27F0" w14:textId="77777777" w:rsidR="00052596" w:rsidRDefault="00000000">
                      <w:pPr>
                        <w:widowControl/>
                        <w:numPr>
                          <w:ilvl w:val="0"/>
                          <w:numId w:val="2"/>
                        </w:numPr>
                        <w:spacing w:before="120" w:line="300" w:lineRule="exact"/>
                        <w:ind w:left="482" w:hanging="482"/>
                      </w:pPr>
                      <w:r>
                        <w:rPr>
                          <w:rFonts w:ascii="標楷體" w:eastAsia="標楷體" w:hAnsi="標楷體"/>
                          <w:b/>
                          <w:bCs/>
                          <w:color w:val="003399"/>
                        </w:rPr>
                        <w:t>打造「繁榮臺灣」，產業結構轉型升級，法規制度接軌國際，成為全球的創新中心與運籌樞紐。</w:t>
                      </w:r>
                    </w:p>
                  </w:txbxContent>
                </v:textbox>
              </v:shape>
            </w:pict>
          </mc:Fallback>
        </mc:AlternateContent>
      </w:r>
    </w:p>
    <w:p w14:paraId="7E590124" w14:textId="77777777" w:rsidR="00052596" w:rsidRDefault="00000000">
      <w:pPr>
        <w:widowControl/>
      </w:pPr>
      <w:r>
        <w:rPr>
          <w:noProof/>
        </w:rPr>
        <mc:AlternateContent>
          <mc:Choice Requires="wps">
            <w:drawing>
              <wp:anchor distT="0" distB="0" distL="114300" distR="114300" simplePos="0" relativeHeight="251683328" behindDoc="1" locked="0" layoutInCell="1" allowOverlap="1" wp14:anchorId="62130C2F" wp14:editId="0FC742A4">
                <wp:simplePos x="0" y="0"/>
                <wp:positionH relativeFrom="column">
                  <wp:posOffset>2758443</wp:posOffset>
                </wp:positionH>
                <wp:positionV relativeFrom="paragraph">
                  <wp:posOffset>2542</wp:posOffset>
                </wp:positionV>
                <wp:extent cx="1257300" cy="422279"/>
                <wp:effectExtent l="0" t="0" r="0" b="0"/>
                <wp:wrapNone/>
                <wp:docPr id="175" name="文字方塊 7647"/>
                <wp:cNvGraphicFramePr/>
                <a:graphic xmlns:a="http://schemas.openxmlformats.org/drawingml/2006/main">
                  <a:graphicData uri="http://schemas.microsoft.com/office/word/2010/wordprocessingShape">
                    <wps:wsp>
                      <wps:cNvSpPr txBox="1"/>
                      <wps:spPr>
                        <a:xfrm>
                          <a:off x="0" y="0"/>
                          <a:ext cx="1257300" cy="422279"/>
                        </a:xfrm>
                        <a:prstGeom prst="rect">
                          <a:avLst/>
                        </a:prstGeom>
                        <a:noFill/>
                        <a:ln>
                          <a:noFill/>
                          <a:prstDash/>
                        </a:ln>
                      </wps:spPr>
                      <wps:txbx>
                        <w:txbxContent>
                          <w:p w14:paraId="606CB2B1" w14:textId="77777777" w:rsidR="00052596" w:rsidRDefault="00000000">
                            <w:pPr>
                              <w:ind w:firstLine="200"/>
                              <w:rPr>
                                <w:rFonts w:ascii="標楷體" w:eastAsia="標楷體" w:hAnsi="標楷體" w:cs="標楷體"/>
                                <w:b/>
                                <w:bCs/>
                                <w:i/>
                                <w:color w:val="C00000"/>
                                <w:sz w:val="40"/>
                                <w:szCs w:val="40"/>
                                <w:lang w:val="zh-TW"/>
                              </w:rPr>
                            </w:pPr>
                            <w:r>
                              <w:rPr>
                                <w:rFonts w:ascii="標楷體" w:eastAsia="標楷體" w:hAnsi="標楷體" w:cs="標楷體"/>
                                <w:b/>
                                <w:bCs/>
                                <w:i/>
                                <w:color w:val="C00000"/>
                                <w:sz w:val="40"/>
                                <w:szCs w:val="40"/>
                                <w:lang w:val="zh-TW"/>
                              </w:rPr>
                              <w:t>繁榮</w:t>
                            </w:r>
                          </w:p>
                        </w:txbxContent>
                      </wps:txbx>
                      <wps:bodyPr wrap="square" lIns="57607" tIns="28803" rIns="57607" bIns="28803" anchor="t">
                        <a:noAutofit/>
                      </wps:bodyPr>
                    </wps:wsp>
                  </a:graphicData>
                </a:graphic>
              </wp:anchor>
            </w:drawing>
          </mc:Choice>
          <mc:Fallback>
            <w:pict>
              <v:shape w14:anchorId="62130C2F" id="文字方塊 7647" o:spid="_x0000_s1093" type="#_x0000_t202" style="position:absolute;margin-left:217.2pt;margin-top:.2pt;width:99pt;height:33.2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" filled="f" stroked="f">
                <v:textbox inset="1.60019mm,.80008mm,1.60019mm,.80008mm">
                  <w:txbxContent>
                    <w:p w14:paraId="606CB2B1" w14:textId="77777777" w:rsidR="00052596" w:rsidRDefault="00000000">
                      <w:pPr>
                        <w:ind w:firstLine="200"/>
                        <w:rPr>
                          <w:rFonts w:ascii="標楷體" w:eastAsia="標楷體" w:hAnsi="標楷體" w:cs="標楷體"/>
                          <w:b/>
                          <w:bCs/>
                          <w:i/>
                          <w:color w:val="C00000"/>
                          <w:sz w:val="40"/>
                          <w:szCs w:val="40"/>
                          <w:lang w:val="zh-TW"/>
                        </w:rPr>
                      </w:pPr>
                      <w:r>
                        <w:rPr>
                          <w:rFonts w:ascii="標楷體" w:eastAsia="標楷體" w:hAnsi="標楷體" w:cs="標楷體"/>
                          <w:b/>
                          <w:bCs/>
                          <w:i/>
                          <w:color w:val="C00000"/>
                          <w:sz w:val="40"/>
                          <w:szCs w:val="40"/>
                          <w:lang w:val="zh-TW"/>
                        </w:rPr>
                        <w:t>繁榮</w:t>
                      </w:r>
                    </w:p>
                  </w:txbxContent>
                </v:textbox>
              </v:shape>
            </w:pict>
          </mc:Fallback>
        </mc:AlternateContent>
      </w:r>
    </w:p>
    <w:p w14:paraId="378DB94A" w14:textId="77777777" w:rsidR="00052596" w:rsidRDefault="00052596">
      <w:pPr>
        <w:widowControl/>
        <w:rPr>
          <w:rFonts w:ascii="Calibri" w:hAnsi="Calibri"/>
          <w:b/>
          <w:spacing w:val="10"/>
          <w:kern w:val="0"/>
          <w:sz w:val="30"/>
          <w:szCs w:val="28"/>
        </w:rPr>
      </w:pPr>
    </w:p>
    <w:p w14:paraId="530A256C" w14:textId="77777777" w:rsidR="00052596" w:rsidRDefault="00000000">
      <w:pPr>
        <w:widowControl/>
      </w:pPr>
      <w:r>
        <w:rPr>
          <w:noProof/>
        </w:rPr>
        <mc:AlternateContent>
          <mc:Choice Requires="wps">
            <w:drawing>
              <wp:anchor distT="0" distB="0" distL="114300" distR="114300" simplePos="0" relativeHeight="251685376" behindDoc="1" locked="0" layoutInCell="1" allowOverlap="1" wp14:anchorId="6A543FB4" wp14:editId="3D1CCA16">
                <wp:simplePos x="0" y="0"/>
                <wp:positionH relativeFrom="column">
                  <wp:posOffset>2386327</wp:posOffset>
                </wp:positionH>
                <wp:positionV relativeFrom="paragraph">
                  <wp:posOffset>59051</wp:posOffset>
                </wp:positionV>
                <wp:extent cx="1219196" cy="434340"/>
                <wp:effectExtent l="0" t="0" r="0" b="3810"/>
                <wp:wrapNone/>
                <wp:docPr id="176" name="文字方塊 7645"/>
                <wp:cNvGraphicFramePr/>
                <a:graphic xmlns:a="http://schemas.openxmlformats.org/drawingml/2006/main">
                  <a:graphicData uri="http://schemas.microsoft.com/office/word/2010/wordprocessingShape">
                    <wps:wsp>
                      <wps:cNvSpPr txBox="1"/>
                      <wps:spPr>
                        <a:xfrm>
                          <a:off x="0" y="0"/>
                          <a:ext cx="1219196" cy="434340"/>
                        </a:xfrm>
                        <a:prstGeom prst="rect">
                          <a:avLst/>
                        </a:prstGeom>
                        <a:noFill/>
                        <a:ln>
                          <a:noFill/>
                          <a:prstDash/>
                        </a:ln>
                      </wps:spPr>
                      <wps:txbx>
                        <w:txbxContent>
                          <w:p w14:paraId="16E59046" w14:textId="77777777" w:rsidR="00052596" w:rsidRDefault="00000000">
                            <w:pPr>
                              <w:ind w:left="282" w:firstLine="200"/>
                              <w:rPr>
                                <w:rFonts w:ascii="標楷體" w:eastAsia="標楷體" w:hAnsi="標楷體" w:cs="標楷體"/>
                                <w:b/>
                                <w:bCs/>
                                <w:i/>
                                <w:color w:val="FF33CC"/>
                                <w:sz w:val="40"/>
                                <w:szCs w:val="40"/>
                                <w:lang w:val="zh-TW"/>
                              </w:rPr>
                            </w:pPr>
                            <w:r>
                              <w:rPr>
                                <w:rFonts w:ascii="標楷體" w:eastAsia="標楷體" w:hAnsi="標楷體" w:cs="標楷體"/>
                                <w:b/>
                                <w:bCs/>
                                <w:i/>
                                <w:color w:val="FF33CC"/>
                                <w:sz w:val="40"/>
                                <w:szCs w:val="40"/>
                                <w:lang w:val="zh-TW"/>
                              </w:rPr>
                              <w:t>和諧</w:t>
                            </w:r>
                          </w:p>
                        </w:txbxContent>
                      </wps:txbx>
                      <wps:bodyPr wrap="square" lIns="57607" tIns="28803" rIns="57607" bIns="28803" anchor="t">
                        <a:noAutofit/>
                      </wps:bodyPr>
                    </wps:wsp>
                  </a:graphicData>
                </a:graphic>
              </wp:anchor>
            </w:drawing>
          </mc:Choice>
          <mc:Fallback>
            <w:pict>
              <v:shape w14:anchorId="6A543FB4" id="文字方塊 7645" o:spid="_x0000_s1094" type="#_x0000_t202" style="position:absolute;margin-left:187.9pt;margin-top:4.65pt;width:96pt;height:34.2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" filled="f" stroked="f">
                <v:textbox inset="1.60019mm,.80008mm,1.60019mm,.80008mm">
                  <w:txbxContent>
                    <w:p w14:paraId="16E59046" w14:textId="77777777" w:rsidR="00052596" w:rsidRDefault="00000000">
                      <w:pPr>
                        <w:ind w:left="282" w:firstLine="200"/>
                        <w:rPr>
                          <w:rFonts w:ascii="標楷體" w:eastAsia="標楷體" w:hAnsi="標楷體" w:cs="標楷體"/>
                          <w:b/>
                          <w:bCs/>
                          <w:i/>
                          <w:color w:val="FF33CC"/>
                          <w:sz w:val="40"/>
                          <w:szCs w:val="40"/>
                          <w:lang w:val="zh-TW"/>
                        </w:rPr>
                      </w:pPr>
                      <w:r>
                        <w:rPr>
                          <w:rFonts w:ascii="標楷體" w:eastAsia="標楷體" w:hAnsi="標楷體" w:cs="標楷體"/>
                          <w:b/>
                          <w:bCs/>
                          <w:i/>
                          <w:color w:val="FF33CC"/>
                          <w:sz w:val="40"/>
                          <w:szCs w:val="40"/>
                          <w:lang w:val="zh-TW"/>
                        </w:rPr>
                        <w:t>和諧</w:t>
                      </w:r>
                    </w:p>
                  </w:txbxContent>
                </v:textbox>
              </v:shape>
            </w:pict>
          </mc:Fallback>
        </mc:AlternateContent>
      </w:r>
    </w:p>
    <w:p w14:paraId="474A7C65"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44" w:hanging="216"/>
        <w:textAlignment w:val="center"/>
      </w:pPr>
      <w:r>
        <w:rPr>
          <w:noProof/>
        </w:rPr>
        <mc:AlternateContent>
          <mc:Choice Requires="wps">
            <w:drawing>
              <wp:anchor distT="0" distB="0" distL="114300" distR="114300" simplePos="0" relativeHeight="251686400" behindDoc="1" locked="0" layoutInCell="1" allowOverlap="1" wp14:anchorId="148184D6" wp14:editId="47D1CD39">
                <wp:simplePos x="0" y="0"/>
                <wp:positionH relativeFrom="column">
                  <wp:posOffset>11430</wp:posOffset>
                </wp:positionH>
                <wp:positionV relativeFrom="paragraph">
                  <wp:posOffset>1506858</wp:posOffset>
                </wp:positionV>
                <wp:extent cx="1906267" cy="1912623"/>
                <wp:effectExtent l="0" t="0" r="36833" b="30477"/>
                <wp:wrapNone/>
                <wp:docPr id="177" name="流程圖: 文件 7641"/>
                <wp:cNvGraphicFramePr/>
                <a:graphic xmlns:a="http://schemas.openxmlformats.org/drawingml/2006/main">
                  <a:graphicData uri="http://schemas.microsoft.com/office/word/2010/wordprocessingShape">
                    <wps:wsp>
                      <wps:cNvSpPr/>
                      <wps:spPr>
                        <a:xfrm>
                          <a:off x="0" y="0"/>
                          <a:ext cx="1906267" cy="1912623"/>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val f5"/>
                            <a:gd name="f15" fmla="val f6"/>
                            <a:gd name="f16" fmla="*/ f11 f0 1"/>
                            <a:gd name="f17" fmla="+- f15 0 f14"/>
                            <a:gd name="f18" fmla="*/ f16 1 f2"/>
                            <a:gd name="f19" fmla="*/ f17 1 2"/>
                            <a:gd name="f20" fmla="*/ f17 1 21600"/>
                            <a:gd name="f21" fmla="*/ f17 17322 1"/>
                            <a:gd name="f22" fmla="*/ f17 20172 1"/>
                            <a:gd name="f23" fmla="+- f18 0 f1"/>
                            <a:gd name="f24" fmla="+- f14 f19 0"/>
                            <a:gd name="f25" fmla="*/ f21 1 21600"/>
                            <a:gd name="f26" fmla="*/ f22 1 21600"/>
                            <a:gd name="f27" fmla="*/ f14 1 f20"/>
                            <a:gd name="f28" fmla="*/ f15 1 f20"/>
                            <a:gd name="f29" fmla="*/ f24 1 f20"/>
                            <a:gd name="f30" fmla="*/ f26 1 f20"/>
                            <a:gd name="f31" fmla="*/ f25 1 f20"/>
                            <a:gd name="f32" fmla="*/ f27 f12 1"/>
                            <a:gd name="f33" fmla="*/ f28 f12 1"/>
                            <a:gd name="f34" fmla="*/ f27 f13 1"/>
                            <a:gd name="f35" fmla="*/ f31 f13 1"/>
                            <a:gd name="f36" fmla="*/ f29 f12 1"/>
                            <a:gd name="f37" fmla="*/ f30 f13 1"/>
                          </a:gdLst>
                          <a:ahLst/>
                          <a:cxnLst>
                            <a:cxn ang="3cd4">
                              <a:pos x="hc" y="t"/>
                            </a:cxn>
                            <a:cxn ang="0">
                              <a:pos x="r" y="vc"/>
                            </a:cxn>
                            <a:cxn ang="cd4">
                              <a:pos x="hc" y="b"/>
                            </a:cxn>
                            <a:cxn ang="cd2">
                              <a:pos x="l" y="vc"/>
                            </a:cxn>
                            <a:cxn ang="f23">
                              <a:pos x="f36" y="f37"/>
                            </a:cxn>
                          </a:cxnLst>
                          <a:rect l="f32" t="f34" r="f33" b="f35"/>
                          <a:pathLst>
                            <a:path w="21600" h="21600">
                              <a:moveTo>
                                <a:pt x="f5" y="f5"/>
                              </a:moveTo>
                              <a:lnTo>
                                <a:pt x="f6" y="f5"/>
                              </a:lnTo>
                              <a:lnTo>
                                <a:pt x="f6" y="f7"/>
                              </a:lnTo>
                              <a:cubicBezTo>
                                <a:pt x="f8" y="f7"/>
                                <a:pt x="f8" y="f9"/>
                                <a:pt x="f5" y="f10"/>
                              </a:cubicBezTo>
                              <a:close/>
                            </a:path>
                          </a:pathLst>
                        </a:custGeom>
                        <a:gradFill>
                          <a:gsLst>
                            <a:gs pos="0">
                              <a:srgbClr val="BAE18F"/>
                            </a:gs>
                            <a:gs pos="100000">
                              <a:srgbClr val="F1F9E9"/>
                            </a:gs>
                          </a:gsLst>
                          <a:lin ang="5400000"/>
                        </a:gradFill>
                        <a:ln w="12701">
                          <a:solidFill>
                            <a:srgbClr val="C2D69B"/>
                          </a:solidFill>
                          <a:prstDash val="solid"/>
                          <a:miter/>
                        </a:ln>
                        <a:effectLst>
                          <a:outerShdw dist="28400" dir="3806097" algn="tl">
                            <a:srgbClr val="4E6128">
                              <a:alpha val="50000"/>
                            </a:srgbClr>
                          </a:outerShdw>
                        </a:effectLst>
                      </wps:spPr>
                      <wps:txbx>
                        <w:txbxContent>
                          <w:p w14:paraId="4B639DC5" w14:textId="77777777" w:rsidR="00052596" w:rsidRDefault="00000000">
                            <w:pPr>
                              <w:jc w:val="center"/>
                            </w:pPr>
                            <w:r>
                              <w:rPr>
                                <w:rFonts w:ascii="標楷體" w:eastAsia="標楷體" w:hAnsi="標楷體" w:cs="標楷體"/>
                                <w:b/>
                                <w:bCs/>
                                <w:i/>
                                <w:color w:val="006600"/>
                                <w:spacing w:val="10"/>
                                <w:sz w:val="36"/>
                                <w:szCs w:val="36"/>
                                <w:lang w:val="zh-TW"/>
                              </w:rPr>
                              <w:t>永續</w:t>
                            </w:r>
                          </w:p>
                          <w:p w14:paraId="47A864A9" w14:textId="77777777" w:rsidR="00052596" w:rsidRDefault="00000000">
                            <w:pPr>
                              <w:widowControl/>
                              <w:numPr>
                                <w:ilvl w:val="0"/>
                                <w:numId w:val="2"/>
                              </w:numPr>
                              <w:spacing w:before="120" w:line="300" w:lineRule="exact"/>
                              <w:ind w:left="482" w:hanging="482"/>
                              <w:rPr>
                                <w:rFonts w:ascii="標楷體" w:eastAsia="標楷體" w:hAnsi="標楷體"/>
                                <w:b/>
                                <w:bCs/>
                                <w:color w:val="003399"/>
                              </w:rPr>
                            </w:pPr>
                            <w:r>
                              <w:rPr>
                                <w:rFonts w:ascii="標楷體" w:eastAsia="標楷體" w:hAnsi="標楷體"/>
                                <w:b/>
                                <w:bCs/>
                                <w:color w:val="003399"/>
                              </w:rPr>
                              <w:t>營造「永續臺灣」，經濟與環境共存共榮，文化與知識水準持續深化、累積，國家發展永續綿延。</w:t>
                            </w:r>
                          </w:p>
                        </w:txbxContent>
                      </wps:txbx>
                      <wps:bodyPr wrap="square" lIns="57607" tIns="28803" rIns="57607" bIns="28803" anchor="ctr">
                        <a:noAutofit/>
                      </wps:bodyPr>
                    </wps:wsp>
                  </a:graphicData>
                </a:graphic>
              </wp:anchor>
            </w:drawing>
          </mc:Choice>
          <mc:Fallback>
            <w:pict>
              <v:shape w14:anchorId="148184D6" id="流程圖: 文件 7641" o:spid="_x0000_s1095" style="position:absolute;left:0;text-align:left;margin-left:.9pt;margin-top:118.65pt;width:150.1pt;height:150.6pt;z-index:-25163008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" adj="-11796480,,5400" path="m,l21600,r,17322c10800,17322,10800,23922,,20172l,xe" fillcolor="#bae18f" strokecolor="#c2d69b" strokeweight=".35281mm">
                <v:fill color2="#f1f9e9" focus="100%" type="gradient">
                  <o:fill v:ext="view" type="gradientUnscaled"/>
                </v:fill>
                <v:stroke joinstyle="miter"/>
                <v:shadow on="t" color="#4e6128" opacity=".5" origin="-.5,-.5" offset=".35281mm,.70561mm"/>
                <v:formulas/>
                <v:path arrowok="t" o:connecttype="custom" o:connectlocs="953134,0;1906267,956312;953134,1912623;0,956312;953134,1786177" o:connectangles="270,0,90,180,90" textboxrect="0,0,21600,17322"/>
                <v:textbox inset="1.60019mm,.80008mm,1.60019mm,.80008mm">
                  <w:txbxContent>
                    <w:p w14:paraId="4B639DC5" w14:textId="77777777" w:rsidR="00052596" w:rsidRDefault="00000000">
                      <w:pPr>
                        <w:jc w:val="center"/>
                      </w:pPr>
                      <w:r>
                        <w:rPr>
                          <w:rFonts w:ascii="標楷體" w:eastAsia="標楷體" w:hAnsi="標楷體" w:cs="標楷體"/>
                          <w:b/>
                          <w:bCs/>
                          <w:i/>
                          <w:color w:val="006600"/>
                          <w:spacing w:val="10"/>
                          <w:sz w:val="36"/>
                          <w:szCs w:val="36"/>
                          <w:lang w:val="zh-TW"/>
                        </w:rPr>
                        <w:t>永續</w:t>
                      </w:r>
                    </w:p>
                    <w:p w14:paraId="47A864A9" w14:textId="77777777" w:rsidR="00052596" w:rsidRDefault="00000000">
                      <w:pPr>
                        <w:widowControl/>
                        <w:numPr>
                          <w:ilvl w:val="0"/>
                          <w:numId w:val="2"/>
                        </w:numPr>
                        <w:spacing w:before="120" w:line="300" w:lineRule="exact"/>
                        <w:ind w:left="482" w:hanging="482"/>
                        <w:rPr>
                          <w:rFonts w:ascii="標楷體" w:eastAsia="標楷體" w:hAnsi="標楷體"/>
                          <w:b/>
                          <w:bCs/>
                          <w:color w:val="003399"/>
                        </w:rPr>
                      </w:pPr>
                      <w:r>
                        <w:rPr>
                          <w:rFonts w:ascii="標楷體" w:eastAsia="標楷體" w:hAnsi="標楷體"/>
                          <w:b/>
                          <w:bCs/>
                          <w:color w:val="003399"/>
                        </w:rPr>
                        <w:t>營造「永續臺灣」，經濟與環境共存共榮，文化與知識水準持續深化、累積，國家發展永續綿延。</w:t>
                      </w:r>
                    </w:p>
                  </w:txbxContent>
                </v:textbox>
              </v:shape>
            </w:pict>
          </mc:Fallback>
        </mc:AlternateContent>
      </w:r>
      <w:r>
        <w:rPr>
          <w:noProof/>
        </w:rPr>
        <mc:AlternateContent>
          <mc:Choice Requires="wps">
            <w:drawing>
              <wp:anchor distT="0" distB="0" distL="114300" distR="114300" simplePos="0" relativeHeight="251684352" behindDoc="1" locked="0" layoutInCell="1" allowOverlap="1" wp14:anchorId="56BAE87C" wp14:editId="5B75C2A6">
                <wp:simplePos x="0" y="0"/>
                <wp:positionH relativeFrom="column">
                  <wp:posOffset>3594104</wp:posOffset>
                </wp:positionH>
                <wp:positionV relativeFrom="paragraph">
                  <wp:posOffset>382905</wp:posOffset>
                </wp:positionV>
                <wp:extent cx="1600200" cy="1828800"/>
                <wp:effectExtent l="0" t="0" r="19050" b="0"/>
                <wp:wrapNone/>
                <wp:docPr id="178" name="流程圖: 文件 7640"/>
                <wp:cNvGraphicFramePr/>
                <a:graphic xmlns:a="http://schemas.openxmlformats.org/drawingml/2006/main">
                  <a:graphicData uri="http://schemas.microsoft.com/office/word/2010/wordprocessingShape">
                    <wps:wsp>
                      <wps:cNvSpPr/>
                      <wps:spPr>
                        <a:xfrm>
                          <a:off x="0" y="0"/>
                          <a:ext cx="1600200" cy="1828800"/>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val f5"/>
                            <a:gd name="f15" fmla="val f6"/>
                            <a:gd name="f16" fmla="*/ f11 f0 1"/>
                            <a:gd name="f17" fmla="+- f15 0 f14"/>
                            <a:gd name="f18" fmla="*/ f16 1 f2"/>
                            <a:gd name="f19" fmla="*/ f17 1 2"/>
                            <a:gd name="f20" fmla="*/ f17 1 21600"/>
                            <a:gd name="f21" fmla="*/ f17 17322 1"/>
                            <a:gd name="f22" fmla="*/ f17 20172 1"/>
                            <a:gd name="f23" fmla="+- f18 0 f1"/>
                            <a:gd name="f24" fmla="+- f14 f19 0"/>
                            <a:gd name="f25" fmla="*/ f21 1 21600"/>
                            <a:gd name="f26" fmla="*/ f22 1 21600"/>
                            <a:gd name="f27" fmla="*/ f14 1 f20"/>
                            <a:gd name="f28" fmla="*/ f15 1 f20"/>
                            <a:gd name="f29" fmla="*/ f24 1 f20"/>
                            <a:gd name="f30" fmla="*/ f26 1 f20"/>
                            <a:gd name="f31" fmla="*/ f25 1 f20"/>
                            <a:gd name="f32" fmla="*/ f27 f12 1"/>
                            <a:gd name="f33" fmla="*/ f28 f12 1"/>
                            <a:gd name="f34" fmla="*/ f27 f13 1"/>
                            <a:gd name="f35" fmla="*/ f31 f13 1"/>
                            <a:gd name="f36" fmla="*/ f29 f12 1"/>
                            <a:gd name="f37" fmla="*/ f30 f13 1"/>
                          </a:gdLst>
                          <a:ahLst/>
                          <a:cxnLst>
                            <a:cxn ang="3cd4">
                              <a:pos x="hc" y="t"/>
                            </a:cxn>
                            <a:cxn ang="0">
                              <a:pos x="r" y="vc"/>
                            </a:cxn>
                            <a:cxn ang="cd4">
                              <a:pos x="hc" y="b"/>
                            </a:cxn>
                            <a:cxn ang="cd2">
                              <a:pos x="l" y="vc"/>
                            </a:cxn>
                            <a:cxn ang="f23">
                              <a:pos x="f36" y="f37"/>
                            </a:cxn>
                          </a:cxnLst>
                          <a:rect l="f32" t="f34" r="f33" b="f35"/>
                          <a:pathLst>
                            <a:path w="21600" h="21600">
                              <a:moveTo>
                                <a:pt x="f5" y="f5"/>
                              </a:moveTo>
                              <a:lnTo>
                                <a:pt x="f6" y="f5"/>
                              </a:lnTo>
                              <a:lnTo>
                                <a:pt x="f6" y="f7"/>
                              </a:lnTo>
                              <a:cubicBezTo>
                                <a:pt x="f8" y="f7"/>
                                <a:pt x="f8" y="f9"/>
                                <a:pt x="f5" y="f10"/>
                              </a:cubicBezTo>
                              <a:close/>
                            </a:path>
                          </a:pathLst>
                        </a:custGeom>
                        <a:gradFill>
                          <a:gsLst>
                            <a:gs pos="0">
                              <a:srgbClr val="FFFFED"/>
                            </a:gs>
                            <a:gs pos="100000">
                              <a:srgbClr val="FFFFA7"/>
                            </a:gs>
                          </a:gsLst>
                          <a:lin ang="5400000"/>
                        </a:gradFill>
                        <a:ln w="12701">
                          <a:solidFill>
                            <a:srgbClr val="C2D69B"/>
                          </a:solidFill>
                          <a:prstDash val="solid"/>
                          <a:miter/>
                        </a:ln>
                      </wps:spPr>
                      <wps:txbx>
                        <w:txbxContent>
                          <w:p w14:paraId="51FA9FFF" w14:textId="77777777" w:rsidR="00052596" w:rsidRDefault="00000000">
                            <w:pPr>
                              <w:jc w:val="center"/>
                            </w:pPr>
                            <w:r>
                              <w:rPr>
                                <w:rFonts w:ascii="標楷體" w:eastAsia="標楷體" w:hAnsi="標楷體" w:cs="標楷體"/>
                                <w:b/>
                                <w:bCs/>
                                <w:i/>
                                <w:color w:val="E36C0A"/>
                                <w:sz w:val="36"/>
                                <w:szCs w:val="36"/>
                                <w:lang w:val="zh-TW"/>
                              </w:rPr>
                              <w:t>和諧</w:t>
                            </w:r>
                          </w:p>
                          <w:p w14:paraId="16D8DB7F" w14:textId="77777777" w:rsidR="00052596" w:rsidRDefault="00000000">
                            <w:pPr>
                              <w:widowControl/>
                              <w:numPr>
                                <w:ilvl w:val="0"/>
                                <w:numId w:val="2"/>
                              </w:numPr>
                              <w:spacing w:before="120" w:line="300" w:lineRule="exact"/>
                              <w:ind w:left="482" w:hanging="482"/>
                              <w:rPr>
                                <w:rFonts w:ascii="標楷體" w:eastAsia="標楷體" w:hAnsi="標楷體"/>
                                <w:b/>
                                <w:bCs/>
                                <w:color w:val="003399"/>
                              </w:rPr>
                            </w:pPr>
                            <w:r>
                              <w:rPr>
                                <w:rFonts w:ascii="標楷體" w:eastAsia="標楷體" w:hAnsi="標楷體"/>
                                <w:b/>
                                <w:bCs/>
                                <w:color w:val="003399"/>
                              </w:rPr>
                              <w:t>建構「和諧臺灣」，展現包容、關懷、公義的核心價值，實現經濟成果為全民共享。</w:t>
                            </w:r>
                          </w:p>
                        </w:txbxContent>
                      </wps:txbx>
                      <wps:bodyPr wrap="square" lIns="57607" tIns="28803" rIns="57607" bIns="28803" anchor="ctr">
                        <a:noAutofit/>
                      </wps:bodyPr>
                    </wps:wsp>
                  </a:graphicData>
                </a:graphic>
              </wp:anchor>
            </w:drawing>
          </mc:Choice>
          <mc:Fallback>
            <w:pict>
              <v:shape w14:anchorId="56BAE87C" id="流程圖: 文件 7640" o:spid="_x0000_s1096" style="position:absolute;left:0;text-align:left;margin-left:283pt;margin-top:30.15pt;width:126pt;height:2in;z-index:-25163212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" adj="-11796480,,5400" path="m,l21600,r,17322c10800,17322,10800,23922,,20172l,xe" fillcolor="#ffffed" strokecolor="#c2d69b" strokeweight=".35281mm">
                <v:fill color2="#ffffa7" focus="100%" type="gradient">
                  <o:fill v:ext="view" type="gradientUnscaled"/>
                </v:fill>
                <v:stroke joinstyle="miter"/>
                <v:formulas/>
                <v:path arrowok="t" o:connecttype="custom" o:connectlocs="800100,0;1600200,914400;800100,1828800;0,914400;800100,1707896" o:connectangles="270,0,90,180,90" textboxrect="0,0,21600,17322"/>
                <v:textbox inset="1.60019mm,.80008mm,1.60019mm,.80008mm">
                  <w:txbxContent>
                    <w:p w14:paraId="51FA9FFF" w14:textId="77777777" w:rsidR="00052596" w:rsidRDefault="00000000">
                      <w:pPr>
                        <w:jc w:val="center"/>
                      </w:pPr>
                      <w:r>
                        <w:rPr>
                          <w:rFonts w:ascii="標楷體" w:eastAsia="標楷體" w:hAnsi="標楷體" w:cs="標楷體"/>
                          <w:b/>
                          <w:bCs/>
                          <w:i/>
                          <w:color w:val="E36C0A"/>
                          <w:sz w:val="36"/>
                          <w:szCs w:val="36"/>
                          <w:lang w:val="zh-TW"/>
                        </w:rPr>
                        <w:t>和諧</w:t>
                      </w:r>
                    </w:p>
                    <w:p w14:paraId="16D8DB7F" w14:textId="77777777" w:rsidR="00052596" w:rsidRDefault="00000000">
                      <w:pPr>
                        <w:widowControl/>
                        <w:numPr>
                          <w:ilvl w:val="0"/>
                          <w:numId w:val="2"/>
                        </w:numPr>
                        <w:spacing w:before="120" w:line="300" w:lineRule="exact"/>
                        <w:ind w:left="482" w:hanging="482"/>
                        <w:rPr>
                          <w:rFonts w:ascii="標楷體" w:eastAsia="標楷體" w:hAnsi="標楷體"/>
                          <w:b/>
                          <w:bCs/>
                          <w:color w:val="003399"/>
                        </w:rPr>
                      </w:pPr>
                      <w:r>
                        <w:rPr>
                          <w:rFonts w:ascii="標楷體" w:eastAsia="標楷體" w:hAnsi="標楷體"/>
                          <w:b/>
                          <w:bCs/>
                          <w:color w:val="003399"/>
                        </w:rPr>
                        <w:t>建構「和諧臺灣」，展現包容、關懷、公義的核心價值，實現經濟成果為全民共享。</w:t>
                      </w:r>
                    </w:p>
                  </w:txbxContent>
                </v:textbox>
              </v:shape>
            </w:pict>
          </mc:Fallback>
        </mc:AlternateContent>
      </w:r>
      <w:r>
        <w:rPr>
          <w:noProof/>
        </w:rPr>
        <mc:AlternateContent>
          <mc:Choice Requires="wps">
            <w:drawing>
              <wp:anchor distT="0" distB="0" distL="114300" distR="114300" simplePos="0" relativeHeight="251687424" behindDoc="1" locked="0" layoutInCell="1" allowOverlap="1" wp14:anchorId="4FB93FD5" wp14:editId="10D2ACF1">
                <wp:simplePos x="0" y="0"/>
                <wp:positionH relativeFrom="column">
                  <wp:posOffset>2226307</wp:posOffset>
                </wp:positionH>
                <wp:positionV relativeFrom="paragraph">
                  <wp:posOffset>379091</wp:posOffset>
                </wp:positionV>
                <wp:extent cx="1162046" cy="445139"/>
                <wp:effectExtent l="0" t="0" r="0" b="0"/>
                <wp:wrapNone/>
                <wp:docPr id="179" name="文字方塊 7639"/>
                <wp:cNvGraphicFramePr/>
                <a:graphic xmlns:a="http://schemas.openxmlformats.org/drawingml/2006/main">
                  <a:graphicData uri="http://schemas.microsoft.com/office/word/2010/wordprocessingShape">
                    <wps:wsp>
                      <wps:cNvSpPr txBox="1"/>
                      <wps:spPr>
                        <a:xfrm>
                          <a:off x="0" y="0"/>
                          <a:ext cx="1162046" cy="445139"/>
                        </a:xfrm>
                        <a:prstGeom prst="rect">
                          <a:avLst/>
                        </a:prstGeom>
                        <a:noFill/>
                        <a:ln>
                          <a:noFill/>
                          <a:prstDash/>
                        </a:ln>
                      </wps:spPr>
                      <wps:txbx>
                        <w:txbxContent>
                          <w:p w14:paraId="1BA7EBF7" w14:textId="77777777" w:rsidR="00052596" w:rsidRDefault="00000000">
                            <w:pPr>
                              <w:ind w:left="282" w:firstLine="200"/>
                              <w:rPr>
                                <w:rFonts w:ascii="標楷體" w:eastAsia="標楷體" w:hAnsi="標楷體" w:cs="標楷體"/>
                                <w:b/>
                                <w:bCs/>
                                <w:i/>
                                <w:color w:val="006600"/>
                                <w:sz w:val="40"/>
                                <w:szCs w:val="40"/>
                                <w:lang w:val="zh-TW"/>
                              </w:rPr>
                            </w:pPr>
                            <w:r>
                              <w:rPr>
                                <w:rFonts w:ascii="標楷體" w:eastAsia="標楷體" w:hAnsi="標楷體" w:cs="標楷體"/>
                                <w:b/>
                                <w:bCs/>
                                <w:i/>
                                <w:color w:val="006600"/>
                                <w:sz w:val="40"/>
                                <w:szCs w:val="40"/>
                                <w:lang w:val="zh-TW"/>
                              </w:rPr>
                              <w:t>永續</w:t>
                            </w:r>
                          </w:p>
                        </w:txbxContent>
                      </wps:txbx>
                      <wps:bodyPr wrap="square" lIns="57607" tIns="28803" rIns="57607" bIns="28803" anchor="t">
                        <a:noAutofit/>
                      </wps:bodyPr>
                    </wps:wsp>
                  </a:graphicData>
                </a:graphic>
              </wp:anchor>
            </w:drawing>
          </mc:Choice>
          <mc:Fallback>
            <w:pict>
              <v:shape w14:anchorId="4FB93FD5" id="文字方塊 7639" o:spid="_x0000_s1097" type="#_x0000_t202" style="position:absolute;left:0;text-align:left;margin-left:175.3pt;margin-top:29.85pt;width:91.5pt;height:35.0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" filled="f" stroked="f">
                <v:textbox inset="1.60019mm,.80008mm,1.60019mm,.80008mm">
                  <w:txbxContent>
                    <w:p w14:paraId="1BA7EBF7" w14:textId="77777777" w:rsidR="00052596" w:rsidRDefault="00000000">
                      <w:pPr>
                        <w:ind w:left="282" w:firstLine="200"/>
                        <w:rPr>
                          <w:rFonts w:ascii="標楷體" w:eastAsia="標楷體" w:hAnsi="標楷體" w:cs="標楷體"/>
                          <w:b/>
                          <w:bCs/>
                          <w:i/>
                          <w:color w:val="006600"/>
                          <w:sz w:val="40"/>
                          <w:szCs w:val="40"/>
                          <w:lang w:val="zh-TW"/>
                        </w:rPr>
                      </w:pPr>
                      <w:r>
                        <w:rPr>
                          <w:rFonts w:ascii="標楷體" w:eastAsia="標楷體" w:hAnsi="標楷體" w:cs="標楷體"/>
                          <w:b/>
                          <w:bCs/>
                          <w:i/>
                          <w:color w:val="006600"/>
                          <w:sz w:val="40"/>
                          <w:szCs w:val="40"/>
                          <w:lang w:val="zh-TW"/>
                        </w:rPr>
                        <w:t>永續</w:t>
                      </w:r>
                    </w:p>
                  </w:txbxContent>
                </v:textbox>
              </v:shape>
            </w:pict>
          </mc:Fallback>
        </mc:AlternateContent>
      </w:r>
      <w:r>
        <w:rPr>
          <w:noProof/>
        </w:rPr>
        <mc:AlternateContent>
          <mc:Choice Requires="wps">
            <w:drawing>
              <wp:anchor distT="0" distB="0" distL="114300" distR="114300" simplePos="0" relativeHeight="251688448" behindDoc="1" locked="0" layoutInCell="1" allowOverlap="1" wp14:anchorId="7D4155DD" wp14:editId="4E8807F4">
                <wp:simplePos x="0" y="0"/>
                <wp:positionH relativeFrom="column">
                  <wp:posOffset>1918338</wp:posOffset>
                </wp:positionH>
                <wp:positionV relativeFrom="paragraph">
                  <wp:posOffset>1208407</wp:posOffset>
                </wp:positionV>
                <wp:extent cx="1475100" cy="535938"/>
                <wp:effectExtent l="0" t="0" r="0" b="0"/>
                <wp:wrapNone/>
                <wp:docPr id="180" name="文字方塊 7627"/>
                <wp:cNvGraphicFramePr/>
                <a:graphic xmlns:a="http://schemas.openxmlformats.org/drawingml/2006/main">
                  <a:graphicData uri="http://schemas.microsoft.com/office/word/2010/wordprocessingShape">
                    <wps:wsp>
                      <wps:cNvSpPr txBox="1"/>
                      <wps:spPr>
                        <a:xfrm>
                          <a:off x="0" y="0"/>
                          <a:ext cx="1475100" cy="535938"/>
                        </a:xfrm>
                        <a:prstGeom prst="rect">
                          <a:avLst/>
                        </a:prstGeom>
                        <a:noFill/>
                        <a:ln>
                          <a:noFill/>
                          <a:prstDash/>
                        </a:ln>
                      </wps:spPr>
                      <wps:txbx>
                        <w:txbxContent>
                          <w:p w14:paraId="65E90FC8" w14:textId="77777777" w:rsidR="00052596" w:rsidRDefault="00000000">
                            <w:pPr>
                              <w:rPr>
                                <w:rFonts w:ascii="標楷體" w:eastAsia="標楷體" w:hAnsi="標楷體" w:cs="標楷體"/>
                                <w:b/>
                                <w:bCs/>
                                <w:i/>
                                <w:color w:val="1F497D"/>
                                <w:sz w:val="52"/>
                                <w:szCs w:val="52"/>
                                <w:lang w:val="zh-TW"/>
                              </w:rPr>
                            </w:pPr>
                            <w:r>
                              <w:rPr>
                                <w:rFonts w:ascii="標楷體" w:eastAsia="標楷體" w:hAnsi="標楷體" w:cs="標楷體"/>
                                <w:b/>
                                <w:bCs/>
                                <w:i/>
                                <w:color w:val="1F497D"/>
                                <w:sz w:val="52"/>
                                <w:szCs w:val="52"/>
                                <w:lang w:val="zh-TW"/>
                              </w:rPr>
                              <w:t>幸福臺灣</w:t>
                            </w:r>
                          </w:p>
                        </w:txbxContent>
                      </wps:txbx>
                      <wps:bodyPr wrap="square" lIns="57607" tIns="28803" rIns="57607" bIns="28803" anchor="t">
                        <a:noAutofit/>
                      </wps:bodyPr>
                    </wps:wsp>
                  </a:graphicData>
                </a:graphic>
              </wp:anchor>
            </w:drawing>
          </mc:Choice>
          <mc:Fallback>
            <w:pict>
              <v:shape w14:anchorId="7D4155DD" id="文字方塊 7627" o:spid="_x0000_s1098" type="#_x0000_t202" style="position:absolute;left:0;text-align:left;margin-left:151.05pt;margin-top:95.15pt;width:116.15pt;height:42.2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" filled="f" stroked="f">
                <v:textbox inset="1.60019mm,.80008mm,1.60019mm,.80008mm">
                  <w:txbxContent>
                    <w:p w14:paraId="65E90FC8" w14:textId="77777777" w:rsidR="00052596" w:rsidRDefault="00000000">
                      <w:pPr>
                        <w:rPr>
                          <w:rFonts w:ascii="標楷體" w:eastAsia="標楷體" w:hAnsi="標楷體" w:cs="標楷體"/>
                          <w:b/>
                          <w:bCs/>
                          <w:i/>
                          <w:color w:val="1F497D"/>
                          <w:sz w:val="52"/>
                          <w:szCs w:val="52"/>
                          <w:lang w:val="zh-TW"/>
                        </w:rPr>
                      </w:pPr>
                      <w:r>
                        <w:rPr>
                          <w:rFonts w:ascii="標楷體" w:eastAsia="標楷體" w:hAnsi="標楷體" w:cs="標楷體"/>
                          <w:b/>
                          <w:bCs/>
                          <w:i/>
                          <w:color w:val="1F497D"/>
                          <w:sz w:val="52"/>
                          <w:szCs w:val="52"/>
                          <w:lang w:val="zh-TW"/>
                        </w:rPr>
                        <w:t>幸福臺灣</w:t>
                      </w:r>
                    </w:p>
                  </w:txbxContent>
                </v:textbox>
              </v:shape>
            </w:pict>
          </mc:Fallback>
        </mc:AlternateContent>
      </w:r>
      <w:r>
        <w:rPr>
          <w:noProof/>
        </w:rPr>
        <mc:AlternateContent>
          <mc:Choice Requires="wps">
            <w:drawing>
              <wp:anchor distT="0" distB="0" distL="114300" distR="114300" simplePos="0" relativeHeight="251689472" behindDoc="1" locked="0" layoutInCell="1" allowOverlap="1" wp14:anchorId="53A60178" wp14:editId="22932CAA">
                <wp:simplePos x="0" y="0"/>
                <wp:positionH relativeFrom="column">
                  <wp:posOffset>2375538</wp:posOffset>
                </wp:positionH>
                <wp:positionV relativeFrom="paragraph">
                  <wp:posOffset>836291</wp:posOffset>
                </wp:positionV>
                <wp:extent cx="798828" cy="367661"/>
                <wp:effectExtent l="0" t="0" r="0" b="0"/>
                <wp:wrapNone/>
                <wp:docPr id="181" name="文字方塊 7626"/>
                <wp:cNvGraphicFramePr/>
                <a:graphic xmlns:a="http://schemas.openxmlformats.org/drawingml/2006/main">
                  <a:graphicData uri="http://schemas.microsoft.com/office/word/2010/wordprocessingShape">
                    <wps:wsp>
                      <wps:cNvSpPr txBox="1"/>
                      <wps:spPr>
                        <a:xfrm>
                          <a:off x="0" y="0"/>
                          <a:ext cx="798828" cy="367661"/>
                        </a:xfrm>
                        <a:prstGeom prst="rect">
                          <a:avLst/>
                        </a:prstGeom>
                        <a:noFill/>
                        <a:ln>
                          <a:noFill/>
                          <a:prstDash/>
                        </a:ln>
                      </wps:spPr>
                      <wps:txbx>
                        <w:txbxContent>
                          <w:p w14:paraId="1AE11FB0" w14:textId="77777777" w:rsidR="00052596" w:rsidRDefault="00000000">
                            <w:pPr>
                              <w:jc w:val="center"/>
                            </w:pPr>
                            <w:r>
                              <w:rPr>
                                <w:rFonts w:ascii="標楷體" w:eastAsia="標楷體" w:hAnsi="標楷體" w:cs="標楷體"/>
                                <w:b/>
                                <w:bCs/>
                                <w:i/>
                                <w:sz w:val="40"/>
                                <w:szCs w:val="40"/>
                                <w:lang w:val="zh-TW"/>
                              </w:rPr>
                              <w:t>的</w:t>
                            </w:r>
                          </w:p>
                        </w:txbxContent>
                      </wps:txbx>
                      <wps:bodyPr wrap="square" lIns="57607" tIns="28803" rIns="57607" bIns="28803" anchor="t">
                        <a:noAutofit/>
                      </wps:bodyPr>
                    </wps:wsp>
                  </a:graphicData>
                </a:graphic>
              </wp:anchor>
            </w:drawing>
          </mc:Choice>
          <mc:Fallback>
            <w:pict>
              <v:shape w14:anchorId="53A60178" id="文字方塊 7626" o:spid="_x0000_s1099" type="#_x0000_t202" style="position:absolute;left:0;text-align:left;margin-left:187.05pt;margin-top:65.85pt;width:62.9pt;height:28.9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" filled="f" stroked="f">
                <v:textbox inset="1.60019mm,.80008mm,1.60019mm,.80008mm">
                  <w:txbxContent>
                    <w:p w14:paraId="1AE11FB0" w14:textId="77777777" w:rsidR="00052596" w:rsidRDefault="00000000">
                      <w:pPr>
                        <w:jc w:val="center"/>
                      </w:pPr>
                      <w:r>
                        <w:rPr>
                          <w:rFonts w:ascii="標楷體" w:eastAsia="標楷體" w:hAnsi="標楷體" w:cs="標楷體"/>
                          <w:b/>
                          <w:bCs/>
                          <w:i/>
                          <w:sz w:val="40"/>
                          <w:szCs w:val="40"/>
                          <w:lang w:val="zh-TW"/>
                        </w:rPr>
                        <w:t>的</w:t>
                      </w:r>
                    </w:p>
                  </w:txbxContent>
                </v:textbox>
              </v:shape>
            </w:pict>
          </mc:Fallback>
        </mc:AlternateContent>
      </w:r>
    </w:p>
    <w:p w14:paraId="0F931892" w14:textId="77777777" w:rsidR="00052596" w:rsidRDefault="00000000">
      <w:pPr>
        <w:pageBreakBefore/>
        <w:tabs>
          <w:tab w:val="left" w:pos="960"/>
          <w:tab w:val="left" w:pos="1920"/>
          <w:tab w:val="left" w:pos="2880"/>
          <w:tab w:val="left" w:pos="3840"/>
          <w:tab w:val="left" w:pos="4800"/>
          <w:tab w:val="left" w:pos="5760"/>
        </w:tabs>
        <w:overflowPunct w:val="0"/>
        <w:autoSpaceDE w:val="0"/>
        <w:spacing w:before="120" w:after="120" w:line="420" w:lineRule="exact"/>
        <w:ind w:left="144" w:hanging="216"/>
        <w:textAlignment w:val="center"/>
      </w:pPr>
      <w:r>
        <w:rPr>
          <w:rFonts w:eastAsia="標楷體"/>
          <w:b/>
          <w:color w:val="0000FF"/>
          <w:spacing w:val="4"/>
          <w:kern w:val="0"/>
          <w:sz w:val="28"/>
          <w:szCs w:val="22"/>
        </w:rPr>
        <w:lastRenderedPageBreak/>
        <w:t>一、繁榮</w:t>
      </w:r>
    </w:p>
    <w:p w14:paraId="19223F68"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政府將由「活力經濟」、「全面建設」與「廉能政府」等三大面向，打造「繁榮臺灣」，具體實現「富民經濟」，使人民享有所得財富、生活品質、文化水準及心靈發展的全面富足；產業結構轉型升級，法規制度接軌國際，成為全球的創新中心與運籌樞紐。</w:t>
      </w:r>
    </w:p>
    <w:p w14:paraId="51E72C4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660066"/>
          <w:spacing w:val="4"/>
          <w:kern w:val="0"/>
          <w:sz w:val="28"/>
          <w:szCs w:val="22"/>
        </w:rPr>
        <w:t>(一)</w:t>
      </w:r>
      <w:r>
        <w:rPr>
          <w:rFonts w:eastAsia="標楷體"/>
          <w:b/>
          <w:color w:val="660066"/>
          <w:spacing w:val="4"/>
          <w:kern w:val="0"/>
          <w:sz w:val="28"/>
          <w:szCs w:val="22"/>
        </w:rPr>
        <w:t>活力經濟：</w:t>
      </w:r>
      <w:r>
        <w:rPr>
          <w:rFonts w:eastAsia="標楷體"/>
          <w:spacing w:val="4"/>
          <w:kern w:val="0"/>
          <w:sz w:val="28"/>
          <w:szCs w:val="22"/>
        </w:rPr>
        <w:t>透過「開放布局」、「科技創新」、「樂活農業」、「結構調整」、「促進就業」與「穩定物價」等施政主軸，持續開展「壯大臺灣、連結亞太、布局全球」的經濟大戰略，使臺灣具備縱橫全球的運籌能量、尖端的研發能力、綠活精緻的農業、優質先進的產業結構，以及穩定的就業環境與物價水準，推動發展臺灣成為全球創新中心、亞太經貿樞紐與跨國企業營運總部，而達人民生活富足繁榮的境界。</w:t>
      </w:r>
    </w:p>
    <w:p w14:paraId="2C99B1A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660066"/>
          <w:spacing w:val="4"/>
          <w:kern w:val="0"/>
          <w:sz w:val="28"/>
          <w:szCs w:val="22"/>
        </w:rPr>
        <w:t>(二)全面建設：</w:t>
      </w:r>
      <w:r>
        <w:rPr>
          <w:rFonts w:eastAsia="標楷體"/>
          <w:spacing w:val="4"/>
          <w:kern w:val="0"/>
          <w:sz w:val="28"/>
          <w:szCs w:val="22"/>
        </w:rPr>
        <w:t>透過「基礎建設」、「海空樞紐」、「便捷生活」、「區域均衡」、「健全財政」與「金融發展」等施政主軸，使無線寬頻、寬頻匯流網路、雲端運算及智慧電網等知識化、低碳化公共建設完善，軟硬體生活設施達先進國家水準，國民皆能享受優質、便捷的公共服務；開放與鬆綁成果充分顯現，財金體制全面現代化、國際化，亞太海空樞紐建設斐然有成，臺灣成為企業整合全球與大陸市場商機的最佳平臺。</w:t>
      </w:r>
    </w:p>
    <w:p w14:paraId="1F4106B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660066"/>
          <w:spacing w:val="4"/>
          <w:kern w:val="0"/>
          <w:sz w:val="28"/>
          <w:szCs w:val="22"/>
        </w:rPr>
        <w:t>(三)廉能政府：</w:t>
      </w:r>
      <w:r>
        <w:rPr>
          <w:rFonts w:eastAsia="標楷體"/>
          <w:spacing w:val="4"/>
          <w:kern w:val="0"/>
          <w:sz w:val="28"/>
          <w:szCs w:val="22"/>
        </w:rPr>
        <w:t>透過「廉政革新」與「效能躍升」等施政主軸，使臺灣陽光法制完備，防貪、肅貪體制健全，政府清廉度與透明度名列東亞前茅；「人權主流化」成為政府施政的準則與民眾的生活型態，人權價值充分彰顯，司法環境公正友善，人權保護傲視全球；政府服務創新整合，行政效能與服務水準提升，民眾享有彈性、效能、具競爭力的政府服務，使臺灣經濟實力充分發揮。</w:t>
      </w:r>
    </w:p>
    <w:p w14:paraId="1CAAA8E4"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二、和諧</w:t>
      </w:r>
    </w:p>
    <w:p w14:paraId="5A1DFE94"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政府將由「公義社會」、「和平兩岸」與「友善國際」等三大面向，建構「和諧臺灣」，致力追求族群和諧、世代和諧、環境和</w:t>
      </w:r>
      <w:r>
        <w:rPr>
          <w:rFonts w:eastAsia="標楷體"/>
          <w:spacing w:val="4"/>
          <w:kern w:val="0"/>
          <w:sz w:val="28"/>
          <w:szCs w:val="26"/>
        </w:rPr>
        <w:lastRenderedPageBreak/>
        <w:t>諧、區域和諧、兩岸和諧與國際和諧，展現包容、關懷、公義的核心價值，實現經濟成果為全民所共享。</w:t>
      </w:r>
    </w:p>
    <w:p w14:paraId="4BBC661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660066"/>
          <w:spacing w:val="4"/>
          <w:kern w:val="0"/>
          <w:sz w:val="28"/>
          <w:szCs w:val="22"/>
        </w:rPr>
        <w:t>(一)公義社會：</w:t>
      </w:r>
      <w:r>
        <w:rPr>
          <w:rFonts w:eastAsia="標楷體"/>
          <w:spacing w:val="4"/>
          <w:kern w:val="0"/>
          <w:sz w:val="28"/>
          <w:szCs w:val="22"/>
        </w:rPr>
        <w:t>透過「均富共享」、「平安健康」、「扶幼護老」、「族群和諧」、「居住正義」與「性別平等」等施政主軸，架構優質、完善的健康醫療、托育教保與長期照護環境，整體住宅政策彰顯居住正義，全民不分族群、貧富、區位，都獲得妥適的照顧、溫馨的關懷與必要的保障，實現經濟成長果實為全民所共享；文化、性別與族群差異獲得充分尊重與包容，社會展現高度的凝聚力與和諧感。</w:t>
      </w:r>
    </w:p>
    <w:p w14:paraId="15A5FAB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660066"/>
          <w:spacing w:val="4"/>
          <w:kern w:val="0"/>
          <w:sz w:val="28"/>
          <w:szCs w:val="22"/>
        </w:rPr>
        <w:t>(二)和平兩岸：</w:t>
      </w:r>
      <w:r>
        <w:rPr>
          <w:rFonts w:eastAsia="標楷體"/>
          <w:spacing w:val="4"/>
          <w:kern w:val="0"/>
          <w:sz w:val="28"/>
          <w:szCs w:val="22"/>
        </w:rPr>
        <w:t>透過「兩岸關係」與「國防安全」等施政主軸，兩岸關係維持良性發展，互惠、共利成為兩岸互動的核心價值，臺海擁有長期的和平與穩定，世代子孫永遠擺脫戰爭陰霾，自在揮灑、茁壯，共享和平紅利果實；國防實力持續厚植，建構「小而精、小而強、小而巧」的國防勁旅，中華民國主權堅實、穩固，確保臺灣自由、民主、人權、法治等核心價值世代傳承。</w:t>
      </w:r>
    </w:p>
    <w:p w14:paraId="1B8F2CD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660066"/>
          <w:spacing w:val="4"/>
          <w:kern w:val="0"/>
          <w:sz w:val="28"/>
          <w:szCs w:val="22"/>
        </w:rPr>
        <w:t>(三)友善國際：</w:t>
      </w:r>
      <w:r>
        <w:rPr>
          <w:rFonts w:eastAsia="標楷體"/>
          <w:spacing w:val="4"/>
          <w:kern w:val="0"/>
          <w:sz w:val="28"/>
          <w:szCs w:val="22"/>
        </w:rPr>
        <w:t>透過「擴大參與」、「人道援助」、「文化交流」與「觀光升級」等施政主軸，與主要貿易夥伴廣泛簽署經濟合作協議</w:t>
      </w:r>
      <w:r>
        <w:rPr>
          <w:rFonts w:ascii="標楷體" w:eastAsia="標楷體" w:hAnsi="標楷體"/>
          <w:spacing w:val="4"/>
          <w:kern w:val="0"/>
          <w:sz w:val="28"/>
          <w:szCs w:val="22"/>
        </w:rPr>
        <w:t>(</w:t>
      </w:r>
      <w:r>
        <w:rPr>
          <w:rFonts w:eastAsia="標楷體"/>
          <w:spacing w:val="4"/>
          <w:kern w:val="0"/>
          <w:sz w:val="28"/>
          <w:szCs w:val="22"/>
        </w:rPr>
        <w:t>ECA</w:t>
      </w:r>
      <w:r>
        <w:rPr>
          <w:rFonts w:ascii="標楷體" w:eastAsia="標楷體" w:hAnsi="標楷體"/>
          <w:spacing w:val="4"/>
          <w:kern w:val="0"/>
          <w:sz w:val="28"/>
          <w:szCs w:val="22"/>
        </w:rPr>
        <w:t>)</w:t>
      </w:r>
      <w:r>
        <w:rPr>
          <w:rFonts w:eastAsia="標楷體"/>
          <w:spacing w:val="4"/>
          <w:kern w:val="0"/>
          <w:sz w:val="28"/>
          <w:szCs w:val="22"/>
        </w:rPr>
        <w:t>與自由貿易協定</w:t>
      </w:r>
      <w:r>
        <w:rPr>
          <w:rFonts w:ascii="標楷體" w:eastAsia="標楷體" w:hAnsi="標楷體"/>
          <w:spacing w:val="4"/>
          <w:kern w:val="0"/>
          <w:sz w:val="28"/>
          <w:szCs w:val="22"/>
        </w:rPr>
        <w:t>(</w:t>
      </w:r>
      <w:r>
        <w:rPr>
          <w:rFonts w:eastAsia="標楷體"/>
          <w:spacing w:val="4"/>
          <w:kern w:val="0"/>
          <w:sz w:val="28"/>
          <w:szCs w:val="22"/>
        </w:rPr>
        <w:t>FTA</w:t>
      </w:r>
      <w:r>
        <w:rPr>
          <w:rFonts w:ascii="標楷體" w:eastAsia="標楷體" w:hAnsi="標楷體"/>
          <w:spacing w:val="4"/>
          <w:kern w:val="0"/>
          <w:sz w:val="28"/>
          <w:szCs w:val="22"/>
        </w:rPr>
        <w:t>)</w:t>
      </w:r>
      <w:r>
        <w:rPr>
          <w:rFonts w:eastAsia="標楷體"/>
          <w:spacing w:val="4"/>
          <w:kern w:val="0"/>
          <w:sz w:val="28"/>
          <w:szCs w:val="22"/>
        </w:rPr>
        <w:t>，全球經貿縱深大幅拓展，臺灣的國際地位與能見度明顯提升；文化豐富內涵、創新研發能力、人道關懷精神等軟實力在國際舞臺充分發揮；優美與多樣的人文及自然景觀，吸引全球人士來臺觀光旅遊，中華民國成為國際社會的和平的締造者、人道援助的提供者、文化交流的推動者，以及新科技與商機的創造者，受人尊敬、讓人感動。</w:t>
      </w:r>
    </w:p>
    <w:p w14:paraId="5EB749EE"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三、永續</w:t>
      </w:r>
    </w:p>
    <w:p w14:paraId="389C20E7"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政府將由「優質文教」、「永續環境」等面向，營造「永續臺灣」，以永續支持成長，成長延伸永續，讓國家發展生生不息，經濟與環境共存共榮，文化與知識水準持續深化、累積，國家發展永續綿延。</w:t>
      </w:r>
    </w:p>
    <w:p w14:paraId="58A717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660066"/>
          <w:spacing w:val="4"/>
          <w:kern w:val="0"/>
          <w:sz w:val="28"/>
          <w:szCs w:val="22"/>
        </w:rPr>
        <w:lastRenderedPageBreak/>
        <w:t>(一)優質文教：</w:t>
      </w:r>
      <w:r>
        <w:rPr>
          <w:rFonts w:eastAsia="標楷體"/>
          <w:spacing w:val="4"/>
          <w:kern w:val="0"/>
          <w:sz w:val="28"/>
          <w:szCs w:val="22"/>
        </w:rPr>
        <w:t>透過「文化創意」與「教育革新」等施政主軸，讓人文素養深植民心，文化公民權理念獲得落實；核心藝術與創作獲得傳承與創新，文化發展向下扎根，造就臺灣成為中華文化的領航者、華文市場文創產業的龍頭，使國家品牌形象揚名國際；大學教研水準向上提升，學生適性揚才，成為東亞高等教育重鎮、亞太優秀人才聚集中心、華語文產業輸出大國。</w:t>
      </w:r>
    </w:p>
    <w:p w14:paraId="1D4CFEE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660066"/>
          <w:spacing w:val="4"/>
          <w:kern w:val="0"/>
          <w:sz w:val="28"/>
          <w:szCs w:val="22"/>
        </w:rPr>
        <w:t>(二)永續環境：</w:t>
      </w:r>
      <w:r>
        <w:rPr>
          <w:rFonts w:eastAsia="標楷體"/>
          <w:spacing w:val="4"/>
          <w:kern w:val="0"/>
          <w:sz w:val="28"/>
          <w:szCs w:val="22"/>
        </w:rPr>
        <w:t>以「綠能減碳」、「生態家園」與「災害防救」等施政主軸，使綠色、節能、安全的環境與生活設施遍布全臺，友善環境產業快速發展，國人享有精緻的生活品質與生氣盎然的生態環境；與山林河海、濕地原野及水與自然資源共存共榮的思維成為全民生活模式，臺灣成為萬物滋長的美麗園地，同時使民眾免於自然災害的恐懼。</w:t>
      </w:r>
    </w:p>
    <w:p w14:paraId="2DDB41FA" w14:textId="77777777" w:rsidR="00052596" w:rsidRDefault="00052596">
      <w:pPr>
        <w:widowControl/>
        <w:rPr>
          <w:rFonts w:ascii="Calibri" w:hAnsi="Calibri"/>
          <w:kern w:val="0"/>
          <w:szCs w:val="24"/>
        </w:rPr>
      </w:pPr>
    </w:p>
    <w:p w14:paraId="4F7EE2CB" w14:textId="77777777" w:rsidR="00052596" w:rsidRDefault="00052596">
      <w:pPr>
        <w:pageBreakBefore/>
        <w:widowControl/>
        <w:rPr>
          <w:rFonts w:eastAsia="標楷體"/>
          <w:b/>
          <w:spacing w:val="10"/>
          <w:kern w:val="0"/>
          <w:sz w:val="30"/>
          <w:szCs w:val="28"/>
        </w:rPr>
      </w:pPr>
    </w:p>
    <w:p w14:paraId="51CF70D1"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第二節　政策規劃構想</w:t>
      </w:r>
    </w:p>
    <w:p w14:paraId="1E27F16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D657A7F"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為實現「繁榮、和諧、永續的幸福臺灣」願景，「國家發展計畫</w:t>
      </w:r>
      <w:r>
        <w:rPr>
          <w:rFonts w:ascii="標楷體" w:eastAsia="標楷體" w:hAnsi="標楷體"/>
          <w:spacing w:val="4"/>
          <w:kern w:val="0"/>
          <w:sz w:val="28"/>
          <w:szCs w:val="26"/>
        </w:rPr>
        <w:t>(</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w:t>
      </w:r>
      <w:r>
        <w:rPr>
          <w:rFonts w:ascii="標楷體" w:eastAsia="標楷體" w:hAnsi="標楷體"/>
          <w:spacing w:val="4"/>
          <w:kern w:val="0"/>
          <w:sz w:val="28"/>
          <w:szCs w:val="26"/>
        </w:rPr>
        <w:t>)</w:t>
      </w:r>
      <w:r>
        <w:rPr>
          <w:rFonts w:eastAsia="標楷體"/>
          <w:spacing w:val="4"/>
          <w:kern w:val="0"/>
          <w:sz w:val="28"/>
          <w:szCs w:val="26"/>
        </w:rPr>
        <w:t>」將衡酌主客觀情勢，善用既有發展優勢，全力因應充滿挑戰的國際情勢，並克服經社條件轉變、生態環境變遷衍生的國家發展課題。</w:t>
      </w:r>
    </w:p>
    <w:p w14:paraId="3919582B"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一、規劃理念</w:t>
      </w:r>
    </w:p>
    <w:p w14:paraId="1C58312E" w14:textId="77777777" w:rsidR="00052596" w:rsidRDefault="00000000">
      <w:pPr>
        <w:overflowPunct w:val="0"/>
        <w:autoSpaceDE w:val="0"/>
        <w:spacing w:line="420" w:lineRule="exact"/>
        <w:ind w:left="240" w:firstLine="576"/>
        <w:jc w:val="both"/>
        <w:textAlignment w:val="center"/>
      </w:pPr>
      <w:r>
        <w:rPr>
          <w:rFonts w:eastAsia="標楷體"/>
          <w:spacing w:val="4"/>
          <w:kern w:val="0"/>
          <w:sz w:val="28"/>
          <w:szCs w:val="26"/>
        </w:rPr>
        <w:t>面對國際經濟情勢的高度不確定，且潛存下行風險，「國家發展計畫</w:t>
      </w:r>
      <w:r>
        <w:rPr>
          <w:rFonts w:ascii="標楷體" w:eastAsia="標楷體" w:hAnsi="標楷體"/>
          <w:spacing w:val="4"/>
          <w:kern w:val="0"/>
          <w:sz w:val="28"/>
          <w:szCs w:val="26"/>
        </w:rPr>
        <w:t>(</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w:t>
      </w:r>
      <w:r>
        <w:rPr>
          <w:rFonts w:ascii="標楷體" w:eastAsia="標楷體" w:hAnsi="標楷體"/>
          <w:spacing w:val="4"/>
          <w:kern w:val="0"/>
          <w:sz w:val="28"/>
          <w:szCs w:val="26"/>
        </w:rPr>
        <w:t>)</w:t>
      </w:r>
      <w:r>
        <w:rPr>
          <w:rFonts w:eastAsia="標楷體"/>
          <w:spacing w:val="4"/>
          <w:kern w:val="0"/>
          <w:sz w:val="28"/>
          <w:szCs w:val="26"/>
        </w:rPr>
        <w:t>」除追求「量」的成長外，亦特別強調「質」的提升。</w:t>
      </w:r>
      <w:r>
        <w:rPr>
          <w:rFonts w:eastAsia="標楷體"/>
          <w:spacing w:val="6"/>
          <w:kern w:val="0"/>
          <w:sz w:val="28"/>
          <w:szCs w:val="26"/>
        </w:rPr>
        <w:t>未來四年政府將加速經濟結構調整，並致力經濟建設與社會、環境建設的同步開展，使經濟成長兼具均衡性、包容性與永續性。</w:t>
      </w:r>
    </w:p>
    <w:p w14:paraId="7E63771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rPr>
          <w:rFonts w:eastAsia="標楷體"/>
          <w:spacing w:val="4"/>
          <w:kern w:val="0"/>
          <w:sz w:val="28"/>
          <w:szCs w:val="22"/>
        </w:rPr>
      </w:pPr>
      <w:r>
        <w:rPr>
          <w:rFonts w:eastAsia="標楷體"/>
          <w:spacing w:val="4"/>
          <w:kern w:val="0"/>
          <w:sz w:val="28"/>
          <w:szCs w:val="22"/>
        </w:rPr>
        <w:t>－均衡成長：內需、外貿齊進，製造、服務並重，新興、傳統兼顧，力求成長結構與產業結構的均衡發展；同時，透過法規鬆綁，促進投資，進而創造就業、提升薪資水準。</w:t>
      </w:r>
    </w:p>
    <w:p w14:paraId="48DCB53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rPr>
          <w:rFonts w:eastAsia="標楷體"/>
          <w:spacing w:val="4"/>
          <w:kern w:val="0"/>
          <w:sz w:val="28"/>
          <w:szCs w:val="22"/>
        </w:rPr>
      </w:pPr>
      <w:r>
        <w:rPr>
          <w:rFonts w:eastAsia="標楷體"/>
          <w:spacing w:val="4"/>
          <w:kern w:val="0"/>
          <w:sz w:val="28"/>
          <w:szCs w:val="22"/>
        </w:rPr>
        <w:t>－包容成長：落實租稅負擔正義化，持續強化社會福利體制，改善所得差距，使經濟成長果實為全民共享。</w:t>
      </w:r>
    </w:p>
    <w:p w14:paraId="56204B8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504" w:hanging="288"/>
        <w:jc w:val="both"/>
        <w:textAlignment w:val="center"/>
        <w:rPr>
          <w:rFonts w:eastAsia="標楷體"/>
          <w:spacing w:val="4"/>
          <w:kern w:val="0"/>
          <w:sz w:val="28"/>
          <w:szCs w:val="22"/>
        </w:rPr>
      </w:pPr>
      <w:r>
        <w:rPr>
          <w:rFonts w:eastAsia="標楷體"/>
          <w:spacing w:val="4"/>
          <w:kern w:val="0"/>
          <w:sz w:val="28"/>
          <w:szCs w:val="22"/>
        </w:rPr>
        <w:t>－綠色成長：完善綠色法制，促進外部成本內部化，加速綠色產業發展，並強化環境基礎建設，使經濟發展與環境保護兼容並蓄。</w:t>
      </w:r>
    </w:p>
    <w:p w14:paraId="2FFD75DF" w14:textId="77777777" w:rsidR="00052596" w:rsidRDefault="00000000">
      <w:pPr>
        <w:tabs>
          <w:tab w:val="left" w:pos="960"/>
          <w:tab w:val="left" w:pos="1920"/>
          <w:tab w:val="left" w:pos="2880"/>
          <w:tab w:val="left" w:pos="3840"/>
          <w:tab w:val="left" w:pos="4800"/>
          <w:tab w:val="left" w:pos="5760"/>
        </w:tabs>
        <w:overflowPunct w:val="0"/>
        <w:autoSpaceDE w:val="0"/>
        <w:spacing w:after="120" w:line="420" w:lineRule="exact"/>
        <w:ind w:left="144" w:hanging="216"/>
        <w:jc w:val="both"/>
        <w:textAlignment w:val="center"/>
      </w:pPr>
      <w:r>
        <w:rPr>
          <w:noProof/>
        </w:rPr>
        <mc:AlternateContent>
          <mc:Choice Requires="wpg">
            <w:drawing>
              <wp:anchor distT="0" distB="0" distL="114300" distR="114300" simplePos="0" relativeHeight="251681280" behindDoc="0" locked="0" layoutInCell="1" allowOverlap="1" wp14:anchorId="032547F5" wp14:editId="48463F72">
                <wp:simplePos x="0" y="0"/>
                <wp:positionH relativeFrom="column">
                  <wp:posOffset>925830</wp:posOffset>
                </wp:positionH>
                <wp:positionV relativeFrom="paragraph">
                  <wp:posOffset>156847</wp:posOffset>
                </wp:positionV>
                <wp:extent cx="3910960" cy="2675250"/>
                <wp:effectExtent l="0" t="0" r="13340" b="10800"/>
                <wp:wrapNone/>
                <wp:docPr id="182" name="群組 9"/>
                <wp:cNvGraphicFramePr/>
                <a:graphic xmlns:a="http://schemas.openxmlformats.org/drawingml/2006/main">
                  <a:graphicData uri="http://schemas.microsoft.com/office/word/2010/wordprocessingGroup">
                    <wpg:wgp>
                      <wpg:cNvGrpSpPr/>
                      <wpg:grpSpPr>
                        <a:xfrm>
                          <a:off x="0" y="0"/>
                          <a:ext cx="3910960" cy="2675250"/>
                          <a:chOff x="0" y="0"/>
                          <a:chExt cx="3910960" cy="2675250"/>
                        </a:xfrm>
                      </wpg:grpSpPr>
                      <wps:wsp>
                        <wps:cNvPr id="183" name="文字方塊 2"/>
                        <wps:cNvSpPr txBox="1"/>
                        <wps:spPr>
                          <a:xfrm>
                            <a:off x="953774" y="0"/>
                            <a:ext cx="2203447" cy="438153"/>
                          </a:xfrm>
                          <a:prstGeom prst="rect">
                            <a:avLst/>
                          </a:prstGeom>
                        </wps:spPr>
                        <wps:txbx>
                          <w:txbxContent>
                            <w:p w14:paraId="3914C085" w14:textId="77777777" w:rsidR="00052596" w:rsidRDefault="00000000">
                              <w:pPr>
                                <w:overflowPunct w:val="0"/>
                                <w:autoSpaceDE w:val="0"/>
                                <w:rPr>
                                  <w:rFonts w:eastAsia="標楷體"/>
                                  <w:b/>
                                  <w:color w:val="0000FF"/>
                                  <w:spacing w:val="4"/>
                                  <w:sz w:val="28"/>
                                  <w:szCs w:val="28"/>
                                </w:rPr>
                              </w:pPr>
                              <w:r>
                                <w:rPr>
                                  <w:rFonts w:eastAsia="標楷體"/>
                                  <w:b/>
                                  <w:color w:val="0000FF"/>
                                  <w:spacing w:val="4"/>
                                  <w:sz w:val="28"/>
                                  <w:szCs w:val="28"/>
                                </w:rPr>
                                <w:t>圖</w:t>
                              </w:r>
                              <w:r>
                                <w:rPr>
                                  <w:rFonts w:eastAsia="標楷體"/>
                                  <w:b/>
                                  <w:color w:val="0000FF"/>
                                  <w:spacing w:val="4"/>
                                  <w:sz w:val="28"/>
                                  <w:szCs w:val="28"/>
                                </w:rPr>
                                <w:t>2.2.1</w:t>
                              </w:r>
                              <w:r>
                                <w:rPr>
                                  <w:rFonts w:eastAsia="標楷體"/>
                                  <w:b/>
                                  <w:color w:val="0000FF"/>
                                  <w:spacing w:val="4"/>
                                  <w:sz w:val="28"/>
                                  <w:szCs w:val="28"/>
                                </w:rPr>
                                <w:t xml:space="preserve">　規劃理念</w:t>
                              </w:r>
                            </w:p>
                          </w:txbxContent>
                        </wps:txbx>
                        <wps:bodyPr wrap="square" lIns="91440" tIns="45720" rIns="91440" bIns="45720" anchor="t">
                          <a:noAutofit/>
                        </wps:bodyPr>
                      </wps:wsp>
                      <wps:wsp>
                        <wps:cNvPr id="184" name="圓角矩形 20"/>
                        <wps:cNvSpPr/>
                        <wps:spPr>
                          <a:xfrm>
                            <a:off x="2904491" y="1708144"/>
                            <a:ext cx="702945" cy="428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gradFill>
                            <a:gsLst>
                              <a:gs pos="0">
                                <a:srgbClr val="AEF3E9"/>
                              </a:gs>
                              <a:gs pos="100000">
                                <a:srgbClr val="C6F5EF"/>
                              </a:gs>
                            </a:gsLst>
                            <a:lin ang="16200000"/>
                          </a:gradFill>
                          <a:ln>
                            <a:noFill/>
                            <a:prstDash val="solid"/>
                          </a:ln>
                          <a:effectLst>
                            <a:outerShdw dist="19997" dir="5400000" algn="tl">
                              <a:srgbClr val="000000">
                                <a:alpha val="37999"/>
                              </a:srgbClr>
                            </a:outerShdw>
                          </a:effectLst>
                        </wps:spPr>
                        <wps:txbx>
                          <w:txbxContent>
                            <w:p w14:paraId="35350989" w14:textId="77777777" w:rsidR="00052596" w:rsidRDefault="00000000">
                              <w:pPr>
                                <w:pStyle w:val="Web"/>
                                <w:spacing w:before="48"/>
                                <w:jc w:val="center"/>
                              </w:pPr>
                              <w:r>
                                <w:rPr>
                                  <w:rFonts w:ascii="標楷體" w:eastAsia="標楷體" w:hAnsi="標楷體"/>
                                  <w:b/>
                                  <w:bCs/>
                                  <w:color w:val="006600"/>
                                </w:rPr>
                                <w:t>永續</w:t>
                              </w:r>
                            </w:p>
                          </w:txbxContent>
                        </wps:txbx>
                        <wps:bodyPr wrap="square" lIns="91440" tIns="45720" rIns="91440" bIns="45720" anchor="t">
                          <a:noAutofit/>
                        </wps:bodyPr>
                      </wps:wsp>
                      <wps:wsp>
                        <wps:cNvPr id="185" name="圓角矩形 76"/>
                        <wps:cNvSpPr/>
                        <wps:spPr>
                          <a:xfrm>
                            <a:off x="1235070" y="1184276"/>
                            <a:ext cx="1315721" cy="53721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5873">
                            <a:solidFill>
                              <a:srgbClr val="E46C0A"/>
                            </a:solidFill>
                            <a:prstDash val="solid"/>
                            <a:round/>
                          </a:ln>
                        </wps:spPr>
                        <wps:txbx>
                          <w:txbxContent>
                            <w:p w14:paraId="0C672937" w14:textId="77777777" w:rsidR="00052596" w:rsidRDefault="00000000">
                              <w:pPr>
                                <w:pStyle w:val="Web"/>
                                <w:spacing w:before="24"/>
                                <w:ind w:left="-72"/>
                                <w:jc w:val="center"/>
                              </w:pPr>
                              <w:r>
                                <w:rPr>
                                  <w:rFonts w:ascii="標楷體" w:eastAsia="標楷體" w:hAnsi="標楷體"/>
                                  <w:b/>
                                  <w:bCs/>
                                  <w:color w:val="000099"/>
                                  <w:sz w:val="22"/>
                                  <w:szCs w:val="22"/>
                                </w:rPr>
                                <w:t>繁榮、和諧、永續</w:t>
                              </w:r>
                            </w:p>
                            <w:p w14:paraId="6CA4D3E8" w14:textId="77777777" w:rsidR="00052596" w:rsidRDefault="00000000">
                              <w:pPr>
                                <w:pStyle w:val="Web"/>
                                <w:spacing w:before="24"/>
                                <w:jc w:val="center"/>
                              </w:pPr>
                              <w:r>
                                <w:rPr>
                                  <w:rFonts w:ascii="標楷體" w:eastAsia="標楷體" w:hAnsi="標楷體"/>
                                  <w:b/>
                                  <w:bCs/>
                                  <w:color w:val="000099"/>
                                  <w:sz w:val="22"/>
                                  <w:szCs w:val="22"/>
                                </w:rPr>
                                <w:t>的幸福臺灣</w:t>
                              </w:r>
                            </w:p>
                          </w:txbxContent>
                        </wps:txbx>
                        <wps:bodyPr wrap="square" lIns="91440" tIns="45720" rIns="91440" bIns="45720" anchor="ctr">
                          <a:noAutofit/>
                        </wps:bodyPr>
                      </wps:wsp>
                      <wps:wsp>
                        <wps:cNvPr id="186" name="圓角矩形 15"/>
                        <wps:cNvSpPr/>
                        <wps:spPr>
                          <a:xfrm>
                            <a:off x="298451" y="1714500"/>
                            <a:ext cx="702945" cy="42925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gradFill>
                            <a:gsLst>
                              <a:gs pos="0">
                                <a:srgbClr val="C9B5E8"/>
                              </a:gs>
                              <a:gs pos="100000">
                                <a:srgbClr val="D9CBEE"/>
                              </a:gs>
                            </a:gsLst>
                            <a:lin ang="16200000"/>
                          </a:gradFill>
                          <a:ln>
                            <a:noFill/>
                            <a:prstDash val="solid"/>
                          </a:ln>
                          <a:effectLst>
                            <a:outerShdw dist="19997" dir="5400000" algn="tl">
                              <a:srgbClr val="000000">
                                <a:alpha val="37999"/>
                              </a:srgbClr>
                            </a:outerShdw>
                          </a:effectLst>
                        </wps:spPr>
                        <wps:txbx>
                          <w:txbxContent>
                            <w:p w14:paraId="7A863F74" w14:textId="77777777" w:rsidR="00052596" w:rsidRDefault="00000000">
                              <w:pPr>
                                <w:pStyle w:val="Web"/>
                                <w:spacing w:before="48"/>
                                <w:jc w:val="center"/>
                                <w:rPr>
                                  <w:rFonts w:ascii="標楷體" w:eastAsia="標楷體" w:hAnsi="標楷體"/>
                                  <w:b/>
                                  <w:bCs/>
                                  <w:color w:val="660066"/>
                                </w:rPr>
                              </w:pPr>
                              <w:r>
                                <w:rPr>
                                  <w:rFonts w:ascii="標楷體" w:eastAsia="標楷體" w:hAnsi="標楷體"/>
                                  <w:b/>
                                  <w:bCs/>
                                  <w:color w:val="660066"/>
                                </w:rPr>
                                <w:t>和諧</w:t>
                              </w:r>
                            </w:p>
                            <w:p w14:paraId="0B3D2CFF" w14:textId="77777777" w:rsidR="00052596" w:rsidRDefault="00052596">
                              <w:pPr>
                                <w:spacing w:before="48"/>
                              </w:pPr>
                            </w:p>
                          </w:txbxContent>
                        </wps:txbx>
                        <wps:bodyPr wrap="square" lIns="91440" tIns="45720" rIns="91440" bIns="45720" anchor="t">
                          <a:noAutofit/>
                        </wps:bodyPr>
                      </wps:wsp>
                      <wps:wsp>
                        <wps:cNvPr id="187" name="圓角矩形 23"/>
                        <wps:cNvSpPr/>
                        <wps:spPr>
                          <a:xfrm>
                            <a:off x="1497330" y="398779"/>
                            <a:ext cx="702314" cy="428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gradFill>
                            <a:gsLst>
                              <a:gs pos="0">
                                <a:srgbClr val="DAFDA7"/>
                              </a:gs>
                              <a:gs pos="100000">
                                <a:srgbClr val="E4FDC2"/>
                              </a:gs>
                            </a:gsLst>
                            <a:lin ang="16200000"/>
                          </a:gradFill>
                          <a:ln>
                            <a:noFill/>
                            <a:prstDash val="solid"/>
                          </a:ln>
                          <a:effectLst>
                            <a:outerShdw dist="19997" dir="5400000" algn="tl">
                              <a:srgbClr val="000000">
                                <a:alpha val="37999"/>
                              </a:srgbClr>
                            </a:outerShdw>
                          </a:effectLst>
                        </wps:spPr>
                        <wps:txbx>
                          <w:txbxContent>
                            <w:p w14:paraId="5A6B483E" w14:textId="77777777" w:rsidR="00052596" w:rsidRDefault="00000000">
                              <w:pPr>
                                <w:pStyle w:val="Web"/>
                                <w:spacing w:before="48"/>
                                <w:jc w:val="center"/>
                              </w:pPr>
                              <w:r>
                                <w:rPr>
                                  <w:rFonts w:ascii="標楷體" w:eastAsia="標楷體" w:hAnsi="標楷體"/>
                                  <w:b/>
                                  <w:bCs/>
                                  <w:color w:val="800000"/>
                                </w:rPr>
                                <w:t>繁榮</w:t>
                              </w:r>
                            </w:p>
                          </w:txbxContent>
                        </wps:txbx>
                        <wps:bodyPr wrap="square" lIns="91440" tIns="45720" rIns="91440" bIns="45720" anchor="t">
                          <a:noAutofit/>
                        </wps:bodyPr>
                      </wps:wsp>
                      <wps:wsp>
                        <wps:cNvPr id="188" name="上-下雙向箭號 79"/>
                        <wps:cNvSpPr/>
                        <wps:spPr>
                          <a:xfrm>
                            <a:off x="1809112" y="876296"/>
                            <a:ext cx="121916" cy="241301"/>
                          </a:xfrm>
                          <a:custGeom>
                            <a:avLst>
                              <a:gd name="f9" fmla="val 50000"/>
                              <a:gd name="f10" fmla="val 47088"/>
                            </a:avLst>
                            <a:gdLst>
                              <a:gd name="f2" fmla="val 10800000"/>
                              <a:gd name="f3" fmla="val 5400000"/>
                              <a:gd name="f4" fmla="val 180"/>
                              <a:gd name="f5" fmla="val w"/>
                              <a:gd name="f6" fmla="val h"/>
                              <a:gd name="f7" fmla="val ss"/>
                              <a:gd name="f8" fmla="val 0"/>
                              <a:gd name="f9" fmla="val 50000"/>
                              <a:gd name="f10" fmla="val 47088"/>
                              <a:gd name="f11" fmla="+- 0 0 -270"/>
                              <a:gd name="f12" fmla="+- 0 0 -90"/>
                              <a:gd name="f13" fmla="abs f5"/>
                              <a:gd name="f14" fmla="abs f6"/>
                              <a:gd name="f15" fmla="abs f7"/>
                              <a:gd name="f16" fmla="val f8"/>
                              <a:gd name="f17" fmla="val f9"/>
                              <a:gd name="f18" fmla="val f10"/>
                              <a:gd name="f19" fmla="*/ f11 f2 1"/>
                              <a:gd name="f20" fmla="*/ f12 f2 1"/>
                              <a:gd name="f21" fmla="?: f13 f5 1"/>
                              <a:gd name="f22" fmla="?: f14 f6 1"/>
                              <a:gd name="f23" fmla="?: f15 f7 1"/>
                              <a:gd name="f24" fmla="*/ f19 1 f4"/>
                              <a:gd name="f25" fmla="*/ f20 1 f4"/>
                              <a:gd name="f26" fmla="*/ f21 1 21600"/>
                              <a:gd name="f27" fmla="*/ f22 1 21600"/>
                              <a:gd name="f28" fmla="*/ 21600 f21 1"/>
                              <a:gd name="f29" fmla="*/ 21600 f22 1"/>
                              <a:gd name="f30" fmla="+- f24 0 f3"/>
                              <a:gd name="f31" fmla="+- f25 0 f3"/>
                              <a:gd name="f32" fmla="min f27 f26"/>
                              <a:gd name="f33" fmla="*/ f28 1 f23"/>
                              <a:gd name="f34" fmla="*/ f29 1 f23"/>
                              <a:gd name="f35" fmla="val f33"/>
                              <a:gd name="f36" fmla="val f34"/>
                              <a:gd name="f37" fmla="*/ f16 f32 1"/>
                              <a:gd name="f38" fmla="+- f36 0 f16"/>
                              <a:gd name="f39" fmla="+- f35 0 f16"/>
                              <a:gd name="f40" fmla="*/ f35 f32 1"/>
                              <a:gd name="f41" fmla="*/ f36 f32 1"/>
                              <a:gd name="f42" fmla="*/ f38 1 2"/>
                              <a:gd name="f43" fmla="*/ f39 1 2"/>
                              <a:gd name="f44" fmla="min f39 f38"/>
                              <a:gd name="f45" fmla="*/ f39 f17 1"/>
                              <a:gd name="f46" fmla="+- f16 f42 0"/>
                              <a:gd name="f47" fmla="+- f16 f43 0"/>
                              <a:gd name="f48" fmla="*/ f44 f18 1"/>
                              <a:gd name="f49" fmla="*/ f45 1 200000"/>
                              <a:gd name="f50" fmla="*/ f48 1 100000"/>
                              <a:gd name="f51" fmla="+- f47 0 f49"/>
                              <a:gd name="f52" fmla="+- f47 f49 0"/>
                              <a:gd name="f53" fmla="*/ f47 f32 1"/>
                              <a:gd name="f54" fmla="*/ f46 f32 1"/>
                              <a:gd name="f55" fmla="+- f36 0 f50"/>
                              <a:gd name="f56" fmla="*/ f51 f50 1"/>
                              <a:gd name="f57" fmla="*/ f51 f32 1"/>
                              <a:gd name="f58" fmla="*/ f52 f32 1"/>
                              <a:gd name="f59" fmla="*/ f50 f32 1"/>
                              <a:gd name="f60" fmla="*/ f56 1 f43"/>
                              <a:gd name="f61" fmla="*/ f55 f32 1"/>
                              <a:gd name="f62" fmla="+- f50 0 f60"/>
                              <a:gd name="f63" fmla="+- f55 f60 0"/>
                              <a:gd name="f64" fmla="*/ f62 f32 1"/>
                              <a:gd name="f65" fmla="*/ f63 f32 1"/>
                            </a:gdLst>
                            <a:ahLst/>
                            <a:cxnLst>
                              <a:cxn ang="3cd4">
                                <a:pos x="hc" y="t"/>
                              </a:cxn>
                              <a:cxn ang="0">
                                <a:pos x="r" y="vc"/>
                              </a:cxn>
                              <a:cxn ang="cd4">
                                <a:pos x="hc" y="b"/>
                              </a:cxn>
                              <a:cxn ang="cd2">
                                <a:pos x="l" y="vc"/>
                              </a:cxn>
                              <a:cxn ang="f30">
                                <a:pos x="f37" y="f59"/>
                              </a:cxn>
                              <a:cxn ang="f30">
                                <a:pos x="f57" y="f54"/>
                              </a:cxn>
                              <a:cxn ang="f30">
                                <a:pos x="f37" y="f61"/>
                              </a:cxn>
                              <a:cxn ang="f31">
                                <a:pos x="f40" y="f61"/>
                              </a:cxn>
                              <a:cxn ang="f31">
                                <a:pos x="f58" y="f54"/>
                              </a:cxn>
                              <a:cxn ang="f31">
                                <a:pos x="f40" y="f59"/>
                              </a:cxn>
                            </a:cxnLst>
                            <a:rect l="f57" t="f64" r="f58" b="f65"/>
                            <a:pathLst>
                              <a:path>
                                <a:moveTo>
                                  <a:pt x="f37" y="f59"/>
                                </a:moveTo>
                                <a:lnTo>
                                  <a:pt x="f53" y="f37"/>
                                </a:lnTo>
                                <a:lnTo>
                                  <a:pt x="f40" y="f59"/>
                                </a:lnTo>
                                <a:lnTo>
                                  <a:pt x="f58" y="f59"/>
                                </a:lnTo>
                                <a:lnTo>
                                  <a:pt x="f58" y="f61"/>
                                </a:lnTo>
                                <a:lnTo>
                                  <a:pt x="f40" y="f61"/>
                                </a:lnTo>
                                <a:lnTo>
                                  <a:pt x="f53" y="f41"/>
                                </a:lnTo>
                                <a:lnTo>
                                  <a:pt x="f37" y="f61"/>
                                </a:lnTo>
                                <a:lnTo>
                                  <a:pt x="f57" y="f61"/>
                                </a:lnTo>
                                <a:lnTo>
                                  <a:pt x="f57" y="f59"/>
                                </a:lnTo>
                                <a:close/>
                              </a:path>
                            </a:pathLst>
                          </a:custGeom>
                          <a:solidFill>
                            <a:srgbClr val="9F9F9F"/>
                          </a:solidFill>
                          <a:ln w="19046">
                            <a:solidFill>
                              <a:srgbClr val="595959"/>
                            </a:solidFill>
                            <a:prstDash val="solid"/>
                            <a:miter/>
                          </a:ln>
                        </wps:spPr>
                        <wps:txbx>
                          <w:txbxContent>
                            <w:p w14:paraId="27A78906" w14:textId="77777777" w:rsidR="00052596" w:rsidRDefault="00052596"/>
                          </w:txbxContent>
                        </wps:txbx>
                        <wps:bodyPr wrap="square" lIns="91440" tIns="45720" rIns="91440" bIns="45720" anchor="ctr">
                          <a:noAutofit/>
                        </wps:bodyPr>
                      </wps:wsp>
                      <wps:wsp>
                        <wps:cNvPr id="189" name="上-下雙向箭號 80"/>
                        <wps:cNvSpPr/>
                        <wps:spPr>
                          <a:xfrm rot="2699990" flipH="1">
                            <a:off x="1057916" y="1637663"/>
                            <a:ext cx="120645" cy="240030"/>
                          </a:xfrm>
                          <a:custGeom>
                            <a:avLst>
                              <a:gd name="f9" fmla="val 50000"/>
                              <a:gd name="f10" fmla="val 47536"/>
                            </a:avLst>
                            <a:gdLst>
                              <a:gd name="f2" fmla="val 10800000"/>
                              <a:gd name="f3" fmla="val 5400000"/>
                              <a:gd name="f4" fmla="val 180"/>
                              <a:gd name="f5" fmla="val w"/>
                              <a:gd name="f6" fmla="val h"/>
                              <a:gd name="f7" fmla="val ss"/>
                              <a:gd name="f8" fmla="val 0"/>
                              <a:gd name="f9" fmla="val 50000"/>
                              <a:gd name="f10" fmla="val 47536"/>
                              <a:gd name="f11" fmla="+- 0 0 -270"/>
                              <a:gd name="f12" fmla="+- 0 0 -90"/>
                              <a:gd name="f13" fmla="abs f5"/>
                              <a:gd name="f14" fmla="abs f6"/>
                              <a:gd name="f15" fmla="abs f7"/>
                              <a:gd name="f16" fmla="val f8"/>
                              <a:gd name="f17" fmla="val f9"/>
                              <a:gd name="f18" fmla="val f10"/>
                              <a:gd name="f19" fmla="*/ f11 f2 1"/>
                              <a:gd name="f20" fmla="*/ f12 f2 1"/>
                              <a:gd name="f21" fmla="?: f13 f5 1"/>
                              <a:gd name="f22" fmla="?: f14 f6 1"/>
                              <a:gd name="f23" fmla="?: f15 f7 1"/>
                              <a:gd name="f24" fmla="*/ f19 1 f4"/>
                              <a:gd name="f25" fmla="*/ f20 1 f4"/>
                              <a:gd name="f26" fmla="*/ f21 1 21600"/>
                              <a:gd name="f27" fmla="*/ f22 1 21600"/>
                              <a:gd name="f28" fmla="*/ 21600 f21 1"/>
                              <a:gd name="f29" fmla="*/ 21600 f22 1"/>
                              <a:gd name="f30" fmla="+- f24 0 f3"/>
                              <a:gd name="f31" fmla="+- f25 0 f3"/>
                              <a:gd name="f32" fmla="min f27 f26"/>
                              <a:gd name="f33" fmla="*/ f28 1 f23"/>
                              <a:gd name="f34" fmla="*/ f29 1 f23"/>
                              <a:gd name="f35" fmla="val f33"/>
                              <a:gd name="f36" fmla="val f34"/>
                              <a:gd name="f37" fmla="*/ f16 f32 1"/>
                              <a:gd name="f38" fmla="+- f36 0 f16"/>
                              <a:gd name="f39" fmla="+- f35 0 f16"/>
                              <a:gd name="f40" fmla="*/ f35 f32 1"/>
                              <a:gd name="f41" fmla="*/ f36 f32 1"/>
                              <a:gd name="f42" fmla="*/ f38 1 2"/>
                              <a:gd name="f43" fmla="*/ f39 1 2"/>
                              <a:gd name="f44" fmla="min f39 f38"/>
                              <a:gd name="f45" fmla="*/ f39 f17 1"/>
                              <a:gd name="f46" fmla="+- f16 f42 0"/>
                              <a:gd name="f47" fmla="+- f16 f43 0"/>
                              <a:gd name="f48" fmla="*/ f44 f18 1"/>
                              <a:gd name="f49" fmla="*/ f45 1 200000"/>
                              <a:gd name="f50" fmla="*/ f48 1 100000"/>
                              <a:gd name="f51" fmla="+- f47 0 f49"/>
                              <a:gd name="f52" fmla="+- f47 f49 0"/>
                              <a:gd name="f53" fmla="*/ f47 f32 1"/>
                              <a:gd name="f54" fmla="*/ f46 f32 1"/>
                              <a:gd name="f55" fmla="+- f36 0 f50"/>
                              <a:gd name="f56" fmla="*/ f51 f50 1"/>
                              <a:gd name="f57" fmla="*/ f51 f32 1"/>
                              <a:gd name="f58" fmla="*/ f52 f32 1"/>
                              <a:gd name="f59" fmla="*/ f50 f32 1"/>
                              <a:gd name="f60" fmla="*/ f56 1 f43"/>
                              <a:gd name="f61" fmla="*/ f55 f32 1"/>
                              <a:gd name="f62" fmla="+- f50 0 f60"/>
                              <a:gd name="f63" fmla="+- f55 f60 0"/>
                              <a:gd name="f64" fmla="*/ f62 f32 1"/>
                              <a:gd name="f65" fmla="*/ f63 f32 1"/>
                            </a:gdLst>
                            <a:ahLst/>
                            <a:cxnLst>
                              <a:cxn ang="3cd4">
                                <a:pos x="hc" y="t"/>
                              </a:cxn>
                              <a:cxn ang="0">
                                <a:pos x="r" y="vc"/>
                              </a:cxn>
                              <a:cxn ang="cd4">
                                <a:pos x="hc" y="b"/>
                              </a:cxn>
                              <a:cxn ang="cd2">
                                <a:pos x="l" y="vc"/>
                              </a:cxn>
                              <a:cxn ang="f30">
                                <a:pos x="f37" y="f59"/>
                              </a:cxn>
                              <a:cxn ang="f30">
                                <a:pos x="f57" y="f54"/>
                              </a:cxn>
                              <a:cxn ang="f30">
                                <a:pos x="f37" y="f61"/>
                              </a:cxn>
                              <a:cxn ang="f31">
                                <a:pos x="f40" y="f61"/>
                              </a:cxn>
                              <a:cxn ang="f31">
                                <a:pos x="f58" y="f54"/>
                              </a:cxn>
                              <a:cxn ang="f31">
                                <a:pos x="f40" y="f59"/>
                              </a:cxn>
                            </a:cxnLst>
                            <a:rect l="f57" t="f64" r="f58" b="f65"/>
                            <a:pathLst>
                              <a:path>
                                <a:moveTo>
                                  <a:pt x="f37" y="f59"/>
                                </a:moveTo>
                                <a:lnTo>
                                  <a:pt x="f53" y="f37"/>
                                </a:lnTo>
                                <a:lnTo>
                                  <a:pt x="f40" y="f59"/>
                                </a:lnTo>
                                <a:lnTo>
                                  <a:pt x="f58" y="f59"/>
                                </a:lnTo>
                                <a:lnTo>
                                  <a:pt x="f58" y="f61"/>
                                </a:lnTo>
                                <a:lnTo>
                                  <a:pt x="f40" y="f61"/>
                                </a:lnTo>
                                <a:lnTo>
                                  <a:pt x="f53" y="f41"/>
                                </a:lnTo>
                                <a:lnTo>
                                  <a:pt x="f37" y="f61"/>
                                </a:lnTo>
                                <a:lnTo>
                                  <a:pt x="f57" y="f61"/>
                                </a:lnTo>
                                <a:lnTo>
                                  <a:pt x="f57" y="f59"/>
                                </a:lnTo>
                                <a:close/>
                              </a:path>
                            </a:pathLst>
                          </a:custGeom>
                          <a:solidFill>
                            <a:srgbClr val="9F9F9F"/>
                          </a:solidFill>
                          <a:ln w="19046">
                            <a:solidFill>
                              <a:srgbClr val="595959"/>
                            </a:solidFill>
                            <a:prstDash val="solid"/>
                            <a:miter/>
                          </a:ln>
                        </wps:spPr>
                        <wps:txbx>
                          <w:txbxContent>
                            <w:p w14:paraId="0352E175" w14:textId="77777777" w:rsidR="00052596" w:rsidRDefault="00052596"/>
                          </w:txbxContent>
                        </wps:txbx>
                        <wps:bodyPr wrap="square" lIns="91440" tIns="45720" rIns="91440" bIns="45720" anchor="ctr">
                          <a:noAutofit/>
                        </wps:bodyPr>
                      </wps:wsp>
                      <wps:wsp>
                        <wps:cNvPr id="190" name="上-下雙向箭號 81"/>
                        <wps:cNvSpPr/>
                        <wps:spPr>
                          <a:xfrm rot="7499995">
                            <a:off x="2620655" y="1619250"/>
                            <a:ext cx="114930" cy="254632"/>
                          </a:xfrm>
                          <a:custGeom>
                            <a:avLst>
                              <a:gd name="f9" fmla="val 50000"/>
                              <a:gd name="f10" fmla="val 52935"/>
                            </a:avLst>
                            <a:gdLst>
                              <a:gd name="f2" fmla="val 10800000"/>
                              <a:gd name="f3" fmla="val 5400000"/>
                              <a:gd name="f4" fmla="val 180"/>
                              <a:gd name="f5" fmla="val w"/>
                              <a:gd name="f6" fmla="val h"/>
                              <a:gd name="f7" fmla="val ss"/>
                              <a:gd name="f8" fmla="val 0"/>
                              <a:gd name="f9" fmla="val 50000"/>
                              <a:gd name="f10" fmla="val 52935"/>
                              <a:gd name="f11" fmla="+- 0 0 -270"/>
                              <a:gd name="f12" fmla="+- 0 0 -90"/>
                              <a:gd name="f13" fmla="abs f5"/>
                              <a:gd name="f14" fmla="abs f6"/>
                              <a:gd name="f15" fmla="abs f7"/>
                              <a:gd name="f16" fmla="val f8"/>
                              <a:gd name="f17" fmla="val f9"/>
                              <a:gd name="f18" fmla="val f10"/>
                              <a:gd name="f19" fmla="*/ f11 f2 1"/>
                              <a:gd name="f20" fmla="*/ f12 f2 1"/>
                              <a:gd name="f21" fmla="?: f13 f5 1"/>
                              <a:gd name="f22" fmla="?: f14 f6 1"/>
                              <a:gd name="f23" fmla="?: f15 f7 1"/>
                              <a:gd name="f24" fmla="*/ f19 1 f4"/>
                              <a:gd name="f25" fmla="*/ f20 1 f4"/>
                              <a:gd name="f26" fmla="*/ f21 1 21600"/>
                              <a:gd name="f27" fmla="*/ f22 1 21600"/>
                              <a:gd name="f28" fmla="*/ 21600 f21 1"/>
                              <a:gd name="f29" fmla="*/ 21600 f22 1"/>
                              <a:gd name="f30" fmla="+- f24 0 f3"/>
                              <a:gd name="f31" fmla="+- f25 0 f3"/>
                              <a:gd name="f32" fmla="min f27 f26"/>
                              <a:gd name="f33" fmla="*/ f28 1 f23"/>
                              <a:gd name="f34" fmla="*/ f29 1 f23"/>
                              <a:gd name="f35" fmla="val f33"/>
                              <a:gd name="f36" fmla="val f34"/>
                              <a:gd name="f37" fmla="*/ f16 f32 1"/>
                              <a:gd name="f38" fmla="+- f36 0 f16"/>
                              <a:gd name="f39" fmla="+- f35 0 f16"/>
                              <a:gd name="f40" fmla="*/ f35 f32 1"/>
                              <a:gd name="f41" fmla="*/ f36 f32 1"/>
                              <a:gd name="f42" fmla="*/ f38 1 2"/>
                              <a:gd name="f43" fmla="*/ f39 1 2"/>
                              <a:gd name="f44" fmla="min f39 f38"/>
                              <a:gd name="f45" fmla="*/ f39 f17 1"/>
                              <a:gd name="f46" fmla="+- f16 f42 0"/>
                              <a:gd name="f47" fmla="+- f16 f43 0"/>
                              <a:gd name="f48" fmla="*/ f44 f18 1"/>
                              <a:gd name="f49" fmla="*/ f45 1 200000"/>
                              <a:gd name="f50" fmla="*/ f48 1 100000"/>
                              <a:gd name="f51" fmla="+- f47 0 f49"/>
                              <a:gd name="f52" fmla="+- f47 f49 0"/>
                              <a:gd name="f53" fmla="*/ f47 f32 1"/>
                              <a:gd name="f54" fmla="*/ f46 f32 1"/>
                              <a:gd name="f55" fmla="+- f36 0 f50"/>
                              <a:gd name="f56" fmla="*/ f51 f50 1"/>
                              <a:gd name="f57" fmla="*/ f51 f32 1"/>
                              <a:gd name="f58" fmla="*/ f52 f32 1"/>
                              <a:gd name="f59" fmla="*/ f50 f32 1"/>
                              <a:gd name="f60" fmla="*/ f56 1 f43"/>
                              <a:gd name="f61" fmla="*/ f55 f32 1"/>
                              <a:gd name="f62" fmla="+- f50 0 f60"/>
                              <a:gd name="f63" fmla="+- f55 f60 0"/>
                              <a:gd name="f64" fmla="*/ f62 f32 1"/>
                              <a:gd name="f65" fmla="*/ f63 f32 1"/>
                            </a:gdLst>
                            <a:ahLst/>
                            <a:cxnLst>
                              <a:cxn ang="3cd4">
                                <a:pos x="hc" y="t"/>
                              </a:cxn>
                              <a:cxn ang="0">
                                <a:pos x="r" y="vc"/>
                              </a:cxn>
                              <a:cxn ang="cd4">
                                <a:pos x="hc" y="b"/>
                              </a:cxn>
                              <a:cxn ang="cd2">
                                <a:pos x="l" y="vc"/>
                              </a:cxn>
                              <a:cxn ang="f30">
                                <a:pos x="f37" y="f59"/>
                              </a:cxn>
                              <a:cxn ang="f30">
                                <a:pos x="f57" y="f54"/>
                              </a:cxn>
                              <a:cxn ang="f30">
                                <a:pos x="f37" y="f61"/>
                              </a:cxn>
                              <a:cxn ang="f31">
                                <a:pos x="f40" y="f61"/>
                              </a:cxn>
                              <a:cxn ang="f31">
                                <a:pos x="f58" y="f54"/>
                              </a:cxn>
                              <a:cxn ang="f31">
                                <a:pos x="f40" y="f59"/>
                              </a:cxn>
                            </a:cxnLst>
                            <a:rect l="f57" t="f64" r="f58" b="f65"/>
                            <a:pathLst>
                              <a:path>
                                <a:moveTo>
                                  <a:pt x="f37" y="f59"/>
                                </a:moveTo>
                                <a:lnTo>
                                  <a:pt x="f53" y="f37"/>
                                </a:lnTo>
                                <a:lnTo>
                                  <a:pt x="f40" y="f59"/>
                                </a:lnTo>
                                <a:lnTo>
                                  <a:pt x="f58" y="f59"/>
                                </a:lnTo>
                                <a:lnTo>
                                  <a:pt x="f58" y="f61"/>
                                </a:lnTo>
                                <a:lnTo>
                                  <a:pt x="f40" y="f61"/>
                                </a:lnTo>
                                <a:lnTo>
                                  <a:pt x="f53" y="f41"/>
                                </a:lnTo>
                                <a:lnTo>
                                  <a:pt x="f37" y="f61"/>
                                </a:lnTo>
                                <a:lnTo>
                                  <a:pt x="f57" y="f61"/>
                                </a:lnTo>
                                <a:lnTo>
                                  <a:pt x="f57" y="f59"/>
                                </a:lnTo>
                                <a:close/>
                              </a:path>
                            </a:pathLst>
                          </a:custGeom>
                          <a:solidFill>
                            <a:srgbClr val="9F9F9F"/>
                          </a:solidFill>
                          <a:ln w="19046">
                            <a:solidFill>
                              <a:srgbClr val="595959"/>
                            </a:solidFill>
                            <a:prstDash val="solid"/>
                            <a:miter/>
                          </a:ln>
                        </wps:spPr>
                        <wps:txbx>
                          <w:txbxContent>
                            <w:p w14:paraId="1DDD3E53" w14:textId="77777777" w:rsidR="00052596" w:rsidRDefault="00052596"/>
                          </w:txbxContent>
                        </wps:txbx>
                        <wps:bodyPr wrap="square" lIns="91440" tIns="45720" rIns="91440" bIns="45720" anchor="ctr">
                          <a:noAutofit/>
                        </wps:bodyPr>
                      </wps:wsp>
                      <wps:wsp>
                        <wps:cNvPr id="191" name="直線單箭頭接點 82"/>
                        <wps:cNvCnPr/>
                        <wps:spPr>
                          <a:xfrm flipH="1">
                            <a:off x="762637" y="778511"/>
                            <a:ext cx="806445" cy="898526"/>
                          </a:xfrm>
                          <a:prstGeom prst="straightConnector1">
                            <a:avLst/>
                          </a:prstGeom>
                          <a:noFill/>
                          <a:ln w="12701">
                            <a:solidFill>
                              <a:srgbClr val="000066"/>
                            </a:solidFill>
                            <a:prstDash val="solid"/>
                            <a:miter/>
                            <a:headEnd type="arrow"/>
                            <a:tailEnd type="arrow"/>
                          </a:ln>
                        </wps:spPr>
                        <wps:bodyPr/>
                      </wps:wsp>
                      <wps:wsp>
                        <wps:cNvPr id="192" name="直線單箭頭接點 83"/>
                        <wps:cNvCnPr/>
                        <wps:spPr>
                          <a:xfrm flipH="1" flipV="1">
                            <a:off x="2156456" y="778511"/>
                            <a:ext cx="868050" cy="915030"/>
                          </a:xfrm>
                          <a:prstGeom prst="straightConnector1">
                            <a:avLst/>
                          </a:prstGeom>
                          <a:noFill/>
                          <a:ln w="12701">
                            <a:solidFill>
                              <a:srgbClr val="000066"/>
                            </a:solidFill>
                            <a:prstDash val="solid"/>
                            <a:miter/>
                            <a:headEnd type="arrow"/>
                            <a:tailEnd type="arrow"/>
                          </a:ln>
                        </wps:spPr>
                        <wps:bodyPr/>
                      </wps:wsp>
                      <wps:wsp>
                        <wps:cNvPr id="193" name="直線單箭頭接點 84"/>
                        <wps:cNvCnPr/>
                        <wps:spPr>
                          <a:xfrm>
                            <a:off x="1088392" y="1969763"/>
                            <a:ext cx="1728472" cy="0"/>
                          </a:xfrm>
                          <a:prstGeom prst="straightConnector1">
                            <a:avLst/>
                          </a:prstGeom>
                          <a:noFill/>
                          <a:ln w="12701">
                            <a:solidFill>
                              <a:srgbClr val="000066"/>
                            </a:solidFill>
                            <a:prstDash val="solid"/>
                            <a:miter/>
                            <a:headEnd type="arrow"/>
                            <a:tailEnd type="arrow"/>
                          </a:ln>
                        </wps:spPr>
                        <wps:bodyPr/>
                      </wps:wsp>
                      <wps:wsp>
                        <wps:cNvPr id="194" name="圓角矩形 4"/>
                        <wps:cNvSpPr/>
                        <wps:spPr>
                          <a:xfrm>
                            <a:off x="0" y="2232023"/>
                            <a:ext cx="1294762" cy="443227"/>
                          </a:xfrm>
                          <a:custGeom>
                            <a:avLst/>
                            <a:gdLst>
                              <a:gd name="f0" fmla="val 10800000"/>
                              <a:gd name="f1" fmla="val 5400000"/>
                              <a:gd name="f2" fmla="val 180"/>
                              <a:gd name="f3" fmla="val w"/>
                              <a:gd name="f4" fmla="val h"/>
                              <a:gd name="f5" fmla="val 0"/>
                              <a:gd name="f6" fmla="val 1432800"/>
                              <a:gd name="f7" fmla="val 468000"/>
                              <a:gd name="f8" fmla="val 58500"/>
                              <a:gd name="f9" fmla="val 409500"/>
                              <a:gd name="f10" fmla="val 1374300"/>
                              <a:gd name="f11" fmla="+- 0 0 -90"/>
                              <a:gd name="f12" fmla="*/ f3 1 1432800"/>
                              <a:gd name="f13" fmla="*/ f4 1 468000"/>
                              <a:gd name="f14" fmla="val f5"/>
                              <a:gd name="f15" fmla="val f6"/>
                              <a:gd name="f16" fmla="val f7"/>
                              <a:gd name="f17" fmla="*/ f11 f0 1"/>
                              <a:gd name="f18" fmla="+- f16 0 f14"/>
                              <a:gd name="f19" fmla="+- f15 0 f14"/>
                              <a:gd name="f20" fmla="*/ f17 1 f2"/>
                              <a:gd name="f21" fmla="*/ f19 1 1432800"/>
                              <a:gd name="f22" fmla="*/ f18 1 468000"/>
                              <a:gd name="f23" fmla="*/ 0 f19 1"/>
                              <a:gd name="f24" fmla="*/ 0 f18 1"/>
                              <a:gd name="f25" fmla="*/ 2039 f19 1"/>
                              <a:gd name="f26" fmla="*/ 698 f18 1"/>
                              <a:gd name="f27" fmla="*/ 83 f19 1"/>
                              <a:gd name="f28" fmla="*/ 87 f18 1"/>
                              <a:gd name="f29" fmla="*/ 611 f18 1"/>
                              <a:gd name="f30" fmla="*/ 1956 f19 1"/>
                              <a:gd name="f31" fmla="*/ 1432800 f19 1"/>
                              <a:gd name="f32" fmla="*/ 468000 f18 1"/>
                              <a:gd name="f33" fmla="+- f20 0 f1"/>
                              <a:gd name="f34" fmla="*/ f23 1 1432800"/>
                              <a:gd name="f35" fmla="*/ f24 1 468000"/>
                              <a:gd name="f36" fmla="*/ f25 1 1432800"/>
                              <a:gd name="f37" fmla="*/ f26 1 468000"/>
                              <a:gd name="f38" fmla="*/ f27 1 1432800"/>
                              <a:gd name="f39" fmla="*/ f28 1 468000"/>
                              <a:gd name="f40" fmla="*/ f29 1 468000"/>
                              <a:gd name="f41" fmla="*/ f30 1 1432800"/>
                              <a:gd name="f42" fmla="*/ f31 1 1432800"/>
                              <a:gd name="f43" fmla="*/ f32 1 468000"/>
                              <a:gd name="f44" fmla="*/ f34 1 f21"/>
                              <a:gd name="f45" fmla="*/ f35 1 f22"/>
                              <a:gd name="f46" fmla="*/ f36 1 f21"/>
                              <a:gd name="f47" fmla="*/ f37 1 f22"/>
                              <a:gd name="f48" fmla="*/ f38 1 f21"/>
                              <a:gd name="f49" fmla="*/ f39 1 f22"/>
                              <a:gd name="f50" fmla="*/ f40 1 f22"/>
                              <a:gd name="f51" fmla="*/ f41 1 f21"/>
                              <a:gd name="f52" fmla="*/ f42 1 f21"/>
                              <a:gd name="f53" fmla="*/ f43 1 f22"/>
                              <a:gd name="f54" fmla="*/ f44 f12 1"/>
                              <a:gd name="f55" fmla="*/ f52 f12 1"/>
                              <a:gd name="f56" fmla="*/ f53 f13 1"/>
                              <a:gd name="f57" fmla="*/ f45 f13 1"/>
                              <a:gd name="f58" fmla="*/ f46 f12 1"/>
                              <a:gd name="f59" fmla="*/ f47 f13 1"/>
                              <a:gd name="f60" fmla="*/ f48 f12 1"/>
                              <a:gd name="f61" fmla="*/ f49 f13 1"/>
                              <a:gd name="f62" fmla="*/ f50 f13 1"/>
                              <a:gd name="f63" fmla="*/ f51 f12 1"/>
                            </a:gdLst>
                            <a:ahLst/>
                            <a:cxnLst>
                              <a:cxn ang="3cd4">
                                <a:pos x="hc" y="t"/>
                              </a:cxn>
                              <a:cxn ang="0">
                                <a:pos x="r" y="vc"/>
                              </a:cxn>
                              <a:cxn ang="cd4">
                                <a:pos x="hc" y="b"/>
                              </a:cxn>
                              <a:cxn ang="cd2">
                                <a:pos x="l" y="vc"/>
                              </a:cxn>
                              <a:cxn ang="f33">
                                <a:pos x="f54" y="f57"/>
                              </a:cxn>
                              <a:cxn ang="f33">
                                <a:pos x="f58" y="f57"/>
                              </a:cxn>
                              <a:cxn ang="f33">
                                <a:pos x="f58" y="f59"/>
                              </a:cxn>
                              <a:cxn ang="f33">
                                <a:pos x="f54" y="f59"/>
                              </a:cxn>
                              <a:cxn ang="f33">
                                <a:pos x="f54" y="f57"/>
                              </a:cxn>
                              <a:cxn ang="f33">
                                <a:pos x="f60" y="f61"/>
                              </a:cxn>
                              <a:cxn ang="f33">
                                <a:pos x="f60" y="f62"/>
                              </a:cxn>
                              <a:cxn ang="f33">
                                <a:pos x="f63" y="f62"/>
                              </a:cxn>
                              <a:cxn ang="f33">
                                <a:pos x="f63" y="f61"/>
                              </a:cxn>
                              <a:cxn ang="f33">
                                <a:pos x="f60" y="f61"/>
                              </a:cxn>
                            </a:cxnLst>
                            <a:rect l="f54" t="f57" r="f55" b="f56"/>
                            <a:pathLst>
                              <a:path w="1432800" h="468000">
                                <a:moveTo>
                                  <a:pt x="f5" y="f5"/>
                                </a:moveTo>
                                <a:lnTo>
                                  <a:pt x="f6" y="f5"/>
                                </a:lnTo>
                                <a:lnTo>
                                  <a:pt x="f6" y="f7"/>
                                </a:lnTo>
                                <a:lnTo>
                                  <a:pt x="f5" y="f7"/>
                                </a:lnTo>
                                <a:lnTo>
                                  <a:pt x="f5" y="f5"/>
                                </a:lnTo>
                                <a:close/>
                                <a:moveTo>
                                  <a:pt x="f8" y="f8"/>
                                </a:moveTo>
                                <a:lnTo>
                                  <a:pt x="f8" y="f9"/>
                                </a:lnTo>
                                <a:lnTo>
                                  <a:pt x="f10" y="f9"/>
                                </a:lnTo>
                                <a:lnTo>
                                  <a:pt x="f10" y="f8"/>
                                </a:lnTo>
                                <a:lnTo>
                                  <a:pt x="f8" y="f8"/>
                                </a:lnTo>
                                <a:close/>
                              </a:path>
                            </a:pathLst>
                          </a:custGeom>
                          <a:noFill/>
                          <a:ln w="12701">
                            <a:solidFill>
                              <a:srgbClr val="262626"/>
                            </a:solidFill>
                            <a:prstDash val="solid"/>
                            <a:miter/>
                          </a:ln>
                        </wps:spPr>
                        <wps:txbx>
                          <w:txbxContent>
                            <w:p w14:paraId="3CD1562F" w14:textId="77777777" w:rsidR="00052596" w:rsidRDefault="00000000">
                              <w:pPr>
                                <w:pStyle w:val="Web"/>
                              </w:pPr>
                              <w:r>
                                <w:rPr>
                                  <w:rFonts w:ascii="標楷體" w:eastAsia="標楷體" w:hAnsi="標楷體"/>
                                  <w:b/>
                                  <w:bCs/>
                                  <w:color w:val="660066"/>
                                </w:rPr>
                                <w:t>實現包容性成長</w:t>
                              </w:r>
                            </w:p>
                          </w:txbxContent>
                        </wps:txbx>
                        <wps:bodyPr wrap="square" lIns="91440" tIns="91440" rIns="91440" bIns="91440" anchor="ctr">
                          <a:noAutofit/>
                        </wps:bodyPr>
                      </wps:wsp>
                      <wps:wsp>
                        <wps:cNvPr id="195" name="圓角矩形 4"/>
                        <wps:cNvSpPr/>
                        <wps:spPr>
                          <a:xfrm>
                            <a:off x="2786377" y="2232023"/>
                            <a:ext cx="1124583" cy="443227"/>
                          </a:xfrm>
                          <a:custGeom>
                            <a:avLst/>
                            <a:gdLst>
                              <a:gd name="f0" fmla="val 10800000"/>
                              <a:gd name="f1" fmla="val 5400000"/>
                              <a:gd name="f2" fmla="val 180"/>
                              <a:gd name="f3" fmla="val w"/>
                              <a:gd name="f4" fmla="val h"/>
                              <a:gd name="f5" fmla="val 0"/>
                              <a:gd name="f6" fmla="val 1276350"/>
                              <a:gd name="f7" fmla="val 467995"/>
                              <a:gd name="f8" fmla="val 58499"/>
                              <a:gd name="f9" fmla="val 409496"/>
                              <a:gd name="f10" fmla="val 1217851"/>
                              <a:gd name="f11" fmla="+- 0 0 -90"/>
                              <a:gd name="f12" fmla="*/ f3 1 1276350"/>
                              <a:gd name="f13" fmla="*/ f4 1 467995"/>
                              <a:gd name="f14" fmla="val f5"/>
                              <a:gd name="f15" fmla="val f6"/>
                              <a:gd name="f16" fmla="val f7"/>
                              <a:gd name="f17" fmla="*/ f11 f0 1"/>
                              <a:gd name="f18" fmla="+- f16 0 f14"/>
                              <a:gd name="f19" fmla="+- f15 0 f14"/>
                              <a:gd name="f20" fmla="*/ f17 1 f2"/>
                              <a:gd name="f21" fmla="*/ f19 1 1276350"/>
                              <a:gd name="f22" fmla="*/ f18 1 467995"/>
                              <a:gd name="f23" fmla="*/ 0 f19 1"/>
                              <a:gd name="f24" fmla="*/ 0 f18 1"/>
                              <a:gd name="f25" fmla="*/ 1771 f19 1"/>
                              <a:gd name="f26" fmla="*/ 698 f18 1"/>
                              <a:gd name="f27" fmla="*/ 81 f19 1"/>
                              <a:gd name="f28" fmla="*/ 87 f18 1"/>
                              <a:gd name="f29" fmla="*/ 611 f18 1"/>
                              <a:gd name="f30" fmla="*/ 1690 f19 1"/>
                              <a:gd name="f31" fmla="*/ 1276350 f19 1"/>
                              <a:gd name="f32" fmla="*/ 467995 f18 1"/>
                              <a:gd name="f33" fmla="+- f20 0 f1"/>
                              <a:gd name="f34" fmla="*/ f23 1 1276350"/>
                              <a:gd name="f35" fmla="*/ f24 1 467995"/>
                              <a:gd name="f36" fmla="*/ f25 1 1276350"/>
                              <a:gd name="f37" fmla="*/ f26 1 467995"/>
                              <a:gd name="f38" fmla="*/ f27 1 1276350"/>
                              <a:gd name="f39" fmla="*/ f28 1 467995"/>
                              <a:gd name="f40" fmla="*/ f29 1 467995"/>
                              <a:gd name="f41" fmla="*/ f30 1 1276350"/>
                              <a:gd name="f42" fmla="*/ f31 1 1276350"/>
                              <a:gd name="f43" fmla="*/ f32 1 467995"/>
                              <a:gd name="f44" fmla="*/ f34 1 f21"/>
                              <a:gd name="f45" fmla="*/ f35 1 f22"/>
                              <a:gd name="f46" fmla="*/ f36 1 f21"/>
                              <a:gd name="f47" fmla="*/ f37 1 f22"/>
                              <a:gd name="f48" fmla="*/ f38 1 f21"/>
                              <a:gd name="f49" fmla="*/ f39 1 f22"/>
                              <a:gd name="f50" fmla="*/ f40 1 f22"/>
                              <a:gd name="f51" fmla="*/ f41 1 f21"/>
                              <a:gd name="f52" fmla="*/ f42 1 f21"/>
                              <a:gd name="f53" fmla="*/ f43 1 f22"/>
                              <a:gd name="f54" fmla="*/ f44 f12 1"/>
                              <a:gd name="f55" fmla="*/ f52 f12 1"/>
                              <a:gd name="f56" fmla="*/ f53 f13 1"/>
                              <a:gd name="f57" fmla="*/ f45 f13 1"/>
                              <a:gd name="f58" fmla="*/ f46 f12 1"/>
                              <a:gd name="f59" fmla="*/ f47 f13 1"/>
                              <a:gd name="f60" fmla="*/ f48 f12 1"/>
                              <a:gd name="f61" fmla="*/ f49 f13 1"/>
                              <a:gd name="f62" fmla="*/ f50 f13 1"/>
                              <a:gd name="f63" fmla="*/ f51 f12 1"/>
                            </a:gdLst>
                            <a:ahLst/>
                            <a:cxnLst>
                              <a:cxn ang="3cd4">
                                <a:pos x="hc" y="t"/>
                              </a:cxn>
                              <a:cxn ang="0">
                                <a:pos x="r" y="vc"/>
                              </a:cxn>
                              <a:cxn ang="cd4">
                                <a:pos x="hc" y="b"/>
                              </a:cxn>
                              <a:cxn ang="cd2">
                                <a:pos x="l" y="vc"/>
                              </a:cxn>
                              <a:cxn ang="f33">
                                <a:pos x="f54" y="f57"/>
                              </a:cxn>
                              <a:cxn ang="f33">
                                <a:pos x="f58" y="f57"/>
                              </a:cxn>
                              <a:cxn ang="f33">
                                <a:pos x="f58" y="f59"/>
                              </a:cxn>
                              <a:cxn ang="f33">
                                <a:pos x="f54" y="f59"/>
                              </a:cxn>
                              <a:cxn ang="f33">
                                <a:pos x="f54" y="f57"/>
                              </a:cxn>
                              <a:cxn ang="f33">
                                <a:pos x="f60" y="f61"/>
                              </a:cxn>
                              <a:cxn ang="f33">
                                <a:pos x="f60" y="f62"/>
                              </a:cxn>
                              <a:cxn ang="f33">
                                <a:pos x="f63" y="f62"/>
                              </a:cxn>
                              <a:cxn ang="f33">
                                <a:pos x="f63" y="f61"/>
                              </a:cxn>
                              <a:cxn ang="f33">
                                <a:pos x="f60" y="f61"/>
                              </a:cxn>
                            </a:cxnLst>
                            <a:rect l="f54" t="f57" r="f55" b="f56"/>
                            <a:pathLst>
                              <a:path w="1276350" h="467995">
                                <a:moveTo>
                                  <a:pt x="f5" y="f5"/>
                                </a:moveTo>
                                <a:lnTo>
                                  <a:pt x="f6" y="f5"/>
                                </a:lnTo>
                                <a:lnTo>
                                  <a:pt x="f6" y="f7"/>
                                </a:lnTo>
                                <a:lnTo>
                                  <a:pt x="f5" y="f7"/>
                                </a:lnTo>
                                <a:lnTo>
                                  <a:pt x="f5" y="f5"/>
                                </a:lnTo>
                                <a:close/>
                                <a:moveTo>
                                  <a:pt x="f8" y="f8"/>
                                </a:moveTo>
                                <a:lnTo>
                                  <a:pt x="f8" y="f9"/>
                                </a:lnTo>
                                <a:lnTo>
                                  <a:pt x="f10" y="f9"/>
                                </a:lnTo>
                                <a:lnTo>
                                  <a:pt x="f10" y="f8"/>
                                </a:lnTo>
                                <a:lnTo>
                                  <a:pt x="f8" y="f8"/>
                                </a:lnTo>
                                <a:close/>
                              </a:path>
                            </a:pathLst>
                          </a:custGeom>
                          <a:noFill/>
                          <a:ln w="12701">
                            <a:solidFill>
                              <a:srgbClr val="262626"/>
                            </a:solidFill>
                            <a:prstDash val="solid"/>
                            <a:miter/>
                          </a:ln>
                        </wps:spPr>
                        <wps:txbx>
                          <w:txbxContent>
                            <w:p w14:paraId="59C93773" w14:textId="77777777" w:rsidR="00052596" w:rsidRDefault="00000000">
                              <w:pPr>
                                <w:pStyle w:val="Web"/>
                              </w:pPr>
                              <w:r>
                                <w:rPr>
                                  <w:rFonts w:ascii="標楷體" w:eastAsia="標楷體" w:hAnsi="標楷體"/>
                                  <w:b/>
                                  <w:bCs/>
                                  <w:color w:val="006600"/>
                                </w:rPr>
                                <w:t>推動綠色成長</w:t>
                              </w:r>
                            </w:p>
                          </w:txbxContent>
                        </wps:txbx>
                        <wps:bodyPr wrap="square" lIns="91440" tIns="91440" rIns="91440" bIns="91440" anchor="ctr">
                          <a:noAutofit/>
                        </wps:bodyPr>
                      </wps:wsp>
                      <wps:wsp>
                        <wps:cNvPr id="196" name="圓角矩形 4"/>
                        <wps:cNvSpPr/>
                        <wps:spPr>
                          <a:xfrm>
                            <a:off x="2308860" y="405124"/>
                            <a:ext cx="1130298" cy="441326"/>
                          </a:xfrm>
                          <a:custGeom>
                            <a:avLst/>
                            <a:gdLst>
                              <a:gd name="f0" fmla="val 10800000"/>
                              <a:gd name="f1" fmla="val 5400000"/>
                              <a:gd name="f2" fmla="val 180"/>
                              <a:gd name="f3" fmla="val w"/>
                              <a:gd name="f4" fmla="val h"/>
                              <a:gd name="f5" fmla="val 0"/>
                              <a:gd name="f6" fmla="val 1266473"/>
                              <a:gd name="f7" fmla="val 467995"/>
                              <a:gd name="f8" fmla="val 58499"/>
                              <a:gd name="f9" fmla="val 409496"/>
                              <a:gd name="f10" fmla="val 1207974"/>
                              <a:gd name="f11" fmla="+- 0 0 -90"/>
                              <a:gd name="f12" fmla="*/ f3 1 1266473"/>
                              <a:gd name="f13" fmla="*/ f4 1 467995"/>
                              <a:gd name="f14" fmla="val f5"/>
                              <a:gd name="f15" fmla="val f6"/>
                              <a:gd name="f16" fmla="val f7"/>
                              <a:gd name="f17" fmla="*/ f11 f0 1"/>
                              <a:gd name="f18" fmla="+- f16 0 f14"/>
                              <a:gd name="f19" fmla="+- f15 0 f14"/>
                              <a:gd name="f20" fmla="*/ f17 1 f2"/>
                              <a:gd name="f21" fmla="*/ f19 1 1266473"/>
                              <a:gd name="f22" fmla="*/ f18 1 467995"/>
                              <a:gd name="f23" fmla="*/ 0 f19 1"/>
                              <a:gd name="f24" fmla="*/ 0 f18 1"/>
                              <a:gd name="f25" fmla="*/ 1780 f19 1"/>
                              <a:gd name="f26" fmla="*/ 695 f18 1"/>
                              <a:gd name="f27" fmla="*/ 82 f19 1"/>
                              <a:gd name="f28" fmla="*/ 87 f18 1"/>
                              <a:gd name="f29" fmla="*/ 608 f18 1"/>
                              <a:gd name="f30" fmla="*/ 1698 f19 1"/>
                              <a:gd name="f31" fmla="*/ 1266473 f19 1"/>
                              <a:gd name="f32" fmla="*/ 467995 f18 1"/>
                              <a:gd name="f33" fmla="+- f20 0 f1"/>
                              <a:gd name="f34" fmla="*/ f23 1 1266473"/>
                              <a:gd name="f35" fmla="*/ f24 1 467995"/>
                              <a:gd name="f36" fmla="*/ f25 1 1266473"/>
                              <a:gd name="f37" fmla="*/ f26 1 467995"/>
                              <a:gd name="f38" fmla="*/ f27 1 1266473"/>
                              <a:gd name="f39" fmla="*/ f28 1 467995"/>
                              <a:gd name="f40" fmla="*/ f29 1 467995"/>
                              <a:gd name="f41" fmla="*/ f30 1 1266473"/>
                              <a:gd name="f42" fmla="*/ f31 1 1266473"/>
                              <a:gd name="f43" fmla="*/ f32 1 467995"/>
                              <a:gd name="f44" fmla="*/ f34 1 f21"/>
                              <a:gd name="f45" fmla="*/ f35 1 f22"/>
                              <a:gd name="f46" fmla="*/ f36 1 f21"/>
                              <a:gd name="f47" fmla="*/ f37 1 f22"/>
                              <a:gd name="f48" fmla="*/ f38 1 f21"/>
                              <a:gd name="f49" fmla="*/ f39 1 f22"/>
                              <a:gd name="f50" fmla="*/ f40 1 f22"/>
                              <a:gd name="f51" fmla="*/ f41 1 f21"/>
                              <a:gd name="f52" fmla="*/ f42 1 f21"/>
                              <a:gd name="f53" fmla="*/ f43 1 f22"/>
                              <a:gd name="f54" fmla="*/ f44 f12 1"/>
                              <a:gd name="f55" fmla="*/ f52 f12 1"/>
                              <a:gd name="f56" fmla="*/ f53 f13 1"/>
                              <a:gd name="f57" fmla="*/ f45 f13 1"/>
                              <a:gd name="f58" fmla="*/ f46 f12 1"/>
                              <a:gd name="f59" fmla="*/ f47 f13 1"/>
                              <a:gd name="f60" fmla="*/ f48 f12 1"/>
                              <a:gd name="f61" fmla="*/ f49 f13 1"/>
                              <a:gd name="f62" fmla="*/ f50 f13 1"/>
                              <a:gd name="f63" fmla="*/ f51 f12 1"/>
                            </a:gdLst>
                            <a:ahLst/>
                            <a:cxnLst>
                              <a:cxn ang="3cd4">
                                <a:pos x="hc" y="t"/>
                              </a:cxn>
                              <a:cxn ang="0">
                                <a:pos x="r" y="vc"/>
                              </a:cxn>
                              <a:cxn ang="cd4">
                                <a:pos x="hc" y="b"/>
                              </a:cxn>
                              <a:cxn ang="cd2">
                                <a:pos x="l" y="vc"/>
                              </a:cxn>
                              <a:cxn ang="f33">
                                <a:pos x="f54" y="f57"/>
                              </a:cxn>
                              <a:cxn ang="f33">
                                <a:pos x="f58" y="f57"/>
                              </a:cxn>
                              <a:cxn ang="f33">
                                <a:pos x="f58" y="f59"/>
                              </a:cxn>
                              <a:cxn ang="f33">
                                <a:pos x="f54" y="f59"/>
                              </a:cxn>
                              <a:cxn ang="f33">
                                <a:pos x="f54" y="f57"/>
                              </a:cxn>
                              <a:cxn ang="f33">
                                <a:pos x="f60" y="f61"/>
                              </a:cxn>
                              <a:cxn ang="f33">
                                <a:pos x="f60" y="f62"/>
                              </a:cxn>
                              <a:cxn ang="f33">
                                <a:pos x="f63" y="f62"/>
                              </a:cxn>
                              <a:cxn ang="f33">
                                <a:pos x="f63" y="f61"/>
                              </a:cxn>
                              <a:cxn ang="f33">
                                <a:pos x="f60" y="f61"/>
                              </a:cxn>
                            </a:cxnLst>
                            <a:rect l="f54" t="f57" r="f55" b="f56"/>
                            <a:pathLst>
                              <a:path w="1266473" h="467995">
                                <a:moveTo>
                                  <a:pt x="f5" y="f5"/>
                                </a:moveTo>
                                <a:lnTo>
                                  <a:pt x="f6" y="f5"/>
                                </a:lnTo>
                                <a:lnTo>
                                  <a:pt x="f6" y="f7"/>
                                </a:lnTo>
                                <a:lnTo>
                                  <a:pt x="f5" y="f7"/>
                                </a:lnTo>
                                <a:lnTo>
                                  <a:pt x="f5" y="f5"/>
                                </a:lnTo>
                                <a:close/>
                                <a:moveTo>
                                  <a:pt x="f8" y="f8"/>
                                </a:moveTo>
                                <a:lnTo>
                                  <a:pt x="f8" y="f9"/>
                                </a:lnTo>
                                <a:lnTo>
                                  <a:pt x="f10" y="f9"/>
                                </a:lnTo>
                                <a:lnTo>
                                  <a:pt x="f10" y="f8"/>
                                </a:lnTo>
                                <a:lnTo>
                                  <a:pt x="f8" y="f8"/>
                                </a:lnTo>
                                <a:close/>
                              </a:path>
                            </a:pathLst>
                          </a:custGeom>
                          <a:noFill/>
                          <a:ln w="12701">
                            <a:solidFill>
                              <a:srgbClr val="262626"/>
                            </a:solidFill>
                            <a:prstDash val="solid"/>
                            <a:miter/>
                          </a:ln>
                        </wps:spPr>
                        <wps:txbx>
                          <w:txbxContent>
                            <w:p w14:paraId="0311E034" w14:textId="77777777" w:rsidR="00052596" w:rsidRDefault="00000000">
                              <w:pPr>
                                <w:pStyle w:val="Web"/>
                              </w:pPr>
                              <w:r>
                                <w:rPr>
                                  <w:rFonts w:ascii="標楷體" w:eastAsia="標楷體" w:hAnsi="標楷體"/>
                                  <w:b/>
                                  <w:bCs/>
                                  <w:color w:val="800000"/>
                                </w:rPr>
                                <w:t>促進均衡成長</w:t>
                              </w:r>
                            </w:p>
                          </w:txbxContent>
                        </wps:txbx>
                        <wps:bodyPr wrap="square" lIns="91440" tIns="91440" rIns="91440" bIns="91440" anchor="ctr">
                          <a:noAutofit/>
                        </wps:bodyPr>
                      </wps:wsp>
                    </wpg:wgp>
                  </a:graphicData>
                </a:graphic>
              </wp:anchor>
            </w:drawing>
          </mc:Choice>
          <mc:Fallback>
            <w:pict>
              <v:group w14:anchorId="032547F5" id="群組 9" o:spid="_x0000_s1100" style="position:absolute;left:0;text-align:left;margin-left:72.9pt;margin-top:12.35pt;width:307.95pt;height:210.65pt;z-index:251681280" coordsize="39109,2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">
                <v:shape id="文字方塊 2" o:spid="_x0000_s1101" type="#_x0000_t202" style="position:absolute;left:9537;width:2203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3914C085" w14:textId="77777777" w:rsidR="00052596" w:rsidRDefault="00000000">
                        <w:pPr>
                          <w:overflowPunct w:val="0"/>
                          <w:autoSpaceDE w:val="0"/>
                          <w:rPr>
                            <w:rFonts w:eastAsia="標楷體"/>
                            <w:b/>
                            <w:color w:val="0000FF"/>
                            <w:spacing w:val="4"/>
                            <w:sz w:val="28"/>
                            <w:szCs w:val="28"/>
                          </w:rPr>
                        </w:pPr>
                        <w:r>
                          <w:rPr>
                            <w:rFonts w:eastAsia="標楷體"/>
                            <w:b/>
                            <w:color w:val="0000FF"/>
                            <w:spacing w:val="4"/>
                            <w:sz w:val="28"/>
                            <w:szCs w:val="28"/>
                          </w:rPr>
                          <w:t>圖</w:t>
                        </w:r>
                        <w:r>
                          <w:rPr>
                            <w:rFonts w:eastAsia="標楷體"/>
                            <w:b/>
                            <w:color w:val="0000FF"/>
                            <w:spacing w:val="4"/>
                            <w:sz w:val="28"/>
                            <w:szCs w:val="28"/>
                          </w:rPr>
                          <w:t>2.2.1</w:t>
                        </w:r>
                        <w:r>
                          <w:rPr>
                            <w:rFonts w:eastAsia="標楷體"/>
                            <w:b/>
                            <w:color w:val="0000FF"/>
                            <w:spacing w:val="4"/>
                            <w:sz w:val="28"/>
                            <w:szCs w:val="28"/>
                          </w:rPr>
                          <w:t xml:space="preserve">　規劃理念</w:t>
                        </w:r>
                      </w:p>
                    </w:txbxContent>
                  </v:textbox>
                </v:shape>
                <v:shape id="圓角矩形 20" o:spid="_x0000_s1102" style="position:absolute;left:29044;top:17081;width:7030;height:4286;visibility:visible;mso-wrap-style:square;v-text-anchor:top" coordsize="702945,428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" adj="-11796480,,5400" path="m,214313at,,702946,428626,,214313,,214313xe" fillcolor="#aef3e9" stroked="f">
                  <v:fill color2="#c6f5ef" angle="180" focus="100%" type="gradient">
                    <o:fill v:ext="view" type="gradientUnscaled"/>
                  </v:fill>
                  <v:stroke joinstyle="miter"/>
                  <v:shadow on="t" color="black" opacity="24903f" origin="-.5,-.5" offset="0,.55547mm"/>
                  <v:formulas/>
                  <v:path arrowok="t" o:connecttype="custom" o:connectlocs="351473,0;702945,214313;351473,428625;0,214313;102944,62771;102944,365854;600001,365854;600001,62771" o:connectangles="270,0,90,180,270,90,90,270" textboxrect="102944,62771,600001,365854"/>
                  <v:textbox>
                    <w:txbxContent>
                      <w:p w14:paraId="35350989" w14:textId="77777777" w:rsidR="00052596" w:rsidRDefault="00000000">
                        <w:pPr>
                          <w:pStyle w:val="Web"/>
                          <w:spacing w:before="48"/>
                          <w:jc w:val="center"/>
                        </w:pPr>
                        <w:r>
                          <w:rPr>
                            <w:rFonts w:ascii="標楷體" w:eastAsia="標楷體" w:hAnsi="標楷體"/>
                            <w:b/>
                            <w:bCs/>
                            <w:color w:val="006600"/>
                          </w:rPr>
                          <w:t>永續</w:t>
                        </w:r>
                      </w:p>
                    </w:txbxContent>
                  </v:textbox>
                </v:shape>
                <v:shape id="圓角矩形 76" o:spid="_x0000_s1103" style="position:absolute;left:12350;top:11842;width:13157;height:5372;visibility:visible;mso-wrap-style:square;v-text-anchor:middle" coordsize="1315721,537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" adj="-11796480,,5400" path="m89535,at,,179070,179070,89535,,,89535l,447675at,358140,179070,537210,,447675,89535,537210l1226186,537210at1136651,358140,1315721,537210,1226186,537210,1315721,447675l1315721,89535at1136651,,1315721,179070,1315721,89535,1226186,l89535,xe" filled="f" strokecolor="#e46c0a" strokeweight=".44092mm">
                  <v:stroke joinstyle="round"/>
                  <v:formulas/>
                  <v:path arrowok="t" o:connecttype="custom" o:connectlocs="657861,0;1315721,268605;657861,537210;0,268605" o:connectangles="270,0,90,180" textboxrect="26225,26225,1289496,510985"/>
                  <v:textbox>
                    <w:txbxContent>
                      <w:p w14:paraId="0C672937" w14:textId="77777777" w:rsidR="00052596" w:rsidRDefault="00000000">
                        <w:pPr>
                          <w:pStyle w:val="Web"/>
                          <w:spacing w:before="24"/>
                          <w:ind w:left="-72"/>
                          <w:jc w:val="center"/>
                        </w:pPr>
                        <w:r>
                          <w:rPr>
                            <w:rFonts w:ascii="標楷體" w:eastAsia="標楷體" w:hAnsi="標楷體"/>
                            <w:b/>
                            <w:bCs/>
                            <w:color w:val="000099"/>
                            <w:sz w:val="22"/>
                            <w:szCs w:val="22"/>
                          </w:rPr>
                          <w:t>繁榮、和諧、永續</w:t>
                        </w:r>
                      </w:p>
                      <w:p w14:paraId="6CA4D3E8" w14:textId="77777777" w:rsidR="00052596" w:rsidRDefault="00000000">
                        <w:pPr>
                          <w:pStyle w:val="Web"/>
                          <w:spacing w:before="24"/>
                          <w:jc w:val="center"/>
                        </w:pPr>
                        <w:r>
                          <w:rPr>
                            <w:rFonts w:ascii="標楷體" w:eastAsia="標楷體" w:hAnsi="標楷體"/>
                            <w:b/>
                            <w:bCs/>
                            <w:color w:val="000099"/>
                            <w:sz w:val="22"/>
                            <w:szCs w:val="22"/>
                          </w:rPr>
                          <w:t>的幸福臺灣</w:t>
                        </w:r>
                      </w:p>
                    </w:txbxContent>
                  </v:textbox>
                </v:shape>
                <v:shape id="圓角矩形 15" o:spid="_x0000_s1104" style="position:absolute;left:2984;top:17145;width:7029;height:4292;visibility:visible;mso-wrap-style:square;v-text-anchor:top" coordsize="702945,429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" adj="-11796480,,5400" path="m,214627at,,702944,429254,,214627,,214627xe" fillcolor="#c9b5e8" stroked="f">
                  <v:fill color2="#d9cbee" angle="180" focus="100%" type="gradient">
                    <o:fill v:ext="view" type="gradientUnscaled"/>
                  </v:fill>
                  <v:stroke joinstyle="miter"/>
                  <v:shadow on="t" color="black" opacity="24903f" origin="-.5,-.5" offset="0,.55547mm"/>
                  <v:formulas/>
                  <v:path arrowok="t" o:connecttype="custom" o:connectlocs="351473,0;702945,214628;351473,429255;0,214628;102944,62863;102944,366392;600001,366392;600001,62863" o:connectangles="270,0,90,180,270,90,90,270" textboxrect="102944,62863,600001,366392"/>
                  <v:textbox>
                    <w:txbxContent>
                      <w:p w14:paraId="7A863F74" w14:textId="77777777" w:rsidR="00052596" w:rsidRDefault="00000000">
                        <w:pPr>
                          <w:pStyle w:val="Web"/>
                          <w:spacing w:before="48"/>
                          <w:jc w:val="center"/>
                          <w:rPr>
                            <w:rFonts w:ascii="標楷體" w:eastAsia="標楷體" w:hAnsi="標楷體"/>
                            <w:b/>
                            <w:bCs/>
                            <w:color w:val="660066"/>
                          </w:rPr>
                        </w:pPr>
                        <w:r>
                          <w:rPr>
                            <w:rFonts w:ascii="標楷體" w:eastAsia="標楷體" w:hAnsi="標楷體"/>
                            <w:b/>
                            <w:bCs/>
                            <w:color w:val="660066"/>
                          </w:rPr>
                          <w:t>和諧</w:t>
                        </w:r>
                      </w:p>
                      <w:p w14:paraId="0B3D2CFF" w14:textId="77777777" w:rsidR="00052596" w:rsidRDefault="00052596">
                        <w:pPr>
                          <w:spacing w:before="48"/>
                        </w:pPr>
                      </w:p>
                    </w:txbxContent>
                  </v:textbox>
                </v:shape>
                <v:shape id="圓角矩形 23" o:spid="_x0000_s1105" style="position:absolute;left:14973;top:3987;width:7023;height:4287;visibility:visible;mso-wrap-style:square;v-text-anchor:top" coordsize="702314,428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" adj="-11796480,,5400" path="m,214313at,,702314,428626,,214313,,214313xe" fillcolor="#dafda7" stroked="f">
                  <v:fill color2="#e4fdc2" angle="180" focus="100%" type="gradient">
                    <o:fill v:ext="view" type="gradientUnscaled"/>
                  </v:fill>
                  <v:stroke joinstyle="miter"/>
                  <v:shadow on="t" color="black" opacity="24903f" origin="-.5,-.5" offset="0,.55547mm"/>
                  <v:formulas/>
                  <v:path arrowok="t" o:connecttype="custom" o:connectlocs="351157,0;702314,214313;351157,428625;0,214313;102852,62771;102852,365854;599462,365854;599462,62771" o:connectangles="270,0,90,180,270,90,90,270" textboxrect="102852,62771,599462,365854"/>
                  <v:textbox>
                    <w:txbxContent>
                      <w:p w14:paraId="5A6B483E" w14:textId="77777777" w:rsidR="00052596" w:rsidRDefault="00000000">
                        <w:pPr>
                          <w:pStyle w:val="Web"/>
                          <w:spacing w:before="48"/>
                          <w:jc w:val="center"/>
                        </w:pPr>
                        <w:r>
                          <w:rPr>
                            <w:rFonts w:ascii="標楷體" w:eastAsia="標楷體" w:hAnsi="標楷體"/>
                            <w:b/>
                            <w:bCs/>
                            <w:color w:val="800000"/>
                          </w:rPr>
                          <w:t>繁榮</w:t>
                        </w:r>
                      </w:p>
                    </w:txbxContent>
                  </v:textbox>
                </v:shape>
                <v:shape id="上-下雙向箭號 79" o:spid="_x0000_s1106" style="position:absolute;left:18091;top:8762;width:1219;height:2413;visibility:visible;mso-wrap-style:square;v-text-anchor:middle" coordsize="121916,24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" adj="-11796480,,5400" path="m,57408l60958,r60958,57408l91437,57408r,126485l121916,183893,60958,241301,,183893r30479,l30479,57408,,57408xe" fillcolor="#9f9f9f" strokecolor="#595959" strokeweight=".52906mm">
                  <v:stroke joinstyle="miter"/>
                  <v:formulas/>
                  <v:path arrowok="t" o:connecttype="custom" o:connectlocs="60958,0;121916,120651;60958,241301;0,120651;0,57408;30479,120651;0,183893;121916,183893;91437,120651;121916,57408" o:connectangles="270,0,90,180,180,180,180,0,0,0" textboxrect="30479,28704,91437,212597"/>
                  <v:textbox>
                    <w:txbxContent>
                      <w:p w14:paraId="27A78906" w14:textId="77777777" w:rsidR="00052596" w:rsidRDefault="00052596"/>
                    </w:txbxContent>
                  </v:textbox>
                </v:shape>
                <v:shape id="上-下雙向箭號 80" o:spid="_x0000_s1107" style="position:absolute;left:10579;top:16376;width:1206;height:2400;rotation:-2949109fd;flip:x;visibility:visible;mso-wrap-style:square;v-text-anchor:middle" coordsize="120645,240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" adj="-11796480,,5400" path="m,57350l60322,r60323,57350l90484,57350r,125330l120645,182680,60322,240030,,182680r30161,l30161,57350,,57350xe" fillcolor="#9f9f9f" strokecolor="#595959" strokeweight=".52906mm">
                  <v:stroke joinstyle="miter"/>
                  <v:formulas/>
                  <v:path arrowok="t" o:connecttype="custom" o:connectlocs="60323,0;120645,120015;60323,240030;0,120015;0,57350;30161,120015;0,182680;120645,182680;90484,120015;120645,57350" o:connectangles="270,0,90,180,180,180,180,0,0,0" textboxrect="30161,28675,90484,211355"/>
                  <v:textbox>
                    <w:txbxContent>
                      <w:p w14:paraId="0352E175" w14:textId="77777777" w:rsidR="00052596" w:rsidRDefault="00052596"/>
                    </w:txbxContent>
                  </v:textbox>
                </v:shape>
                <v:shape id="上-下雙向箭號 81" o:spid="_x0000_s1108" style="position:absolute;left:26206;top:16193;width:1149;height:2546;rotation:8191995fd;visibility:visible;mso-wrap-style:square;v-text-anchor:middle" coordsize="114930,25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" adj="-11796480,,5400" path="m,60838l57465,r57465,60838l86197,60838r,132956l114930,193794,57465,254632,,193794r28732,l28732,60838,,60838xe" fillcolor="#9f9f9f" strokecolor="#595959" strokeweight=".52906mm">
                  <v:stroke joinstyle="miter"/>
                  <v:formulas/>
                  <v:path arrowok="t" o:connecttype="custom" o:connectlocs="57465,0;114930,127316;57465,254632;0,127316;0,60838;28732,127316;0,193794;114930,193794;86197,127316;114930,60838" o:connectangles="270,0,90,180,180,180,180,0,0,0" textboxrect="28732,30419,86197,224213"/>
                  <v:textbox>
                    <w:txbxContent>
                      <w:p w14:paraId="1DDD3E53" w14:textId="77777777" w:rsidR="00052596" w:rsidRDefault="00052596"/>
                    </w:txbxContent>
                  </v:textbox>
                </v:shape>
                <v:shapetype id="_x0000_t32" coordsize="21600,21600" o:spt="32" o:oned="t" path="m,l21600,21600e" filled="f">
                  <v:path arrowok="t" fillok="f" o:connecttype="none"/>
                  <o:lock v:ext="edit" shapetype="t"/>
                </v:shapetype>
                <v:shape id="直線單箭頭接點 82" o:spid="_x0000_s1109" type="#_x0000_t32" style="position:absolute;left:7626;top:7785;width:8064;height:89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" strokecolor="#006" strokeweight=".35281mm">
                  <v:stroke startarrow="open" endarrow="open" joinstyle="miter"/>
                </v:shape>
                <v:shape id="直線單箭頭接點 83" o:spid="_x0000_s1110" type="#_x0000_t32" style="position:absolute;left:21564;top:7785;width:8681;height:9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" strokecolor="#006" strokeweight=".35281mm">
                  <v:stroke startarrow="open" endarrow="open" joinstyle="miter"/>
                </v:shape>
                <v:shape id="直線單箭頭接點 84" o:spid="_x0000_s1111" type="#_x0000_t32" style="position:absolute;left:10883;top:19697;width:17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" strokecolor="#006" strokeweight=".35281mm">
                  <v:stroke startarrow="open" endarrow="open" joinstyle="miter"/>
                </v:shape>
                <v:shape id="圓角矩形 4" o:spid="_x0000_s1112" style="position:absolute;top:22320;width:12947;height:4432;visibility:visible;mso-wrap-style:square;v-text-anchor:middle" coordsize="1432800,46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" adj="-11796480,,5400" path="m,l1432800,r,468000l,468000,,xm58500,58500r,351000l1374300,409500r,-351000l58500,58500xe" filled="f" strokecolor="#262626" strokeweight=".35281mm">
                  <v:stroke joinstyle="miter"/>
                  <v:formulas/>
                  <v:path arrowok="t" o:connecttype="custom" o:connectlocs="647381,0;1294762,221614;647381,443227;0,221614;0,0;1843,0;1843,661;0,661;0,0;75,82;75,579;1768,579;1768,82;75,82" o:connectangles="270,0,90,180,0,0,0,0,0,0,0,0,0,0" textboxrect="0,0,1432800,468000"/>
                  <v:textbox inset=",7.2pt,,7.2pt">
                    <w:txbxContent>
                      <w:p w14:paraId="3CD1562F" w14:textId="77777777" w:rsidR="00052596" w:rsidRDefault="00000000">
                        <w:pPr>
                          <w:pStyle w:val="Web"/>
                        </w:pPr>
                        <w:r>
                          <w:rPr>
                            <w:rFonts w:ascii="標楷體" w:eastAsia="標楷體" w:hAnsi="標楷體"/>
                            <w:b/>
                            <w:bCs/>
                            <w:color w:val="660066"/>
                          </w:rPr>
                          <w:t>實現包容性成長</w:t>
                        </w:r>
                      </w:p>
                    </w:txbxContent>
                  </v:textbox>
                </v:shape>
                <v:shape id="圓角矩形 4" o:spid="_x0000_s1113" style="position:absolute;left:27863;top:22320;width:11246;height:4432;visibility:visible;mso-wrap-style:square;v-text-anchor:middle" coordsize="1276350,467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" adj="-11796480,,5400" path="m,l1276350,r,467995l,467995,,xm58499,58499r,350997l1217851,409496r,-350997l58499,58499xe" filled="f" strokecolor="#262626" strokeweight=".35281mm">
                  <v:stroke joinstyle="miter"/>
                  <v:formulas/>
                  <v:path arrowok="t" o:connecttype="custom" o:connectlocs="562292,0;1124583,221614;562292,443227;0,221614;0,0;1560,0;1560,661;0,661;0,0;71,82;71,579;1489,579;1489,82;71,82" o:connectangles="270,0,90,180,0,0,0,0,0,0,0,0,0,0" textboxrect="0,0,1276350,467995"/>
                  <v:textbox inset=",7.2pt,,7.2pt">
                    <w:txbxContent>
                      <w:p w14:paraId="59C93773" w14:textId="77777777" w:rsidR="00052596" w:rsidRDefault="00000000">
                        <w:pPr>
                          <w:pStyle w:val="Web"/>
                        </w:pPr>
                        <w:r>
                          <w:rPr>
                            <w:rFonts w:ascii="標楷體" w:eastAsia="標楷體" w:hAnsi="標楷體"/>
                            <w:b/>
                            <w:bCs/>
                            <w:color w:val="006600"/>
                          </w:rPr>
                          <w:t>推動綠色成長</w:t>
                        </w:r>
                      </w:p>
                    </w:txbxContent>
                  </v:textbox>
                </v:shape>
                <v:shape id="圓角矩形 4" o:spid="_x0000_s1114" style="position:absolute;left:23088;top:4051;width:11303;height:4413;visibility:visible;mso-wrap-style:square;v-text-anchor:middle" coordsize="1266473,467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" adj="-11796480,,5400" path="m,l1266473,r,467995l,467995,,xm58499,58499r,350997l1207974,409496r,-350997l58499,58499xe" filled="f" strokecolor="#262626" strokeweight=".35281mm">
                  <v:stroke joinstyle="miter"/>
                  <v:formulas/>
                  <v:path arrowok="t" o:connecttype="custom" o:connectlocs="565149,0;1130298,220663;565149,441326;0,220663;0,0;1589,0;1589,655;0,655;0,0;73,82;73,573;1515,573;1515,82;73,82" o:connectangles="270,0,90,180,0,0,0,0,0,0,0,0,0,0" textboxrect="0,0,1266473,467995"/>
                  <v:textbox inset=",7.2pt,,7.2pt">
                    <w:txbxContent>
                      <w:p w14:paraId="0311E034" w14:textId="77777777" w:rsidR="00052596" w:rsidRDefault="00000000">
                        <w:pPr>
                          <w:pStyle w:val="Web"/>
                        </w:pPr>
                        <w:r>
                          <w:rPr>
                            <w:rFonts w:ascii="標楷體" w:eastAsia="標楷體" w:hAnsi="標楷體"/>
                            <w:b/>
                            <w:bCs/>
                            <w:color w:val="800000"/>
                          </w:rPr>
                          <w:t>促進均衡成長</w:t>
                        </w:r>
                      </w:p>
                    </w:txbxContent>
                  </v:textbox>
                </v:shape>
              </v:group>
            </w:pict>
          </mc:Fallback>
        </mc:AlternateContent>
      </w:r>
      <w:r>
        <w:rPr>
          <w:rFonts w:eastAsia="標楷體"/>
          <w:b/>
          <w:color w:val="0000FF"/>
          <w:spacing w:val="4"/>
          <w:kern w:val="0"/>
          <w:sz w:val="28"/>
          <w:szCs w:val="22"/>
        </w:rPr>
        <w:t xml:space="preserve"> </w:t>
      </w:r>
    </w:p>
    <w:p w14:paraId="299FB5F8" w14:textId="77777777" w:rsidR="00052596" w:rsidRDefault="00052596">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p>
    <w:p w14:paraId="6F14A948" w14:textId="77777777" w:rsidR="00052596" w:rsidRDefault="00052596">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p>
    <w:p w14:paraId="06AF2639" w14:textId="77777777" w:rsidR="00052596" w:rsidRDefault="00052596">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p>
    <w:p w14:paraId="0859FDF3" w14:textId="77777777" w:rsidR="00052596" w:rsidRDefault="00052596">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p>
    <w:p w14:paraId="7F701150" w14:textId="77777777" w:rsidR="00052596" w:rsidRDefault="00052596">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p>
    <w:p w14:paraId="0955398E" w14:textId="77777777" w:rsidR="00052596" w:rsidRDefault="00052596">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p>
    <w:p w14:paraId="258DAA12" w14:textId="77777777" w:rsidR="00052596" w:rsidRDefault="00052596">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p>
    <w:p w14:paraId="46C231D5" w14:textId="77777777" w:rsidR="00052596" w:rsidRDefault="00000000">
      <w:pPr>
        <w:tabs>
          <w:tab w:val="left" w:pos="960"/>
          <w:tab w:val="left" w:pos="1920"/>
          <w:tab w:val="left" w:pos="2880"/>
          <w:tab w:val="left" w:pos="3840"/>
          <w:tab w:val="left" w:pos="4800"/>
          <w:tab w:val="left" w:pos="5760"/>
        </w:tabs>
        <w:overflowPunct w:val="0"/>
        <w:autoSpaceDE w:val="0"/>
        <w:spacing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二、積極政策作為</w:t>
      </w:r>
    </w:p>
    <w:p w14:paraId="22FE822F" w14:textId="77777777" w:rsidR="00052596" w:rsidRDefault="00000000">
      <w:pPr>
        <w:overflowPunct w:val="0"/>
        <w:autoSpaceDE w:val="0"/>
        <w:spacing w:line="420" w:lineRule="exact"/>
        <w:ind w:left="240" w:firstLine="576"/>
        <w:jc w:val="both"/>
        <w:textAlignment w:val="center"/>
        <w:rPr>
          <w:rFonts w:eastAsia="標楷體"/>
          <w:spacing w:val="4"/>
          <w:kern w:val="0"/>
          <w:sz w:val="28"/>
          <w:szCs w:val="26"/>
        </w:rPr>
      </w:pPr>
      <w:r>
        <w:rPr>
          <w:rFonts w:eastAsia="標楷體"/>
          <w:spacing w:val="4"/>
          <w:kern w:val="0"/>
          <w:sz w:val="28"/>
          <w:szCs w:val="26"/>
        </w:rPr>
        <w:t>考量經濟成長是國家發展的動能，本計畫將以執行「經濟動能推升方案」全力拼經濟，力求經濟早日回歸正常成長途徑，並厚植長期經濟成長潛能；同時，在經濟推升過程中，也將全力開展「黃金十年　國家願景」計畫之八大願景、</w:t>
      </w:r>
      <w:r>
        <w:rPr>
          <w:rFonts w:eastAsia="標楷體"/>
          <w:spacing w:val="4"/>
          <w:kern w:val="0"/>
          <w:sz w:val="28"/>
          <w:szCs w:val="26"/>
        </w:rPr>
        <w:t>31</w:t>
      </w:r>
      <w:r>
        <w:rPr>
          <w:rFonts w:eastAsia="標楷體"/>
          <w:spacing w:val="4"/>
          <w:kern w:val="0"/>
          <w:sz w:val="28"/>
          <w:szCs w:val="26"/>
        </w:rPr>
        <w:t>項施政主軸，全面推升國力，並特別著重所得分配的改善與環境永續的保護，以提升國民整體幸福感。政策作為包括：</w:t>
      </w:r>
    </w:p>
    <w:p w14:paraId="18D51BB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rPr>
          <w:rFonts w:ascii="標楷體" w:eastAsia="標楷體" w:hAnsi="標楷體"/>
          <w:b/>
          <w:color w:val="660066"/>
          <w:spacing w:val="4"/>
          <w:kern w:val="0"/>
          <w:sz w:val="28"/>
          <w:szCs w:val="22"/>
        </w:rPr>
      </w:pPr>
      <w:r>
        <w:rPr>
          <w:rFonts w:ascii="標楷體" w:eastAsia="標楷體" w:hAnsi="標楷體"/>
          <w:b/>
          <w:color w:val="660066"/>
          <w:spacing w:val="4"/>
          <w:kern w:val="0"/>
          <w:sz w:val="28"/>
          <w:szCs w:val="22"/>
        </w:rPr>
        <w:t>(一)加速結構調整，促進均衡成長</w:t>
      </w:r>
    </w:p>
    <w:p w14:paraId="42942E3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－執行「經濟動能推升方案」，由產業、輸出、人力、投資、政府五大構面著手，透過體制調整與法規鬆綁，促進投資並帶動就業與薪資增加。</w:t>
      </w:r>
    </w:p>
    <w:p w14:paraId="49BECB4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－除持續推動六大新興產業、四項新興智慧型產業，以及十項重點服務業外，更加速產業的多元創新，促進產業結構朝多元、高值與低碳轉型、升級。</w:t>
      </w:r>
    </w:p>
    <w:p w14:paraId="378A2D7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－在「愛臺</w:t>
      </w:r>
      <w:r>
        <w:rPr>
          <w:rFonts w:eastAsia="標楷體"/>
          <w:spacing w:val="4"/>
          <w:kern w:val="0"/>
          <w:sz w:val="28"/>
          <w:szCs w:val="26"/>
        </w:rPr>
        <w:t>12</w:t>
      </w:r>
      <w:r>
        <w:rPr>
          <w:rFonts w:eastAsia="標楷體"/>
          <w:spacing w:val="4"/>
          <w:kern w:val="0"/>
          <w:sz w:val="28"/>
          <w:szCs w:val="26"/>
        </w:rPr>
        <w:t>建設」的基礎上推動新世代策略性公共建設，加強知識性、公義性及永續性的公共投資，厚植資本存量。</w:t>
      </w:r>
    </w:p>
    <w:p w14:paraId="4AFE84D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－加強創新人力培育，強化教育與職訓，並吸引國際人才來臺，充實人力資本，提升國家軟實力。</w:t>
      </w:r>
    </w:p>
    <w:p w14:paraId="213C2E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－推動「</w:t>
      </w:r>
      <w:bookmarkStart w:id="0" w:name="OLE_LINK2"/>
      <w:bookmarkStart w:id="1" w:name="OLE_LINK1"/>
      <w:r>
        <w:rPr>
          <w:rFonts w:eastAsia="標楷體"/>
          <w:spacing w:val="4"/>
          <w:kern w:val="0"/>
          <w:sz w:val="28"/>
          <w:szCs w:val="26"/>
        </w:rPr>
        <w:t>加強推動臺</w:t>
      </w:r>
      <w:bookmarkEnd w:id="0"/>
      <w:bookmarkEnd w:id="1"/>
      <w:r>
        <w:rPr>
          <w:rFonts w:eastAsia="標楷體"/>
          <w:spacing w:val="4"/>
          <w:kern w:val="0"/>
          <w:sz w:val="28"/>
          <w:szCs w:val="26"/>
        </w:rPr>
        <w:t>商回臺投資方案」及「自由經濟示範區」，持續擴大</w:t>
      </w:r>
      <w:r>
        <w:rPr>
          <w:rFonts w:eastAsia="標楷體"/>
          <w:spacing w:val="4"/>
          <w:kern w:val="0"/>
          <w:sz w:val="28"/>
          <w:szCs w:val="26"/>
        </w:rPr>
        <w:t>ECFA</w:t>
      </w:r>
      <w:r>
        <w:rPr>
          <w:rFonts w:eastAsia="標楷體"/>
          <w:spacing w:val="4"/>
          <w:kern w:val="0"/>
          <w:sz w:val="28"/>
          <w:szCs w:val="26"/>
        </w:rPr>
        <w:t>效益，並積極參與區域經濟整合，拓展臺灣經貿發展縱深。</w:t>
      </w:r>
    </w:p>
    <w:p w14:paraId="1CD6E6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660066"/>
          <w:spacing w:val="4"/>
          <w:kern w:val="0"/>
          <w:sz w:val="28"/>
          <w:szCs w:val="22"/>
        </w:rPr>
        <w:t>(二)體現公義關懷，實現包容成長</w:t>
      </w:r>
    </w:p>
    <w:p w14:paraId="7B53E0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－持續推動租稅改革，強化社會安全體系，落實社會救助新制與居住正義，縮小貧富差距。</w:t>
      </w:r>
    </w:p>
    <w:p w14:paraId="5BE80C4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－建構優質養育環境，改善健保及各項年金制度，完善長照服務網絡，健全安養體系。</w:t>
      </w:r>
    </w:p>
    <w:p w14:paraId="702C047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－健全防貪、肅貪機制，強化司法改革，增進人權保障，並拓展政府各機關創新與整合服務，打造公義、效能、具競爭力的政府。</w:t>
      </w:r>
    </w:p>
    <w:p w14:paraId="63B5238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p>
    <w:p w14:paraId="3721A0A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rPr>
          <w:rFonts w:ascii="標楷體" w:eastAsia="標楷體" w:hAnsi="標楷體"/>
          <w:b/>
          <w:color w:val="660066"/>
          <w:spacing w:val="4"/>
          <w:kern w:val="0"/>
          <w:sz w:val="28"/>
          <w:szCs w:val="22"/>
        </w:rPr>
      </w:pPr>
      <w:r>
        <w:rPr>
          <w:rFonts w:ascii="標楷體" w:eastAsia="標楷體" w:hAnsi="標楷體"/>
          <w:b/>
          <w:color w:val="660066"/>
          <w:spacing w:val="4"/>
          <w:kern w:val="0"/>
          <w:sz w:val="28"/>
          <w:szCs w:val="22"/>
        </w:rPr>
        <w:lastRenderedPageBreak/>
        <w:t>(三)落實節能減碳，推動綠色成長</w:t>
      </w:r>
    </w:p>
    <w:p w14:paraId="201DFF7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－全力推動再生能源，完善「溫室氣體減量法」等綠色法規制度，加速產業低碳化，推動「低碳永續家園推動方案」，打造低碳樂活家園。</w:t>
      </w:r>
    </w:p>
    <w:p w14:paraId="39DF34C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－健全國土規劃制度，建構潔淨寧適環境，強化水資源運用與管理，加強植樹造林，維護物種及棲地多樣化，營造自然美麗的生態環境。</w:t>
      </w:r>
    </w:p>
    <w:p w14:paraId="42F986D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－落實「國家氣候變遷調適政策綱領」，提升核能安全防護，推動整體性防災計畫，強化災害預警及疏散撤離能量，建構讓民眾安心的安全生活環境。</w:t>
      </w:r>
    </w:p>
    <w:p w14:paraId="79B7F026" w14:textId="77777777" w:rsidR="00052596" w:rsidRDefault="00052596">
      <w:pPr>
        <w:widowControl/>
        <w:rPr>
          <w:rFonts w:ascii="Calibri" w:hAnsi="Calibri"/>
          <w:kern w:val="0"/>
          <w:szCs w:val="24"/>
        </w:rPr>
      </w:pPr>
    </w:p>
    <w:p w14:paraId="2084EB86" w14:textId="77777777" w:rsidR="00052596" w:rsidRDefault="00052596">
      <w:pPr>
        <w:pageBreakBefore/>
        <w:widowControl/>
      </w:pPr>
    </w:p>
    <w:p w14:paraId="264C4820"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第三節　目標釐訂</w:t>
      </w:r>
    </w:p>
    <w:p w14:paraId="5777C24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865D32C"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壹、總體經濟目標</w:t>
      </w:r>
    </w:p>
    <w:p w14:paraId="65631899" w14:textId="77777777" w:rsidR="00052596" w:rsidRDefault="00052596">
      <w:pPr>
        <w:tabs>
          <w:tab w:val="left" w:pos="960"/>
          <w:tab w:val="left" w:pos="1920"/>
          <w:tab w:val="left" w:pos="2880"/>
          <w:tab w:val="left" w:pos="3840"/>
          <w:tab w:val="left" w:pos="4800"/>
          <w:tab w:val="left" w:pos="5760"/>
        </w:tabs>
        <w:overflowPunct w:val="0"/>
        <w:autoSpaceDE w:val="0"/>
        <w:spacing w:line="240" w:lineRule="exact"/>
        <w:jc w:val="center"/>
        <w:textAlignment w:val="center"/>
        <w:rPr>
          <w:rFonts w:ascii="Calibri" w:eastAsia="標楷體" w:hAnsi="Calibri"/>
          <w:spacing w:val="4"/>
          <w:kern w:val="0"/>
          <w:sz w:val="28"/>
          <w:szCs w:val="28"/>
        </w:rPr>
      </w:pPr>
    </w:p>
    <w:p w14:paraId="25B388B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38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一、主客觀條件</w:t>
      </w:r>
    </w:p>
    <w:p w14:paraId="739093DE" w14:textId="77777777" w:rsidR="00052596" w:rsidRDefault="00000000">
      <w:pPr>
        <w:tabs>
          <w:tab w:val="left" w:pos="960"/>
          <w:tab w:val="left" w:pos="1920"/>
          <w:tab w:val="left" w:pos="2880"/>
          <w:tab w:val="left" w:pos="3840"/>
          <w:tab w:val="left" w:pos="4800"/>
          <w:tab w:val="left" w:pos="5760"/>
        </w:tabs>
        <w:overflowPunct w:val="0"/>
        <w:autoSpaceDE w:val="0"/>
        <w:spacing w:line="380" w:lineRule="exact"/>
        <w:ind w:left="793" w:hanging="577"/>
        <w:jc w:val="both"/>
        <w:textAlignment w:val="center"/>
      </w:pPr>
      <w:r>
        <w:rPr>
          <w:rFonts w:ascii="標楷體" w:eastAsia="標楷體" w:hAnsi="標楷體" w:cs="Arial"/>
          <w:b/>
          <w:color w:val="660066"/>
          <w:spacing w:val="4"/>
          <w:kern w:val="0"/>
          <w:sz w:val="28"/>
          <w:szCs w:val="22"/>
        </w:rPr>
        <w:t>(一)</w:t>
      </w:r>
      <w:r>
        <w:rPr>
          <w:rFonts w:eastAsia="標楷體"/>
          <w:b/>
          <w:color w:val="660066"/>
          <w:spacing w:val="4"/>
          <w:kern w:val="0"/>
          <w:sz w:val="28"/>
          <w:szCs w:val="22"/>
        </w:rPr>
        <w:t>外在環境</w:t>
      </w:r>
    </w:p>
    <w:p w14:paraId="0C859F1E" w14:textId="77777777" w:rsidR="00052596" w:rsidRDefault="00000000">
      <w:pPr>
        <w:overflowPunct w:val="0"/>
        <w:autoSpaceDE w:val="0"/>
        <w:spacing w:line="390" w:lineRule="exact"/>
        <w:ind w:left="792" w:firstLine="605"/>
        <w:jc w:val="both"/>
        <w:textAlignment w:val="center"/>
      </w:pPr>
      <w:r>
        <w:rPr>
          <w:rFonts w:eastAsia="標楷體"/>
          <w:spacing w:val="4"/>
          <w:kern w:val="0"/>
          <w:sz w:val="28"/>
          <w:szCs w:val="26"/>
        </w:rPr>
        <w:t>GI</w:t>
      </w:r>
      <w:r>
        <w:rPr>
          <w:rFonts w:eastAsia="標楷體"/>
          <w:spacing w:val="4"/>
          <w:kern w:val="0"/>
          <w:sz w:val="28"/>
          <w:szCs w:val="26"/>
        </w:rPr>
        <w:t>預測，</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年世界經濟成長率平均</w:t>
      </w:r>
      <w:r>
        <w:rPr>
          <w:rFonts w:eastAsia="標楷體"/>
          <w:spacing w:val="4"/>
          <w:kern w:val="0"/>
          <w:sz w:val="28"/>
          <w:szCs w:val="26"/>
        </w:rPr>
        <w:t>3.5%</w:t>
      </w:r>
      <w:r>
        <w:rPr>
          <w:rFonts w:eastAsia="標楷體"/>
          <w:spacing w:val="4"/>
          <w:kern w:val="0"/>
          <w:sz w:val="28"/>
          <w:szCs w:val="26"/>
        </w:rPr>
        <w:t>，略高於</w:t>
      </w:r>
      <w:r>
        <w:rPr>
          <w:rFonts w:eastAsia="標楷體"/>
          <w:spacing w:val="4"/>
          <w:kern w:val="0"/>
          <w:sz w:val="28"/>
          <w:szCs w:val="26"/>
        </w:rPr>
        <w:t>2010</w:t>
      </w:r>
      <w:r>
        <w:rPr>
          <w:rFonts w:eastAsia="標楷體"/>
          <w:spacing w:val="4"/>
          <w:kern w:val="0"/>
          <w:sz w:val="28"/>
          <w:szCs w:val="26"/>
        </w:rPr>
        <w:t>至</w:t>
      </w:r>
      <w:r>
        <w:rPr>
          <w:rFonts w:eastAsia="標楷體"/>
          <w:spacing w:val="4"/>
          <w:kern w:val="0"/>
          <w:sz w:val="28"/>
          <w:szCs w:val="26"/>
        </w:rPr>
        <w:t>2012</w:t>
      </w:r>
      <w:r>
        <w:rPr>
          <w:rFonts w:eastAsia="標楷體"/>
          <w:spacing w:val="4"/>
          <w:kern w:val="0"/>
          <w:sz w:val="28"/>
          <w:szCs w:val="26"/>
        </w:rPr>
        <w:t>年平均的</w:t>
      </w:r>
      <w:r>
        <w:rPr>
          <w:rFonts w:eastAsia="標楷體"/>
          <w:spacing w:val="4"/>
          <w:kern w:val="0"/>
          <w:sz w:val="28"/>
          <w:szCs w:val="26"/>
        </w:rPr>
        <w:t>3.3%</w:t>
      </w:r>
      <w:r>
        <w:rPr>
          <w:rFonts w:eastAsia="標楷體"/>
          <w:spacing w:val="4"/>
          <w:kern w:val="0"/>
          <w:sz w:val="28"/>
          <w:szCs w:val="26"/>
        </w:rPr>
        <w:t>。其中，先進經濟體復甦動能仍緩，平均成長率略增至</w:t>
      </w:r>
      <w:r>
        <w:rPr>
          <w:rFonts w:eastAsia="標楷體"/>
          <w:spacing w:val="4"/>
          <w:kern w:val="0"/>
          <w:sz w:val="28"/>
          <w:szCs w:val="26"/>
        </w:rPr>
        <w:t>2.0%</w:t>
      </w:r>
      <w:r>
        <w:rPr>
          <w:rFonts w:eastAsia="標楷體"/>
          <w:spacing w:val="4"/>
          <w:kern w:val="0"/>
          <w:sz w:val="28"/>
          <w:szCs w:val="26"/>
        </w:rPr>
        <w:t>；新興經濟體仍為全球經濟成長的主要引擎，貢獻超過</w:t>
      </w:r>
      <w:r>
        <w:rPr>
          <w:rFonts w:eastAsia="標楷體"/>
          <w:spacing w:val="4"/>
          <w:kern w:val="0"/>
          <w:sz w:val="28"/>
          <w:szCs w:val="26"/>
        </w:rPr>
        <w:t>5</w:t>
      </w:r>
      <w:r>
        <w:rPr>
          <w:rFonts w:eastAsia="標楷體"/>
          <w:spacing w:val="4"/>
          <w:kern w:val="0"/>
          <w:sz w:val="28"/>
          <w:szCs w:val="26"/>
        </w:rPr>
        <w:t>成，惟成長速度減緩為</w:t>
      </w:r>
      <w:r>
        <w:rPr>
          <w:rFonts w:eastAsia="標楷體"/>
          <w:spacing w:val="4"/>
          <w:kern w:val="0"/>
          <w:sz w:val="28"/>
          <w:szCs w:val="26"/>
        </w:rPr>
        <w:t>5.6%</w:t>
      </w:r>
      <w:r>
        <w:rPr>
          <w:rFonts w:eastAsia="標楷體"/>
          <w:spacing w:val="4"/>
          <w:kern w:val="0"/>
          <w:sz w:val="28"/>
          <w:szCs w:val="26"/>
        </w:rPr>
        <w:t>。就各國觀察：美國經濟成長可望轉佳，平均</w:t>
      </w:r>
      <w:r>
        <w:rPr>
          <w:rFonts w:eastAsia="標楷體"/>
          <w:spacing w:val="4"/>
          <w:kern w:val="0"/>
          <w:sz w:val="28"/>
          <w:szCs w:val="26"/>
        </w:rPr>
        <w:t>2.7%</w:t>
      </w:r>
      <w:r>
        <w:rPr>
          <w:rFonts w:eastAsia="標楷體"/>
          <w:spacing w:val="4"/>
          <w:kern w:val="0"/>
          <w:sz w:val="28"/>
          <w:szCs w:val="26"/>
        </w:rPr>
        <w:t>；歐盟及日本仍難擺脫低成長</w:t>
      </w:r>
      <w:r>
        <w:rPr>
          <w:rFonts w:ascii="標楷體" w:eastAsia="標楷體" w:hAnsi="標楷體"/>
          <w:spacing w:val="4"/>
          <w:kern w:val="0"/>
          <w:sz w:val="28"/>
          <w:szCs w:val="26"/>
        </w:rPr>
        <w:t>(</w:t>
      </w:r>
      <w:r>
        <w:rPr>
          <w:rFonts w:eastAsia="標楷體"/>
          <w:spacing w:val="4"/>
          <w:kern w:val="0"/>
          <w:sz w:val="28"/>
          <w:szCs w:val="26"/>
        </w:rPr>
        <w:t>分別為</w:t>
      </w:r>
      <w:r>
        <w:rPr>
          <w:rFonts w:eastAsia="標楷體"/>
          <w:spacing w:val="4"/>
          <w:kern w:val="0"/>
          <w:sz w:val="28"/>
          <w:szCs w:val="26"/>
        </w:rPr>
        <w:t>1.2%</w:t>
      </w:r>
      <w:r>
        <w:rPr>
          <w:rFonts w:eastAsia="標楷體"/>
          <w:spacing w:val="4"/>
          <w:kern w:val="0"/>
          <w:sz w:val="28"/>
          <w:szCs w:val="26"/>
        </w:rPr>
        <w:t>及</w:t>
      </w:r>
      <w:r>
        <w:rPr>
          <w:rFonts w:eastAsia="標楷體"/>
          <w:spacing w:val="4"/>
          <w:kern w:val="0"/>
          <w:sz w:val="28"/>
          <w:szCs w:val="26"/>
        </w:rPr>
        <w:t>1.4%</w:t>
      </w:r>
      <w:r>
        <w:rPr>
          <w:rFonts w:ascii="標楷體" w:eastAsia="標楷體" w:hAnsi="標楷體"/>
          <w:spacing w:val="4"/>
          <w:kern w:val="0"/>
          <w:sz w:val="28"/>
          <w:szCs w:val="26"/>
        </w:rPr>
        <w:t>)</w:t>
      </w:r>
      <w:r>
        <w:rPr>
          <w:rFonts w:eastAsia="標楷體"/>
          <w:spacing w:val="4"/>
          <w:kern w:val="0"/>
          <w:sz w:val="28"/>
          <w:szCs w:val="26"/>
        </w:rPr>
        <w:t>；中國大陸經濟成長仍維持平均</w:t>
      </w:r>
      <w:r>
        <w:rPr>
          <w:rFonts w:eastAsia="標楷體"/>
          <w:spacing w:val="4"/>
          <w:kern w:val="0"/>
          <w:sz w:val="28"/>
          <w:szCs w:val="26"/>
        </w:rPr>
        <w:t>8%</w:t>
      </w:r>
      <w:r>
        <w:rPr>
          <w:rFonts w:eastAsia="標楷體"/>
          <w:spacing w:val="4"/>
          <w:kern w:val="0"/>
          <w:sz w:val="28"/>
          <w:szCs w:val="26"/>
        </w:rPr>
        <w:t>以上的水準；印度平均成長</w:t>
      </w:r>
      <w:r>
        <w:rPr>
          <w:rFonts w:eastAsia="標楷體"/>
          <w:spacing w:val="4"/>
          <w:kern w:val="0"/>
          <w:sz w:val="28"/>
          <w:szCs w:val="26"/>
        </w:rPr>
        <w:t>7.2%</w:t>
      </w:r>
      <w:r>
        <w:rPr>
          <w:rFonts w:eastAsia="標楷體"/>
          <w:spacing w:val="4"/>
          <w:kern w:val="0"/>
          <w:sz w:val="28"/>
          <w:szCs w:val="26"/>
        </w:rPr>
        <w:t>。</w:t>
      </w:r>
    </w:p>
    <w:p w14:paraId="7D35F1ED" w14:textId="77777777" w:rsidR="00052596" w:rsidRDefault="00000000">
      <w:pPr>
        <w:overflowPunct w:val="0"/>
        <w:autoSpaceDE w:val="0"/>
        <w:spacing w:line="390" w:lineRule="exact"/>
        <w:ind w:left="792" w:firstLine="605"/>
        <w:jc w:val="both"/>
        <w:textAlignment w:val="center"/>
      </w:pPr>
      <w:r>
        <w:rPr>
          <w:rFonts w:eastAsia="標楷體"/>
          <w:spacing w:val="4"/>
          <w:kern w:val="0"/>
          <w:sz w:val="28"/>
          <w:szCs w:val="26"/>
        </w:rPr>
        <w:t>IMF</w:t>
      </w:r>
      <w:r>
        <w:rPr>
          <w:rFonts w:eastAsia="標楷體"/>
          <w:spacing w:val="4"/>
          <w:kern w:val="0"/>
          <w:sz w:val="28"/>
          <w:szCs w:val="26"/>
        </w:rPr>
        <w:t>預測，在全球貿易網絡及全球價值鏈益趨緊密融合發展趨勢下，</w:t>
      </w:r>
      <w:r>
        <w:rPr>
          <w:rFonts w:eastAsia="標楷體"/>
          <w:spacing w:val="4"/>
          <w:kern w:val="0"/>
          <w:sz w:val="28"/>
          <w:szCs w:val="26"/>
        </w:rPr>
        <w:t>2013</w:t>
      </w:r>
      <w:r>
        <w:rPr>
          <w:rFonts w:eastAsia="標楷體"/>
          <w:spacing w:val="4"/>
          <w:kern w:val="0"/>
          <w:sz w:val="28"/>
          <w:szCs w:val="26"/>
        </w:rPr>
        <w:t>至</w:t>
      </w:r>
      <w:r>
        <w:rPr>
          <w:rFonts w:eastAsia="標楷體"/>
          <w:spacing w:val="4"/>
          <w:kern w:val="0"/>
          <w:sz w:val="28"/>
          <w:szCs w:val="26"/>
        </w:rPr>
        <w:t>2016</w:t>
      </w:r>
      <w:r>
        <w:rPr>
          <w:rFonts w:eastAsia="標楷體"/>
          <w:spacing w:val="4"/>
          <w:kern w:val="0"/>
          <w:sz w:val="28"/>
          <w:szCs w:val="26"/>
        </w:rPr>
        <w:t>年世界貿易量擴張率可望逐年提高，平均擴張率</w:t>
      </w:r>
      <w:r>
        <w:rPr>
          <w:rFonts w:eastAsia="標楷體"/>
          <w:spacing w:val="4"/>
          <w:kern w:val="0"/>
          <w:sz w:val="28"/>
          <w:szCs w:val="26"/>
        </w:rPr>
        <w:t>5.7%</w:t>
      </w:r>
      <w:r>
        <w:rPr>
          <w:rFonts w:eastAsia="標楷體"/>
          <w:spacing w:val="4"/>
          <w:kern w:val="0"/>
          <w:sz w:val="28"/>
          <w:szCs w:val="26"/>
        </w:rPr>
        <w:t>，高於同期間世界經濟成長率。國際油價方面，英國布蘭特、杜拜及西德州中級原油平均油價呈下跌趨勢，由</w:t>
      </w:r>
      <w:r>
        <w:rPr>
          <w:rFonts w:eastAsia="標楷體"/>
          <w:spacing w:val="4"/>
          <w:kern w:val="0"/>
          <w:sz w:val="28"/>
          <w:szCs w:val="26"/>
        </w:rPr>
        <w:t>2012</w:t>
      </w:r>
      <w:r>
        <w:rPr>
          <w:rFonts w:eastAsia="標楷體"/>
          <w:spacing w:val="4"/>
          <w:kern w:val="0"/>
          <w:sz w:val="28"/>
          <w:szCs w:val="26"/>
        </w:rPr>
        <w:t>年平均</w:t>
      </w:r>
      <w:r>
        <w:rPr>
          <w:rFonts w:eastAsia="標楷體"/>
          <w:spacing w:val="4"/>
          <w:kern w:val="0"/>
          <w:sz w:val="28"/>
          <w:szCs w:val="26"/>
        </w:rPr>
        <w:t>106.2</w:t>
      </w:r>
      <w:r>
        <w:rPr>
          <w:rFonts w:eastAsia="標楷體"/>
          <w:spacing w:val="4"/>
          <w:kern w:val="0"/>
          <w:sz w:val="28"/>
          <w:szCs w:val="26"/>
        </w:rPr>
        <w:t>美元</w:t>
      </w:r>
      <w:r>
        <w:rPr>
          <w:rFonts w:eastAsia="標楷體"/>
          <w:spacing w:val="4"/>
          <w:kern w:val="0"/>
          <w:sz w:val="28"/>
          <w:szCs w:val="26"/>
        </w:rPr>
        <w:t>/</w:t>
      </w:r>
      <w:r>
        <w:rPr>
          <w:rFonts w:eastAsia="標楷體"/>
          <w:spacing w:val="4"/>
          <w:kern w:val="0"/>
          <w:sz w:val="28"/>
          <w:szCs w:val="26"/>
        </w:rPr>
        <w:t>桶降至</w:t>
      </w:r>
      <w:r>
        <w:rPr>
          <w:rFonts w:eastAsia="標楷體"/>
          <w:spacing w:val="4"/>
          <w:kern w:val="0"/>
          <w:sz w:val="28"/>
          <w:szCs w:val="26"/>
        </w:rPr>
        <w:t>2016</w:t>
      </w:r>
      <w:r>
        <w:rPr>
          <w:rFonts w:eastAsia="標楷體"/>
          <w:spacing w:val="4"/>
          <w:kern w:val="0"/>
          <w:sz w:val="28"/>
          <w:szCs w:val="26"/>
        </w:rPr>
        <w:t>年平均</w:t>
      </w:r>
      <w:r>
        <w:rPr>
          <w:rFonts w:eastAsia="標楷體"/>
          <w:spacing w:val="4"/>
          <w:kern w:val="0"/>
          <w:sz w:val="28"/>
          <w:szCs w:val="26"/>
        </w:rPr>
        <w:t>93.2</w:t>
      </w:r>
      <w:r>
        <w:rPr>
          <w:rFonts w:eastAsia="標楷體"/>
          <w:spacing w:val="4"/>
          <w:kern w:val="0"/>
          <w:sz w:val="28"/>
          <w:szCs w:val="26"/>
        </w:rPr>
        <w:t>美元</w:t>
      </w:r>
      <w:r>
        <w:rPr>
          <w:rFonts w:eastAsia="標楷體"/>
          <w:spacing w:val="4"/>
          <w:kern w:val="0"/>
          <w:sz w:val="28"/>
          <w:szCs w:val="26"/>
        </w:rPr>
        <w:t>/</w:t>
      </w:r>
      <w:r>
        <w:rPr>
          <w:rFonts w:eastAsia="標楷體"/>
          <w:spacing w:val="4"/>
          <w:kern w:val="0"/>
          <w:sz w:val="28"/>
          <w:szCs w:val="26"/>
        </w:rPr>
        <w:t>桶</w:t>
      </w:r>
      <w:r>
        <w:rPr>
          <w:rFonts w:ascii="標楷體" w:eastAsia="標楷體" w:hAnsi="標楷體"/>
          <w:spacing w:val="4"/>
          <w:kern w:val="0"/>
          <w:sz w:val="28"/>
          <w:szCs w:val="26"/>
        </w:rPr>
        <w:t>(</w:t>
      </w:r>
      <w:r>
        <w:rPr>
          <w:rFonts w:eastAsia="標楷體"/>
          <w:spacing w:val="4"/>
          <w:kern w:val="0"/>
          <w:sz w:val="28"/>
          <w:szCs w:val="26"/>
        </w:rPr>
        <w:t>平均每年下跌</w:t>
      </w:r>
      <w:r>
        <w:rPr>
          <w:rFonts w:eastAsia="標楷體"/>
          <w:spacing w:val="4"/>
          <w:kern w:val="0"/>
          <w:sz w:val="28"/>
          <w:szCs w:val="26"/>
        </w:rPr>
        <w:t>3.2%</w:t>
      </w:r>
      <w:r>
        <w:rPr>
          <w:rFonts w:ascii="標楷體" w:eastAsia="標楷體" w:hAnsi="標楷體"/>
          <w:spacing w:val="4"/>
          <w:kern w:val="0"/>
          <w:sz w:val="28"/>
          <w:szCs w:val="26"/>
        </w:rPr>
        <w:t>)</w:t>
      </w:r>
      <w:r>
        <w:rPr>
          <w:rFonts w:eastAsia="標楷體"/>
          <w:spacing w:val="4"/>
          <w:kern w:val="0"/>
          <w:sz w:val="28"/>
          <w:szCs w:val="26"/>
        </w:rPr>
        <w:t>。</w:t>
      </w:r>
    </w:p>
    <w:p w14:paraId="198EFB80" w14:textId="77777777" w:rsidR="00052596" w:rsidRDefault="00000000">
      <w:pPr>
        <w:overflowPunct w:val="0"/>
        <w:autoSpaceDE w:val="0"/>
        <w:spacing w:line="390" w:lineRule="exact"/>
        <w:ind w:left="792" w:firstLine="605"/>
        <w:jc w:val="both"/>
        <w:textAlignment w:val="center"/>
        <w:rPr>
          <w:rFonts w:eastAsia="標楷體"/>
          <w:spacing w:val="4"/>
          <w:kern w:val="0"/>
          <w:sz w:val="28"/>
          <w:szCs w:val="26"/>
        </w:rPr>
      </w:pPr>
      <w:r>
        <w:rPr>
          <w:rFonts w:eastAsia="標楷體"/>
          <w:spacing w:val="4"/>
          <w:kern w:val="0"/>
          <w:sz w:val="28"/>
          <w:szCs w:val="26"/>
        </w:rPr>
        <w:t>IMF</w:t>
      </w:r>
      <w:r>
        <w:rPr>
          <w:rFonts w:eastAsia="標楷體"/>
          <w:spacing w:val="4"/>
          <w:kern w:val="0"/>
          <w:sz w:val="28"/>
          <w:szCs w:val="26"/>
        </w:rPr>
        <w:t>指出，目前全球經濟仍面臨歐債危機，美國財政懸崖，及新興經濟體內需擴增與結構調整等挑戰，未來世界經濟前景仍充滿不確定，且潛存下行風險。</w:t>
      </w:r>
    </w:p>
    <w:p w14:paraId="1D530E48" w14:textId="77777777" w:rsidR="00052596" w:rsidRDefault="00000000">
      <w:pPr>
        <w:overflowPunct w:val="0"/>
        <w:autoSpaceDE w:val="0"/>
        <w:snapToGrid w:val="0"/>
        <w:spacing w:before="120" w:after="60" w:line="280" w:lineRule="exact"/>
        <w:jc w:val="center"/>
        <w:textAlignment w:val="center"/>
      </w:pPr>
      <w:r>
        <w:rPr>
          <w:noProof/>
        </w:rPr>
        <mc:AlternateContent>
          <mc:Choice Requires="wps">
            <w:drawing>
              <wp:anchor distT="0" distB="0" distL="114300" distR="114300" simplePos="0" relativeHeight="251690496" behindDoc="1" locked="0" layoutInCell="1" allowOverlap="1" wp14:anchorId="49FCD028" wp14:editId="02CA73EA">
                <wp:simplePos x="0" y="0"/>
                <wp:positionH relativeFrom="column">
                  <wp:posOffset>0</wp:posOffset>
                </wp:positionH>
                <wp:positionV relativeFrom="paragraph">
                  <wp:posOffset>50804</wp:posOffset>
                </wp:positionV>
                <wp:extent cx="5400044" cy="2895603"/>
                <wp:effectExtent l="0" t="0" r="0" b="0"/>
                <wp:wrapNone/>
                <wp:docPr id="197" name="矩形 40"/>
                <wp:cNvGraphicFramePr/>
                <a:graphic xmlns:a="http://schemas.openxmlformats.org/drawingml/2006/main">
                  <a:graphicData uri="http://schemas.microsoft.com/office/word/2010/wordprocessingShape">
                    <wps:wsp>
                      <wps:cNvSpPr/>
                      <wps:spPr>
                        <a:xfrm>
                          <a:off x="0" y="0"/>
                          <a:ext cx="5400044" cy="2895603"/>
                        </a:xfrm>
                        <a:prstGeom prst="rect">
                          <a:avLst/>
                        </a:prstGeom>
                        <a:gradFill>
                          <a:gsLst>
                            <a:gs pos="0">
                              <a:srgbClr val="FFFFFF"/>
                            </a:gs>
                            <a:gs pos="100000">
                              <a:srgbClr val="FFFFFF"/>
                            </a:gs>
                          </a:gsLst>
                          <a:path path="circle">
                            <a:fillToRect l="50000" t="50000" r="50000" b="50000"/>
                          </a:path>
                        </a:gradFill>
                        <a:ln>
                          <a:noFill/>
                          <a:prstDash val="solid"/>
                        </a:ln>
                      </wps:spPr>
                      <wps:bodyPr lIns="0" tIns="0" rIns="0" bIns="0"/>
                    </wps:wsp>
                  </a:graphicData>
                </a:graphic>
              </wp:anchor>
            </w:drawing>
          </mc:Choice>
          <mc:Fallback>
            <w:pict>
              <v:rect w14:anchorId="796CC450" id="矩形 40" o:spid="_x0000_s1026" style="position:absolute;margin-left:0;margin-top:4pt;width:425.2pt;height:228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" stroked="f">
                <v:fill focusposition=".5,.5" focussize="" focus="100%" type="gradientRadial"/>
                <v:textbox inset="0,0,0,0"/>
              </v:rect>
            </w:pict>
          </mc:Fallback>
        </mc:AlternateContent>
      </w:r>
      <w:r>
        <w:rPr>
          <w:rFonts w:eastAsia="標楷體"/>
          <w:b/>
          <w:color w:val="0000FF"/>
          <w:kern w:val="0"/>
          <w:sz w:val="25"/>
          <w:szCs w:val="22"/>
        </w:rPr>
        <w:t>表</w:t>
      </w:r>
      <w:r>
        <w:rPr>
          <w:rFonts w:eastAsia="標楷體"/>
          <w:b/>
          <w:color w:val="0000FF"/>
          <w:kern w:val="0"/>
          <w:sz w:val="25"/>
          <w:szCs w:val="22"/>
        </w:rPr>
        <w:t>2.3.1</w:t>
      </w:r>
      <w:r>
        <w:rPr>
          <w:rFonts w:eastAsia="標楷體"/>
          <w:b/>
          <w:color w:val="0000FF"/>
          <w:kern w:val="0"/>
          <w:sz w:val="25"/>
          <w:szCs w:val="22"/>
        </w:rPr>
        <w:t xml:space="preserve">　</w:t>
      </w:r>
      <w:r>
        <w:rPr>
          <w:rFonts w:eastAsia="標楷體"/>
          <w:b/>
          <w:color w:val="0000FF"/>
          <w:kern w:val="0"/>
          <w:sz w:val="25"/>
          <w:szCs w:val="22"/>
        </w:rPr>
        <w:t>2013</w:t>
      </w:r>
      <w:r>
        <w:rPr>
          <w:rFonts w:eastAsia="標楷體"/>
          <w:b/>
          <w:color w:val="0000FF"/>
          <w:kern w:val="0"/>
          <w:sz w:val="25"/>
          <w:szCs w:val="22"/>
        </w:rPr>
        <w:t>至</w:t>
      </w:r>
      <w:r>
        <w:rPr>
          <w:rFonts w:eastAsia="標楷體"/>
          <w:b/>
          <w:color w:val="0000FF"/>
          <w:kern w:val="0"/>
          <w:sz w:val="25"/>
          <w:szCs w:val="22"/>
        </w:rPr>
        <w:t>2016</w:t>
      </w:r>
      <w:r>
        <w:rPr>
          <w:rFonts w:eastAsia="標楷體"/>
          <w:b/>
          <w:color w:val="0000FF"/>
          <w:kern w:val="0"/>
          <w:sz w:val="25"/>
          <w:szCs w:val="22"/>
        </w:rPr>
        <w:t>年全球經濟展望</w:t>
      </w:r>
    </w:p>
    <w:tbl>
      <w:tblPr>
        <w:tblW w:w="8330" w:type="dxa"/>
        <w:jc w:val="center"/>
        <w:tblLayout w:type="fixed"/>
        <w:tblCellMar>
          <w:left w:w="10" w:type="dxa"/>
          <w:right w:w="10" w:type="dxa"/>
        </w:tblCellMar>
        <w:tblLook w:val="04A0" w:firstRow="1" w:lastRow="0" w:firstColumn="1" w:lastColumn="0" w:noHBand="0" w:noVBand="1"/>
      </w:tblPr>
      <w:tblGrid>
        <w:gridCol w:w="2181"/>
        <w:gridCol w:w="993"/>
        <w:gridCol w:w="850"/>
        <w:gridCol w:w="1046"/>
        <w:gridCol w:w="815"/>
        <w:gridCol w:w="815"/>
        <w:gridCol w:w="815"/>
        <w:gridCol w:w="815"/>
      </w:tblGrid>
      <w:tr w:rsidR="00052596" w14:paraId="67174DA1" w14:textId="77777777">
        <w:tblPrEx>
          <w:tblCellMar>
            <w:top w:w="0" w:type="dxa"/>
            <w:bottom w:w="0" w:type="dxa"/>
          </w:tblCellMar>
        </w:tblPrEx>
        <w:trPr>
          <w:jc w:val="center"/>
        </w:trPr>
        <w:tc>
          <w:tcPr>
            <w:tcW w:w="2181" w:type="dxa"/>
            <w:tcBorders>
              <w:top w:val="single" w:sz="6" w:space="0" w:color="000000"/>
              <w:right w:val="single" w:sz="6" w:space="0" w:color="000000"/>
            </w:tcBorders>
            <w:shd w:val="clear" w:color="auto" w:fill="EFFFEF"/>
            <w:noWrap/>
            <w:tcMar>
              <w:top w:w="0" w:type="dxa"/>
              <w:left w:w="0" w:type="dxa"/>
              <w:bottom w:w="0" w:type="dxa"/>
              <w:right w:w="0" w:type="dxa"/>
            </w:tcMar>
            <w:vAlign w:val="center"/>
          </w:tcPr>
          <w:p w14:paraId="16579D27" w14:textId="77777777" w:rsidR="00052596" w:rsidRDefault="00052596">
            <w:pPr>
              <w:overflowPunct w:val="0"/>
              <w:autoSpaceDE w:val="0"/>
              <w:spacing w:line="240" w:lineRule="exact"/>
              <w:jc w:val="center"/>
              <w:textAlignment w:val="center"/>
              <w:rPr>
                <w:rFonts w:eastAsia="標楷體"/>
                <w:bCs/>
                <w:kern w:val="0"/>
                <w:sz w:val="22"/>
                <w:szCs w:val="22"/>
              </w:rPr>
            </w:pPr>
          </w:p>
        </w:tc>
        <w:tc>
          <w:tcPr>
            <w:tcW w:w="993" w:type="dxa"/>
            <w:tcBorders>
              <w:top w:val="single" w:sz="6" w:space="0" w:color="000000"/>
              <w:left w:val="single" w:sz="6" w:space="0" w:color="000000"/>
            </w:tcBorders>
            <w:shd w:val="clear" w:color="auto" w:fill="EFFFEF"/>
            <w:tcMar>
              <w:top w:w="0" w:type="dxa"/>
              <w:left w:w="0" w:type="dxa"/>
              <w:bottom w:w="0" w:type="dxa"/>
              <w:right w:w="0" w:type="dxa"/>
            </w:tcMar>
            <w:vAlign w:val="center"/>
          </w:tcPr>
          <w:p w14:paraId="3A348F1A" w14:textId="77777777" w:rsidR="00052596" w:rsidRDefault="00000000">
            <w:pPr>
              <w:overflowPunct w:val="0"/>
              <w:autoSpaceDE w:val="0"/>
              <w:spacing w:line="240" w:lineRule="exact"/>
              <w:jc w:val="right"/>
              <w:textAlignment w:val="center"/>
              <w:rPr>
                <w:rFonts w:eastAsia="標楷體"/>
                <w:bCs/>
                <w:spacing w:val="-12"/>
                <w:kern w:val="0"/>
                <w:sz w:val="22"/>
                <w:szCs w:val="22"/>
              </w:rPr>
            </w:pPr>
            <w:r>
              <w:rPr>
                <w:rFonts w:eastAsia="標楷體"/>
                <w:bCs/>
                <w:spacing w:val="-12"/>
                <w:kern w:val="0"/>
                <w:sz w:val="22"/>
                <w:szCs w:val="22"/>
              </w:rPr>
              <w:t xml:space="preserve">2010-2012 </w:t>
            </w:r>
          </w:p>
        </w:tc>
        <w:tc>
          <w:tcPr>
            <w:tcW w:w="850" w:type="dxa"/>
            <w:tcBorders>
              <w:top w:val="single" w:sz="6" w:space="0" w:color="000000"/>
              <w:bottom w:val="single" w:sz="6" w:space="0" w:color="000000"/>
              <w:right w:val="single" w:sz="6" w:space="0" w:color="000000"/>
            </w:tcBorders>
            <w:shd w:val="clear" w:color="auto" w:fill="EFFFEF"/>
            <w:tcMar>
              <w:top w:w="0" w:type="dxa"/>
              <w:left w:w="0" w:type="dxa"/>
              <w:bottom w:w="0" w:type="dxa"/>
              <w:right w:w="0" w:type="dxa"/>
            </w:tcMar>
          </w:tcPr>
          <w:p w14:paraId="0D629930" w14:textId="77777777" w:rsidR="00052596" w:rsidRDefault="00052596">
            <w:pPr>
              <w:overflowPunct w:val="0"/>
              <w:autoSpaceDE w:val="0"/>
              <w:spacing w:line="240" w:lineRule="exact"/>
              <w:textAlignment w:val="center"/>
              <w:rPr>
                <w:rFonts w:eastAsia="標楷體"/>
                <w:bCs/>
                <w:kern w:val="0"/>
                <w:sz w:val="22"/>
                <w:szCs w:val="22"/>
              </w:rPr>
            </w:pPr>
          </w:p>
        </w:tc>
        <w:tc>
          <w:tcPr>
            <w:tcW w:w="1046" w:type="dxa"/>
            <w:tcBorders>
              <w:top w:val="single" w:sz="6" w:space="0" w:color="000000"/>
              <w:left w:val="single" w:sz="6" w:space="0" w:color="000000"/>
            </w:tcBorders>
            <w:shd w:val="clear" w:color="auto" w:fill="EFFFEF"/>
            <w:tcMar>
              <w:top w:w="0" w:type="dxa"/>
              <w:left w:w="0" w:type="dxa"/>
              <w:bottom w:w="0" w:type="dxa"/>
              <w:right w:w="0" w:type="dxa"/>
            </w:tcMar>
            <w:vAlign w:val="center"/>
          </w:tcPr>
          <w:p w14:paraId="1A9B7785" w14:textId="77777777" w:rsidR="00052596" w:rsidRDefault="00000000">
            <w:pPr>
              <w:overflowPunct w:val="0"/>
              <w:autoSpaceDE w:val="0"/>
              <w:spacing w:line="240" w:lineRule="exact"/>
              <w:jc w:val="right"/>
              <w:textAlignment w:val="center"/>
              <w:rPr>
                <w:rFonts w:eastAsia="標楷體"/>
                <w:bCs/>
                <w:spacing w:val="-12"/>
                <w:kern w:val="0"/>
                <w:sz w:val="22"/>
                <w:szCs w:val="22"/>
              </w:rPr>
            </w:pPr>
            <w:r>
              <w:rPr>
                <w:rFonts w:eastAsia="標楷體"/>
                <w:bCs/>
                <w:spacing w:val="-12"/>
                <w:kern w:val="0"/>
                <w:sz w:val="22"/>
                <w:szCs w:val="22"/>
              </w:rPr>
              <w:t xml:space="preserve">2013-2016 </w:t>
            </w:r>
          </w:p>
        </w:tc>
        <w:tc>
          <w:tcPr>
            <w:tcW w:w="815" w:type="dxa"/>
            <w:tcBorders>
              <w:top w:val="single" w:sz="6" w:space="0" w:color="000000"/>
              <w:bottom w:val="single" w:sz="6" w:space="0" w:color="000000"/>
            </w:tcBorders>
            <w:shd w:val="clear" w:color="auto" w:fill="EFFFEF"/>
            <w:tcMar>
              <w:top w:w="0" w:type="dxa"/>
              <w:left w:w="0" w:type="dxa"/>
              <w:bottom w:w="0" w:type="dxa"/>
              <w:right w:w="0" w:type="dxa"/>
            </w:tcMar>
            <w:vAlign w:val="center"/>
          </w:tcPr>
          <w:p w14:paraId="5944DBD1" w14:textId="77777777" w:rsidR="00052596" w:rsidRDefault="00052596">
            <w:pPr>
              <w:overflowPunct w:val="0"/>
              <w:autoSpaceDE w:val="0"/>
              <w:spacing w:line="240" w:lineRule="exact"/>
              <w:textAlignment w:val="center"/>
              <w:rPr>
                <w:rFonts w:eastAsia="標楷體"/>
                <w:bCs/>
                <w:kern w:val="0"/>
                <w:sz w:val="22"/>
                <w:szCs w:val="22"/>
              </w:rPr>
            </w:pPr>
          </w:p>
        </w:tc>
        <w:tc>
          <w:tcPr>
            <w:tcW w:w="815" w:type="dxa"/>
            <w:tcBorders>
              <w:top w:val="single" w:sz="6" w:space="0" w:color="000000"/>
              <w:bottom w:val="single" w:sz="6" w:space="0" w:color="000000"/>
            </w:tcBorders>
            <w:shd w:val="clear" w:color="auto" w:fill="EFFFEF"/>
            <w:tcMar>
              <w:top w:w="0" w:type="dxa"/>
              <w:left w:w="0" w:type="dxa"/>
              <w:bottom w:w="0" w:type="dxa"/>
              <w:right w:w="0" w:type="dxa"/>
            </w:tcMar>
            <w:vAlign w:val="center"/>
          </w:tcPr>
          <w:p w14:paraId="41B1CB19" w14:textId="77777777" w:rsidR="00052596" w:rsidRDefault="00052596">
            <w:pPr>
              <w:overflowPunct w:val="0"/>
              <w:autoSpaceDE w:val="0"/>
              <w:spacing w:line="240" w:lineRule="exact"/>
              <w:jc w:val="center"/>
              <w:textAlignment w:val="center"/>
              <w:rPr>
                <w:rFonts w:eastAsia="標楷體"/>
                <w:bCs/>
                <w:kern w:val="0"/>
                <w:sz w:val="22"/>
                <w:szCs w:val="22"/>
              </w:rPr>
            </w:pPr>
          </w:p>
        </w:tc>
        <w:tc>
          <w:tcPr>
            <w:tcW w:w="815" w:type="dxa"/>
            <w:tcBorders>
              <w:top w:val="single" w:sz="6" w:space="0" w:color="000000"/>
              <w:bottom w:val="single" w:sz="6" w:space="0" w:color="000000"/>
            </w:tcBorders>
            <w:shd w:val="clear" w:color="auto" w:fill="EFFFEF"/>
            <w:tcMar>
              <w:top w:w="0" w:type="dxa"/>
              <w:left w:w="0" w:type="dxa"/>
              <w:bottom w:w="0" w:type="dxa"/>
              <w:right w:w="0" w:type="dxa"/>
            </w:tcMar>
            <w:vAlign w:val="center"/>
          </w:tcPr>
          <w:p w14:paraId="5CC966AE" w14:textId="77777777" w:rsidR="00052596" w:rsidRDefault="00052596">
            <w:pPr>
              <w:overflowPunct w:val="0"/>
              <w:autoSpaceDE w:val="0"/>
              <w:spacing w:line="240" w:lineRule="exact"/>
              <w:jc w:val="center"/>
              <w:textAlignment w:val="center"/>
              <w:rPr>
                <w:rFonts w:eastAsia="標楷體"/>
                <w:bCs/>
                <w:kern w:val="0"/>
                <w:sz w:val="22"/>
                <w:szCs w:val="22"/>
              </w:rPr>
            </w:pPr>
          </w:p>
        </w:tc>
        <w:tc>
          <w:tcPr>
            <w:tcW w:w="815" w:type="dxa"/>
            <w:tcBorders>
              <w:top w:val="single" w:sz="6" w:space="0" w:color="000000"/>
              <w:bottom w:val="single" w:sz="6" w:space="0" w:color="000000"/>
            </w:tcBorders>
            <w:shd w:val="clear" w:color="auto" w:fill="EFFFEF"/>
            <w:tcMar>
              <w:top w:w="0" w:type="dxa"/>
              <w:left w:w="0" w:type="dxa"/>
              <w:bottom w:w="0" w:type="dxa"/>
              <w:right w:w="0" w:type="dxa"/>
            </w:tcMar>
            <w:vAlign w:val="center"/>
          </w:tcPr>
          <w:p w14:paraId="357510EE" w14:textId="77777777" w:rsidR="00052596" w:rsidRDefault="00052596">
            <w:pPr>
              <w:overflowPunct w:val="0"/>
              <w:autoSpaceDE w:val="0"/>
              <w:spacing w:line="240" w:lineRule="exact"/>
              <w:jc w:val="center"/>
              <w:textAlignment w:val="center"/>
              <w:rPr>
                <w:rFonts w:eastAsia="標楷體"/>
                <w:bCs/>
                <w:kern w:val="0"/>
                <w:sz w:val="22"/>
                <w:szCs w:val="22"/>
              </w:rPr>
            </w:pPr>
          </w:p>
        </w:tc>
      </w:tr>
      <w:tr w:rsidR="00052596" w14:paraId="65351FF6" w14:textId="77777777">
        <w:tblPrEx>
          <w:tblCellMar>
            <w:top w:w="0" w:type="dxa"/>
            <w:bottom w:w="0" w:type="dxa"/>
          </w:tblCellMar>
        </w:tblPrEx>
        <w:trPr>
          <w:jc w:val="center"/>
        </w:trPr>
        <w:tc>
          <w:tcPr>
            <w:tcW w:w="2181" w:type="dxa"/>
            <w:tcBorders>
              <w:bottom w:val="single" w:sz="6" w:space="0" w:color="000000"/>
              <w:right w:val="single" w:sz="6" w:space="0" w:color="000000"/>
            </w:tcBorders>
            <w:shd w:val="clear" w:color="auto" w:fill="EFFFEF"/>
            <w:noWrap/>
            <w:tcMar>
              <w:top w:w="0" w:type="dxa"/>
              <w:left w:w="0" w:type="dxa"/>
              <w:bottom w:w="0" w:type="dxa"/>
              <w:right w:w="0" w:type="dxa"/>
            </w:tcMar>
            <w:vAlign w:val="center"/>
          </w:tcPr>
          <w:p w14:paraId="040A0B29" w14:textId="77777777" w:rsidR="00052596" w:rsidRDefault="00052596">
            <w:pPr>
              <w:overflowPunct w:val="0"/>
              <w:autoSpaceDE w:val="0"/>
              <w:spacing w:line="240" w:lineRule="exact"/>
              <w:jc w:val="center"/>
              <w:textAlignment w:val="center"/>
              <w:rPr>
                <w:rFonts w:eastAsia="標楷體"/>
                <w:bCs/>
                <w:kern w:val="0"/>
                <w:sz w:val="22"/>
                <w:szCs w:val="22"/>
              </w:rPr>
            </w:pPr>
          </w:p>
        </w:tc>
        <w:tc>
          <w:tcPr>
            <w:tcW w:w="993" w:type="dxa"/>
            <w:tcBorders>
              <w:left w:val="single" w:sz="6" w:space="0" w:color="000000"/>
              <w:bottom w:val="single" w:sz="6" w:space="0" w:color="000000"/>
              <w:right w:val="single" w:sz="6" w:space="0" w:color="000000"/>
            </w:tcBorders>
            <w:shd w:val="clear" w:color="auto" w:fill="EFFFEF"/>
            <w:tcMar>
              <w:top w:w="0" w:type="dxa"/>
              <w:left w:w="0" w:type="dxa"/>
              <w:bottom w:w="0" w:type="dxa"/>
              <w:right w:w="0" w:type="dxa"/>
            </w:tcMar>
            <w:vAlign w:val="center"/>
          </w:tcPr>
          <w:p w14:paraId="105AC611" w14:textId="77777777" w:rsidR="00052596" w:rsidRDefault="00000000">
            <w:pPr>
              <w:overflowPunct w:val="0"/>
              <w:autoSpaceDE w:val="0"/>
              <w:spacing w:line="240" w:lineRule="exact"/>
              <w:jc w:val="center"/>
              <w:textAlignment w:val="center"/>
              <w:rPr>
                <w:rFonts w:eastAsia="標楷體"/>
                <w:bCs/>
                <w:spacing w:val="-12"/>
                <w:kern w:val="0"/>
                <w:sz w:val="22"/>
                <w:szCs w:val="22"/>
              </w:rPr>
            </w:pPr>
            <w:r>
              <w:rPr>
                <w:rFonts w:eastAsia="標楷體"/>
                <w:bCs/>
                <w:spacing w:val="-12"/>
                <w:kern w:val="0"/>
                <w:sz w:val="22"/>
                <w:szCs w:val="22"/>
              </w:rPr>
              <w:t>年平均</w:t>
            </w:r>
          </w:p>
        </w:tc>
        <w:tc>
          <w:tcPr>
            <w:tcW w:w="850" w:type="dxa"/>
            <w:tcBorders>
              <w:top w:val="single" w:sz="6" w:space="0" w:color="000000"/>
              <w:left w:val="single" w:sz="6" w:space="0" w:color="000000"/>
              <w:bottom w:val="single" w:sz="6" w:space="0" w:color="000000"/>
              <w:right w:val="single" w:sz="6" w:space="0" w:color="000000"/>
            </w:tcBorders>
            <w:shd w:val="clear" w:color="auto" w:fill="EFFFEF"/>
            <w:tcMar>
              <w:top w:w="0" w:type="dxa"/>
              <w:left w:w="0" w:type="dxa"/>
              <w:bottom w:w="0" w:type="dxa"/>
              <w:right w:w="0" w:type="dxa"/>
            </w:tcMar>
          </w:tcPr>
          <w:p w14:paraId="056D2710"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2012</w:t>
            </w:r>
            <w:r>
              <w:rPr>
                <w:rFonts w:eastAsia="標楷體"/>
                <w:bCs/>
                <w:kern w:val="0"/>
                <w:sz w:val="22"/>
                <w:szCs w:val="22"/>
              </w:rPr>
              <w:t>年</w:t>
            </w:r>
          </w:p>
        </w:tc>
        <w:tc>
          <w:tcPr>
            <w:tcW w:w="1046" w:type="dxa"/>
            <w:tcBorders>
              <w:left w:val="single" w:sz="6" w:space="0" w:color="000000"/>
              <w:bottom w:val="single" w:sz="6" w:space="0" w:color="000000"/>
              <w:right w:val="single" w:sz="6" w:space="0" w:color="000000"/>
            </w:tcBorders>
            <w:shd w:val="clear" w:color="auto" w:fill="EFFFEF"/>
            <w:tcMar>
              <w:top w:w="0" w:type="dxa"/>
              <w:left w:w="0" w:type="dxa"/>
              <w:bottom w:w="0" w:type="dxa"/>
              <w:right w:w="0" w:type="dxa"/>
            </w:tcMar>
            <w:vAlign w:val="center"/>
          </w:tcPr>
          <w:p w14:paraId="47803CB8" w14:textId="77777777" w:rsidR="00052596" w:rsidRDefault="00000000">
            <w:pPr>
              <w:overflowPunct w:val="0"/>
              <w:autoSpaceDE w:val="0"/>
              <w:spacing w:line="240" w:lineRule="exact"/>
              <w:jc w:val="center"/>
              <w:textAlignment w:val="center"/>
              <w:rPr>
                <w:rFonts w:eastAsia="標楷體"/>
                <w:bCs/>
                <w:spacing w:val="-12"/>
                <w:kern w:val="0"/>
                <w:sz w:val="22"/>
                <w:szCs w:val="22"/>
              </w:rPr>
            </w:pPr>
            <w:r>
              <w:rPr>
                <w:rFonts w:eastAsia="標楷體"/>
                <w:bCs/>
                <w:spacing w:val="-12"/>
                <w:kern w:val="0"/>
                <w:sz w:val="22"/>
                <w:szCs w:val="22"/>
              </w:rPr>
              <w:t>年平均</w:t>
            </w:r>
          </w:p>
        </w:tc>
        <w:tc>
          <w:tcPr>
            <w:tcW w:w="815" w:type="dxa"/>
            <w:tcBorders>
              <w:top w:val="single" w:sz="6" w:space="0" w:color="000000"/>
              <w:left w:val="single" w:sz="6" w:space="0" w:color="000000"/>
              <w:bottom w:val="single" w:sz="6" w:space="0" w:color="000000"/>
              <w:right w:val="single" w:sz="6" w:space="0" w:color="000000"/>
            </w:tcBorders>
            <w:shd w:val="clear" w:color="auto" w:fill="EFFFEF"/>
            <w:tcMar>
              <w:top w:w="0" w:type="dxa"/>
              <w:left w:w="0" w:type="dxa"/>
              <w:bottom w:w="0" w:type="dxa"/>
              <w:right w:w="0" w:type="dxa"/>
            </w:tcMar>
            <w:vAlign w:val="center"/>
          </w:tcPr>
          <w:p w14:paraId="1DA6499E"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2013</w:t>
            </w:r>
            <w:r>
              <w:rPr>
                <w:rFonts w:eastAsia="標楷體"/>
                <w:bCs/>
                <w:kern w:val="0"/>
                <w:sz w:val="22"/>
                <w:szCs w:val="22"/>
              </w:rPr>
              <w:t>年</w:t>
            </w:r>
          </w:p>
        </w:tc>
        <w:tc>
          <w:tcPr>
            <w:tcW w:w="815" w:type="dxa"/>
            <w:tcBorders>
              <w:top w:val="single" w:sz="6" w:space="0" w:color="000000"/>
              <w:left w:val="single" w:sz="6" w:space="0" w:color="000000"/>
              <w:bottom w:val="single" w:sz="6" w:space="0" w:color="000000"/>
              <w:right w:val="single" w:sz="6" w:space="0" w:color="000000"/>
            </w:tcBorders>
            <w:shd w:val="clear" w:color="auto" w:fill="EFFFEF"/>
            <w:tcMar>
              <w:top w:w="0" w:type="dxa"/>
              <w:left w:w="0" w:type="dxa"/>
              <w:bottom w:w="0" w:type="dxa"/>
              <w:right w:w="0" w:type="dxa"/>
            </w:tcMar>
            <w:vAlign w:val="center"/>
          </w:tcPr>
          <w:p w14:paraId="0F630606"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2014</w:t>
            </w:r>
            <w:r>
              <w:rPr>
                <w:rFonts w:eastAsia="標楷體"/>
                <w:bCs/>
                <w:kern w:val="0"/>
                <w:sz w:val="22"/>
                <w:szCs w:val="22"/>
              </w:rPr>
              <w:t>年</w:t>
            </w:r>
          </w:p>
        </w:tc>
        <w:tc>
          <w:tcPr>
            <w:tcW w:w="815" w:type="dxa"/>
            <w:tcBorders>
              <w:top w:val="single" w:sz="6" w:space="0" w:color="000000"/>
              <w:left w:val="single" w:sz="6" w:space="0" w:color="000000"/>
              <w:bottom w:val="single" w:sz="6" w:space="0" w:color="000000"/>
              <w:right w:val="single" w:sz="6" w:space="0" w:color="000000"/>
            </w:tcBorders>
            <w:shd w:val="clear" w:color="auto" w:fill="EFFFEF"/>
            <w:tcMar>
              <w:top w:w="0" w:type="dxa"/>
              <w:left w:w="0" w:type="dxa"/>
              <w:bottom w:w="0" w:type="dxa"/>
              <w:right w:w="0" w:type="dxa"/>
            </w:tcMar>
            <w:vAlign w:val="center"/>
          </w:tcPr>
          <w:p w14:paraId="64EABC90"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2015</w:t>
            </w:r>
            <w:r>
              <w:rPr>
                <w:rFonts w:eastAsia="標楷體"/>
                <w:bCs/>
                <w:kern w:val="0"/>
                <w:sz w:val="22"/>
                <w:szCs w:val="22"/>
              </w:rPr>
              <w:t>年</w:t>
            </w:r>
          </w:p>
        </w:tc>
        <w:tc>
          <w:tcPr>
            <w:tcW w:w="815" w:type="dxa"/>
            <w:tcBorders>
              <w:top w:val="single" w:sz="6" w:space="0" w:color="000000"/>
              <w:left w:val="single" w:sz="6" w:space="0" w:color="000000"/>
              <w:bottom w:val="single" w:sz="6" w:space="0" w:color="000000"/>
            </w:tcBorders>
            <w:shd w:val="clear" w:color="auto" w:fill="EFFFEF"/>
            <w:tcMar>
              <w:top w:w="0" w:type="dxa"/>
              <w:left w:w="0" w:type="dxa"/>
              <w:bottom w:w="0" w:type="dxa"/>
              <w:right w:w="0" w:type="dxa"/>
            </w:tcMar>
            <w:vAlign w:val="center"/>
          </w:tcPr>
          <w:p w14:paraId="1C50DCD9"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2016</w:t>
            </w:r>
            <w:r>
              <w:rPr>
                <w:rFonts w:eastAsia="標楷體"/>
                <w:bCs/>
                <w:kern w:val="0"/>
                <w:sz w:val="22"/>
                <w:szCs w:val="22"/>
              </w:rPr>
              <w:t>年</w:t>
            </w:r>
          </w:p>
        </w:tc>
      </w:tr>
      <w:tr w:rsidR="00052596" w14:paraId="56BF0D91" w14:textId="77777777">
        <w:tblPrEx>
          <w:tblCellMar>
            <w:top w:w="0" w:type="dxa"/>
            <w:bottom w:w="0" w:type="dxa"/>
          </w:tblCellMar>
        </w:tblPrEx>
        <w:trPr>
          <w:jc w:val="center"/>
        </w:trPr>
        <w:tc>
          <w:tcPr>
            <w:tcW w:w="2181" w:type="dxa"/>
            <w:tcBorders>
              <w:top w:val="single" w:sz="6" w:space="0" w:color="000000"/>
              <w:right w:val="single" w:sz="6" w:space="0" w:color="000000"/>
            </w:tcBorders>
            <w:shd w:val="clear" w:color="auto" w:fill="FFF0E1"/>
            <w:noWrap/>
            <w:tcMar>
              <w:top w:w="0" w:type="dxa"/>
              <w:left w:w="0" w:type="dxa"/>
              <w:bottom w:w="0" w:type="dxa"/>
              <w:right w:w="0" w:type="dxa"/>
            </w:tcMar>
            <w:vAlign w:val="center"/>
          </w:tcPr>
          <w:p w14:paraId="421803DF" w14:textId="77777777" w:rsidR="00052596" w:rsidRDefault="00000000">
            <w:pPr>
              <w:overflowPunct w:val="0"/>
              <w:autoSpaceDE w:val="0"/>
              <w:spacing w:line="240" w:lineRule="exact"/>
              <w:textAlignment w:val="center"/>
            </w:pPr>
            <w:r>
              <w:rPr>
                <w:rFonts w:eastAsia="標楷體"/>
                <w:bCs/>
                <w:kern w:val="0"/>
                <w:sz w:val="22"/>
                <w:szCs w:val="22"/>
              </w:rPr>
              <w:t>世界經濟成長率</w:t>
            </w:r>
            <w:r>
              <w:rPr>
                <w:rFonts w:ascii="標楷體" w:eastAsia="標楷體" w:hAnsi="標楷體"/>
                <w:bCs/>
                <w:kern w:val="0"/>
                <w:sz w:val="22"/>
                <w:szCs w:val="22"/>
              </w:rPr>
              <w:t>(</w:t>
            </w:r>
            <w:r>
              <w:rPr>
                <w:bCs/>
                <w:kern w:val="0"/>
                <w:sz w:val="22"/>
                <w:szCs w:val="22"/>
              </w:rPr>
              <w:t>%</w:t>
            </w:r>
            <w:r>
              <w:rPr>
                <w:rFonts w:ascii="標楷體" w:eastAsia="標楷體" w:hAnsi="標楷體"/>
                <w:bCs/>
                <w:kern w:val="0"/>
                <w:sz w:val="22"/>
                <w:szCs w:val="22"/>
              </w:rPr>
              <w:t>)</w:t>
            </w:r>
          </w:p>
        </w:tc>
        <w:tc>
          <w:tcPr>
            <w:tcW w:w="993" w:type="dxa"/>
            <w:tcBorders>
              <w:top w:val="single" w:sz="6" w:space="0" w:color="000000"/>
              <w:left w:val="single" w:sz="6" w:space="0" w:color="000000"/>
              <w:right w:val="single" w:sz="6" w:space="0" w:color="000000"/>
            </w:tcBorders>
            <w:shd w:val="clear" w:color="auto" w:fill="FFF0E1"/>
            <w:tcMar>
              <w:top w:w="0" w:type="dxa"/>
              <w:left w:w="0" w:type="dxa"/>
              <w:bottom w:w="0" w:type="dxa"/>
              <w:right w:w="0" w:type="dxa"/>
            </w:tcMar>
            <w:vAlign w:val="center"/>
          </w:tcPr>
          <w:p w14:paraId="2E59643E"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3.3</w:t>
            </w:r>
          </w:p>
        </w:tc>
        <w:tc>
          <w:tcPr>
            <w:tcW w:w="850" w:type="dxa"/>
            <w:tcBorders>
              <w:top w:val="single" w:sz="6" w:space="0" w:color="000000"/>
              <w:left w:val="single" w:sz="6" w:space="0" w:color="000000"/>
              <w:right w:val="single" w:sz="6" w:space="0" w:color="000000"/>
            </w:tcBorders>
            <w:shd w:val="clear" w:color="auto" w:fill="FFF0E1"/>
            <w:tcMar>
              <w:top w:w="0" w:type="dxa"/>
              <w:left w:w="0" w:type="dxa"/>
              <w:bottom w:w="0" w:type="dxa"/>
              <w:right w:w="0" w:type="dxa"/>
            </w:tcMar>
          </w:tcPr>
          <w:p w14:paraId="36677D62"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2.5</w:t>
            </w:r>
          </w:p>
        </w:tc>
        <w:tc>
          <w:tcPr>
            <w:tcW w:w="1046" w:type="dxa"/>
            <w:tcBorders>
              <w:top w:val="single" w:sz="6" w:space="0" w:color="000000"/>
              <w:left w:val="single" w:sz="6" w:space="0" w:color="000000"/>
              <w:right w:val="single" w:sz="6" w:space="0" w:color="000000"/>
            </w:tcBorders>
            <w:shd w:val="clear" w:color="auto" w:fill="FFF0E1"/>
            <w:tcMar>
              <w:top w:w="0" w:type="dxa"/>
              <w:left w:w="0" w:type="dxa"/>
              <w:bottom w:w="0" w:type="dxa"/>
              <w:right w:w="0" w:type="dxa"/>
            </w:tcMar>
            <w:vAlign w:val="center"/>
          </w:tcPr>
          <w:p w14:paraId="3B41F0CB"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3.5</w:t>
            </w:r>
          </w:p>
        </w:tc>
        <w:tc>
          <w:tcPr>
            <w:tcW w:w="815" w:type="dxa"/>
            <w:tcBorders>
              <w:top w:val="single" w:sz="6" w:space="0" w:color="000000"/>
              <w:left w:val="single" w:sz="6" w:space="0" w:color="000000"/>
              <w:right w:val="single" w:sz="6" w:space="0" w:color="000000"/>
            </w:tcBorders>
            <w:shd w:val="clear" w:color="auto" w:fill="FFF0E1"/>
            <w:tcMar>
              <w:top w:w="0" w:type="dxa"/>
              <w:left w:w="0" w:type="dxa"/>
              <w:bottom w:w="0" w:type="dxa"/>
              <w:right w:w="0" w:type="dxa"/>
            </w:tcMar>
            <w:vAlign w:val="center"/>
          </w:tcPr>
          <w:p w14:paraId="6BBF6D91"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2.6</w:t>
            </w:r>
          </w:p>
        </w:tc>
        <w:tc>
          <w:tcPr>
            <w:tcW w:w="815" w:type="dxa"/>
            <w:tcBorders>
              <w:top w:val="single" w:sz="6" w:space="0" w:color="000000"/>
              <w:left w:val="single" w:sz="6" w:space="0" w:color="000000"/>
              <w:right w:val="single" w:sz="6" w:space="0" w:color="000000"/>
            </w:tcBorders>
            <w:shd w:val="clear" w:color="auto" w:fill="FFF0E1"/>
            <w:tcMar>
              <w:top w:w="0" w:type="dxa"/>
              <w:left w:w="0" w:type="dxa"/>
              <w:bottom w:w="0" w:type="dxa"/>
              <w:right w:w="0" w:type="dxa"/>
            </w:tcMar>
            <w:vAlign w:val="center"/>
          </w:tcPr>
          <w:p w14:paraId="29DB3B01"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3.4</w:t>
            </w:r>
          </w:p>
        </w:tc>
        <w:tc>
          <w:tcPr>
            <w:tcW w:w="815" w:type="dxa"/>
            <w:tcBorders>
              <w:top w:val="single" w:sz="6" w:space="0" w:color="000000"/>
              <w:left w:val="single" w:sz="6" w:space="0" w:color="000000"/>
              <w:right w:val="single" w:sz="6" w:space="0" w:color="000000"/>
            </w:tcBorders>
            <w:shd w:val="clear" w:color="auto" w:fill="FFF0E1"/>
            <w:tcMar>
              <w:top w:w="0" w:type="dxa"/>
              <w:left w:w="0" w:type="dxa"/>
              <w:bottom w:w="0" w:type="dxa"/>
              <w:right w:w="0" w:type="dxa"/>
            </w:tcMar>
            <w:vAlign w:val="center"/>
          </w:tcPr>
          <w:p w14:paraId="5A735B6C"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4.0</w:t>
            </w:r>
          </w:p>
        </w:tc>
        <w:tc>
          <w:tcPr>
            <w:tcW w:w="815" w:type="dxa"/>
            <w:tcBorders>
              <w:top w:val="single" w:sz="6" w:space="0" w:color="000000"/>
              <w:left w:val="single" w:sz="6" w:space="0" w:color="000000"/>
            </w:tcBorders>
            <w:shd w:val="clear" w:color="auto" w:fill="FFF0E1"/>
            <w:tcMar>
              <w:top w:w="0" w:type="dxa"/>
              <w:left w:w="0" w:type="dxa"/>
              <w:bottom w:w="0" w:type="dxa"/>
              <w:right w:w="0" w:type="dxa"/>
            </w:tcMar>
            <w:vAlign w:val="center"/>
          </w:tcPr>
          <w:p w14:paraId="168711B5"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4.0</w:t>
            </w:r>
          </w:p>
        </w:tc>
      </w:tr>
      <w:tr w:rsidR="00052596" w14:paraId="7C406068" w14:textId="77777777">
        <w:tblPrEx>
          <w:tblCellMar>
            <w:top w:w="0" w:type="dxa"/>
            <w:bottom w:w="0" w:type="dxa"/>
          </w:tblCellMar>
        </w:tblPrEx>
        <w:trPr>
          <w:jc w:val="center"/>
        </w:trPr>
        <w:tc>
          <w:tcPr>
            <w:tcW w:w="2181" w:type="dxa"/>
            <w:tcBorders>
              <w:right w:val="single" w:sz="6" w:space="0" w:color="000000"/>
            </w:tcBorders>
            <w:shd w:val="clear" w:color="auto" w:fill="FFF0E1"/>
            <w:noWrap/>
            <w:tcMar>
              <w:top w:w="0" w:type="dxa"/>
              <w:left w:w="0" w:type="dxa"/>
              <w:bottom w:w="0" w:type="dxa"/>
              <w:right w:w="0" w:type="dxa"/>
            </w:tcMar>
            <w:vAlign w:val="center"/>
          </w:tcPr>
          <w:p w14:paraId="7A785215" w14:textId="77777777" w:rsidR="00052596" w:rsidRDefault="00000000">
            <w:pPr>
              <w:overflowPunct w:val="0"/>
              <w:autoSpaceDE w:val="0"/>
              <w:spacing w:line="240" w:lineRule="exact"/>
              <w:ind w:firstLine="220"/>
              <w:textAlignment w:val="center"/>
              <w:rPr>
                <w:rFonts w:eastAsia="標楷體"/>
                <w:bCs/>
                <w:kern w:val="0"/>
                <w:sz w:val="22"/>
                <w:szCs w:val="22"/>
              </w:rPr>
            </w:pPr>
            <w:r>
              <w:rPr>
                <w:rFonts w:eastAsia="標楷體"/>
                <w:bCs/>
                <w:kern w:val="0"/>
                <w:sz w:val="22"/>
                <w:szCs w:val="22"/>
              </w:rPr>
              <w:t>先進經濟體</w:t>
            </w:r>
          </w:p>
        </w:tc>
        <w:tc>
          <w:tcPr>
            <w:tcW w:w="993"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74F1EABC"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1.9</w:t>
            </w:r>
          </w:p>
        </w:tc>
        <w:tc>
          <w:tcPr>
            <w:tcW w:w="850" w:type="dxa"/>
            <w:tcBorders>
              <w:left w:val="single" w:sz="6" w:space="0" w:color="000000"/>
              <w:right w:val="single" w:sz="6" w:space="0" w:color="000000"/>
            </w:tcBorders>
            <w:shd w:val="clear" w:color="auto" w:fill="FFF0E1"/>
            <w:tcMar>
              <w:top w:w="0" w:type="dxa"/>
              <w:left w:w="0" w:type="dxa"/>
              <w:bottom w:w="0" w:type="dxa"/>
              <w:right w:w="0" w:type="dxa"/>
            </w:tcMar>
          </w:tcPr>
          <w:p w14:paraId="7FC718EB"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1.3</w:t>
            </w:r>
          </w:p>
        </w:tc>
        <w:tc>
          <w:tcPr>
            <w:tcW w:w="1046"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1413DB7F"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2.0</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58D84ECF"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1.1</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7D543376"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1.9</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22473506"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2.5</w:t>
            </w:r>
          </w:p>
        </w:tc>
        <w:tc>
          <w:tcPr>
            <w:tcW w:w="815" w:type="dxa"/>
            <w:tcBorders>
              <w:left w:val="single" w:sz="6" w:space="0" w:color="000000"/>
            </w:tcBorders>
            <w:shd w:val="clear" w:color="auto" w:fill="FFF0E1"/>
            <w:tcMar>
              <w:top w:w="0" w:type="dxa"/>
              <w:left w:w="0" w:type="dxa"/>
              <w:bottom w:w="0" w:type="dxa"/>
              <w:right w:w="0" w:type="dxa"/>
            </w:tcMar>
            <w:vAlign w:val="center"/>
          </w:tcPr>
          <w:p w14:paraId="20C9E419"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2.4</w:t>
            </w:r>
          </w:p>
        </w:tc>
      </w:tr>
      <w:tr w:rsidR="00052596" w14:paraId="5A575755" w14:textId="77777777">
        <w:tblPrEx>
          <w:tblCellMar>
            <w:top w:w="0" w:type="dxa"/>
            <w:bottom w:w="0" w:type="dxa"/>
          </w:tblCellMar>
        </w:tblPrEx>
        <w:trPr>
          <w:jc w:val="center"/>
        </w:trPr>
        <w:tc>
          <w:tcPr>
            <w:tcW w:w="2181" w:type="dxa"/>
            <w:tcBorders>
              <w:right w:val="single" w:sz="6" w:space="0" w:color="000000"/>
            </w:tcBorders>
            <w:shd w:val="clear" w:color="auto" w:fill="FFF0E1"/>
            <w:noWrap/>
            <w:tcMar>
              <w:top w:w="0" w:type="dxa"/>
              <w:left w:w="0" w:type="dxa"/>
              <w:bottom w:w="0" w:type="dxa"/>
              <w:right w:w="0" w:type="dxa"/>
            </w:tcMar>
            <w:vAlign w:val="center"/>
          </w:tcPr>
          <w:p w14:paraId="4CBF6101" w14:textId="77777777" w:rsidR="00052596" w:rsidRDefault="00000000">
            <w:pPr>
              <w:overflowPunct w:val="0"/>
              <w:autoSpaceDE w:val="0"/>
              <w:spacing w:line="240" w:lineRule="exact"/>
              <w:ind w:firstLine="440"/>
              <w:textAlignment w:val="center"/>
              <w:rPr>
                <w:rFonts w:eastAsia="標楷體"/>
                <w:bCs/>
                <w:kern w:val="0"/>
                <w:sz w:val="22"/>
                <w:szCs w:val="22"/>
              </w:rPr>
            </w:pPr>
            <w:bookmarkStart w:id="2" w:name="_Hlk213656374"/>
            <w:r>
              <w:rPr>
                <w:rFonts w:eastAsia="標楷體"/>
                <w:bCs/>
                <w:kern w:val="0"/>
                <w:sz w:val="22"/>
                <w:szCs w:val="22"/>
              </w:rPr>
              <w:t>美國</w:t>
            </w:r>
          </w:p>
        </w:tc>
        <w:tc>
          <w:tcPr>
            <w:tcW w:w="993"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64F93A81"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2.1</w:t>
            </w:r>
          </w:p>
        </w:tc>
        <w:tc>
          <w:tcPr>
            <w:tcW w:w="850" w:type="dxa"/>
            <w:tcBorders>
              <w:left w:val="single" w:sz="6" w:space="0" w:color="000000"/>
              <w:right w:val="single" w:sz="6" w:space="0" w:color="000000"/>
            </w:tcBorders>
            <w:shd w:val="clear" w:color="auto" w:fill="FFF0E1"/>
            <w:tcMar>
              <w:top w:w="0" w:type="dxa"/>
              <w:left w:w="0" w:type="dxa"/>
              <w:bottom w:w="0" w:type="dxa"/>
              <w:right w:w="0" w:type="dxa"/>
            </w:tcMar>
          </w:tcPr>
          <w:p w14:paraId="48464A38"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2.2</w:t>
            </w:r>
          </w:p>
        </w:tc>
        <w:tc>
          <w:tcPr>
            <w:tcW w:w="1046"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4B9A1AA3"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2.7</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71FCC650"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1.9</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0950E8DF"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2.7</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00026598"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3.2</w:t>
            </w:r>
          </w:p>
        </w:tc>
        <w:tc>
          <w:tcPr>
            <w:tcW w:w="815" w:type="dxa"/>
            <w:tcBorders>
              <w:left w:val="single" w:sz="6" w:space="0" w:color="000000"/>
            </w:tcBorders>
            <w:shd w:val="clear" w:color="auto" w:fill="FFF0E1"/>
            <w:tcMar>
              <w:top w:w="0" w:type="dxa"/>
              <w:left w:w="0" w:type="dxa"/>
              <w:bottom w:w="0" w:type="dxa"/>
              <w:right w:w="0" w:type="dxa"/>
            </w:tcMar>
            <w:vAlign w:val="center"/>
          </w:tcPr>
          <w:p w14:paraId="77001CA2"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3.0</w:t>
            </w:r>
          </w:p>
        </w:tc>
      </w:tr>
      <w:bookmarkEnd w:id="2"/>
      <w:tr w:rsidR="00052596" w14:paraId="58B05B5B" w14:textId="77777777">
        <w:tblPrEx>
          <w:tblCellMar>
            <w:top w:w="0" w:type="dxa"/>
            <w:bottom w:w="0" w:type="dxa"/>
          </w:tblCellMar>
        </w:tblPrEx>
        <w:trPr>
          <w:jc w:val="center"/>
        </w:trPr>
        <w:tc>
          <w:tcPr>
            <w:tcW w:w="2181" w:type="dxa"/>
            <w:tcBorders>
              <w:right w:val="single" w:sz="6" w:space="0" w:color="000000"/>
            </w:tcBorders>
            <w:shd w:val="clear" w:color="auto" w:fill="FFF0E1"/>
            <w:noWrap/>
            <w:tcMar>
              <w:top w:w="0" w:type="dxa"/>
              <w:left w:w="0" w:type="dxa"/>
              <w:bottom w:w="0" w:type="dxa"/>
              <w:right w:w="0" w:type="dxa"/>
            </w:tcMar>
            <w:vAlign w:val="center"/>
          </w:tcPr>
          <w:p w14:paraId="63BE2F78" w14:textId="77777777" w:rsidR="00052596" w:rsidRDefault="00000000">
            <w:pPr>
              <w:overflowPunct w:val="0"/>
              <w:autoSpaceDE w:val="0"/>
              <w:spacing w:line="240" w:lineRule="exact"/>
              <w:ind w:firstLine="440"/>
              <w:textAlignment w:val="center"/>
              <w:rPr>
                <w:rFonts w:eastAsia="標楷體"/>
                <w:bCs/>
                <w:kern w:val="0"/>
                <w:sz w:val="22"/>
                <w:szCs w:val="22"/>
              </w:rPr>
            </w:pPr>
            <w:r>
              <w:rPr>
                <w:rFonts w:eastAsia="標楷體"/>
                <w:bCs/>
                <w:kern w:val="0"/>
                <w:sz w:val="22"/>
                <w:szCs w:val="22"/>
              </w:rPr>
              <w:t>日本</w:t>
            </w:r>
          </w:p>
        </w:tc>
        <w:tc>
          <w:tcPr>
            <w:tcW w:w="993"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122FF566"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2.1</w:t>
            </w:r>
          </w:p>
        </w:tc>
        <w:tc>
          <w:tcPr>
            <w:tcW w:w="850" w:type="dxa"/>
            <w:tcBorders>
              <w:left w:val="single" w:sz="6" w:space="0" w:color="000000"/>
              <w:right w:val="single" w:sz="6" w:space="0" w:color="000000"/>
            </w:tcBorders>
            <w:shd w:val="clear" w:color="auto" w:fill="FFF0E1"/>
            <w:tcMar>
              <w:top w:w="0" w:type="dxa"/>
              <w:left w:w="0" w:type="dxa"/>
              <w:bottom w:w="0" w:type="dxa"/>
              <w:right w:w="0" w:type="dxa"/>
            </w:tcMar>
          </w:tcPr>
          <w:p w14:paraId="54E6059F"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2.0</w:t>
            </w:r>
          </w:p>
        </w:tc>
        <w:tc>
          <w:tcPr>
            <w:tcW w:w="1046"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17728E1D"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1.4</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20C2B0D9"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0.0</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68074527"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1.8</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79F4DE94"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2.3</w:t>
            </w:r>
          </w:p>
        </w:tc>
        <w:tc>
          <w:tcPr>
            <w:tcW w:w="815" w:type="dxa"/>
            <w:tcBorders>
              <w:left w:val="single" w:sz="6" w:space="0" w:color="000000"/>
            </w:tcBorders>
            <w:shd w:val="clear" w:color="auto" w:fill="FFF0E1"/>
            <w:tcMar>
              <w:top w:w="0" w:type="dxa"/>
              <w:left w:w="0" w:type="dxa"/>
              <w:bottom w:w="0" w:type="dxa"/>
              <w:right w:w="0" w:type="dxa"/>
            </w:tcMar>
            <w:vAlign w:val="center"/>
          </w:tcPr>
          <w:p w14:paraId="420BC5CF"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1.4</w:t>
            </w:r>
          </w:p>
        </w:tc>
      </w:tr>
      <w:tr w:rsidR="00052596" w14:paraId="4F6B7C62" w14:textId="77777777">
        <w:tblPrEx>
          <w:tblCellMar>
            <w:top w:w="0" w:type="dxa"/>
            <w:bottom w:w="0" w:type="dxa"/>
          </w:tblCellMar>
        </w:tblPrEx>
        <w:trPr>
          <w:jc w:val="center"/>
        </w:trPr>
        <w:tc>
          <w:tcPr>
            <w:tcW w:w="2181" w:type="dxa"/>
            <w:tcBorders>
              <w:right w:val="single" w:sz="6" w:space="0" w:color="000000"/>
            </w:tcBorders>
            <w:shd w:val="clear" w:color="auto" w:fill="FFF0E1"/>
            <w:noWrap/>
            <w:tcMar>
              <w:top w:w="0" w:type="dxa"/>
              <w:left w:w="0" w:type="dxa"/>
              <w:bottom w:w="0" w:type="dxa"/>
              <w:right w:w="0" w:type="dxa"/>
            </w:tcMar>
            <w:vAlign w:val="center"/>
          </w:tcPr>
          <w:p w14:paraId="00ADA501" w14:textId="77777777" w:rsidR="00052596" w:rsidRDefault="00000000">
            <w:pPr>
              <w:overflowPunct w:val="0"/>
              <w:autoSpaceDE w:val="0"/>
              <w:spacing w:line="240" w:lineRule="exact"/>
              <w:ind w:firstLine="440"/>
              <w:textAlignment w:val="center"/>
            </w:pPr>
            <w:r>
              <w:rPr>
                <w:rFonts w:eastAsia="標楷體"/>
                <w:bCs/>
                <w:kern w:val="0"/>
                <w:sz w:val="22"/>
                <w:szCs w:val="22"/>
              </w:rPr>
              <w:t>歐盟</w:t>
            </w:r>
          </w:p>
        </w:tc>
        <w:tc>
          <w:tcPr>
            <w:tcW w:w="993"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209FBCE8"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1.1</w:t>
            </w:r>
          </w:p>
        </w:tc>
        <w:tc>
          <w:tcPr>
            <w:tcW w:w="850" w:type="dxa"/>
            <w:tcBorders>
              <w:left w:val="single" w:sz="6" w:space="0" w:color="000000"/>
              <w:right w:val="single" w:sz="6" w:space="0" w:color="000000"/>
            </w:tcBorders>
            <w:shd w:val="clear" w:color="auto" w:fill="FFF0E1"/>
            <w:tcMar>
              <w:top w:w="0" w:type="dxa"/>
              <w:left w:w="0" w:type="dxa"/>
              <w:bottom w:w="0" w:type="dxa"/>
              <w:right w:w="0" w:type="dxa"/>
            </w:tcMar>
          </w:tcPr>
          <w:p w14:paraId="2B1EC3D6"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-0.2</w:t>
            </w:r>
          </w:p>
        </w:tc>
        <w:tc>
          <w:tcPr>
            <w:tcW w:w="1046"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564BA685"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1.2</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2F40203C"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0.1</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4A216CC5"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0.8</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7F56ACA3"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1.7</w:t>
            </w:r>
          </w:p>
        </w:tc>
        <w:tc>
          <w:tcPr>
            <w:tcW w:w="815" w:type="dxa"/>
            <w:tcBorders>
              <w:left w:val="single" w:sz="6" w:space="0" w:color="000000"/>
            </w:tcBorders>
            <w:shd w:val="clear" w:color="auto" w:fill="FFF0E1"/>
            <w:tcMar>
              <w:top w:w="0" w:type="dxa"/>
              <w:left w:w="0" w:type="dxa"/>
              <w:bottom w:w="0" w:type="dxa"/>
              <w:right w:w="0" w:type="dxa"/>
            </w:tcMar>
            <w:vAlign w:val="center"/>
          </w:tcPr>
          <w:p w14:paraId="3B29D8B5"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2.2</w:t>
            </w:r>
          </w:p>
        </w:tc>
      </w:tr>
      <w:tr w:rsidR="00052596" w14:paraId="5ED2E7B9" w14:textId="77777777">
        <w:tblPrEx>
          <w:tblCellMar>
            <w:top w:w="0" w:type="dxa"/>
            <w:bottom w:w="0" w:type="dxa"/>
          </w:tblCellMar>
        </w:tblPrEx>
        <w:trPr>
          <w:jc w:val="center"/>
        </w:trPr>
        <w:tc>
          <w:tcPr>
            <w:tcW w:w="2181" w:type="dxa"/>
            <w:tcBorders>
              <w:right w:val="single" w:sz="6" w:space="0" w:color="000000"/>
            </w:tcBorders>
            <w:shd w:val="clear" w:color="auto" w:fill="FFF0E1"/>
            <w:noWrap/>
            <w:tcMar>
              <w:top w:w="0" w:type="dxa"/>
              <w:left w:w="0" w:type="dxa"/>
              <w:bottom w:w="0" w:type="dxa"/>
              <w:right w:w="0" w:type="dxa"/>
            </w:tcMar>
            <w:vAlign w:val="center"/>
          </w:tcPr>
          <w:p w14:paraId="698F9344" w14:textId="77777777" w:rsidR="00052596" w:rsidRDefault="00000000">
            <w:pPr>
              <w:overflowPunct w:val="0"/>
              <w:autoSpaceDE w:val="0"/>
              <w:spacing w:line="240" w:lineRule="exact"/>
              <w:ind w:firstLine="220"/>
              <w:textAlignment w:val="center"/>
              <w:rPr>
                <w:rFonts w:eastAsia="標楷體"/>
                <w:bCs/>
                <w:kern w:val="0"/>
                <w:sz w:val="22"/>
                <w:szCs w:val="22"/>
              </w:rPr>
            </w:pPr>
            <w:r>
              <w:rPr>
                <w:rFonts w:eastAsia="標楷體"/>
                <w:bCs/>
                <w:kern w:val="0"/>
                <w:sz w:val="22"/>
                <w:szCs w:val="22"/>
              </w:rPr>
              <w:t>新興經濟體</w:t>
            </w:r>
          </w:p>
        </w:tc>
        <w:tc>
          <w:tcPr>
            <w:tcW w:w="993"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44118579"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6.1</w:t>
            </w:r>
          </w:p>
        </w:tc>
        <w:tc>
          <w:tcPr>
            <w:tcW w:w="850" w:type="dxa"/>
            <w:tcBorders>
              <w:left w:val="single" w:sz="6" w:space="0" w:color="000000"/>
              <w:right w:val="single" w:sz="6" w:space="0" w:color="000000"/>
            </w:tcBorders>
            <w:shd w:val="clear" w:color="auto" w:fill="FFF0E1"/>
            <w:tcMar>
              <w:top w:w="0" w:type="dxa"/>
              <w:left w:w="0" w:type="dxa"/>
              <w:bottom w:w="0" w:type="dxa"/>
              <w:right w:w="0" w:type="dxa"/>
            </w:tcMar>
          </w:tcPr>
          <w:p w14:paraId="6F3A50C4"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4.4</w:t>
            </w:r>
          </w:p>
        </w:tc>
        <w:tc>
          <w:tcPr>
            <w:tcW w:w="1046"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2B3958EE"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5.6</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52156153"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4.9</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19439634"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5.7</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50E615B1"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6.0</w:t>
            </w:r>
          </w:p>
        </w:tc>
        <w:tc>
          <w:tcPr>
            <w:tcW w:w="815" w:type="dxa"/>
            <w:tcBorders>
              <w:left w:val="single" w:sz="6" w:space="0" w:color="000000"/>
            </w:tcBorders>
            <w:shd w:val="clear" w:color="auto" w:fill="FFF0E1"/>
            <w:tcMar>
              <w:top w:w="0" w:type="dxa"/>
              <w:left w:w="0" w:type="dxa"/>
              <w:bottom w:w="0" w:type="dxa"/>
              <w:right w:w="0" w:type="dxa"/>
            </w:tcMar>
            <w:vAlign w:val="center"/>
          </w:tcPr>
          <w:p w14:paraId="25DB081C"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6.0</w:t>
            </w:r>
          </w:p>
        </w:tc>
      </w:tr>
      <w:tr w:rsidR="00052596" w14:paraId="732BE493" w14:textId="77777777">
        <w:tblPrEx>
          <w:tblCellMar>
            <w:top w:w="0" w:type="dxa"/>
            <w:bottom w:w="0" w:type="dxa"/>
          </w:tblCellMar>
        </w:tblPrEx>
        <w:trPr>
          <w:jc w:val="center"/>
        </w:trPr>
        <w:tc>
          <w:tcPr>
            <w:tcW w:w="2181" w:type="dxa"/>
            <w:tcBorders>
              <w:right w:val="single" w:sz="6" w:space="0" w:color="000000"/>
            </w:tcBorders>
            <w:shd w:val="clear" w:color="auto" w:fill="FFF0E1"/>
            <w:noWrap/>
            <w:tcMar>
              <w:top w:w="0" w:type="dxa"/>
              <w:left w:w="0" w:type="dxa"/>
              <w:bottom w:w="0" w:type="dxa"/>
              <w:right w:w="0" w:type="dxa"/>
            </w:tcMar>
            <w:vAlign w:val="center"/>
          </w:tcPr>
          <w:p w14:paraId="5C107DF8" w14:textId="77777777" w:rsidR="00052596" w:rsidRDefault="00000000">
            <w:pPr>
              <w:overflowPunct w:val="0"/>
              <w:autoSpaceDE w:val="0"/>
              <w:spacing w:line="240" w:lineRule="exact"/>
              <w:ind w:firstLine="220"/>
              <w:textAlignment w:val="center"/>
              <w:rPr>
                <w:rFonts w:eastAsia="標楷體"/>
                <w:bCs/>
                <w:kern w:val="0"/>
                <w:sz w:val="22"/>
                <w:szCs w:val="22"/>
              </w:rPr>
            </w:pPr>
            <w:r>
              <w:rPr>
                <w:rFonts w:eastAsia="標楷體"/>
                <w:bCs/>
                <w:kern w:val="0"/>
                <w:sz w:val="22"/>
                <w:szCs w:val="22"/>
              </w:rPr>
              <w:t xml:space="preserve">  </w:t>
            </w:r>
            <w:r>
              <w:rPr>
                <w:rFonts w:eastAsia="標楷體"/>
                <w:bCs/>
                <w:kern w:val="0"/>
                <w:sz w:val="22"/>
                <w:szCs w:val="22"/>
              </w:rPr>
              <w:t>中國</w:t>
            </w:r>
          </w:p>
        </w:tc>
        <w:tc>
          <w:tcPr>
            <w:tcW w:w="993"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7FBD8428"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9.1</w:t>
            </w:r>
          </w:p>
        </w:tc>
        <w:tc>
          <w:tcPr>
            <w:tcW w:w="850" w:type="dxa"/>
            <w:tcBorders>
              <w:left w:val="single" w:sz="6" w:space="0" w:color="000000"/>
              <w:right w:val="single" w:sz="6" w:space="0" w:color="000000"/>
            </w:tcBorders>
            <w:shd w:val="clear" w:color="auto" w:fill="FFF0E1"/>
            <w:tcMar>
              <w:top w:w="0" w:type="dxa"/>
              <w:left w:w="0" w:type="dxa"/>
              <w:bottom w:w="0" w:type="dxa"/>
              <w:right w:w="0" w:type="dxa"/>
            </w:tcMar>
          </w:tcPr>
          <w:p w14:paraId="2483F668"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7.7</w:t>
            </w:r>
          </w:p>
        </w:tc>
        <w:tc>
          <w:tcPr>
            <w:tcW w:w="1046"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7590C1A1"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8.2</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4D613320"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8.0</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24F3335C"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8.3</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21061702"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8.6</w:t>
            </w:r>
          </w:p>
        </w:tc>
        <w:tc>
          <w:tcPr>
            <w:tcW w:w="815" w:type="dxa"/>
            <w:tcBorders>
              <w:left w:val="single" w:sz="6" w:space="0" w:color="000000"/>
            </w:tcBorders>
            <w:shd w:val="clear" w:color="auto" w:fill="FFF0E1"/>
            <w:tcMar>
              <w:top w:w="0" w:type="dxa"/>
              <w:left w:w="0" w:type="dxa"/>
              <w:bottom w:w="0" w:type="dxa"/>
              <w:right w:w="0" w:type="dxa"/>
            </w:tcMar>
            <w:vAlign w:val="center"/>
          </w:tcPr>
          <w:p w14:paraId="01AD5F41"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8.1</w:t>
            </w:r>
          </w:p>
        </w:tc>
      </w:tr>
      <w:tr w:rsidR="00052596" w14:paraId="3432453F" w14:textId="77777777">
        <w:tblPrEx>
          <w:tblCellMar>
            <w:top w:w="0" w:type="dxa"/>
            <w:bottom w:w="0" w:type="dxa"/>
          </w:tblCellMar>
        </w:tblPrEx>
        <w:trPr>
          <w:jc w:val="center"/>
        </w:trPr>
        <w:tc>
          <w:tcPr>
            <w:tcW w:w="2181" w:type="dxa"/>
            <w:tcBorders>
              <w:right w:val="single" w:sz="6" w:space="0" w:color="000000"/>
            </w:tcBorders>
            <w:shd w:val="clear" w:color="auto" w:fill="FFF0E1"/>
            <w:noWrap/>
            <w:tcMar>
              <w:top w:w="0" w:type="dxa"/>
              <w:left w:w="0" w:type="dxa"/>
              <w:bottom w:w="0" w:type="dxa"/>
              <w:right w:w="0" w:type="dxa"/>
            </w:tcMar>
            <w:vAlign w:val="center"/>
          </w:tcPr>
          <w:p w14:paraId="75ECE2CC" w14:textId="77777777" w:rsidR="00052596" w:rsidRDefault="00000000">
            <w:pPr>
              <w:overflowPunct w:val="0"/>
              <w:autoSpaceDE w:val="0"/>
              <w:spacing w:line="240" w:lineRule="exact"/>
              <w:ind w:firstLine="220"/>
              <w:textAlignment w:val="center"/>
              <w:rPr>
                <w:rFonts w:eastAsia="標楷體"/>
                <w:bCs/>
                <w:kern w:val="0"/>
                <w:sz w:val="22"/>
                <w:szCs w:val="22"/>
              </w:rPr>
            </w:pPr>
            <w:r>
              <w:rPr>
                <w:rFonts w:eastAsia="標楷體"/>
                <w:bCs/>
                <w:kern w:val="0"/>
                <w:sz w:val="22"/>
                <w:szCs w:val="22"/>
              </w:rPr>
              <w:t xml:space="preserve">  </w:t>
            </w:r>
            <w:r>
              <w:rPr>
                <w:rFonts w:eastAsia="標楷體"/>
                <w:bCs/>
                <w:kern w:val="0"/>
                <w:sz w:val="22"/>
                <w:szCs w:val="22"/>
              </w:rPr>
              <w:t>印度</w:t>
            </w:r>
          </w:p>
        </w:tc>
        <w:tc>
          <w:tcPr>
            <w:tcW w:w="993"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1BC5A592"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7.2</w:t>
            </w:r>
          </w:p>
        </w:tc>
        <w:tc>
          <w:tcPr>
            <w:tcW w:w="850" w:type="dxa"/>
            <w:tcBorders>
              <w:left w:val="single" w:sz="6" w:space="0" w:color="000000"/>
              <w:right w:val="single" w:sz="6" w:space="0" w:color="000000"/>
            </w:tcBorders>
            <w:shd w:val="clear" w:color="auto" w:fill="FFF0E1"/>
            <w:tcMar>
              <w:top w:w="0" w:type="dxa"/>
              <w:left w:w="0" w:type="dxa"/>
              <w:bottom w:w="0" w:type="dxa"/>
              <w:right w:w="0" w:type="dxa"/>
            </w:tcMar>
          </w:tcPr>
          <w:p w14:paraId="086D9674"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5.1</w:t>
            </w:r>
          </w:p>
        </w:tc>
        <w:tc>
          <w:tcPr>
            <w:tcW w:w="1046"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6F318D65"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7.2</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5B0A50CE"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5.8</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35CAC514"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6.9</w:t>
            </w:r>
          </w:p>
        </w:tc>
        <w:tc>
          <w:tcPr>
            <w:tcW w:w="815" w:type="dxa"/>
            <w:tcBorders>
              <w:left w:val="single" w:sz="6" w:space="0" w:color="000000"/>
              <w:right w:val="single" w:sz="6" w:space="0" w:color="000000"/>
            </w:tcBorders>
            <w:shd w:val="clear" w:color="auto" w:fill="FFF0E1"/>
            <w:tcMar>
              <w:top w:w="0" w:type="dxa"/>
              <w:left w:w="0" w:type="dxa"/>
              <w:bottom w:w="0" w:type="dxa"/>
              <w:right w:w="0" w:type="dxa"/>
            </w:tcMar>
            <w:vAlign w:val="center"/>
          </w:tcPr>
          <w:p w14:paraId="3EF76CBA"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7.7</w:t>
            </w:r>
          </w:p>
        </w:tc>
        <w:tc>
          <w:tcPr>
            <w:tcW w:w="815" w:type="dxa"/>
            <w:tcBorders>
              <w:left w:val="single" w:sz="6" w:space="0" w:color="000000"/>
            </w:tcBorders>
            <w:shd w:val="clear" w:color="auto" w:fill="FFF0E1"/>
            <w:tcMar>
              <w:top w:w="0" w:type="dxa"/>
              <w:left w:w="0" w:type="dxa"/>
              <w:bottom w:w="0" w:type="dxa"/>
              <w:right w:w="0" w:type="dxa"/>
            </w:tcMar>
            <w:vAlign w:val="center"/>
          </w:tcPr>
          <w:p w14:paraId="3512FAF4"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8.4</w:t>
            </w:r>
          </w:p>
        </w:tc>
      </w:tr>
      <w:tr w:rsidR="00052596" w14:paraId="3C442492" w14:textId="77777777">
        <w:tblPrEx>
          <w:tblCellMar>
            <w:top w:w="0" w:type="dxa"/>
            <w:bottom w:w="0" w:type="dxa"/>
          </w:tblCellMar>
        </w:tblPrEx>
        <w:trPr>
          <w:jc w:val="center"/>
        </w:trPr>
        <w:tc>
          <w:tcPr>
            <w:tcW w:w="2181" w:type="dxa"/>
            <w:tcBorders>
              <w:bottom w:val="dashed" w:sz="4" w:space="0" w:color="000000"/>
              <w:right w:val="single" w:sz="6" w:space="0" w:color="000000"/>
            </w:tcBorders>
            <w:shd w:val="clear" w:color="auto" w:fill="FFF0E1"/>
            <w:noWrap/>
            <w:tcMar>
              <w:top w:w="0" w:type="dxa"/>
              <w:left w:w="0" w:type="dxa"/>
              <w:bottom w:w="0" w:type="dxa"/>
              <w:right w:w="0" w:type="dxa"/>
            </w:tcMar>
            <w:vAlign w:val="center"/>
          </w:tcPr>
          <w:p w14:paraId="07975D3A" w14:textId="77777777" w:rsidR="00052596" w:rsidRDefault="00000000">
            <w:pPr>
              <w:overflowPunct w:val="0"/>
              <w:autoSpaceDE w:val="0"/>
              <w:spacing w:line="240" w:lineRule="exact"/>
              <w:textAlignment w:val="center"/>
            </w:pPr>
            <w:r>
              <w:rPr>
                <w:rFonts w:eastAsia="標楷體"/>
                <w:bCs/>
                <w:spacing w:val="-10"/>
                <w:kern w:val="0"/>
                <w:sz w:val="22"/>
                <w:szCs w:val="22"/>
              </w:rPr>
              <w:t>世界貿易量擴張率</w:t>
            </w:r>
            <w:r>
              <w:rPr>
                <w:rFonts w:ascii="標楷體" w:eastAsia="標楷體" w:hAnsi="標楷體"/>
                <w:bCs/>
                <w:spacing w:val="-10"/>
                <w:kern w:val="0"/>
                <w:sz w:val="22"/>
                <w:szCs w:val="22"/>
              </w:rPr>
              <w:t>(</w:t>
            </w:r>
            <w:r>
              <w:rPr>
                <w:bCs/>
                <w:spacing w:val="-10"/>
                <w:kern w:val="0"/>
                <w:sz w:val="22"/>
                <w:szCs w:val="22"/>
              </w:rPr>
              <w:t>%</w:t>
            </w:r>
            <w:r>
              <w:rPr>
                <w:rFonts w:ascii="標楷體" w:eastAsia="標楷體" w:hAnsi="標楷體"/>
                <w:bCs/>
                <w:spacing w:val="-10"/>
                <w:kern w:val="0"/>
                <w:sz w:val="22"/>
                <w:szCs w:val="22"/>
              </w:rPr>
              <w:t>)</w:t>
            </w:r>
          </w:p>
        </w:tc>
        <w:tc>
          <w:tcPr>
            <w:tcW w:w="993" w:type="dxa"/>
            <w:tcBorders>
              <w:left w:val="single" w:sz="6" w:space="0" w:color="000000"/>
              <w:bottom w:val="dashed" w:sz="4" w:space="0" w:color="000000"/>
              <w:right w:val="single" w:sz="6" w:space="0" w:color="000000"/>
            </w:tcBorders>
            <w:shd w:val="clear" w:color="auto" w:fill="FFF0E1"/>
            <w:tcMar>
              <w:top w:w="0" w:type="dxa"/>
              <w:left w:w="0" w:type="dxa"/>
              <w:bottom w:w="0" w:type="dxa"/>
              <w:right w:w="0" w:type="dxa"/>
            </w:tcMar>
            <w:vAlign w:val="center"/>
          </w:tcPr>
          <w:p w14:paraId="54E03DA8"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7.2</w:t>
            </w:r>
          </w:p>
        </w:tc>
        <w:tc>
          <w:tcPr>
            <w:tcW w:w="850" w:type="dxa"/>
            <w:tcBorders>
              <w:left w:val="single" w:sz="6" w:space="0" w:color="000000"/>
              <w:bottom w:val="dashed" w:sz="4" w:space="0" w:color="000000"/>
              <w:right w:val="single" w:sz="6" w:space="0" w:color="000000"/>
            </w:tcBorders>
            <w:shd w:val="clear" w:color="auto" w:fill="FFF0E1"/>
            <w:tcMar>
              <w:top w:w="0" w:type="dxa"/>
              <w:left w:w="0" w:type="dxa"/>
              <w:bottom w:w="0" w:type="dxa"/>
              <w:right w:w="0" w:type="dxa"/>
            </w:tcMar>
          </w:tcPr>
          <w:p w14:paraId="39AA29BA"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3.2</w:t>
            </w:r>
          </w:p>
        </w:tc>
        <w:tc>
          <w:tcPr>
            <w:tcW w:w="1046" w:type="dxa"/>
            <w:tcBorders>
              <w:left w:val="single" w:sz="6" w:space="0" w:color="000000"/>
              <w:bottom w:val="dashed" w:sz="4" w:space="0" w:color="000000"/>
              <w:right w:val="single" w:sz="6" w:space="0" w:color="000000"/>
            </w:tcBorders>
            <w:shd w:val="clear" w:color="auto" w:fill="FFF0E1"/>
            <w:tcMar>
              <w:top w:w="0" w:type="dxa"/>
              <w:left w:w="0" w:type="dxa"/>
              <w:bottom w:w="0" w:type="dxa"/>
              <w:right w:w="0" w:type="dxa"/>
            </w:tcMar>
            <w:vAlign w:val="center"/>
          </w:tcPr>
          <w:p w14:paraId="500F9A4A"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5.7</w:t>
            </w:r>
          </w:p>
        </w:tc>
        <w:tc>
          <w:tcPr>
            <w:tcW w:w="815" w:type="dxa"/>
            <w:tcBorders>
              <w:left w:val="single" w:sz="6" w:space="0" w:color="000000"/>
              <w:bottom w:val="dashed" w:sz="4" w:space="0" w:color="000000"/>
              <w:right w:val="single" w:sz="6" w:space="0" w:color="000000"/>
            </w:tcBorders>
            <w:shd w:val="clear" w:color="auto" w:fill="FFF0E1"/>
            <w:tcMar>
              <w:top w:w="0" w:type="dxa"/>
              <w:left w:w="0" w:type="dxa"/>
              <w:bottom w:w="0" w:type="dxa"/>
              <w:right w:w="0" w:type="dxa"/>
            </w:tcMar>
            <w:vAlign w:val="center"/>
          </w:tcPr>
          <w:p w14:paraId="019EDAEF" w14:textId="77777777" w:rsidR="00052596" w:rsidRDefault="00000000">
            <w:pPr>
              <w:tabs>
                <w:tab w:val="decimal" w:pos="305"/>
              </w:tabs>
              <w:overflowPunct w:val="0"/>
              <w:autoSpaceDE w:val="0"/>
              <w:spacing w:line="240" w:lineRule="exact"/>
              <w:textAlignment w:val="center"/>
              <w:rPr>
                <w:rFonts w:eastAsia="標楷體"/>
                <w:bCs/>
                <w:kern w:val="0"/>
                <w:sz w:val="22"/>
                <w:szCs w:val="22"/>
              </w:rPr>
            </w:pPr>
            <w:r>
              <w:rPr>
                <w:rFonts w:eastAsia="標楷體"/>
                <w:bCs/>
                <w:kern w:val="0"/>
                <w:sz w:val="22"/>
                <w:szCs w:val="22"/>
              </w:rPr>
              <w:t>4.5</w:t>
            </w:r>
          </w:p>
        </w:tc>
        <w:tc>
          <w:tcPr>
            <w:tcW w:w="815" w:type="dxa"/>
            <w:tcBorders>
              <w:left w:val="single" w:sz="6" w:space="0" w:color="000000"/>
              <w:bottom w:val="dashed" w:sz="4" w:space="0" w:color="000000"/>
              <w:right w:val="single" w:sz="6" w:space="0" w:color="000000"/>
            </w:tcBorders>
            <w:shd w:val="clear" w:color="auto" w:fill="FFF0E1"/>
            <w:tcMar>
              <w:top w:w="0" w:type="dxa"/>
              <w:left w:w="0" w:type="dxa"/>
              <w:bottom w:w="0" w:type="dxa"/>
              <w:right w:w="0" w:type="dxa"/>
            </w:tcMar>
            <w:vAlign w:val="center"/>
          </w:tcPr>
          <w:p w14:paraId="4641B254"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5.8</w:t>
            </w:r>
          </w:p>
        </w:tc>
        <w:tc>
          <w:tcPr>
            <w:tcW w:w="815" w:type="dxa"/>
            <w:tcBorders>
              <w:left w:val="single" w:sz="6" w:space="0" w:color="000000"/>
              <w:bottom w:val="dashed" w:sz="4" w:space="0" w:color="000000"/>
              <w:right w:val="single" w:sz="6" w:space="0" w:color="000000"/>
            </w:tcBorders>
            <w:shd w:val="clear" w:color="auto" w:fill="FFF0E1"/>
            <w:tcMar>
              <w:top w:w="0" w:type="dxa"/>
              <w:left w:w="0" w:type="dxa"/>
              <w:bottom w:w="0" w:type="dxa"/>
              <w:right w:w="0" w:type="dxa"/>
            </w:tcMar>
            <w:vAlign w:val="center"/>
          </w:tcPr>
          <w:p w14:paraId="61632080"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6.1</w:t>
            </w:r>
          </w:p>
        </w:tc>
        <w:tc>
          <w:tcPr>
            <w:tcW w:w="815" w:type="dxa"/>
            <w:tcBorders>
              <w:left w:val="single" w:sz="6" w:space="0" w:color="000000"/>
              <w:bottom w:val="dashed" w:sz="4" w:space="0" w:color="000000"/>
            </w:tcBorders>
            <w:shd w:val="clear" w:color="auto" w:fill="FFF0E1"/>
            <w:tcMar>
              <w:top w:w="0" w:type="dxa"/>
              <w:left w:w="0" w:type="dxa"/>
              <w:bottom w:w="0" w:type="dxa"/>
              <w:right w:w="0" w:type="dxa"/>
            </w:tcMar>
            <w:vAlign w:val="center"/>
          </w:tcPr>
          <w:p w14:paraId="32E2A797" w14:textId="77777777" w:rsidR="00052596" w:rsidRDefault="00000000">
            <w:pPr>
              <w:overflowPunct w:val="0"/>
              <w:autoSpaceDE w:val="0"/>
              <w:spacing w:line="240" w:lineRule="exact"/>
              <w:jc w:val="center"/>
              <w:textAlignment w:val="center"/>
              <w:rPr>
                <w:rFonts w:eastAsia="標楷體"/>
                <w:bCs/>
                <w:kern w:val="0"/>
                <w:sz w:val="22"/>
                <w:szCs w:val="22"/>
              </w:rPr>
            </w:pPr>
            <w:r>
              <w:rPr>
                <w:rFonts w:eastAsia="標楷體"/>
                <w:bCs/>
                <w:kern w:val="0"/>
                <w:sz w:val="22"/>
                <w:szCs w:val="22"/>
              </w:rPr>
              <w:t>6.3</w:t>
            </w:r>
          </w:p>
        </w:tc>
      </w:tr>
      <w:tr w:rsidR="00052596" w14:paraId="7E0B7175" w14:textId="77777777">
        <w:tblPrEx>
          <w:tblCellMar>
            <w:top w:w="0" w:type="dxa"/>
            <w:bottom w:w="0" w:type="dxa"/>
          </w:tblCellMar>
        </w:tblPrEx>
        <w:trPr>
          <w:jc w:val="center"/>
        </w:trPr>
        <w:tc>
          <w:tcPr>
            <w:tcW w:w="2181" w:type="dxa"/>
            <w:tcBorders>
              <w:top w:val="dashed" w:sz="4" w:space="0" w:color="000000"/>
              <w:bottom w:val="single" w:sz="6" w:space="0" w:color="000000"/>
              <w:right w:val="single" w:sz="6" w:space="0" w:color="000000"/>
            </w:tcBorders>
            <w:shd w:val="clear" w:color="auto" w:fill="FFF0E1"/>
            <w:noWrap/>
            <w:tcMar>
              <w:top w:w="0" w:type="dxa"/>
              <w:left w:w="0" w:type="dxa"/>
              <w:bottom w:w="0" w:type="dxa"/>
              <w:right w:w="0" w:type="dxa"/>
            </w:tcMar>
            <w:vAlign w:val="center"/>
          </w:tcPr>
          <w:p w14:paraId="1D3BD147" w14:textId="77777777" w:rsidR="00052596" w:rsidRDefault="00000000">
            <w:pPr>
              <w:overflowPunct w:val="0"/>
              <w:autoSpaceDE w:val="0"/>
              <w:spacing w:line="240" w:lineRule="exact"/>
              <w:ind w:left="2" w:hanging="31"/>
              <w:textAlignment w:val="center"/>
            </w:pPr>
            <w:r>
              <w:rPr>
                <w:rFonts w:eastAsia="標楷體"/>
                <w:bCs/>
                <w:spacing w:val="-6"/>
                <w:kern w:val="0"/>
                <w:sz w:val="22"/>
                <w:szCs w:val="22"/>
              </w:rPr>
              <w:t>原油價格</w:t>
            </w:r>
            <w:r>
              <w:rPr>
                <w:rFonts w:ascii="標楷體" w:eastAsia="標楷體" w:hAnsi="標楷體"/>
                <w:bCs/>
                <w:spacing w:val="-6"/>
                <w:kern w:val="0"/>
                <w:sz w:val="22"/>
                <w:szCs w:val="22"/>
              </w:rPr>
              <w:t>(</w:t>
            </w:r>
            <w:r>
              <w:rPr>
                <w:rFonts w:eastAsia="標楷體"/>
                <w:bCs/>
                <w:spacing w:val="-6"/>
                <w:kern w:val="0"/>
                <w:sz w:val="22"/>
                <w:szCs w:val="22"/>
              </w:rPr>
              <w:t>美元／桶</w:t>
            </w:r>
            <w:r>
              <w:rPr>
                <w:rFonts w:ascii="標楷體" w:eastAsia="標楷體" w:hAnsi="標楷體"/>
                <w:bCs/>
                <w:spacing w:val="-6"/>
                <w:kern w:val="0"/>
                <w:sz w:val="22"/>
                <w:szCs w:val="22"/>
              </w:rPr>
              <w:t>)</w:t>
            </w:r>
          </w:p>
        </w:tc>
        <w:tc>
          <w:tcPr>
            <w:tcW w:w="993" w:type="dxa"/>
            <w:tcBorders>
              <w:top w:val="dashed" w:sz="4" w:space="0" w:color="000000"/>
              <w:left w:val="single" w:sz="6" w:space="0" w:color="000000"/>
              <w:bottom w:val="single" w:sz="6" w:space="0" w:color="000000"/>
              <w:right w:val="single" w:sz="6" w:space="0" w:color="000000"/>
            </w:tcBorders>
            <w:shd w:val="clear" w:color="auto" w:fill="FFF0E1"/>
            <w:tcMar>
              <w:top w:w="0" w:type="dxa"/>
              <w:left w:w="0" w:type="dxa"/>
              <w:bottom w:w="0" w:type="dxa"/>
              <w:right w:w="0" w:type="dxa"/>
            </w:tcMar>
            <w:vAlign w:val="center"/>
          </w:tcPr>
          <w:p w14:paraId="1AD85B46"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96.41</w:t>
            </w:r>
          </w:p>
        </w:tc>
        <w:tc>
          <w:tcPr>
            <w:tcW w:w="850" w:type="dxa"/>
            <w:tcBorders>
              <w:top w:val="dashed" w:sz="4" w:space="0" w:color="000000"/>
              <w:left w:val="single" w:sz="6" w:space="0" w:color="000000"/>
              <w:bottom w:val="single" w:sz="6" w:space="0" w:color="000000"/>
              <w:right w:val="single" w:sz="6" w:space="0" w:color="000000"/>
            </w:tcBorders>
            <w:shd w:val="clear" w:color="auto" w:fill="FFF0E1"/>
            <w:tcMar>
              <w:top w:w="0" w:type="dxa"/>
              <w:left w:w="0" w:type="dxa"/>
              <w:bottom w:w="0" w:type="dxa"/>
              <w:right w:w="0" w:type="dxa"/>
            </w:tcMar>
          </w:tcPr>
          <w:p w14:paraId="79325508" w14:textId="77777777" w:rsidR="00052596" w:rsidRDefault="00000000">
            <w:pPr>
              <w:overflowPunct w:val="0"/>
              <w:autoSpaceDE w:val="0"/>
              <w:spacing w:line="240" w:lineRule="exact"/>
              <w:jc w:val="center"/>
              <w:textAlignment w:val="center"/>
              <w:rPr>
                <w:rFonts w:eastAsia="標楷體"/>
                <w:bCs/>
                <w:color w:val="000000"/>
                <w:kern w:val="0"/>
                <w:sz w:val="22"/>
                <w:szCs w:val="22"/>
              </w:rPr>
            </w:pPr>
            <w:r>
              <w:rPr>
                <w:rFonts w:eastAsia="標楷體"/>
                <w:bCs/>
                <w:color w:val="000000"/>
                <w:kern w:val="0"/>
                <w:sz w:val="22"/>
                <w:szCs w:val="22"/>
              </w:rPr>
              <w:t>106.2</w:t>
            </w:r>
          </w:p>
        </w:tc>
        <w:tc>
          <w:tcPr>
            <w:tcW w:w="1046" w:type="dxa"/>
            <w:tcBorders>
              <w:top w:val="dashed" w:sz="4" w:space="0" w:color="000000"/>
              <w:left w:val="single" w:sz="6" w:space="0" w:color="000000"/>
              <w:bottom w:val="single" w:sz="6" w:space="0" w:color="000000"/>
              <w:right w:val="single" w:sz="6" w:space="0" w:color="000000"/>
            </w:tcBorders>
            <w:shd w:val="clear" w:color="auto" w:fill="FFF0E1"/>
            <w:tcMar>
              <w:top w:w="0" w:type="dxa"/>
              <w:left w:w="0" w:type="dxa"/>
              <w:bottom w:w="0" w:type="dxa"/>
              <w:right w:w="0" w:type="dxa"/>
            </w:tcMar>
            <w:vAlign w:val="center"/>
          </w:tcPr>
          <w:p w14:paraId="1AF5147C" w14:textId="77777777" w:rsidR="00052596" w:rsidRDefault="00000000">
            <w:pPr>
              <w:tabs>
                <w:tab w:val="decimal" w:pos="547"/>
              </w:tabs>
              <w:overflowPunct w:val="0"/>
              <w:autoSpaceDE w:val="0"/>
              <w:spacing w:line="240" w:lineRule="exact"/>
              <w:textAlignment w:val="center"/>
              <w:rPr>
                <w:rFonts w:eastAsia="標楷體"/>
                <w:bCs/>
                <w:kern w:val="0"/>
                <w:sz w:val="22"/>
                <w:szCs w:val="22"/>
              </w:rPr>
            </w:pPr>
            <w:r>
              <w:rPr>
                <w:rFonts w:eastAsia="標楷體"/>
                <w:bCs/>
                <w:kern w:val="0"/>
                <w:sz w:val="22"/>
                <w:szCs w:val="22"/>
              </w:rPr>
              <w:t>99.14</w:t>
            </w:r>
          </w:p>
        </w:tc>
        <w:tc>
          <w:tcPr>
            <w:tcW w:w="815" w:type="dxa"/>
            <w:tcBorders>
              <w:top w:val="dashed" w:sz="4" w:space="0" w:color="000000"/>
              <w:left w:val="single" w:sz="6" w:space="0" w:color="000000"/>
              <w:bottom w:val="single" w:sz="6" w:space="0" w:color="000000"/>
              <w:right w:val="single" w:sz="6" w:space="0" w:color="000000"/>
            </w:tcBorders>
            <w:shd w:val="clear" w:color="auto" w:fill="FFF0E1"/>
            <w:tcMar>
              <w:top w:w="0" w:type="dxa"/>
              <w:left w:w="0" w:type="dxa"/>
              <w:bottom w:w="0" w:type="dxa"/>
              <w:right w:w="0" w:type="dxa"/>
            </w:tcMar>
            <w:vAlign w:val="center"/>
          </w:tcPr>
          <w:p w14:paraId="471FA732" w14:textId="77777777" w:rsidR="00052596" w:rsidRDefault="00000000">
            <w:pPr>
              <w:overflowPunct w:val="0"/>
              <w:autoSpaceDE w:val="0"/>
              <w:spacing w:line="240" w:lineRule="exact"/>
              <w:jc w:val="center"/>
              <w:textAlignment w:val="center"/>
              <w:rPr>
                <w:rFonts w:eastAsia="標楷體"/>
                <w:bCs/>
                <w:color w:val="000000"/>
                <w:kern w:val="0"/>
                <w:sz w:val="22"/>
                <w:szCs w:val="22"/>
              </w:rPr>
            </w:pPr>
            <w:r>
              <w:rPr>
                <w:rFonts w:eastAsia="標楷體"/>
                <w:bCs/>
                <w:color w:val="000000"/>
                <w:kern w:val="0"/>
                <w:sz w:val="22"/>
                <w:szCs w:val="22"/>
              </w:rPr>
              <w:t>105.1</w:t>
            </w:r>
          </w:p>
        </w:tc>
        <w:tc>
          <w:tcPr>
            <w:tcW w:w="815" w:type="dxa"/>
            <w:tcBorders>
              <w:top w:val="dashed" w:sz="4" w:space="0" w:color="000000"/>
              <w:left w:val="single" w:sz="6" w:space="0" w:color="000000"/>
              <w:bottom w:val="single" w:sz="6" w:space="0" w:color="000000"/>
              <w:right w:val="single" w:sz="6" w:space="0" w:color="000000"/>
            </w:tcBorders>
            <w:shd w:val="clear" w:color="auto" w:fill="FFF0E1"/>
            <w:tcMar>
              <w:top w:w="0" w:type="dxa"/>
              <w:left w:w="0" w:type="dxa"/>
              <w:bottom w:w="0" w:type="dxa"/>
              <w:right w:w="0" w:type="dxa"/>
            </w:tcMar>
            <w:vAlign w:val="center"/>
          </w:tcPr>
          <w:p w14:paraId="245E1450" w14:textId="77777777" w:rsidR="00052596" w:rsidRDefault="00000000">
            <w:pPr>
              <w:overflowPunct w:val="0"/>
              <w:autoSpaceDE w:val="0"/>
              <w:spacing w:line="240" w:lineRule="exact"/>
              <w:jc w:val="center"/>
              <w:textAlignment w:val="center"/>
              <w:rPr>
                <w:rFonts w:eastAsia="標楷體"/>
                <w:bCs/>
                <w:color w:val="000000"/>
                <w:kern w:val="0"/>
                <w:sz w:val="22"/>
                <w:szCs w:val="22"/>
              </w:rPr>
            </w:pPr>
            <w:r>
              <w:rPr>
                <w:rFonts w:eastAsia="標楷體"/>
                <w:bCs/>
                <w:color w:val="000000"/>
                <w:kern w:val="0"/>
                <w:sz w:val="22"/>
                <w:szCs w:val="22"/>
              </w:rPr>
              <w:t>101.4</w:t>
            </w:r>
          </w:p>
        </w:tc>
        <w:tc>
          <w:tcPr>
            <w:tcW w:w="815" w:type="dxa"/>
            <w:tcBorders>
              <w:top w:val="dashed" w:sz="4" w:space="0" w:color="000000"/>
              <w:left w:val="single" w:sz="6" w:space="0" w:color="000000"/>
              <w:bottom w:val="single" w:sz="6" w:space="0" w:color="000000"/>
              <w:right w:val="single" w:sz="6" w:space="0" w:color="000000"/>
            </w:tcBorders>
            <w:shd w:val="clear" w:color="auto" w:fill="FFF0E1"/>
            <w:tcMar>
              <w:top w:w="0" w:type="dxa"/>
              <w:left w:w="0" w:type="dxa"/>
              <w:bottom w:w="0" w:type="dxa"/>
              <w:right w:w="0" w:type="dxa"/>
            </w:tcMar>
            <w:vAlign w:val="center"/>
          </w:tcPr>
          <w:p w14:paraId="483E1129" w14:textId="77777777" w:rsidR="00052596" w:rsidRDefault="00000000">
            <w:pPr>
              <w:overflowPunct w:val="0"/>
              <w:autoSpaceDE w:val="0"/>
              <w:spacing w:line="240" w:lineRule="exact"/>
              <w:jc w:val="center"/>
              <w:textAlignment w:val="center"/>
              <w:rPr>
                <w:rFonts w:eastAsia="標楷體"/>
                <w:bCs/>
                <w:color w:val="000000"/>
                <w:kern w:val="0"/>
                <w:sz w:val="22"/>
                <w:szCs w:val="22"/>
              </w:rPr>
            </w:pPr>
            <w:r>
              <w:rPr>
                <w:rFonts w:eastAsia="標楷體"/>
                <w:bCs/>
                <w:color w:val="000000"/>
                <w:kern w:val="0"/>
                <w:sz w:val="22"/>
                <w:szCs w:val="22"/>
              </w:rPr>
              <w:t>96.9</w:t>
            </w:r>
          </w:p>
        </w:tc>
        <w:tc>
          <w:tcPr>
            <w:tcW w:w="815" w:type="dxa"/>
            <w:tcBorders>
              <w:top w:val="dashed" w:sz="4" w:space="0" w:color="000000"/>
              <w:left w:val="single" w:sz="6" w:space="0" w:color="000000"/>
              <w:bottom w:val="single" w:sz="6" w:space="0" w:color="000000"/>
            </w:tcBorders>
            <w:shd w:val="clear" w:color="auto" w:fill="FFF0E1"/>
            <w:tcMar>
              <w:top w:w="0" w:type="dxa"/>
              <w:left w:w="0" w:type="dxa"/>
              <w:bottom w:w="0" w:type="dxa"/>
              <w:right w:w="0" w:type="dxa"/>
            </w:tcMar>
            <w:vAlign w:val="center"/>
          </w:tcPr>
          <w:p w14:paraId="10253268" w14:textId="77777777" w:rsidR="00052596" w:rsidRDefault="00000000">
            <w:pPr>
              <w:overflowPunct w:val="0"/>
              <w:autoSpaceDE w:val="0"/>
              <w:spacing w:line="240" w:lineRule="exact"/>
              <w:jc w:val="center"/>
              <w:textAlignment w:val="center"/>
              <w:rPr>
                <w:rFonts w:eastAsia="標楷體"/>
                <w:bCs/>
                <w:color w:val="000000"/>
                <w:kern w:val="0"/>
                <w:sz w:val="22"/>
                <w:szCs w:val="22"/>
              </w:rPr>
            </w:pPr>
            <w:r>
              <w:rPr>
                <w:rFonts w:eastAsia="標楷體"/>
                <w:bCs/>
                <w:color w:val="000000"/>
                <w:kern w:val="0"/>
                <w:sz w:val="22"/>
                <w:szCs w:val="22"/>
              </w:rPr>
              <w:t>93.2</w:t>
            </w:r>
          </w:p>
        </w:tc>
      </w:tr>
    </w:tbl>
    <w:p w14:paraId="180C7FC1" w14:textId="77777777" w:rsidR="00052596" w:rsidRDefault="00000000">
      <w:pPr>
        <w:overflowPunct w:val="0"/>
        <w:autoSpaceDE w:val="0"/>
        <w:spacing w:before="24" w:line="220" w:lineRule="exact"/>
        <w:ind w:left="1160" w:hanging="440"/>
        <w:jc w:val="both"/>
        <w:textAlignment w:val="center"/>
      </w:pPr>
      <w:r>
        <w:rPr>
          <w:rFonts w:eastAsia="標楷體"/>
          <w:kern w:val="0"/>
          <w:sz w:val="22"/>
          <w:szCs w:val="22"/>
        </w:rPr>
        <w:t>註：原油價格為英國布蘭特、杜拜及西德州中級原油的平均油價。</w:t>
      </w:r>
    </w:p>
    <w:p w14:paraId="328DD878" w14:textId="77777777" w:rsidR="00052596" w:rsidRDefault="00000000">
      <w:pPr>
        <w:overflowPunct w:val="0"/>
        <w:autoSpaceDE w:val="0"/>
        <w:spacing w:line="240" w:lineRule="exact"/>
        <w:ind w:left="1148" w:hanging="1100"/>
        <w:jc w:val="both"/>
        <w:textAlignment w:val="center"/>
      </w:pPr>
      <w:r>
        <w:rPr>
          <w:rFonts w:eastAsia="標楷體"/>
          <w:kern w:val="0"/>
          <w:sz w:val="22"/>
          <w:szCs w:val="22"/>
        </w:rPr>
        <w:t>資料來源：</w:t>
      </w:r>
      <w:r>
        <w:rPr>
          <w:rFonts w:eastAsia="標楷體"/>
          <w:kern w:val="0"/>
          <w:sz w:val="22"/>
          <w:szCs w:val="22"/>
        </w:rPr>
        <w:t xml:space="preserve">1. Global Insight Inc., </w:t>
      </w:r>
      <w:r>
        <w:rPr>
          <w:rFonts w:eastAsia="標楷體"/>
          <w:i/>
          <w:kern w:val="0"/>
          <w:sz w:val="22"/>
          <w:szCs w:val="22"/>
        </w:rPr>
        <w:t>Global Insight’s Comparative World Overview</w:t>
      </w:r>
      <w:r>
        <w:rPr>
          <w:rFonts w:eastAsia="標楷體"/>
          <w:kern w:val="0"/>
          <w:sz w:val="22"/>
          <w:szCs w:val="22"/>
        </w:rPr>
        <w:t xml:space="preserve">, Dec. 2012. </w:t>
      </w:r>
    </w:p>
    <w:p w14:paraId="06B646C5" w14:textId="77777777" w:rsidR="00052596" w:rsidRDefault="00000000">
      <w:pPr>
        <w:overflowPunct w:val="0"/>
        <w:autoSpaceDE w:val="0"/>
        <w:spacing w:line="240" w:lineRule="exact"/>
        <w:ind w:firstLine="1166"/>
        <w:jc w:val="both"/>
        <w:textAlignment w:val="center"/>
      </w:pPr>
      <w:r>
        <w:rPr>
          <w:rFonts w:eastAsia="標楷體"/>
          <w:kern w:val="0"/>
          <w:sz w:val="22"/>
          <w:szCs w:val="22"/>
        </w:rPr>
        <w:lastRenderedPageBreak/>
        <w:t xml:space="preserve">2. IMF, </w:t>
      </w:r>
      <w:r>
        <w:rPr>
          <w:rFonts w:eastAsia="標楷體"/>
          <w:i/>
          <w:kern w:val="0"/>
          <w:sz w:val="22"/>
          <w:szCs w:val="22"/>
        </w:rPr>
        <w:t>World Economic Outlook</w:t>
      </w:r>
      <w:r>
        <w:rPr>
          <w:rFonts w:eastAsia="標楷體"/>
          <w:kern w:val="0"/>
          <w:sz w:val="22"/>
          <w:szCs w:val="22"/>
        </w:rPr>
        <w:t>, Oct. 2012.</w:t>
      </w:r>
    </w:p>
    <w:p w14:paraId="19C59882" w14:textId="77777777" w:rsidR="00052596" w:rsidRDefault="00000000">
      <w:pPr>
        <w:pageBreakBefore/>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cs="Arial"/>
          <w:b/>
          <w:color w:val="660066"/>
          <w:spacing w:val="4"/>
          <w:kern w:val="0"/>
          <w:sz w:val="28"/>
          <w:szCs w:val="22"/>
        </w:rPr>
        <w:lastRenderedPageBreak/>
        <w:t>(二)內在主觀條件</w:t>
      </w:r>
    </w:p>
    <w:p w14:paraId="4C787BC2"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未來四年政府為因應國內人口結構高齡化、少子女化的趨勢，將加速採取開放、自由化策略，吸納外在資源；積極進行法規鬆綁，強化資源配置效率；鼓勵創新，加強人力資本投資，提升生產要素的附加價值；強化經濟成長動能，以擴增就業、薪資增加，促使成長果實由全民共享。就供給面投入要素而言，主要設定條件考量如次：</w:t>
      </w:r>
    </w:p>
    <w:p w14:paraId="453094B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勞動投入</w:t>
      </w:r>
    </w:p>
    <w:p w14:paraId="73C64F7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rPr>
          <w:rFonts w:eastAsia="標楷體"/>
          <w:spacing w:val="4"/>
          <w:kern w:val="0"/>
          <w:sz w:val="28"/>
          <w:szCs w:val="22"/>
        </w:rPr>
      </w:pPr>
      <w:r>
        <w:rPr>
          <w:rFonts w:eastAsia="標楷體"/>
          <w:spacing w:val="4"/>
          <w:kern w:val="0"/>
          <w:sz w:val="28"/>
          <w:szCs w:val="22"/>
        </w:rPr>
        <w:t>－落實推動「經濟動能推升方案」、「人才培育方案」及「縮短學訓考用落差方案」等相關措施，結合產業需求，改進技職教育，強化產學訓之銜接，降低結構性失業。預期</w:t>
      </w:r>
      <w:r>
        <w:rPr>
          <w:rFonts w:eastAsia="標楷體"/>
          <w:spacing w:val="4"/>
          <w:kern w:val="0"/>
          <w:sz w:val="28"/>
          <w:szCs w:val="22"/>
        </w:rPr>
        <w:t>105</w:t>
      </w:r>
      <w:r>
        <w:rPr>
          <w:rFonts w:eastAsia="標楷體"/>
          <w:spacing w:val="4"/>
          <w:kern w:val="0"/>
          <w:sz w:val="28"/>
          <w:szCs w:val="22"/>
        </w:rPr>
        <w:t>年</w:t>
      </w:r>
      <w:r>
        <w:rPr>
          <w:rFonts w:eastAsia="標楷體"/>
          <w:spacing w:val="4"/>
          <w:kern w:val="0"/>
          <w:sz w:val="28"/>
          <w:szCs w:val="22"/>
        </w:rPr>
        <w:t>15</w:t>
      </w:r>
      <w:r>
        <w:rPr>
          <w:rFonts w:eastAsia="標楷體"/>
          <w:spacing w:val="4"/>
          <w:kern w:val="0"/>
          <w:sz w:val="28"/>
          <w:szCs w:val="22"/>
        </w:rPr>
        <w:t>歲以上民間人口就業率由</w:t>
      </w:r>
      <w:r>
        <w:rPr>
          <w:rFonts w:eastAsia="標楷體"/>
          <w:spacing w:val="4"/>
          <w:kern w:val="0"/>
          <w:sz w:val="28"/>
          <w:szCs w:val="22"/>
        </w:rPr>
        <w:t>101</w:t>
      </w:r>
      <w:r>
        <w:rPr>
          <w:rFonts w:eastAsia="標楷體"/>
          <w:spacing w:val="4"/>
          <w:kern w:val="0"/>
          <w:sz w:val="28"/>
          <w:szCs w:val="22"/>
        </w:rPr>
        <w:t>年</w:t>
      </w:r>
      <w:r>
        <w:rPr>
          <w:rFonts w:eastAsia="標楷體"/>
          <w:spacing w:val="4"/>
          <w:kern w:val="0"/>
          <w:sz w:val="28"/>
          <w:szCs w:val="22"/>
        </w:rPr>
        <w:t>55.87%</w:t>
      </w:r>
      <w:r>
        <w:rPr>
          <w:rFonts w:eastAsia="標楷體"/>
          <w:spacing w:val="4"/>
          <w:kern w:val="0"/>
          <w:sz w:val="28"/>
          <w:szCs w:val="22"/>
        </w:rPr>
        <w:t>提高為</w:t>
      </w:r>
      <w:r>
        <w:rPr>
          <w:rFonts w:eastAsia="標楷體"/>
          <w:spacing w:val="4"/>
          <w:kern w:val="0"/>
          <w:sz w:val="28"/>
          <w:szCs w:val="22"/>
        </w:rPr>
        <w:t>56.4%</w:t>
      </w:r>
      <w:r>
        <w:rPr>
          <w:rFonts w:eastAsia="標楷體"/>
          <w:spacing w:val="4"/>
          <w:kern w:val="0"/>
          <w:sz w:val="28"/>
          <w:szCs w:val="22"/>
        </w:rPr>
        <w:t>。</w:t>
      </w:r>
    </w:p>
    <w:p w14:paraId="19E3E61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rPr>
          <w:rFonts w:eastAsia="標楷體"/>
          <w:spacing w:val="4"/>
          <w:kern w:val="0"/>
          <w:sz w:val="28"/>
          <w:szCs w:val="22"/>
        </w:rPr>
      </w:pPr>
      <w:r>
        <w:rPr>
          <w:rFonts w:eastAsia="標楷體"/>
          <w:spacing w:val="4"/>
          <w:kern w:val="0"/>
          <w:sz w:val="28"/>
          <w:szCs w:val="22"/>
        </w:rPr>
        <w:t>－持續推動「六大新興產業」、「四大新興智慧型產業」及</w:t>
      </w:r>
      <w:r>
        <w:rPr>
          <w:rFonts w:eastAsia="標楷體"/>
          <w:spacing w:val="4"/>
          <w:kern w:val="0"/>
          <w:sz w:val="28"/>
          <w:szCs w:val="22"/>
        </w:rPr>
        <w:t>10</w:t>
      </w:r>
      <w:r>
        <w:rPr>
          <w:rFonts w:eastAsia="標楷體"/>
          <w:spacing w:val="4"/>
          <w:kern w:val="0"/>
          <w:sz w:val="28"/>
          <w:szCs w:val="22"/>
        </w:rPr>
        <w:t>項重點服務業等計畫，並落實執行「加強推動臺商回臺投資方案」及「自由經濟示範區」，強化經濟成長、就業與薪資的關聯，提高國內勞動報酬份額。</w:t>
      </w:r>
    </w:p>
    <w:p w14:paraId="56FEFA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資本投入</w:t>
      </w:r>
    </w:p>
    <w:p w14:paraId="0ED98A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eastAsia="標楷體"/>
          <w:spacing w:val="4"/>
          <w:kern w:val="0"/>
          <w:sz w:val="28"/>
          <w:szCs w:val="22"/>
        </w:rPr>
        <w:t>－賡續推動愛臺</w:t>
      </w:r>
      <w:r>
        <w:rPr>
          <w:rFonts w:eastAsia="標楷體"/>
          <w:spacing w:val="4"/>
          <w:kern w:val="0"/>
          <w:sz w:val="28"/>
          <w:szCs w:val="22"/>
        </w:rPr>
        <w:t>12</w:t>
      </w:r>
      <w:r>
        <w:rPr>
          <w:rFonts w:eastAsia="標楷體"/>
          <w:spacing w:val="4"/>
          <w:kern w:val="0"/>
          <w:sz w:val="28"/>
          <w:szCs w:val="22"/>
        </w:rPr>
        <w:t>建設，提升公共建設的質與量。預計</w:t>
      </w:r>
      <w:r>
        <w:rPr>
          <w:rFonts w:eastAsia="標楷體"/>
          <w:spacing w:val="4"/>
          <w:kern w:val="0"/>
          <w:sz w:val="28"/>
          <w:szCs w:val="22"/>
        </w:rPr>
        <w:t>8</w:t>
      </w:r>
      <w:r>
        <w:rPr>
          <w:rFonts w:eastAsia="標楷體"/>
          <w:spacing w:val="4"/>
          <w:kern w:val="0"/>
          <w:sz w:val="28"/>
          <w:szCs w:val="22"/>
        </w:rPr>
        <w:t>年</w:t>
      </w:r>
      <w:r>
        <w:rPr>
          <w:rFonts w:ascii="標楷體" w:eastAsia="標楷體" w:hAnsi="標楷體"/>
          <w:spacing w:val="4"/>
          <w:kern w:val="0"/>
          <w:sz w:val="28"/>
          <w:szCs w:val="22"/>
        </w:rPr>
        <w:t>(</w:t>
      </w:r>
      <w:r>
        <w:rPr>
          <w:rFonts w:eastAsia="標楷體"/>
          <w:spacing w:val="4"/>
          <w:kern w:val="0"/>
          <w:sz w:val="28"/>
          <w:szCs w:val="22"/>
        </w:rPr>
        <w:t>98</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w:t>
      </w:r>
      <w:r>
        <w:rPr>
          <w:rFonts w:ascii="標楷體" w:eastAsia="標楷體" w:hAnsi="標楷體"/>
          <w:spacing w:val="4"/>
          <w:kern w:val="0"/>
          <w:sz w:val="28"/>
          <w:szCs w:val="22"/>
        </w:rPr>
        <w:t>)</w:t>
      </w:r>
      <w:r>
        <w:rPr>
          <w:rFonts w:eastAsia="標楷體"/>
          <w:spacing w:val="4"/>
          <w:kern w:val="0"/>
          <w:sz w:val="28"/>
          <w:szCs w:val="22"/>
        </w:rPr>
        <w:t>共投入</w:t>
      </w:r>
      <w:r>
        <w:rPr>
          <w:rFonts w:eastAsia="標楷體"/>
          <w:spacing w:val="4"/>
          <w:kern w:val="0"/>
          <w:sz w:val="28"/>
          <w:szCs w:val="22"/>
        </w:rPr>
        <w:t>3.99</w:t>
      </w:r>
      <w:r>
        <w:rPr>
          <w:rFonts w:eastAsia="標楷體"/>
          <w:spacing w:val="4"/>
          <w:kern w:val="0"/>
          <w:sz w:val="28"/>
          <w:szCs w:val="22"/>
        </w:rPr>
        <w:t>兆元</w:t>
      </w:r>
      <w:r>
        <w:rPr>
          <w:rFonts w:ascii="標楷體" w:eastAsia="標楷體" w:hAnsi="標楷體"/>
          <w:spacing w:val="4"/>
          <w:kern w:val="0"/>
          <w:sz w:val="28"/>
          <w:szCs w:val="22"/>
        </w:rPr>
        <w:t>(</w:t>
      </w:r>
      <w:r>
        <w:rPr>
          <w:rFonts w:eastAsia="標楷體"/>
          <w:spacing w:val="4"/>
          <w:kern w:val="0"/>
          <w:sz w:val="28"/>
          <w:szCs w:val="22"/>
        </w:rPr>
        <w:t>政府投資</w:t>
      </w:r>
      <w:r>
        <w:rPr>
          <w:rFonts w:eastAsia="標楷體"/>
          <w:spacing w:val="4"/>
          <w:kern w:val="0"/>
          <w:sz w:val="28"/>
          <w:szCs w:val="22"/>
        </w:rPr>
        <w:t>2.79</w:t>
      </w:r>
      <w:r>
        <w:rPr>
          <w:rFonts w:eastAsia="標楷體"/>
          <w:spacing w:val="4"/>
          <w:kern w:val="0"/>
          <w:sz w:val="28"/>
          <w:szCs w:val="22"/>
        </w:rPr>
        <w:t>兆元，民間投資</w:t>
      </w:r>
      <w:r>
        <w:rPr>
          <w:rFonts w:eastAsia="標楷體"/>
          <w:spacing w:val="4"/>
          <w:kern w:val="0"/>
          <w:sz w:val="28"/>
          <w:szCs w:val="22"/>
        </w:rPr>
        <w:t>1.20</w:t>
      </w:r>
      <w:r>
        <w:rPr>
          <w:rFonts w:eastAsia="標楷體"/>
          <w:spacing w:val="4"/>
          <w:kern w:val="0"/>
          <w:sz w:val="28"/>
          <w:szCs w:val="22"/>
        </w:rPr>
        <w:t>兆元</w:t>
      </w:r>
      <w:r>
        <w:rPr>
          <w:rFonts w:ascii="標楷體" w:eastAsia="標楷體" w:hAnsi="標楷體"/>
          <w:spacing w:val="4"/>
          <w:kern w:val="0"/>
          <w:sz w:val="28"/>
          <w:szCs w:val="22"/>
        </w:rPr>
        <w:t>)</w:t>
      </w:r>
      <w:r>
        <w:rPr>
          <w:rFonts w:eastAsia="標楷體"/>
          <w:spacing w:val="4"/>
          <w:kern w:val="0"/>
          <w:sz w:val="28"/>
          <w:szCs w:val="22"/>
        </w:rPr>
        <w:t>，至</w:t>
      </w:r>
      <w:r>
        <w:rPr>
          <w:rFonts w:eastAsia="標楷體"/>
          <w:spacing w:val="4"/>
          <w:kern w:val="0"/>
          <w:sz w:val="28"/>
          <w:szCs w:val="22"/>
        </w:rPr>
        <w:t>101</w:t>
      </w:r>
      <w:r>
        <w:rPr>
          <w:rFonts w:eastAsia="標楷體"/>
          <w:spacing w:val="4"/>
          <w:kern w:val="0"/>
          <w:sz w:val="28"/>
          <w:szCs w:val="22"/>
        </w:rPr>
        <w:t>年第</w:t>
      </w:r>
      <w:r>
        <w:rPr>
          <w:rFonts w:eastAsia="標楷體"/>
          <w:spacing w:val="4"/>
          <w:kern w:val="0"/>
          <w:sz w:val="28"/>
          <w:szCs w:val="22"/>
        </w:rPr>
        <w:t>3</w:t>
      </w:r>
      <w:r>
        <w:rPr>
          <w:rFonts w:eastAsia="標楷體"/>
          <w:spacing w:val="4"/>
          <w:kern w:val="0"/>
          <w:sz w:val="28"/>
          <w:szCs w:val="22"/>
        </w:rPr>
        <w:t>季止，實際執行金額</w:t>
      </w:r>
      <w:r>
        <w:rPr>
          <w:rFonts w:eastAsia="標楷體"/>
          <w:spacing w:val="4"/>
          <w:kern w:val="0"/>
          <w:sz w:val="28"/>
          <w:szCs w:val="22"/>
        </w:rPr>
        <w:t>1.91</w:t>
      </w:r>
      <w:r>
        <w:rPr>
          <w:rFonts w:eastAsia="標楷體"/>
          <w:spacing w:val="4"/>
          <w:kern w:val="0"/>
          <w:sz w:val="28"/>
          <w:szCs w:val="22"/>
        </w:rPr>
        <w:t>兆元，達成率</w:t>
      </w:r>
      <w:r>
        <w:rPr>
          <w:rFonts w:eastAsia="標楷體"/>
          <w:spacing w:val="4"/>
          <w:kern w:val="0"/>
          <w:sz w:val="28"/>
          <w:szCs w:val="22"/>
        </w:rPr>
        <w:t>48%</w:t>
      </w:r>
      <w:r>
        <w:rPr>
          <w:rFonts w:eastAsia="標楷體"/>
          <w:spacing w:val="4"/>
          <w:kern w:val="0"/>
          <w:sz w:val="28"/>
          <w:szCs w:val="22"/>
        </w:rPr>
        <w:t>。此外，積極創新財務策略推動公共建設，促進中長期資金投入公共建設。</w:t>
      </w:r>
    </w:p>
    <w:p w14:paraId="4A98A51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rPr>
          <w:rFonts w:eastAsia="標楷體"/>
          <w:spacing w:val="4"/>
          <w:kern w:val="0"/>
          <w:sz w:val="28"/>
          <w:szCs w:val="22"/>
        </w:rPr>
      </w:pPr>
      <w:r>
        <w:rPr>
          <w:rFonts w:eastAsia="標楷體"/>
          <w:spacing w:val="4"/>
          <w:kern w:val="0"/>
          <w:sz w:val="28"/>
          <w:szCs w:val="22"/>
        </w:rPr>
        <w:t>－落實執行「經濟動能推升方案」、「加強推動臺商回臺投資方案」、「自由經濟示範區」，改善投資環境，激勵民間投資。</w:t>
      </w:r>
    </w:p>
    <w:p w14:paraId="5D0345C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rPr>
          <w:rFonts w:eastAsia="標楷體"/>
          <w:spacing w:val="4"/>
          <w:kern w:val="0"/>
          <w:sz w:val="28"/>
          <w:szCs w:val="22"/>
        </w:rPr>
      </w:pPr>
      <w:r>
        <w:rPr>
          <w:rFonts w:eastAsia="標楷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年國內實質資本存量累積率由</w:t>
      </w:r>
      <w:r>
        <w:rPr>
          <w:rFonts w:eastAsia="標楷體"/>
          <w:spacing w:val="4"/>
          <w:kern w:val="0"/>
          <w:sz w:val="28"/>
          <w:szCs w:val="22"/>
        </w:rPr>
        <w:t>98</w:t>
      </w:r>
      <w:r>
        <w:rPr>
          <w:rFonts w:eastAsia="標楷體"/>
          <w:spacing w:val="4"/>
          <w:kern w:val="0"/>
          <w:sz w:val="28"/>
          <w:szCs w:val="22"/>
        </w:rPr>
        <w:t>至</w:t>
      </w:r>
      <w:r>
        <w:rPr>
          <w:rFonts w:eastAsia="標楷體"/>
          <w:spacing w:val="4"/>
          <w:kern w:val="0"/>
          <w:sz w:val="28"/>
          <w:szCs w:val="22"/>
        </w:rPr>
        <w:t>101</w:t>
      </w:r>
      <w:r>
        <w:rPr>
          <w:rFonts w:eastAsia="標楷體"/>
          <w:spacing w:val="4"/>
          <w:kern w:val="0"/>
          <w:sz w:val="28"/>
          <w:szCs w:val="22"/>
        </w:rPr>
        <w:t>年的</w:t>
      </w:r>
      <w:r>
        <w:rPr>
          <w:rFonts w:eastAsia="標楷體"/>
          <w:spacing w:val="4"/>
          <w:kern w:val="0"/>
          <w:sz w:val="28"/>
          <w:szCs w:val="22"/>
        </w:rPr>
        <w:t>1.81%</w:t>
      </w:r>
      <w:r>
        <w:rPr>
          <w:rFonts w:eastAsia="標楷體"/>
          <w:spacing w:val="4"/>
          <w:kern w:val="0"/>
          <w:sz w:val="28"/>
          <w:szCs w:val="22"/>
        </w:rPr>
        <w:t>提高至</w:t>
      </w:r>
      <w:r>
        <w:rPr>
          <w:rFonts w:eastAsia="標楷體"/>
          <w:spacing w:val="4"/>
          <w:kern w:val="0"/>
          <w:sz w:val="28"/>
          <w:szCs w:val="22"/>
        </w:rPr>
        <w:t>2.85%</w:t>
      </w:r>
      <w:r>
        <w:rPr>
          <w:rFonts w:eastAsia="標楷體"/>
          <w:spacing w:val="4"/>
          <w:kern w:val="0"/>
          <w:sz w:val="28"/>
          <w:szCs w:val="22"/>
        </w:rPr>
        <w:t>，資本累積對經濟成長的貢獻提升。</w:t>
      </w:r>
    </w:p>
    <w:p w14:paraId="6198502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總要素生產力</w:t>
      </w:r>
    </w:p>
    <w:p w14:paraId="2B490F1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rPr>
          <w:rFonts w:eastAsia="標楷體"/>
          <w:spacing w:val="4"/>
          <w:kern w:val="0"/>
          <w:sz w:val="28"/>
          <w:szCs w:val="22"/>
        </w:rPr>
      </w:pPr>
      <w:r>
        <w:rPr>
          <w:rFonts w:eastAsia="標楷體"/>
          <w:spacing w:val="4"/>
          <w:kern w:val="0"/>
          <w:sz w:val="28"/>
          <w:szCs w:val="22"/>
        </w:rPr>
        <w:t>－加速法規鬆綁，提升資源配置效率，提高總要素生產力成</w:t>
      </w:r>
      <w:r>
        <w:rPr>
          <w:rFonts w:eastAsia="標楷體"/>
          <w:spacing w:val="4"/>
          <w:kern w:val="0"/>
          <w:sz w:val="28"/>
          <w:szCs w:val="22"/>
        </w:rPr>
        <w:lastRenderedPageBreak/>
        <w:t>長；落實執行「產業創新條例」，推動「傳統產業維新方案」，強化研發創新，尤其鼓勵服務業創新及加強中小企業創新。</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年國內研發支出資本存量增加率平均達</w:t>
      </w:r>
      <w:r>
        <w:rPr>
          <w:rFonts w:eastAsia="標楷體"/>
          <w:spacing w:val="4"/>
          <w:kern w:val="0"/>
          <w:sz w:val="28"/>
          <w:szCs w:val="22"/>
        </w:rPr>
        <w:t>10%</w:t>
      </w:r>
      <w:r>
        <w:rPr>
          <w:rFonts w:eastAsia="標楷體"/>
          <w:spacing w:val="4"/>
          <w:kern w:val="0"/>
          <w:sz w:val="28"/>
          <w:szCs w:val="22"/>
        </w:rPr>
        <w:t>。</w:t>
      </w:r>
    </w:p>
    <w:p w14:paraId="2CD3B98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rPr>
          <w:rFonts w:eastAsia="標楷體"/>
          <w:spacing w:val="4"/>
          <w:kern w:val="0"/>
          <w:sz w:val="28"/>
          <w:szCs w:val="22"/>
        </w:rPr>
      </w:pPr>
      <w:r>
        <w:rPr>
          <w:rFonts w:eastAsia="標楷體"/>
          <w:spacing w:val="4"/>
          <w:kern w:val="0"/>
          <w:sz w:val="28"/>
          <w:szCs w:val="22"/>
        </w:rPr>
        <w:t>－積極參與區域經濟整合，透過投資及貿易途徑，提高國外新技術對我國總要素生產力的擴散效益。另強化人才培訓，提高人力資本投資對總要生產力提升的作用。預估在上述政策效益發揮下，</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年臺灣總要素生產力平均成長率可達</w:t>
      </w:r>
      <w:r>
        <w:rPr>
          <w:rFonts w:eastAsia="標楷體"/>
          <w:spacing w:val="4"/>
          <w:kern w:val="0"/>
          <w:sz w:val="28"/>
          <w:szCs w:val="22"/>
        </w:rPr>
        <w:t>2.72%</w:t>
      </w:r>
      <w:r>
        <w:rPr>
          <w:rFonts w:eastAsia="標楷體"/>
          <w:spacing w:val="4"/>
          <w:kern w:val="0"/>
          <w:sz w:val="28"/>
          <w:szCs w:val="22"/>
        </w:rPr>
        <w:t>，較</w:t>
      </w:r>
      <w:r>
        <w:rPr>
          <w:rFonts w:eastAsia="標楷體"/>
          <w:spacing w:val="4"/>
          <w:kern w:val="0"/>
          <w:sz w:val="28"/>
          <w:szCs w:val="22"/>
        </w:rPr>
        <w:t>98</w:t>
      </w:r>
      <w:r>
        <w:rPr>
          <w:rFonts w:eastAsia="標楷體"/>
          <w:spacing w:val="4"/>
          <w:kern w:val="0"/>
          <w:sz w:val="28"/>
          <w:szCs w:val="22"/>
        </w:rPr>
        <w:t>至</w:t>
      </w:r>
      <w:r>
        <w:rPr>
          <w:rFonts w:eastAsia="標楷體"/>
          <w:spacing w:val="4"/>
          <w:kern w:val="0"/>
          <w:sz w:val="28"/>
          <w:szCs w:val="22"/>
        </w:rPr>
        <w:t>101</w:t>
      </w:r>
      <w:r>
        <w:rPr>
          <w:rFonts w:eastAsia="標楷體"/>
          <w:spacing w:val="4"/>
          <w:kern w:val="0"/>
          <w:sz w:val="28"/>
          <w:szCs w:val="22"/>
        </w:rPr>
        <w:t>年平均提高</w:t>
      </w:r>
      <w:r>
        <w:rPr>
          <w:rFonts w:eastAsia="標楷體"/>
          <w:spacing w:val="4"/>
          <w:kern w:val="0"/>
          <w:sz w:val="28"/>
          <w:szCs w:val="22"/>
        </w:rPr>
        <w:t>0.58</w:t>
      </w:r>
      <w:r>
        <w:rPr>
          <w:rFonts w:eastAsia="標楷體"/>
          <w:spacing w:val="4"/>
          <w:kern w:val="0"/>
          <w:sz w:val="28"/>
          <w:szCs w:val="22"/>
        </w:rPr>
        <w:t>個百分點。</w:t>
      </w:r>
    </w:p>
    <w:p w14:paraId="5181F67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二、總體經濟目標設定</w:t>
      </w:r>
    </w:p>
    <w:p w14:paraId="01D82AF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cs="Arial"/>
          <w:b/>
          <w:color w:val="660066"/>
          <w:spacing w:val="4"/>
          <w:kern w:val="0"/>
          <w:sz w:val="28"/>
          <w:szCs w:val="22"/>
        </w:rPr>
        <w:t>(一)</w:t>
      </w:r>
      <w:r>
        <w:rPr>
          <w:rFonts w:eastAsia="標楷體"/>
          <w:b/>
          <w:color w:val="660066"/>
          <w:spacing w:val="4"/>
          <w:kern w:val="0"/>
          <w:sz w:val="28"/>
          <w:szCs w:val="22"/>
        </w:rPr>
        <w:t>102</w:t>
      </w:r>
      <w:r>
        <w:rPr>
          <w:rFonts w:eastAsia="標楷體"/>
          <w:b/>
          <w:color w:val="660066"/>
          <w:spacing w:val="4"/>
          <w:kern w:val="0"/>
          <w:sz w:val="28"/>
          <w:szCs w:val="22"/>
        </w:rPr>
        <w:t>至</w:t>
      </w:r>
      <w:r>
        <w:rPr>
          <w:rFonts w:eastAsia="標楷體"/>
          <w:b/>
          <w:color w:val="660066"/>
          <w:spacing w:val="4"/>
          <w:kern w:val="0"/>
          <w:sz w:val="28"/>
          <w:szCs w:val="22"/>
        </w:rPr>
        <w:t>105</w:t>
      </w:r>
      <w:r>
        <w:rPr>
          <w:rFonts w:eastAsia="標楷體"/>
          <w:b/>
          <w:color w:val="660066"/>
          <w:spacing w:val="4"/>
          <w:kern w:val="0"/>
          <w:sz w:val="28"/>
          <w:szCs w:val="22"/>
        </w:rPr>
        <w:t>年臺灣總體經濟預測</w:t>
      </w:r>
    </w:p>
    <w:p w14:paraId="5CF40384"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根據國內外經濟機構最新預測，</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年臺灣經濟成長率平均介於</w:t>
      </w:r>
      <w:r>
        <w:rPr>
          <w:rFonts w:eastAsia="標楷體"/>
          <w:spacing w:val="4"/>
          <w:kern w:val="0"/>
          <w:sz w:val="28"/>
          <w:szCs w:val="26"/>
        </w:rPr>
        <w:t>4.37%</w:t>
      </w:r>
      <w:r>
        <w:rPr>
          <w:rFonts w:eastAsia="標楷體"/>
          <w:spacing w:val="4"/>
          <w:kern w:val="0"/>
          <w:sz w:val="28"/>
          <w:szCs w:val="26"/>
        </w:rPr>
        <w:t>～</w:t>
      </w:r>
      <w:r>
        <w:rPr>
          <w:rFonts w:eastAsia="標楷體"/>
          <w:spacing w:val="4"/>
          <w:kern w:val="0"/>
          <w:sz w:val="28"/>
          <w:szCs w:val="26"/>
        </w:rPr>
        <w:t>4.46%</w:t>
      </w:r>
      <w:r>
        <w:rPr>
          <w:rFonts w:eastAsia="標楷體"/>
          <w:spacing w:val="4"/>
          <w:kern w:val="0"/>
          <w:sz w:val="28"/>
          <w:szCs w:val="26"/>
        </w:rPr>
        <w:t>之間；消費者物價上漲率平均介於</w:t>
      </w:r>
      <w:r>
        <w:rPr>
          <w:rFonts w:eastAsia="標楷體"/>
          <w:spacing w:val="4"/>
          <w:kern w:val="0"/>
          <w:sz w:val="28"/>
          <w:szCs w:val="26"/>
        </w:rPr>
        <w:t>1.83%</w:t>
      </w:r>
      <w:r>
        <w:rPr>
          <w:rFonts w:eastAsia="標楷體"/>
          <w:spacing w:val="4"/>
          <w:kern w:val="0"/>
          <w:sz w:val="28"/>
          <w:szCs w:val="26"/>
        </w:rPr>
        <w:t>～</w:t>
      </w:r>
      <w:r>
        <w:rPr>
          <w:rFonts w:eastAsia="標楷體"/>
          <w:spacing w:val="4"/>
          <w:kern w:val="0"/>
          <w:sz w:val="28"/>
          <w:szCs w:val="26"/>
        </w:rPr>
        <w:t>2%</w:t>
      </w:r>
      <w:r>
        <w:rPr>
          <w:rFonts w:eastAsia="標楷體"/>
          <w:spacing w:val="4"/>
          <w:kern w:val="0"/>
          <w:sz w:val="28"/>
          <w:szCs w:val="26"/>
        </w:rPr>
        <w:t>之間；失業率平均介於</w:t>
      </w:r>
      <w:r>
        <w:rPr>
          <w:rFonts w:eastAsia="標楷體"/>
          <w:spacing w:val="4"/>
          <w:kern w:val="0"/>
          <w:sz w:val="28"/>
          <w:szCs w:val="26"/>
        </w:rPr>
        <w:t>3.53%</w:t>
      </w:r>
      <w:r>
        <w:rPr>
          <w:rFonts w:eastAsia="標楷體"/>
          <w:spacing w:val="4"/>
          <w:kern w:val="0"/>
          <w:sz w:val="28"/>
          <w:szCs w:val="26"/>
        </w:rPr>
        <w:t>～</w:t>
      </w:r>
      <w:r>
        <w:rPr>
          <w:rFonts w:eastAsia="標楷體"/>
          <w:spacing w:val="4"/>
          <w:kern w:val="0"/>
          <w:sz w:val="28"/>
          <w:szCs w:val="26"/>
        </w:rPr>
        <w:t>4.15%</w:t>
      </w:r>
      <w:r>
        <w:rPr>
          <w:rFonts w:eastAsia="標楷體"/>
          <w:spacing w:val="4"/>
          <w:kern w:val="0"/>
          <w:sz w:val="28"/>
          <w:szCs w:val="26"/>
        </w:rPr>
        <w:t>之間。</w:t>
      </w:r>
    </w:p>
    <w:p w14:paraId="1837BFFE" w14:textId="77777777" w:rsidR="00052596" w:rsidRDefault="00000000">
      <w:pPr>
        <w:overflowPunct w:val="0"/>
        <w:autoSpaceDE w:val="0"/>
        <w:snapToGrid w:val="0"/>
        <w:spacing w:before="240" w:after="240" w:line="280" w:lineRule="exact"/>
        <w:jc w:val="center"/>
        <w:textAlignment w:val="center"/>
      </w:pPr>
      <w:r>
        <w:rPr>
          <w:rFonts w:eastAsia="標楷體"/>
          <w:b/>
          <w:color w:val="0000FF"/>
          <w:kern w:val="0"/>
          <w:sz w:val="25"/>
          <w:szCs w:val="22"/>
        </w:rPr>
        <w:t>表</w:t>
      </w:r>
      <w:r>
        <w:rPr>
          <w:rFonts w:eastAsia="標楷體"/>
          <w:b/>
          <w:color w:val="0000FF"/>
          <w:kern w:val="0"/>
          <w:sz w:val="25"/>
          <w:szCs w:val="22"/>
        </w:rPr>
        <w:t>2.3.2</w:t>
      </w:r>
      <w:r>
        <w:rPr>
          <w:rFonts w:eastAsia="標楷體"/>
          <w:b/>
          <w:color w:val="0000FF"/>
          <w:kern w:val="0"/>
          <w:sz w:val="25"/>
          <w:szCs w:val="22"/>
        </w:rPr>
        <w:t xml:space="preserve">　各機構對</w:t>
      </w:r>
      <w:r>
        <w:rPr>
          <w:rFonts w:eastAsia="標楷體"/>
          <w:b/>
          <w:color w:val="0000FF"/>
          <w:kern w:val="0"/>
          <w:sz w:val="25"/>
          <w:szCs w:val="22"/>
        </w:rPr>
        <w:t>102</w:t>
      </w:r>
      <w:r>
        <w:rPr>
          <w:rFonts w:eastAsia="標楷體"/>
          <w:b/>
          <w:color w:val="0000FF"/>
          <w:kern w:val="0"/>
          <w:sz w:val="25"/>
          <w:szCs w:val="22"/>
        </w:rPr>
        <w:t>至</w:t>
      </w:r>
      <w:r>
        <w:rPr>
          <w:rFonts w:eastAsia="標楷體"/>
          <w:b/>
          <w:color w:val="0000FF"/>
          <w:kern w:val="0"/>
          <w:sz w:val="25"/>
          <w:szCs w:val="22"/>
        </w:rPr>
        <w:t>105</w:t>
      </w:r>
      <w:r>
        <w:rPr>
          <w:rFonts w:eastAsia="標楷體"/>
          <w:b/>
          <w:color w:val="0000FF"/>
          <w:kern w:val="0"/>
          <w:sz w:val="25"/>
          <w:szCs w:val="22"/>
        </w:rPr>
        <w:t>年臺灣總體經濟預測</w:t>
      </w:r>
    </w:p>
    <w:p w14:paraId="2DCD2002" w14:textId="77777777" w:rsidR="00052596" w:rsidRDefault="00000000">
      <w:pPr>
        <w:overflowPunct w:val="0"/>
        <w:autoSpaceDE w:val="0"/>
        <w:spacing w:after="24" w:line="260" w:lineRule="exact"/>
        <w:ind w:right="566"/>
        <w:jc w:val="right"/>
        <w:textAlignment w:val="center"/>
      </w:pPr>
      <w:r>
        <w:rPr>
          <w:rFonts w:eastAsia="標楷體"/>
          <w:spacing w:val="4"/>
          <w:kern w:val="0"/>
          <w:szCs w:val="24"/>
        </w:rPr>
        <w:t>單位：</w:t>
      </w:r>
      <w:r>
        <w:rPr>
          <w:rFonts w:eastAsia="標楷體"/>
          <w:spacing w:val="4"/>
          <w:kern w:val="0"/>
          <w:szCs w:val="24"/>
        </w:rPr>
        <w:t>%</w:t>
      </w:r>
    </w:p>
    <w:tbl>
      <w:tblPr>
        <w:tblW w:w="7583" w:type="dxa"/>
        <w:jc w:val="center"/>
        <w:tblCellMar>
          <w:left w:w="10" w:type="dxa"/>
          <w:right w:w="10" w:type="dxa"/>
        </w:tblCellMar>
        <w:tblLook w:val="04A0" w:firstRow="1" w:lastRow="0" w:firstColumn="1" w:lastColumn="0" w:noHBand="0" w:noVBand="1"/>
      </w:tblPr>
      <w:tblGrid>
        <w:gridCol w:w="26"/>
        <w:gridCol w:w="3471"/>
        <w:gridCol w:w="1362"/>
        <w:gridCol w:w="1362"/>
        <w:gridCol w:w="1362"/>
      </w:tblGrid>
      <w:tr w:rsidR="00052596" w14:paraId="72DC7A3C" w14:textId="77777777">
        <w:tblPrEx>
          <w:tblCellMar>
            <w:top w:w="0" w:type="dxa"/>
            <w:bottom w:w="0" w:type="dxa"/>
          </w:tblCellMar>
        </w:tblPrEx>
        <w:trPr>
          <w:trHeight w:val="241"/>
          <w:jc w:val="center"/>
        </w:trPr>
        <w:tc>
          <w:tcPr>
            <w:tcW w:w="14" w:type="dxa"/>
          </w:tcPr>
          <w:p w14:paraId="3151B110" w14:textId="77777777" w:rsidR="00052596" w:rsidRDefault="00052596">
            <w:pPr>
              <w:overflowPunct w:val="0"/>
              <w:autoSpaceDE w:val="0"/>
              <w:spacing w:line="320" w:lineRule="exact"/>
              <w:jc w:val="both"/>
              <w:textAlignment w:val="center"/>
              <w:rPr>
                <w:rFonts w:eastAsia="標楷體"/>
                <w:spacing w:val="4"/>
                <w:kern w:val="0"/>
                <w:szCs w:val="24"/>
              </w:rPr>
            </w:pPr>
          </w:p>
        </w:tc>
        <w:tc>
          <w:tcPr>
            <w:tcW w:w="3477" w:type="dxa"/>
            <w:tcBorders>
              <w:top w:val="single" w:sz="6" w:space="0" w:color="000000"/>
              <w:right w:val="single" w:sz="6" w:space="0" w:color="000000"/>
            </w:tcBorders>
            <w:shd w:val="clear" w:color="auto" w:fill="EFFFEF"/>
            <w:tcMar>
              <w:top w:w="0" w:type="dxa"/>
              <w:left w:w="57" w:type="dxa"/>
              <w:bottom w:w="0" w:type="dxa"/>
              <w:right w:w="57" w:type="dxa"/>
            </w:tcMar>
          </w:tcPr>
          <w:p w14:paraId="26027F77" w14:textId="77777777" w:rsidR="00052596" w:rsidRDefault="00052596">
            <w:pPr>
              <w:overflowPunct w:val="0"/>
              <w:autoSpaceDE w:val="0"/>
              <w:spacing w:line="320" w:lineRule="exact"/>
              <w:jc w:val="both"/>
              <w:textAlignment w:val="center"/>
              <w:rPr>
                <w:rFonts w:eastAsia="標楷體"/>
                <w:spacing w:val="4"/>
                <w:kern w:val="0"/>
                <w:szCs w:val="24"/>
              </w:rPr>
            </w:pPr>
          </w:p>
        </w:tc>
        <w:tc>
          <w:tcPr>
            <w:tcW w:w="4092" w:type="dxa"/>
            <w:gridSpan w:val="3"/>
            <w:tcBorders>
              <w:top w:val="single" w:sz="6" w:space="0" w:color="000000"/>
              <w:left w:val="single" w:sz="6" w:space="0" w:color="000000"/>
              <w:bottom w:val="single" w:sz="6" w:space="0" w:color="000000"/>
            </w:tcBorders>
            <w:shd w:val="clear" w:color="auto" w:fill="EFFFEF"/>
            <w:tcMar>
              <w:top w:w="0" w:type="dxa"/>
              <w:left w:w="57" w:type="dxa"/>
              <w:bottom w:w="0" w:type="dxa"/>
              <w:right w:w="57" w:type="dxa"/>
            </w:tcMar>
            <w:vAlign w:val="center"/>
          </w:tcPr>
          <w:p w14:paraId="48E0CB1A" w14:textId="77777777" w:rsidR="00052596" w:rsidRDefault="00000000">
            <w:pPr>
              <w:overflowPunct w:val="0"/>
              <w:autoSpaceDE w:val="0"/>
              <w:spacing w:line="280" w:lineRule="exact"/>
              <w:jc w:val="center"/>
              <w:textAlignment w:val="center"/>
            </w:pPr>
            <w:r>
              <w:rPr>
                <w:rFonts w:eastAsia="標楷體"/>
                <w:bCs/>
                <w:kern w:val="0"/>
                <w:szCs w:val="24"/>
              </w:rPr>
              <w:t>102</w:t>
            </w:r>
            <w:r>
              <w:rPr>
                <w:rFonts w:eastAsia="標楷體"/>
                <w:bCs/>
                <w:kern w:val="0"/>
                <w:szCs w:val="24"/>
              </w:rPr>
              <w:t>至</w:t>
            </w:r>
            <w:r>
              <w:rPr>
                <w:rFonts w:eastAsia="標楷體"/>
                <w:bCs/>
                <w:kern w:val="0"/>
                <w:szCs w:val="24"/>
              </w:rPr>
              <w:t>105</w:t>
            </w:r>
            <w:r>
              <w:rPr>
                <w:rFonts w:eastAsia="標楷體"/>
                <w:bCs/>
                <w:kern w:val="0"/>
                <w:szCs w:val="24"/>
              </w:rPr>
              <w:t>年平均</w:t>
            </w:r>
          </w:p>
        </w:tc>
      </w:tr>
      <w:tr w:rsidR="00052596" w14:paraId="5B832508" w14:textId="77777777">
        <w:tblPrEx>
          <w:tblCellMar>
            <w:top w:w="0" w:type="dxa"/>
            <w:bottom w:w="0" w:type="dxa"/>
          </w:tblCellMar>
        </w:tblPrEx>
        <w:trPr>
          <w:trHeight w:val="241"/>
          <w:jc w:val="center"/>
        </w:trPr>
        <w:tc>
          <w:tcPr>
            <w:tcW w:w="14" w:type="dxa"/>
          </w:tcPr>
          <w:p w14:paraId="0F4A4F2E" w14:textId="77777777" w:rsidR="00052596" w:rsidRDefault="00052596">
            <w:pPr>
              <w:overflowPunct w:val="0"/>
              <w:autoSpaceDE w:val="0"/>
              <w:spacing w:line="320" w:lineRule="exact"/>
              <w:jc w:val="center"/>
              <w:textAlignment w:val="center"/>
              <w:rPr>
                <w:rFonts w:eastAsia="標楷體"/>
                <w:spacing w:val="4"/>
                <w:kern w:val="0"/>
                <w:szCs w:val="24"/>
              </w:rPr>
            </w:pPr>
          </w:p>
        </w:tc>
        <w:tc>
          <w:tcPr>
            <w:tcW w:w="3477" w:type="dxa"/>
            <w:tcBorders>
              <w:bottom w:val="single" w:sz="6" w:space="0" w:color="000000"/>
              <w:right w:val="single" w:sz="6" w:space="0" w:color="000000"/>
            </w:tcBorders>
            <w:shd w:val="clear" w:color="auto" w:fill="EFFFEF"/>
            <w:tcMar>
              <w:top w:w="0" w:type="dxa"/>
              <w:left w:w="57" w:type="dxa"/>
              <w:bottom w:w="0" w:type="dxa"/>
              <w:right w:w="57" w:type="dxa"/>
            </w:tcMar>
          </w:tcPr>
          <w:p w14:paraId="30CC4318" w14:textId="77777777" w:rsidR="00052596" w:rsidRDefault="00000000">
            <w:pPr>
              <w:overflowPunct w:val="0"/>
              <w:autoSpaceDE w:val="0"/>
              <w:spacing w:line="320" w:lineRule="exact"/>
              <w:jc w:val="center"/>
              <w:textAlignment w:val="center"/>
              <w:rPr>
                <w:rFonts w:eastAsia="標楷體"/>
                <w:spacing w:val="4"/>
                <w:kern w:val="0"/>
                <w:szCs w:val="24"/>
              </w:rPr>
            </w:pPr>
            <w:r>
              <w:rPr>
                <w:rFonts w:eastAsia="標楷體"/>
                <w:spacing w:val="4"/>
                <w:kern w:val="0"/>
                <w:szCs w:val="24"/>
              </w:rPr>
              <w:t>預測機構及預測時點</w:t>
            </w:r>
          </w:p>
        </w:tc>
        <w:tc>
          <w:tcPr>
            <w:tcW w:w="1364" w:type="dxa"/>
            <w:tcBorders>
              <w:top w:val="single" w:sz="6" w:space="0" w:color="000000"/>
              <w:left w:val="single" w:sz="6" w:space="0" w:color="000000"/>
              <w:bottom w:val="single" w:sz="6" w:space="0" w:color="000000"/>
              <w:right w:val="single" w:sz="6" w:space="0" w:color="000000"/>
            </w:tcBorders>
            <w:shd w:val="clear" w:color="auto" w:fill="EFFFEF"/>
            <w:tcMar>
              <w:top w:w="0" w:type="dxa"/>
              <w:left w:w="57" w:type="dxa"/>
              <w:bottom w:w="0" w:type="dxa"/>
              <w:right w:w="57" w:type="dxa"/>
            </w:tcMar>
            <w:vAlign w:val="center"/>
          </w:tcPr>
          <w:p w14:paraId="2736D014" w14:textId="77777777" w:rsidR="00052596" w:rsidRDefault="00000000">
            <w:pPr>
              <w:overflowPunct w:val="0"/>
              <w:autoSpaceDE w:val="0"/>
              <w:spacing w:line="280" w:lineRule="exact"/>
              <w:jc w:val="center"/>
              <w:textAlignment w:val="center"/>
            </w:pPr>
            <w:r>
              <w:rPr>
                <w:rFonts w:eastAsia="標楷體"/>
                <w:bCs/>
                <w:kern w:val="0"/>
                <w:szCs w:val="24"/>
              </w:rPr>
              <w:t>經　濟</w:t>
            </w:r>
            <w:r>
              <w:rPr>
                <w:rFonts w:eastAsia="標楷體"/>
                <w:bCs/>
                <w:kern w:val="0"/>
                <w:szCs w:val="24"/>
              </w:rPr>
              <w:br/>
            </w:r>
            <w:r>
              <w:rPr>
                <w:rFonts w:eastAsia="標楷體"/>
                <w:bCs/>
                <w:kern w:val="0"/>
                <w:szCs w:val="24"/>
              </w:rPr>
              <w:t>成長率</w:t>
            </w:r>
          </w:p>
        </w:tc>
        <w:tc>
          <w:tcPr>
            <w:tcW w:w="1364" w:type="dxa"/>
            <w:tcBorders>
              <w:top w:val="single" w:sz="6" w:space="0" w:color="000000"/>
              <w:left w:val="single" w:sz="6" w:space="0" w:color="000000"/>
              <w:bottom w:val="single" w:sz="6" w:space="0" w:color="000000"/>
              <w:right w:val="single" w:sz="6" w:space="0" w:color="000000"/>
            </w:tcBorders>
            <w:shd w:val="clear" w:color="auto" w:fill="EFFFEF"/>
            <w:tcMar>
              <w:top w:w="0" w:type="dxa"/>
              <w:left w:w="57" w:type="dxa"/>
              <w:bottom w:w="0" w:type="dxa"/>
              <w:right w:w="57" w:type="dxa"/>
            </w:tcMar>
          </w:tcPr>
          <w:p w14:paraId="7CD9595E" w14:textId="77777777" w:rsidR="00052596" w:rsidRDefault="00000000">
            <w:pPr>
              <w:overflowPunct w:val="0"/>
              <w:autoSpaceDE w:val="0"/>
              <w:spacing w:line="280" w:lineRule="exact"/>
              <w:jc w:val="center"/>
              <w:textAlignment w:val="center"/>
              <w:rPr>
                <w:rFonts w:eastAsia="標楷體"/>
                <w:bCs/>
                <w:spacing w:val="-6"/>
                <w:kern w:val="0"/>
                <w:szCs w:val="24"/>
              </w:rPr>
            </w:pPr>
            <w:r>
              <w:rPr>
                <w:rFonts w:eastAsia="標楷體"/>
                <w:bCs/>
                <w:spacing w:val="-6"/>
                <w:kern w:val="0"/>
                <w:szCs w:val="24"/>
              </w:rPr>
              <w:t>消費者物價上漲率</w:t>
            </w:r>
          </w:p>
        </w:tc>
        <w:tc>
          <w:tcPr>
            <w:tcW w:w="1364" w:type="dxa"/>
            <w:tcBorders>
              <w:top w:val="single" w:sz="6" w:space="0" w:color="000000"/>
              <w:left w:val="single" w:sz="6" w:space="0" w:color="000000"/>
              <w:bottom w:val="single" w:sz="6" w:space="0" w:color="000000"/>
            </w:tcBorders>
            <w:shd w:val="clear" w:color="auto" w:fill="EFFFEF"/>
            <w:tcMar>
              <w:top w:w="0" w:type="dxa"/>
              <w:left w:w="28" w:type="dxa"/>
              <w:bottom w:w="0" w:type="dxa"/>
              <w:right w:w="28" w:type="dxa"/>
            </w:tcMar>
            <w:vAlign w:val="center"/>
          </w:tcPr>
          <w:p w14:paraId="39465DA4" w14:textId="77777777" w:rsidR="00052596" w:rsidRDefault="00000000">
            <w:pPr>
              <w:overflowPunct w:val="0"/>
              <w:autoSpaceDE w:val="0"/>
              <w:spacing w:line="280" w:lineRule="exact"/>
              <w:jc w:val="center"/>
              <w:textAlignment w:val="center"/>
            </w:pPr>
            <w:r>
              <w:rPr>
                <w:rFonts w:eastAsia="標楷體"/>
                <w:bCs/>
                <w:spacing w:val="-6"/>
                <w:kern w:val="0"/>
                <w:szCs w:val="24"/>
              </w:rPr>
              <w:t>失業率</w:t>
            </w:r>
          </w:p>
        </w:tc>
      </w:tr>
      <w:tr w:rsidR="00052596" w14:paraId="7CD947C5" w14:textId="77777777">
        <w:tblPrEx>
          <w:tblCellMar>
            <w:top w:w="0" w:type="dxa"/>
            <w:bottom w:w="0" w:type="dxa"/>
          </w:tblCellMar>
        </w:tblPrEx>
        <w:trPr>
          <w:trHeight w:val="312"/>
          <w:jc w:val="center"/>
        </w:trPr>
        <w:tc>
          <w:tcPr>
            <w:tcW w:w="3491" w:type="dxa"/>
            <w:gridSpan w:val="2"/>
            <w:tcBorders>
              <w:top w:val="single" w:sz="6" w:space="0" w:color="000000"/>
              <w:right w:val="single" w:sz="6" w:space="0" w:color="000000"/>
            </w:tcBorders>
            <w:shd w:val="clear" w:color="auto" w:fill="FFF0E1"/>
            <w:tcMar>
              <w:top w:w="0" w:type="dxa"/>
              <w:left w:w="57" w:type="dxa"/>
              <w:bottom w:w="0" w:type="dxa"/>
              <w:right w:w="57" w:type="dxa"/>
            </w:tcMar>
          </w:tcPr>
          <w:p w14:paraId="5130968C" w14:textId="77777777" w:rsidR="00052596" w:rsidRDefault="00000000">
            <w:pPr>
              <w:overflowPunct w:val="0"/>
              <w:autoSpaceDE w:val="0"/>
              <w:spacing w:line="400" w:lineRule="exact"/>
              <w:jc w:val="both"/>
              <w:textAlignment w:val="center"/>
            </w:pPr>
            <w:r>
              <w:rPr>
                <w:rFonts w:eastAsia="標楷體"/>
                <w:bCs/>
                <w:color w:val="000000"/>
                <w:spacing w:val="4"/>
                <w:kern w:val="0"/>
                <w:szCs w:val="24"/>
              </w:rPr>
              <w:t>Global Insight</w:t>
            </w:r>
            <w:r>
              <w:rPr>
                <w:rFonts w:ascii="標楷體" w:eastAsia="標楷體" w:hAnsi="標楷體"/>
                <w:bCs/>
                <w:color w:val="000000"/>
                <w:spacing w:val="4"/>
                <w:kern w:val="0"/>
                <w:szCs w:val="24"/>
              </w:rPr>
              <w:t>(</w:t>
            </w:r>
            <w:r>
              <w:rPr>
                <w:rFonts w:eastAsia="標楷體"/>
                <w:bCs/>
                <w:color w:val="000000"/>
                <w:spacing w:val="4"/>
                <w:kern w:val="0"/>
                <w:szCs w:val="24"/>
              </w:rPr>
              <w:t>101</w:t>
            </w:r>
            <w:r>
              <w:rPr>
                <w:rFonts w:eastAsia="標楷體"/>
                <w:bCs/>
                <w:color w:val="000000"/>
                <w:spacing w:val="4"/>
                <w:kern w:val="0"/>
                <w:szCs w:val="24"/>
              </w:rPr>
              <w:t>年</w:t>
            </w:r>
            <w:r>
              <w:rPr>
                <w:rFonts w:eastAsia="標楷體"/>
                <w:bCs/>
                <w:color w:val="000000"/>
                <w:spacing w:val="4"/>
                <w:kern w:val="0"/>
                <w:szCs w:val="24"/>
              </w:rPr>
              <w:t>12</w:t>
            </w:r>
            <w:r>
              <w:rPr>
                <w:rFonts w:eastAsia="標楷體"/>
                <w:bCs/>
                <w:color w:val="000000"/>
                <w:spacing w:val="4"/>
                <w:kern w:val="0"/>
                <w:szCs w:val="24"/>
              </w:rPr>
              <w:t>月</w:t>
            </w:r>
            <w:r>
              <w:rPr>
                <w:rFonts w:eastAsia="標楷體"/>
                <w:bCs/>
                <w:color w:val="000000"/>
                <w:spacing w:val="4"/>
                <w:kern w:val="0"/>
                <w:szCs w:val="24"/>
              </w:rPr>
              <w:t>15</w:t>
            </w:r>
            <w:r>
              <w:rPr>
                <w:rFonts w:eastAsia="標楷體"/>
                <w:bCs/>
                <w:color w:val="000000"/>
                <w:spacing w:val="4"/>
                <w:kern w:val="0"/>
                <w:szCs w:val="24"/>
              </w:rPr>
              <w:t>日</w:t>
            </w:r>
            <w:r>
              <w:rPr>
                <w:rFonts w:ascii="標楷體" w:eastAsia="標楷體" w:hAnsi="標楷體"/>
                <w:bCs/>
                <w:color w:val="000000"/>
                <w:spacing w:val="4"/>
                <w:kern w:val="0"/>
                <w:szCs w:val="24"/>
              </w:rPr>
              <w:t>)</w:t>
            </w:r>
          </w:p>
        </w:tc>
        <w:tc>
          <w:tcPr>
            <w:tcW w:w="1364" w:type="dxa"/>
            <w:tcBorders>
              <w:top w:val="single" w:sz="6" w:space="0" w:color="000000"/>
              <w:left w:val="single" w:sz="6" w:space="0" w:color="000000"/>
              <w:right w:val="single" w:sz="6" w:space="0" w:color="000000"/>
            </w:tcBorders>
            <w:shd w:val="clear" w:color="auto" w:fill="FFF0E1"/>
            <w:tcMar>
              <w:top w:w="0" w:type="dxa"/>
              <w:left w:w="57" w:type="dxa"/>
              <w:bottom w:w="0" w:type="dxa"/>
              <w:right w:w="57" w:type="dxa"/>
            </w:tcMar>
          </w:tcPr>
          <w:p w14:paraId="500C4F40" w14:textId="77777777" w:rsidR="00052596" w:rsidRDefault="00000000">
            <w:pPr>
              <w:overflowPunct w:val="0"/>
              <w:autoSpaceDE w:val="0"/>
              <w:spacing w:line="400" w:lineRule="exact"/>
              <w:jc w:val="center"/>
              <w:textAlignment w:val="center"/>
              <w:rPr>
                <w:rFonts w:eastAsia="標楷體"/>
                <w:color w:val="000000"/>
                <w:spacing w:val="4"/>
                <w:kern w:val="0"/>
                <w:szCs w:val="24"/>
              </w:rPr>
            </w:pPr>
            <w:r>
              <w:rPr>
                <w:rFonts w:eastAsia="標楷體"/>
                <w:color w:val="000000"/>
                <w:spacing w:val="4"/>
                <w:kern w:val="0"/>
                <w:szCs w:val="24"/>
              </w:rPr>
              <w:t>4.37</w:t>
            </w:r>
          </w:p>
        </w:tc>
        <w:tc>
          <w:tcPr>
            <w:tcW w:w="1364" w:type="dxa"/>
            <w:tcBorders>
              <w:top w:val="single" w:sz="6" w:space="0" w:color="000000"/>
              <w:left w:val="single" w:sz="6" w:space="0" w:color="000000"/>
              <w:right w:val="single" w:sz="6" w:space="0" w:color="000000"/>
            </w:tcBorders>
            <w:shd w:val="clear" w:color="auto" w:fill="FFF0E1"/>
            <w:tcMar>
              <w:top w:w="0" w:type="dxa"/>
              <w:left w:w="57" w:type="dxa"/>
              <w:bottom w:w="0" w:type="dxa"/>
              <w:right w:w="57" w:type="dxa"/>
            </w:tcMar>
          </w:tcPr>
          <w:p w14:paraId="034934A7" w14:textId="77777777" w:rsidR="00052596" w:rsidRDefault="00000000">
            <w:pPr>
              <w:overflowPunct w:val="0"/>
              <w:autoSpaceDE w:val="0"/>
              <w:spacing w:line="400" w:lineRule="exact"/>
              <w:jc w:val="center"/>
              <w:textAlignment w:val="center"/>
              <w:rPr>
                <w:rFonts w:eastAsia="標楷體"/>
                <w:color w:val="000000"/>
                <w:spacing w:val="4"/>
                <w:kern w:val="0"/>
                <w:szCs w:val="24"/>
              </w:rPr>
            </w:pPr>
            <w:r>
              <w:rPr>
                <w:rFonts w:eastAsia="標楷體"/>
                <w:color w:val="000000"/>
                <w:spacing w:val="4"/>
                <w:kern w:val="0"/>
                <w:szCs w:val="24"/>
              </w:rPr>
              <w:t>1.83</w:t>
            </w:r>
          </w:p>
        </w:tc>
        <w:tc>
          <w:tcPr>
            <w:tcW w:w="1364" w:type="dxa"/>
            <w:tcBorders>
              <w:top w:val="single" w:sz="6" w:space="0" w:color="000000"/>
              <w:left w:val="single" w:sz="6" w:space="0" w:color="000000"/>
            </w:tcBorders>
            <w:shd w:val="clear" w:color="auto" w:fill="FFF0E1"/>
            <w:tcMar>
              <w:top w:w="0" w:type="dxa"/>
              <w:left w:w="57" w:type="dxa"/>
              <w:bottom w:w="0" w:type="dxa"/>
              <w:right w:w="57" w:type="dxa"/>
            </w:tcMar>
          </w:tcPr>
          <w:p w14:paraId="2A759B73" w14:textId="77777777" w:rsidR="00052596" w:rsidRDefault="00000000">
            <w:pPr>
              <w:overflowPunct w:val="0"/>
              <w:autoSpaceDE w:val="0"/>
              <w:spacing w:line="400" w:lineRule="exact"/>
              <w:jc w:val="center"/>
              <w:textAlignment w:val="center"/>
              <w:rPr>
                <w:rFonts w:eastAsia="標楷體"/>
                <w:color w:val="000000"/>
                <w:spacing w:val="4"/>
                <w:kern w:val="0"/>
                <w:szCs w:val="24"/>
              </w:rPr>
            </w:pPr>
            <w:r>
              <w:rPr>
                <w:rFonts w:eastAsia="標楷體"/>
                <w:color w:val="000000"/>
                <w:spacing w:val="4"/>
                <w:kern w:val="0"/>
                <w:szCs w:val="24"/>
              </w:rPr>
              <w:t>3.53</w:t>
            </w:r>
          </w:p>
        </w:tc>
      </w:tr>
      <w:tr w:rsidR="00052596" w14:paraId="2AFDCA95" w14:textId="77777777">
        <w:tblPrEx>
          <w:tblCellMar>
            <w:top w:w="0" w:type="dxa"/>
            <w:bottom w:w="0" w:type="dxa"/>
          </w:tblCellMar>
        </w:tblPrEx>
        <w:trPr>
          <w:trHeight w:val="312"/>
          <w:jc w:val="center"/>
        </w:trPr>
        <w:tc>
          <w:tcPr>
            <w:tcW w:w="3491" w:type="dxa"/>
            <w:gridSpan w:val="2"/>
            <w:tcBorders>
              <w:bottom w:val="single" w:sz="6" w:space="0" w:color="000000"/>
              <w:right w:val="single" w:sz="6" w:space="0" w:color="000000"/>
            </w:tcBorders>
            <w:shd w:val="clear" w:color="auto" w:fill="FFF0E1"/>
            <w:tcMar>
              <w:top w:w="0" w:type="dxa"/>
              <w:left w:w="57" w:type="dxa"/>
              <w:bottom w:w="0" w:type="dxa"/>
              <w:right w:w="57" w:type="dxa"/>
            </w:tcMar>
          </w:tcPr>
          <w:p w14:paraId="36A33BDD" w14:textId="77777777" w:rsidR="00052596" w:rsidRDefault="00000000">
            <w:pPr>
              <w:overflowPunct w:val="0"/>
              <w:autoSpaceDE w:val="0"/>
              <w:spacing w:line="400" w:lineRule="exact"/>
              <w:jc w:val="both"/>
              <w:textAlignment w:val="center"/>
            </w:pPr>
            <w:r>
              <w:rPr>
                <w:rFonts w:eastAsia="標楷體"/>
                <w:bCs/>
                <w:color w:val="000000"/>
                <w:kern w:val="0"/>
                <w:szCs w:val="24"/>
              </w:rPr>
              <w:t>IMF</w:t>
            </w:r>
            <w:r>
              <w:rPr>
                <w:rFonts w:ascii="標楷體" w:eastAsia="標楷體" w:hAnsi="標楷體"/>
                <w:bCs/>
                <w:color w:val="000000"/>
                <w:kern w:val="0"/>
                <w:szCs w:val="24"/>
              </w:rPr>
              <w:t>(</w:t>
            </w:r>
            <w:r>
              <w:rPr>
                <w:rFonts w:eastAsia="標楷體"/>
                <w:bCs/>
                <w:color w:val="000000"/>
                <w:kern w:val="0"/>
                <w:szCs w:val="24"/>
              </w:rPr>
              <w:t>101</w:t>
            </w:r>
            <w:r>
              <w:rPr>
                <w:rFonts w:eastAsia="標楷體"/>
                <w:bCs/>
                <w:color w:val="000000"/>
                <w:kern w:val="0"/>
                <w:szCs w:val="24"/>
              </w:rPr>
              <w:t>年</w:t>
            </w:r>
            <w:r>
              <w:rPr>
                <w:rFonts w:eastAsia="標楷體"/>
                <w:bCs/>
                <w:color w:val="000000"/>
                <w:kern w:val="0"/>
                <w:szCs w:val="24"/>
              </w:rPr>
              <w:t>10</w:t>
            </w:r>
            <w:r>
              <w:rPr>
                <w:rFonts w:eastAsia="標楷體"/>
                <w:bCs/>
                <w:color w:val="000000"/>
                <w:kern w:val="0"/>
                <w:szCs w:val="24"/>
              </w:rPr>
              <w:t>月</w:t>
            </w:r>
            <w:r>
              <w:rPr>
                <w:rFonts w:eastAsia="標楷體"/>
                <w:bCs/>
                <w:color w:val="000000"/>
                <w:kern w:val="0"/>
                <w:szCs w:val="24"/>
              </w:rPr>
              <w:t>9</w:t>
            </w:r>
            <w:r>
              <w:rPr>
                <w:rFonts w:eastAsia="標楷體"/>
                <w:bCs/>
                <w:color w:val="000000"/>
                <w:kern w:val="0"/>
                <w:szCs w:val="24"/>
              </w:rPr>
              <w:t>日</w:t>
            </w:r>
            <w:r>
              <w:rPr>
                <w:rFonts w:ascii="標楷體" w:eastAsia="標楷體" w:hAnsi="標楷體"/>
                <w:bCs/>
                <w:color w:val="000000"/>
                <w:kern w:val="0"/>
                <w:szCs w:val="24"/>
              </w:rPr>
              <w:t>)</w:t>
            </w:r>
          </w:p>
        </w:tc>
        <w:tc>
          <w:tcPr>
            <w:tcW w:w="1364" w:type="dxa"/>
            <w:tcBorders>
              <w:left w:val="single" w:sz="6" w:space="0" w:color="000000"/>
              <w:bottom w:val="single" w:sz="6" w:space="0" w:color="000000"/>
              <w:right w:val="single" w:sz="6" w:space="0" w:color="000000"/>
            </w:tcBorders>
            <w:shd w:val="clear" w:color="auto" w:fill="FFF0E1"/>
            <w:tcMar>
              <w:top w:w="0" w:type="dxa"/>
              <w:left w:w="57" w:type="dxa"/>
              <w:bottom w:w="0" w:type="dxa"/>
              <w:right w:w="57" w:type="dxa"/>
            </w:tcMar>
          </w:tcPr>
          <w:p w14:paraId="2F3C6B52" w14:textId="77777777" w:rsidR="00052596" w:rsidRDefault="00000000">
            <w:pPr>
              <w:overflowPunct w:val="0"/>
              <w:autoSpaceDE w:val="0"/>
              <w:spacing w:line="400" w:lineRule="exact"/>
              <w:jc w:val="center"/>
              <w:textAlignment w:val="center"/>
              <w:rPr>
                <w:rFonts w:eastAsia="標楷體"/>
                <w:color w:val="000000"/>
                <w:spacing w:val="4"/>
                <w:kern w:val="0"/>
                <w:szCs w:val="24"/>
              </w:rPr>
            </w:pPr>
            <w:r>
              <w:rPr>
                <w:rFonts w:eastAsia="標楷體"/>
                <w:color w:val="000000"/>
                <w:spacing w:val="4"/>
                <w:kern w:val="0"/>
                <w:szCs w:val="24"/>
              </w:rPr>
              <w:t>4.46</w:t>
            </w:r>
          </w:p>
        </w:tc>
        <w:tc>
          <w:tcPr>
            <w:tcW w:w="1364" w:type="dxa"/>
            <w:tcBorders>
              <w:left w:val="single" w:sz="6" w:space="0" w:color="000000"/>
              <w:bottom w:val="single" w:sz="6" w:space="0" w:color="000000"/>
              <w:right w:val="single" w:sz="6" w:space="0" w:color="000000"/>
            </w:tcBorders>
            <w:shd w:val="clear" w:color="auto" w:fill="FFF0E1"/>
            <w:tcMar>
              <w:top w:w="0" w:type="dxa"/>
              <w:left w:w="57" w:type="dxa"/>
              <w:bottom w:w="0" w:type="dxa"/>
              <w:right w:w="57" w:type="dxa"/>
            </w:tcMar>
          </w:tcPr>
          <w:p w14:paraId="3BEE010E" w14:textId="77777777" w:rsidR="00052596" w:rsidRDefault="00000000">
            <w:pPr>
              <w:overflowPunct w:val="0"/>
              <w:autoSpaceDE w:val="0"/>
              <w:spacing w:line="400" w:lineRule="exact"/>
              <w:jc w:val="center"/>
              <w:textAlignment w:val="center"/>
              <w:rPr>
                <w:rFonts w:eastAsia="標楷體"/>
                <w:color w:val="000000"/>
                <w:spacing w:val="4"/>
                <w:kern w:val="0"/>
                <w:szCs w:val="24"/>
              </w:rPr>
            </w:pPr>
            <w:r>
              <w:rPr>
                <w:rFonts w:eastAsia="標楷體"/>
                <w:color w:val="000000"/>
                <w:spacing w:val="4"/>
                <w:kern w:val="0"/>
                <w:szCs w:val="24"/>
              </w:rPr>
              <w:t>2.00</w:t>
            </w:r>
          </w:p>
        </w:tc>
        <w:tc>
          <w:tcPr>
            <w:tcW w:w="1364" w:type="dxa"/>
            <w:tcBorders>
              <w:left w:val="single" w:sz="6" w:space="0" w:color="000000"/>
              <w:bottom w:val="single" w:sz="6" w:space="0" w:color="000000"/>
            </w:tcBorders>
            <w:shd w:val="clear" w:color="auto" w:fill="FFF0E1"/>
            <w:tcMar>
              <w:top w:w="0" w:type="dxa"/>
              <w:left w:w="57" w:type="dxa"/>
              <w:bottom w:w="0" w:type="dxa"/>
              <w:right w:w="57" w:type="dxa"/>
            </w:tcMar>
          </w:tcPr>
          <w:p w14:paraId="34AB4EE1" w14:textId="77777777" w:rsidR="00052596" w:rsidRDefault="00000000">
            <w:pPr>
              <w:overflowPunct w:val="0"/>
              <w:autoSpaceDE w:val="0"/>
              <w:spacing w:line="400" w:lineRule="exact"/>
              <w:jc w:val="center"/>
              <w:textAlignment w:val="center"/>
              <w:rPr>
                <w:rFonts w:eastAsia="標楷體"/>
                <w:color w:val="000000"/>
                <w:spacing w:val="4"/>
                <w:kern w:val="0"/>
                <w:szCs w:val="24"/>
              </w:rPr>
            </w:pPr>
            <w:r>
              <w:rPr>
                <w:rFonts w:eastAsia="標楷體"/>
                <w:color w:val="000000"/>
                <w:spacing w:val="4"/>
                <w:kern w:val="0"/>
                <w:szCs w:val="24"/>
              </w:rPr>
              <w:t>4.15</w:t>
            </w:r>
          </w:p>
        </w:tc>
      </w:tr>
    </w:tbl>
    <w:p w14:paraId="65517C7C" w14:textId="77777777" w:rsidR="00052596" w:rsidRDefault="00000000">
      <w:pPr>
        <w:overflowPunct w:val="0"/>
        <w:autoSpaceDE w:val="0"/>
        <w:spacing w:line="240" w:lineRule="exact"/>
        <w:ind w:left="1347" w:hanging="867"/>
        <w:jc w:val="both"/>
        <w:textAlignment w:val="center"/>
      </w:pPr>
      <w:r>
        <w:rPr>
          <w:rFonts w:eastAsia="標楷體"/>
          <w:kern w:val="0"/>
          <w:sz w:val="22"/>
          <w:szCs w:val="22"/>
        </w:rPr>
        <w:t>資料來源：</w:t>
      </w:r>
      <w:r>
        <w:rPr>
          <w:rFonts w:eastAsia="標楷體"/>
          <w:kern w:val="0"/>
          <w:sz w:val="22"/>
          <w:szCs w:val="22"/>
        </w:rPr>
        <w:t>1.</w:t>
      </w:r>
      <w:r>
        <w:rPr>
          <w:rFonts w:eastAsia="標楷體"/>
          <w:spacing w:val="-10"/>
          <w:kern w:val="0"/>
          <w:sz w:val="22"/>
          <w:szCs w:val="22"/>
        </w:rPr>
        <w:t xml:space="preserve"> Global Insight Inc., </w:t>
      </w:r>
      <w:r>
        <w:rPr>
          <w:rFonts w:eastAsia="標楷體"/>
          <w:i/>
          <w:spacing w:val="-10"/>
          <w:kern w:val="0"/>
          <w:sz w:val="22"/>
          <w:szCs w:val="22"/>
        </w:rPr>
        <w:t>Global Insight’s Comparative World Overview</w:t>
      </w:r>
      <w:r>
        <w:rPr>
          <w:rFonts w:eastAsia="標楷體"/>
          <w:spacing w:val="-10"/>
          <w:kern w:val="0"/>
          <w:sz w:val="22"/>
          <w:szCs w:val="22"/>
        </w:rPr>
        <w:t xml:space="preserve">, Dec. 2012. </w:t>
      </w:r>
    </w:p>
    <w:p w14:paraId="02219065" w14:textId="77777777" w:rsidR="00052596" w:rsidRDefault="00000000">
      <w:pPr>
        <w:overflowPunct w:val="0"/>
        <w:autoSpaceDE w:val="0"/>
        <w:spacing w:line="240" w:lineRule="exact"/>
        <w:ind w:firstLine="1595"/>
        <w:jc w:val="both"/>
        <w:textAlignment w:val="center"/>
      </w:pPr>
      <w:r>
        <w:rPr>
          <w:rFonts w:eastAsia="標楷體"/>
          <w:kern w:val="0"/>
          <w:sz w:val="22"/>
          <w:szCs w:val="22"/>
        </w:rPr>
        <w:t xml:space="preserve">2. IMF, </w:t>
      </w:r>
      <w:r>
        <w:rPr>
          <w:rFonts w:eastAsia="標楷體"/>
          <w:i/>
          <w:kern w:val="0"/>
          <w:sz w:val="22"/>
          <w:szCs w:val="22"/>
        </w:rPr>
        <w:t>World Economic Outlook</w:t>
      </w:r>
      <w:r>
        <w:rPr>
          <w:rFonts w:eastAsia="標楷體"/>
          <w:kern w:val="0"/>
          <w:sz w:val="22"/>
          <w:szCs w:val="22"/>
        </w:rPr>
        <w:t>, Oct. 2012.</w:t>
      </w:r>
    </w:p>
    <w:p w14:paraId="5CAD2305"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eastAsia="標楷體"/>
          <w:spacing w:val="4"/>
          <w:kern w:val="0"/>
          <w:sz w:val="28"/>
          <w:szCs w:val="22"/>
        </w:rPr>
      </w:pPr>
    </w:p>
    <w:p w14:paraId="792556B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cs="Arial"/>
          <w:b/>
          <w:color w:val="660066"/>
          <w:spacing w:val="4"/>
          <w:kern w:val="0"/>
          <w:sz w:val="28"/>
          <w:szCs w:val="22"/>
        </w:rPr>
        <w:t>(二)</w:t>
      </w:r>
      <w:r>
        <w:rPr>
          <w:rFonts w:eastAsia="標楷體"/>
          <w:b/>
          <w:color w:val="660066"/>
          <w:spacing w:val="4"/>
          <w:kern w:val="0"/>
          <w:sz w:val="28"/>
          <w:szCs w:val="22"/>
        </w:rPr>
        <w:t>102</w:t>
      </w:r>
      <w:r>
        <w:rPr>
          <w:rFonts w:eastAsia="標楷體"/>
          <w:b/>
          <w:color w:val="660066"/>
          <w:spacing w:val="4"/>
          <w:kern w:val="0"/>
          <w:sz w:val="28"/>
          <w:szCs w:val="22"/>
        </w:rPr>
        <w:t>至</w:t>
      </w:r>
      <w:r>
        <w:rPr>
          <w:rFonts w:eastAsia="標楷體"/>
          <w:b/>
          <w:color w:val="660066"/>
          <w:spacing w:val="4"/>
          <w:kern w:val="0"/>
          <w:sz w:val="28"/>
          <w:szCs w:val="22"/>
        </w:rPr>
        <w:t>105</w:t>
      </w:r>
      <w:r>
        <w:rPr>
          <w:rFonts w:eastAsia="標楷體"/>
          <w:b/>
          <w:color w:val="660066"/>
          <w:spacing w:val="4"/>
          <w:kern w:val="0"/>
          <w:sz w:val="28"/>
          <w:szCs w:val="22"/>
        </w:rPr>
        <w:t>年臺灣總體經濟目標設定</w:t>
      </w:r>
    </w:p>
    <w:p w14:paraId="287CFB3C"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考量經濟成長是國家發展的基礎，政府將全力拚經濟，推動「經濟動能推升方案」，並開展全方位國家建設，落實「黃金十年　國家願景」計畫八大願景及</w:t>
      </w:r>
      <w:r>
        <w:rPr>
          <w:rFonts w:eastAsia="標楷體"/>
          <w:spacing w:val="4"/>
          <w:kern w:val="0"/>
          <w:sz w:val="28"/>
          <w:szCs w:val="26"/>
        </w:rPr>
        <w:t>31</w:t>
      </w:r>
      <w:r>
        <w:rPr>
          <w:rFonts w:eastAsia="標楷體"/>
          <w:spacing w:val="4"/>
          <w:kern w:val="0"/>
          <w:sz w:val="28"/>
          <w:szCs w:val="26"/>
        </w:rPr>
        <w:t>項施政主軸。藉由上述方案及計畫的執行，短期將可發揮強化內需與擴增出口的效益；中期則透過創新、開放與調結構，加速體制調整與法規鬆綁，提升臺灣經濟成長潛力，並使經濟成長更富包容性與永續</w:t>
      </w:r>
      <w:r>
        <w:rPr>
          <w:rFonts w:eastAsia="標楷體"/>
          <w:spacing w:val="4"/>
          <w:kern w:val="0"/>
          <w:sz w:val="28"/>
          <w:szCs w:val="26"/>
        </w:rPr>
        <w:lastRenderedPageBreak/>
        <w:t>性。</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年總體經濟目標設定如次：</w:t>
      </w:r>
    </w:p>
    <w:p w14:paraId="5DBEE25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－經濟成長率平均</w:t>
      </w:r>
      <w:r>
        <w:rPr>
          <w:rFonts w:eastAsia="標楷體"/>
          <w:spacing w:val="4"/>
          <w:kern w:val="0"/>
          <w:sz w:val="28"/>
          <w:szCs w:val="26"/>
        </w:rPr>
        <w:t>4.5%</w:t>
      </w:r>
      <w:r>
        <w:rPr>
          <w:rFonts w:eastAsia="標楷體"/>
          <w:spacing w:val="4"/>
          <w:kern w:val="0"/>
          <w:sz w:val="28"/>
          <w:szCs w:val="26"/>
        </w:rPr>
        <w:t>。</w:t>
      </w:r>
    </w:p>
    <w:p w14:paraId="7EFF2B7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pPr>
      <w:r>
        <w:rPr>
          <w:rFonts w:eastAsia="標楷體"/>
          <w:spacing w:val="4"/>
          <w:kern w:val="0"/>
          <w:sz w:val="28"/>
          <w:szCs w:val="26"/>
        </w:rPr>
        <w:t>－</w:t>
      </w:r>
      <w:r>
        <w:rPr>
          <w:rFonts w:eastAsia="標楷體"/>
          <w:spacing w:val="4"/>
          <w:kern w:val="0"/>
          <w:sz w:val="28"/>
          <w:szCs w:val="26"/>
        </w:rPr>
        <w:t>105</w:t>
      </w:r>
      <w:r>
        <w:rPr>
          <w:rFonts w:eastAsia="標楷體"/>
          <w:spacing w:val="4"/>
          <w:kern w:val="0"/>
          <w:sz w:val="28"/>
          <w:szCs w:val="26"/>
        </w:rPr>
        <w:t>年失業率</w:t>
      </w:r>
      <w:r>
        <w:rPr>
          <w:rFonts w:eastAsia="標楷體"/>
          <w:spacing w:val="4"/>
          <w:kern w:val="0"/>
          <w:sz w:val="28"/>
          <w:szCs w:val="26"/>
        </w:rPr>
        <w:t>3.9%</w:t>
      </w:r>
      <w:r>
        <w:rPr>
          <w:rFonts w:ascii="標楷體" w:eastAsia="標楷體" w:hAnsi="標楷體"/>
          <w:spacing w:val="4"/>
          <w:kern w:val="0"/>
          <w:sz w:val="28"/>
          <w:szCs w:val="26"/>
        </w:rPr>
        <w:t>(</w:t>
      </w:r>
      <w:r>
        <w:rPr>
          <w:rFonts w:eastAsia="標楷體"/>
          <w:spacing w:val="4"/>
          <w:kern w:val="0"/>
          <w:sz w:val="28"/>
          <w:szCs w:val="26"/>
        </w:rPr>
        <w:t>105</w:t>
      </w:r>
      <w:r>
        <w:rPr>
          <w:rFonts w:eastAsia="標楷體"/>
          <w:spacing w:val="4"/>
          <w:kern w:val="0"/>
          <w:sz w:val="28"/>
          <w:szCs w:val="26"/>
        </w:rPr>
        <w:t>年就業增加率</w:t>
      </w:r>
      <w:r>
        <w:rPr>
          <w:rFonts w:eastAsia="標楷體"/>
          <w:spacing w:val="4"/>
          <w:kern w:val="0"/>
          <w:sz w:val="28"/>
          <w:szCs w:val="26"/>
        </w:rPr>
        <w:t>1.0%</w:t>
      </w:r>
      <w:r>
        <w:rPr>
          <w:rFonts w:eastAsia="標楷體"/>
          <w:spacing w:val="4"/>
          <w:kern w:val="0"/>
          <w:sz w:val="28"/>
          <w:szCs w:val="26"/>
        </w:rPr>
        <w:t>，</w:t>
      </w:r>
      <w:r>
        <w:rPr>
          <w:rFonts w:eastAsia="標楷體"/>
          <w:spacing w:val="4"/>
          <w:kern w:val="0"/>
          <w:sz w:val="28"/>
          <w:szCs w:val="26"/>
        </w:rPr>
        <w:t>105</w:t>
      </w:r>
      <w:r>
        <w:rPr>
          <w:rFonts w:eastAsia="標楷體"/>
          <w:spacing w:val="4"/>
          <w:kern w:val="0"/>
          <w:sz w:val="28"/>
          <w:szCs w:val="26"/>
        </w:rPr>
        <w:t>年勞動力參與率</w:t>
      </w:r>
      <w:r>
        <w:rPr>
          <w:rFonts w:eastAsia="標楷體"/>
          <w:spacing w:val="4"/>
          <w:kern w:val="0"/>
          <w:sz w:val="28"/>
          <w:szCs w:val="26"/>
        </w:rPr>
        <w:t>58.7%</w:t>
      </w:r>
      <w:r>
        <w:rPr>
          <w:rFonts w:ascii="標楷體" w:eastAsia="標楷體" w:hAnsi="標楷體"/>
          <w:spacing w:val="4"/>
          <w:kern w:val="0"/>
          <w:sz w:val="28"/>
          <w:szCs w:val="26"/>
        </w:rPr>
        <w:t>)</w:t>
      </w:r>
      <w:r>
        <w:rPr>
          <w:rFonts w:eastAsia="標楷體"/>
          <w:spacing w:val="4"/>
          <w:kern w:val="0"/>
          <w:sz w:val="28"/>
          <w:szCs w:val="26"/>
        </w:rPr>
        <w:t>。</w:t>
      </w:r>
    </w:p>
    <w:p w14:paraId="1E33E6C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80" w:hanging="288"/>
        <w:jc w:val="both"/>
        <w:textAlignment w:val="center"/>
        <w:rPr>
          <w:rFonts w:eastAsia="標楷體"/>
          <w:spacing w:val="4"/>
          <w:kern w:val="0"/>
          <w:sz w:val="28"/>
          <w:szCs w:val="26"/>
        </w:rPr>
      </w:pPr>
      <w:r>
        <w:rPr>
          <w:rFonts w:eastAsia="標楷體"/>
          <w:spacing w:val="4"/>
          <w:kern w:val="0"/>
          <w:sz w:val="28"/>
          <w:szCs w:val="26"/>
        </w:rPr>
        <w:t>－消費者物價指數上漲率以不超過</w:t>
      </w:r>
      <w:r>
        <w:rPr>
          <w:rFonts w:eastAsia="標楷體"/>
          <w:spacing w:val="4"/>
          <w:kern w:val="0"/>
          <w:sz w:val="28"/>
          <w:szCs w:val="26"/>
        </w:rPr>
        <w:t>2.0%</w:t>
      </w:r>
      <w:r>
        <w:rPr>
          <w:rFonts w:eastAsia="標楷體"/>
          <w:spacing w:val="4"/>
          <w:kern w:val="0"/>
          <w:sz w:val="28"/>
          <w:szCs w:val="26"/>
        </w:rPr>
        <w:t>為努力目標。</w:t>
      </w:r>
    </w:p>
    <w:p w14:paraId="482912B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經濟成長來源</w:t>
      </w:r>
    </w:p>
    <w:p w14:paraId="6AC0000C" w14:textId="77777777" w:rsidR="00052596" w:rsidRDefault="00000000">
      <w:pPr>
        <w:overflowPunct w:val="0"/>
        <w:autoSpaceDE w:val="0"/>
        <w:spacing w:line="420" w:lineRule="exact"/>
        <w:ind w:left="1032" w:firstLine="576"/>
        <w:jc w:val="both"/>
        <w:textAlignment w:val="center"/>
        <w:rPr>
          <w:rFonts w:eastAsia="標楷體"/>
          <w:spacing w:val="4"/>
          <w:kern w:val="0"/>
          <w:sz w:val="28"/>
          <w:szCs w:val="22"/>
        </w:rPr>
      </w:pPr>
      <w:r>
        <w:rPr>
          <w:rFonts w:eastAsia="標楷體"/>
          <w:spacing w:val="4"/>
          <w:kern w:val="0"/>
          <w:sz w:val="28"/>
          <w:szCs w:val="22"/>
        </w:rPr>
        <w:t>未來四年，臺灣投入面經濟成長來源為：</w:t>
      </w:r>
    </w:p>
    <w:p w14:paraId="62CEB91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eastAsia="標楷體"/>
          <w:spacing w:val="4"/>
          <w:kern w:val="0"/>
          <w:sz w:val="28"/>
          <w:szCs w:val="22"/>
        </w:rPr>
        <w:t>－勞動投入貢獻</w:t>
      </w:r>
      <w:r>
        <w:rPr>
          <w:rFonts w:eastAsia="標楷體"/>
          <w:spacing w:val="4"/>
          <w:kern w:val="0"/>
          <w:sz w:val="28"/>
          <w:szCs w:val="22"/>
        </w:rPr>
        <w:t>0.57</w:t>
      </w:r>
      <w:r>
        <w:rPr>
          <w:rFonts w:eastAsia="標楷體"/>
          <w:spacing w:val="4"/>
          <w:kern w:val="0"/>
          <w:sz w:val="28"/>
          <w:szCs w:val="22"/>
        </w:rPr>
        <w:t>個百分點</w:t>
      </w:r>
      <w:r>
        <w:rPr>
          <w:rFonts w:ascii="標楷體" w:eastAsia="標楷體" w:hAnsi="標楷體"/>
          <w:spacing w:val="4"/>
          <w:kern w:val="0"/>
          <w:sz w:val="28"/>
          <w:szCs w:val="22"/>
        </w:rPr>
        <w:t>(</w:t>
      </w:r>
      <w:r>
        <w:rPr>
          <w:rFonts w:eastAsia="標楷體"/>
          <w:spacing w:val="4"/>
          <w:kern w:val="0"/>
          <w:sz w:val="28"/>
          <w:szCs w:val="22"/>
        </w:rPr>
        <w:t>占</w:t>
      </w:r>
      <w:r>
        <w:rPr>
          <w:rFonts w:eastAsia="標楷體"/>
          <w:spacing w:val="4"/>
          <w:kern w:val="0"/>
          <w:sz w:val="28"/>
          <w:szCs w:val="22"/>
        </w:rPr>
        <w:t>12.67%</w:t>
      </w:r>
      <w:r>
        <w:rPr>
          <w:rFonts w:ascii="標楷體" w:eastAsia="標楷體" w:hAnsi="標楷體"/>
          <w:spacing w:val="4"/>
          <w:kern w:val="0"/>
          <w:sz w:val="28"/>
          <w:szCs w:val="22"/>
        </w:rPr>
        <w:t>)</w:t>
      </w:r>
      <w:r>
        <w:rPr>
          <w:rFonts w:eastAsia="標楷體"/>
          <w:spacing w:val="4"/>
          <w:kern w:val="0"/>
          <w:sz w:val="28"/>
          <w:szCs w:val="22"/>
        </w:rPr>
        <w:t>。</w:t>
      </w:r>
    </w:p>
    <w:p w14:paraId="2F9F239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eastAsia="標楷體"/>
          <w:spacing w:val="4"/>
          <w:kern w:val="0"/>
          <w:sz w:val="28"/>
          <w:szCs w:val="22"/>
        </w:rPr>
        <w:t>－資本累積貢獻</w:t>
      </w:r>
      <w:r>
        <w:rPr>
          <w:rFonts w:eastAsia="標楷體"/>
          <w:spacing w:val="4"/>
          <w:kern w:val="0"/>
          <w:sz w:val="28"/>
          <w:szCs w:val="22"/>
        </w:rPr>
        <w:t>1.21</w:t>
      </w:r>
      <w:r>
        <w:rPr>
          <w:rFonts w:eastAsia="標楷體"/>
          <w:spacing w:val="4"/>
          <w:kern w:val="0"/>
          <w:sz w:val="28"/>
          <w:szCs w:val="22"/>
        </w:rPr>
        <w:t>個百分點</w:t>
      </w:r>
      <w:r>
        <w:rPr>
          <w:rFonts w:ascii="標楷體" w:eastAsia="標楷體" w:hAnsi="標楷體"/>
          <w:spacing w:val="4"/>
          <w:kern w:val="0"/>
          <w:sz w:val="28"/>
          <w:szCs w:val="22"/>
        </w:rPr>
        <w:t>(</w:t>
      </w:r>
      <w:r>
        <w:rPr>
          <w:rFonts w:eastAsia="標楷體"/>
          <w:spacing w:val="4"/>
          <w:kern w:val="0"/>
          <w:sz w:val="28"/>
          <w:szCs w:val="22"/>
        </w:rPr>
        <w:t>占</w:t>
      </w:r>
      <w:r>
        <w:rPr>
          <w:rFonts w:eastAsia="標楷體"/>
          <w:spacing w:val="4"/>
          <w:kern w:val="0"/>
          <w:sz w:val="28"/>
          <w:szCs w:val="22"/>
        </w:rPr>
        <w:t>26.89%</w:t>
      </w:r>
      <w:r>
        <w:rPr>
          <w:rFonts w:ascii="標楷體" w:eastAsia="標楷體" w:hAnsi="標楷體"/>
          <w:spacing w:val="4"/>
          <w:kern w:val="0"/>
          <w:sz w:val="28"/>
          <w:szCs w:val="22"/>
        </w:rPr>
        <w:t>)</w:t>
      </w:r>
      <w:r>
        <w:rPr>
          <w:rFonts w:eastAsia="標楷體"/>
          <w:spacing w:val="4"/>
          <w:kern w:val="0"/>
          <w:sz w:val="28"/>
          <w:szCs w:val="22"/>
        </w:rPr>
        <w:t>。</w:t>
      </w:r>
    </w:p>
    <w:p w14:paraId="0725EE5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296" w:hanging="288"/>
        <w:jc w:val="both"/>
        <w:textAlignment w:val="center"/>
      </w:pPr>
      <w:r>
        <w:rPr>
          <w:rFonts w:eastAsia="標楷體"/>
          <w:spacing w:val="4"/>
          <w:kern w:val="0"/>
          <w:sz w:val="28"/>
          <w:szCs w:val="22"/>
        </w:rPr>
        <w:t>－總要素生產力貢獻</w:t>
      </w:r>
      <w:r>
        <w:rPr>
          <w:rFonts w:eastAsia="標楷體"/>
          <w:spacing w:val="4"/>
          <w:kern w:val="0"/>
          <w:sz w:val="28"/>
          <w:szCs w:val="22"/>
        </w:rPr>
        <w:t>2.72</w:t>
      </w:r>
      <w:r>
        <w:rPr>
          <w:rFonts w:eastAsia="標楷體"/>
          <w:spacing w:val="4"/>
          <w:kern w:val="0"/>
          <w:sz w:val="28"/>
          <w:szCs w:val="22"/>
        </w:rPr>
        <w:t>個百分點</w:t>
      </w:r>
      <w:r>
        <w:rPr>
          <w:rFonts w:ascii="標楷體" w:eastAsia="標楷體" w:hAnsi="標楷體"/>
          <w:spacing w:val="4"/>
          <w:kern w:val="0"/>
          <w:sz w:val="28"/>
          <w:szCs w:val="22"/>
        </w:rPr>
        <w:t>(</w:t>
      </w:r>
      <w:r>
        <w:rPr>
          <w:rFonts w:eastAsia="標楷體"/>
          <w:spacing w:val="4"/>
          <w:kern w:val="0"/>
          <w:sz w:val="28"/>
          <w:szCs w:val="22"/>
        </w:rPr>
        <w:t>占</w:t>
      </w:r>
      <w:r>
        <w:rPr>
          <w:rFonts w:eastAsia="標楷體"/>
          <w:spacing w:val="4"/>
          <w:kern w:val="0"/>
          <w:sz w:val="28"/>
          <w:szCs w:val="22"/>
        </w:rPr>
        <w:t>60.44%</w:t>
      </w:r>
      <w:r>
        <w:rPr>
          <w:rFonts w:ascii="標楷體" w:eastAsia="標楷體" w:hAnsi="標楷體"/>
          <w:spacing w:val="4"/>
          <w:kern w:val="0"/>
          <w:sz w:val="28"/>
          <w:szCs w:val="22"/>
        </w:rPr>
        <w:t>)</w:t>
      </w:r>
      <w:r>
        <w:rPr>
          <w:rFonts w:eastAsia="標楷體"/>
          <w:spacing w:val="4"/>
          <w:kern w:val="0"/>
          <w:sz w:val="28"/>
          <w:szCs w:val="22"/>
        </w:rPr>
        <w:t>，其中科研創新貢獻</w:t>
      </w:r>
      <w:r>
        <w:rPr>
          <w:rFonts w:eastAsia="標楷體"/>
          <w:spacing w:val="4"/>
          <w:kern w:val="0"/>
          <w:sz w:val="28"/>
          <w:szCs w:val="22"/>
        </w:rPr>
        <w:t>1.51</w:t>
      </w:r>
      <w:r>
        <w:rPr>
          <w:rFonts w:eastAsia="標楷體"/>
          <w:spacing w:val="4"/>
          <w:kern w:val="0"/>
          <w:sz w:val="28"/>
          <w:szCs w:val="22"/>
        </w:rPr>
        <w:t>個百分點，為總要素生產力提升的主要來源</w:t>
      </w:r>
      <w:r>
        <w:rPr>
          <w:rFonts w:ascii="標楷體" w:eastAsia="標楷體" w:hAnsi="標楷體"/>
          <w:spacing w:val="4"/>
          <w:kern w:val="0"/>
          <w:sz w:val="28"/>
          <w:szCs w:val="22"/>
        </w:rPr>
        <w:t>(</w:t>
      </w:r>
      <w:r>
        <w:rPr>
          <w:rFonts w:eastAsia="標楷體"/>
          <w:spacing w:val="4"/>
          <w:kern w:val="0"/>
          <w:sz w:val="28"/>
          <w:szCs w:val="22"/>
        </w:rPr>
        <w:t>占</w:t>
      </w:r>
      <w:r>
        <w:rPr>
          <w:rFonts w:eastAsia="標楷體"/>
          <w:spacing w:val="4"/>
          <w:kern w:val="0"/>
          <w:sz w:val="28"/>
          <w:szCs w:val="22"/>
        </w:rPr>
        <w:t>55.5%</w:t>
      </w:r>
      <w:r>
        <w:rPr>
          <w:rFonts w:ascii="標楷體" w:eastAsia="標楷體" w:hAnsi="標楷體"/>
          <w:spacing w:val="4"/>
          <w:kern w:val="0"/>
          <w:sz w:val="28"/>
          <w:szCs w:val="22"/>
        </w:rPr>
        <w:t>)</w:t>
      </w:r>
      <w:r>
        <w:rPr>
          <w:rFonts w:eastAsia="標楷體"/>
          <w:spacing w:val="4"/>
          <w:kern w:val="0"/>
          <w:sz w:val="28"/>
          <w:szCs w:val="22"/>
        </w:rPr>
        <w:t>。</w:t>
      </w:r>
    </w:p>
    <w:p w14:paraId="553645B1" w14:textId="77777777" w:rsidR="00052596" w:rsidRDefault="00000000">
      <w:pPr>
        <w:overflowPunct w:val="0"/>
        <w:autoSpaceDE w:val="0"/>
        <w:snapToGrid w:val="0"/>
        <w:spacing w:before="120" w:after="120" w:line="280" w:lineRule="exact"/>
        <w:ind w:left="991"/>
        <w:jc w:val="center"/>
        <w:textAlignment w:val="center"/>
      </w:pPr>
      <w:r>
        <w:rPr>
          <w:rFonts w:eastAsia="標楷體"/>
          <w:b/>
          <w:color w:val="0000FF"/>
          <w:kern w:val="0"/>
          <w:sz w:val="25"/>
          <w:szCs w:val="22"/>
        </w:rPr>
        <w:t>表</w:t>
      </w:r>
      <w:r>
        <w:rPr>
          <w:rFonts w:eastAsia="標楷體"/>
          <w:b/>
          <w:color w:val="0000FF"/>
          <w:kern w:val="0"/>
          <w:sz w:val="25"/>
          <w:szCs w:val="22"/>
        </w:rPr>
        <w:t>2.3.3</w:t>
      </w:r>
      <w:r>
        <w:rPr>
          <w:rFonts w:eastAsia="標楷體"/>
          <w:b/>
          <w:color w:val="0000FF"/>
          <w:kern w:val="0"/>
          <w:sz w:val="25"/>
          <w:szCs w:val="22"/>
        </w:rPr>
        <w:t xml:space="preserve">　</w:t>
      </w:r>
      <w:r>
        <w:rPr>
          <w:rFonts w:eastAsia="標楷體"/>
          <w:b/>
          <w:color w:val="0000FF"/>
          <w:kern w:val="0"/>
          <w:sz w:val="25"/>
          <w:szCs w:val="22"/>
        </w:rPr>
        <w:t>102</w:t>
      </w:r>
      <w:r>
        <w:rPr>
          <w:rFonts w:eastAsia="標楷體"/>
          <w:b/>
          <w:color w:val="0000FF"/>
          <w:kern w:val="0"/>
          <w:sz w:val="25"/>
          <w:szCs w:val="22"/>
        </w:rPr>
        <w:t>至</w:t>
      </w:r>
      <w:r>
        <w:rPr>
          <w:rFonts w:eastAsia="標楷體"/>
          <w:b/>
          <w:color w:val="0000FF"/>
          <w:kern w:val="0"/>
          <w:sz w:val="25"/>
          <w:szCs w:val="22"/>
        </w:rPr>
        <w:t>105</w:t>
      </w:r>
      <w:r>
        <w:rPr>
          <w:rFonts w:eastAsia="標楷體"/>
          <w:b/>
          <w:color w:val="0000FF"/>
          <w:kern w:val="0"/>
          <w:sz w:val="25"/>
          <w:szCs w:val="22"/>
        </w:rPr>
        <w:t>年臺灣投入面經濟成長來源</w:t>
      </w:r>
    </w:p>
    <w:tbl>
      <w:tblPr>
        <w:tblW w:w="7281" w:type="dxa"/>
        <w:tblInd w:w="1188" w:type="dxa"/>
        <w:tblLayout w:type="fixed"/>
        <w:tblCellMar>
          <w:left w:w="10" w:type="dxa"/>
          <w:right w:w="10" w:type="dxa"/>
        </w:tblCellMar>
        <w:tblLook w:val="04A0" w:firstRow="1" w:lastRow="0" w:firstColumn="1" w:lastColumn="0" w:noHBand="0" w:noVBand="1"/>
      </w:tblPr>
      <w:tblGrid>
        <w:gridCol w:w="2904"/>
        <w:gridCol w:w="2188"/>
        <w:gridCol w:w="2189"/>
      </w:tblGrid>
      <w:tr w:rsidR="00052596" w14:paraId="621BC536" w14:textId="77777777">
        <w:tblPrEx>
          <w:tblCellMar>
            <w:top w:w="0" w:type="dxa"/>
            <w:bottom w:w="0" w:type="dxa"/>
          </w:tblCellMar>
        </w:tblPrEx>
        <w:trPr>
          <w:trHeight w:val="337"/>
        </w:trPr>
        <w:tc>
          <w:tcPr>
            <w:tcW w:w="2904" w:type="dxa"/>
            <w:tcBorders>
              <w:top w:val="single" w:sz="6" w:space="0" w:color="000000"/>
              <w:bottom w:val="single" w:sz="6" w:space="0" w:color="000000"/>
              <w:right w:val="single" w:sz="6" w:space="0" w:color="000000"/>
            </w:tcBorders>
            <w:shd w:val="clear" w:color="auto" w:fill="EFFFEF"/>
            <w:tcMar>
              <w:top w:w="0" w:type="dxa"/>
              <w:left w:w="108" w:type="dxa"/>
              <w:bottom w:w="0" w:type="dxa"/>
              <w:right w:w="108" w:type="dxa"/>
            </w:tcMar>
            <w:vAlign w:val="center"/>
          </w:tcPr>
          <w:p w14:paraId="1E1C8453" w14:textId="77777777" w:rsidR="00052596" w:rsidRDefault="00000000">
            <w:pPr>
              <w:overflowPunct w:val="0"/>
              <w:autoSpaceDE w:val="0"/>
              <w:spacing w:line="360" w:lineRule="exact"/>
              <w:ind w:left="460" w:hanging="220"/>
              <w:jc w:val="center"/>
              <w:textAlignment w:val="center"/>
            </w:pPr>
            <w:r>
              <w:rPr>
                <w:rFonts w:eastAsia="標楷體"/>
                <w:spacing w:val="4"/>
                <w:kern w:val="0"/>
                <w:sz w:val="22"/>
                <w:szCs w:val="22"/>
              </w:rPr>
              <w:t>項</w:t>
            </w:r>
            <w:r>
              <w:rPr>
                <w:rFonts w:eastAsia="標楷體"/>
                <w:spacing w:val="4"/>
                <w:kern w:val="0"/>
                <w:sz w:val="28"/>
              </w:rPr>
              <w:t xml:space="preserve">　　</w:t>
            </w:r>
            <w:r>
              <w:rPr>
                <w:rFonts w:eastAsia="標楷體"/>
                <w:spacing w:val="4"/>
                <w:kern w:val="0"/>
                <w:sz w:val="22"/>
                <w:szCs w:val="22"/>
              </w:rPr>
              <w:t>目</w:t>
            </w:r>
          </w:p>
        </w:tc>
        <w:tc>
          <w:tcPr>
            <w:tcW w:w="2188" w:type="dxa"/>
            <w:tcBorders>
              <w:top w:val="single" w:sz="6" w:space="0" w:color="000000"/>
              <w:left w:val="single" w:sz="6" w:space="0" w:color="000000"/>
              <w:bottom w:val="single" w:sz="6" w:space="0" w:color="000000"/>
              <w:right w:val="single" w:sz="6" w:space="0" w:color="000000"/>
            </w:tcBorders>
            <w:shd w:val="clear" w:color="auto" w:fill="EFFFEF"/>
            <w:tcMar>
              <w:top w:w="0" w:type="dxa"/>
              <w:left w:w="108" w:type="dxa"/>
              <w:bottom w:w="0" w:type="dxa"/>
              <w:right w:w="108" w:type="dxa"/>
            </w:tcMar>
            <w:vAlign w:val="center"/>
          </w:tcPr>
          <w:p w14:paraId="470D22A4" w14:textId="77777777" w:rsidR="00052596" w:rsidRDefault="00000000">
            <w:pPr>
              <w:overflowPunct w:val="0"/>
              <w:autoSpaceDE w:val="0"/>
              <w:spacing w:line="360" w:lineRule="exact"/>
              <w:jc w:val="center"/>
              <w:textAlignment w:val="center"/>
              <w:rPr>
                <w:rFonts w:eastAsia="標楷體"/>
                <w:spacing w:val="4"/>
                <w:kern w:val="0"/>
                <w:szCs w:val="24"/>
              </w:rPr>
            </w:pPr>
            <w:r>
              <w:rPr>
                <w:rFonts w:eastAsia="標楷體"/>
                <w:spacing w:val="4"/>
                <w:kern w:val="0"/>
                <w:szCs w:val="24"/>
              </w:rPr>
              <w:t>98-101</w:t>
            </w:r>
            <w:r>
              <w:rPr>
                <w:rFonts w:eastAsia="標楷體"/>
                <w:spacing w:val="4"/>
                <w:kern w:val="0"/>
                <w:szCs w:val="24"/>
              </w:rPr>
              <w:t>年</w:t>
            </w:r>
          </w:p>
        </w:tc>
        <w:tc>
          <w:tcPr>
            <w:tcW w:w="2189" w:type="dxa"/>
            <w:tcBorders>
              <w:top w:val="single" w:sz="6" w:space="0" w:color="000000"/>
              <w:left w:val="single" w:sz="6" w:space="0" w:color="000000"/>
              <w:bottom w:val="single" w:sz="6" w:space="0" w:color="000000"/>
            </w:tcBorders>
            <w:shd w:val="clear" w:color="auto" w:fill="EFFFEF"/>
            <w:tcMar>
              <w:top w:w="0" w:type="dxa"/>
              <w:left w:w="108" w:type="dxa"/>
              <w:bottom w:w="0" w:type="dxa"/>
              <w:right w:w="108" w:type="dxa"/>
            </w:tcMar>
            <w:vAlign w:val="center"/>
          </w:tcPr>
          <w:p w14:paraId="5DF6DA26" w14:textId="77777777" w:rsidR="00052596" w:rsidRDefault="00000000">
            <w:pPr>
              <w:overflowPunct w:val="0"/>
              <w:autoSpaceDE w:val="0"/>
              <w:spacing w:line="360" w:lineRule="exact"/>
              <w:jc w:val="center"/>
              <w:textAlignment w:val="center"/>
            </w:pPr>
            <w:r>
              <w:rPr>
                <w:rFonts w:eastAsia="標楷體"/>
                <w:spacing w:val="4"/>
                <w:kern w:val="0"/>
                <w:szCs w:val="24"/>
              </w:rPr>
              <w:t>102-105</w:t>
            </w:r>
            <w:r>
              <w:rPr>
                <w:rFonts w:eastAsia="標楷體"/>
                <w:spacing w:val="4"/>
                <w:kern w:val="0"/>
                <w:szCs w:val="24"/>
              </w:rPr>
              <w:t>年</w:t>
            </w:r>
          </w:p>
        </w:tc>
      </w:tr>
      <w:tr w:rsidR="00052596" w14:paraId="7EDC7DAB" w14:textId="77777777">
        <w:tblPrEx>
          <w:tblCellMar>
            <w:top w:w="0" w:type="dxa"/>
            <w:bottom w:w="0" w:type="dxa"/>
          </w:tblCellMar>
        </w:tblPrEx>
        <w:trPr>
          <w:trHeight w:val="340"/>
        </w:trPr>
        <w:tc>
          <w:tcPr>
            <w:tcW w:w="2904" w:type="dxa"/>
            <w:tcBorders>
              <w:top w:val="single" w:sz="6" w:space="0" w:color="000000"/>
              <w:bottom w:val="single" w:sz="6" w:space="0" w:color="000000"/>
              <w:right w:val="single" w:sz="6" w:space="0" w:color="000000"/>
            </w:tcBorders>
            <w:shd w:val="clear" w:color="auto" w:fill="FFF0E1"/>
            <w:tcMar>
              <w:top w:w="0" w:type="dxa"/>
              <w:left w:w="108" w:type="dxa"/>
              <w:bottom w:w="0" w:type="dxa"/>
              <w:right w:w="108" w:type="dxa"/>
            </w:tcMar>
            <w:vAlign w:val="center"/>
          </w:tcPr>
          <w:p w14:paraId="5E69878D" w14:textId="77777777" w:rsidR="00052596" w:rsidRDefault="00000000">
            <w:pPr>
              <w:overflowPunct w:val="0"/>
              <w:autoSpaceDE w:val="0"/>
              <w:spacing w:line="360" w:lineRule="exact"/>
              <w:jc w:val="both"/>
              <w:textAlignment w:val="center"/>
            </w:pPr>
            <w:r>
              <w:rPr>
                <w:rFonts w:eastAsia="標楷體"/>
                <w:spacing w:val="4"/>
                <w:kern w:val="0"/>
                <w:szCs w:val="24"/>
              </w:rPr>
              <w:t>經濟成長率</w:t>
            </w:r>
            <w:r>
              <w:rPr>
                <w:rFonts w:ascii="標楷體" w:eastAsia="標楷體" w:hAnsi="標楷體"/>
                <w:spacing w:val="4"/>
                <w:kern w:val="0"/>
                <w:szCs w:val="24"/>
              </w:rPr>
              <w:t>(</w:t>
            </w:r>
            <w:r>
              <w:rPr>
                <w:rFonts w:eastAsia="標楷體"/>
                <w:spacing w:val="4"/>
                <w:kern w:val="0"/>
                <w:szCs w:val="24"/>
              </w:rPr>
              <w:t>%</w:t>
            </w:r>
            <w:r>
              <w:rPr>
                <w:rFonts w:ascii="標楷體" w:eastAsia="標楷體" w:hAnsi="標楷體"/>
                <w:spacing w:val="4"/>
                <w:kern w:val="0"/>
                <w:szCs w:val="24"/>
              </w:rPr>
              <w:t>)</w:t>
            </w:r>
          </w:p>
        </w:tc>
        <w:tc>
          <w:tcPr>
            <w:tcW w:w="2188" w:type="dxa"/>
            <w:tcBorders>
              <w:top w:val="single" w:sz="6" w:space="0" w:color="000000"/>
              <w:left w:val="single" w:sz="6" w:space="0" w:color="000000"/>
              <w:bottom w:val="single" w:sz="6" w:space="0" w:color="000000"/>
              <w:right w:val="single" w:sz="6" w:space="0" w:color="000000"/>
            </w:tcBorders>
            <w:shd w:val="clear" w:color="auto" w:fill="FFF0E1"/>
            <w:tcMar>
              <w:top w:w="0" w:type="dxa"/>
              <w:left w:w="108" w:type="dxa"/>
              <w:bottom w:w="0" w:type="dxa"/>
              <w:right w:w="108" w:type="dxa"/>
            </w:tcMar>
            <w:vAlign w:val="center"/>
          </w:tcPr>
          <w:p w14:paraId="11820B62"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3.54</w:t>
            </w:r>
          </w:p>
        </w:tc>
        <w:tc>
          <w:tcPr>
            <w:tcW w:w="2189" w:type="dxa"/>
            <w:tcBorders>
              <w:top w:val="single" w:sz="6" w:space="0" w:color="000000"/>
              <w:left w:val="single" w:sz="6" w:space="0" w:color="000000"/>
              <w:bottom w:val="single" w:sz="6" w:space="0" w:color="000000"/>
            </w:tcBorders>
            <w:shd w:val="clear" w:color="auto" w:fill="FFF0E1"/>
            <w:tcMar>
              <w:top w:w="0" w:type="dxa"/>
              <w:left w:w="108" w:type="dxa"/>
              <w:bottom w:w="0" w:type="dxa"/>
              <w:right w:w="108" w:type="dxa"/>
            </w:tcMar>
            <w:vAlign w:val="center"/>
          </w:tcPr>
          <w:p w14:paraId="44FB7C4D"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4.50</w:t>
            </w:r>
          </w:p>
        </w:tc>
      </w:tr>
      <w:tr w:rsidR="00052596" w14:paraId="7DCD3488" w14:textId="77777777">
        <w:tblPrEx>
          <w:tblCellMar>
            <w:top w:w="0" w:type="dxa"/>
            <w:bottom w:w="0" w:type="dxa"/>
          </w:tblCellMar>
        </w:tblPrEx>
        <w:trPr>
          <w:trHeight w:val="340"/>
        </w:trPr>
        <w:tc>
          <w:tcPr>
            <w:tcW w:w="2904" w:type="dxa"/>
            <w:tcBorders>
              <w:top w:val="single" w:sz="6" w:space="0" w:color="000000"/>
              <w:bottom w:val="single" w:sz="6" w:space="0" w:color="000000"/>
            </w:tcBorders>
            <w:shd w:val="clear" w:color="auto" w:fill="EFFFEF"/>
            <w:tcMar>
              <w:top w:w="0" w:type="dxa"/>
              <w:left w:w="108" w:type="dxa"/>
              <w:bottom w:w="0" w:type="dxa"/>
              <w:right w:w="108" w:type="dxa"/>
            </w:tcMar>
            <w:vAlign w:val="center"/>
          </w:tcPr>
          <w:p w14:paraId="6BCE184F" w14:textId="77777777" w:rsidR="00052596" w:rsidRDefault="00000000">
            <w:pPr>
              <w:overflowPunct w:val="0"/>
              <w:autoSpaceDE w:val="0"/>
              <w:spacing w:line="320" w:lineRule="exact"/>
              <w:jc w:val="both"/>
              <w:textAlignment w:val="center"/>
            </w:pPr>
            <w:r>
              <w:rPr>
                <w:rFonts w:eastAsia="標楷體"/>
                <w:spacing w:val="4"/>
                <w:kern w:val="0"/>
                <w:szCs w:val="24"/>
              </w:rPr>
              <w:t>成長來源</w:t>
            </w:r>
            <w:r>
              <w:rPr>
                <w:rFonts w:ascii="標楷體" w:eastAsia="標楷體" w:hAnsi="標楷體"/>
                <w:spacing w:val="4"/>
                <w:kern w:val="0"/>
                <w:szCs w:val="24"/>
              </w:rPr>
              <w:t>(</w:t>
            </w:r>
            <w:r>
              <w:rPr>
                <w:rFonts w:eastAsia="標楷體"/>
                <w:spacing w:val="4"/>
                <w:kern w:val="0"/>
                <w:szCs w:val="24"/>
              </w:rPr>
              <w:t>貢獻百分點</w:t>
            </w:r>
            <w:r>
              <w:rPr>
                <w:rFonts w:ascii="標楷體" w:eastAsia="標楷體" w:hAnsi="標楷體"/>
                <w:spacing w:val="4"/>
                <w:kern w:val="0"/>
                <w:szCs w:val="24"/>
              </w:rPr>
              <w:t>)</w:t>
            </w:r>
          </w:p>
        </w:tc>
        <w:tc>
          <w:tcPr>
            <w:tcW w:w="2188" w:type="dxa"/>
            <w:tcBorders>
              <w:top w:val="single" w:sz="6" w:space="0" w:color="000000"/>
              <w:bottom w:val="single" w:sz="6" w:space="0" w:color="000000"/>
            </w:tcBorders>
            <w:shd w:val="clear" w:color="auto" w:fill="EFFFEF"/>
            <w:tcMar>
              <w:top w:w="0" w:type="dxa"/>
              <w:left w:w="108" w:type="dxa"/>
              <w:bottom w:w="0" w:type="dxa"/>
              <w:right w:w="108" w:type="dxa"/>
            </w:tcMar>
          </w:tcPr>
          <w:p w14:paraId="5C876D08" w14:textId="77777777" w:rsidR="00052596" w:rsidRDefault="00052596">
            <w:pPr>
              <w:overflowPunct w:val="0"/>
              <w:autoSpaceDE w:val="0"/>
              <w:spacing w:line="320" w:lineRule="exact"/>
              <w:jc w:val="center"/>
              <w:textAlignment w:val="center"/>
              <w:rPr>
                <w:rFonts w:eastAsia="標楷體"/>
                <w:spacing w:val="4"/>
                <w:kern w:val="0"/>
                <w:szCs w:val="24"/>
              </w:rPr>
            </w:pPr>
          </w:p>
        </w:tc>
        <w:tc>
          <w:tcPr>
            <w:tcW w:w="2189" w:type="dxa"/>
            <w:tcBorders>
              <w:top w:val="single" w:sz="6" w:space="0" w:color="000000"/>
              <w:bottom w:val="single" w:sz="6" w:space="0" w:color="000000"/>
            </w:tcBorders>
            <w:shd w:val="clear" w:color="auto" w:fill="EFFFEF"/>
            <w:tcMar>
              <w:top w:w="0" w:type="dxa"/>
              <w:left w:w="108" w:type="dxa"/>
              <w:bottom w:w="0" w:type="dxa"/>
              <w:right w:w="108" w:type="dxa"/>
            </w:tcMar>
            <w:vAlign w:val="center"/>
          </w:tcPr>
          <w:p w14:paraId="526EC01F" w14:textId="77777777" w:rsidR="00052596" w:rsidRDefault="00052596">
            <w:pPr>
              <w:overflowPunct w:val="0"/>
              <w:autoSpaceDE w:val="0"/>
              <w:spacing w:line="320" w:lineRule="exact"/>
              <w:jc w:val="center"/>
              <w:textAlignment w:val="center"/>
              <w:rPr>
                <w:rFonts w:eastAsia="標楷體"/>
                <w:spacing w:val="4"/>
                <w:kern w:val="0"/>
                <w:szCs w:val="24"/>
              </w:rPr>
            </w:pPr>
          </w:p>
        </w:tc>
      </w:tr>
      <w:tr w:rsidR="00052596" w14:paraId="113813CA" w14:textId="77777777">
        <w:tblPrEx>
          <w:tblCellMar>
            <w:top w:w="0" w:type="dxa"/>
            <w:bottom w:w="0" w:type="dxa"/>
          </w:tblCellMar>
        </w:tblPrEx>
        <w:trPr>
          <w:trHeight w:val="386"/>
        </w:trPr>
        <w:tc>
          <w:tcPr>
            <w:tcW w:w="2904" w:type="dxa"/>
            <w:tcBorders>
              <w:top w:val="single" w:sz="6" w:space="0" w:color="000000"/>
              <w:right w:val="single" w:sz="6" w:space="0" w:color="000000"/>
            </w:tcBorders>
            <w:shd w:val="clear" w:color="auto" w:fill="FFF0E1"/>
            <w:tcMar>
              <w:top w:w="0" w:type="dxa"/>
              <w:left w:w="108" w:type="dxa"/>
              <w:bottom w:w="0" w:type="dxa"/>
              <w:right w:w="108" w:type="dxa"/>
            </w:tcMar>
            <w:vAlign w:val="center"/>
          </w:tcPr>
          <w:p w14:paraId="44654C5A" w14:textId="77777777" w:rsidR="00052596" w:rsidRDefault="00000000">
            <w:pPr>
              <w:overflowPunct w:val="0"/>
              <w:autoSpaceDE w:val="0"/>
              <w:spacing w:line="360" w:lineRule="exact"/>
              <w:jc w:val="both"/>
              <w:textAlignment w:val="center"/>
            </w:pPr>
            <w:r>
              <w:rPr>
                <w:rFonts w:eastAsia="標楷體"/>
                <w:spacing w:val="4"/>
                <w:kern w:val="0"/>
                <w:szCs w:val="24"/>
              </w:rPr>
              <w:t xml:space="preserve">　勞動投入</w:t>
            </w:r>
          </w:p>
        </w:tc>
        <w:tc>
          <w:tcPr>
            <w:tcW w:w="2188" w:type="dxa"/>
            <w:tcBorders>
              <w:top w:val="single" w:sz="6" w:space="0" w:color="000000"/>
              <w:left w:val="single" w:sz="6" w:space="0" w:color="000000"/>
              <w:right w:val="single" w:sz="6" w:space="0" w:color="000000"/>
            </w:tcBorders>
            <w:shd w:val="clear" w:color="auto" w:fill="FFF0E1"/>
            <w:tcMar>
              <w:top w:w="0" w:type="dxa"/>
              <w:left w:w="108" w:type="dxa"/>
              <w:bottom w:w="0" w:type="dxa"/>
              <w:right w:w="108" w:type="dxa"/>
            </w:tcMar>
            <w:vAlign w:val="center"/>
          </w:tcPr>
          <w:p w14:paraId="7D2EF7C7"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0.62</w:t>
            </w:r>
          </w:p>
        </w:tc>
        <w:tc>
          <w:tcPr>
            <w:tcW w:w="2189" w:type="dxa"/>
            <w:tcBorders>
              <w:top w:val="single" w:sz="6" w:space="0" w:color="000000"/>
              <w:left w:val="single" w:sz="6" w:space="0" w:color="000000"/>
            </w:tcBorders>
            <w:shd w:val="clear" w:color="auto" w:fill="FFF0E1"/>
            <w:tcMar>
              <w:top w:w="0" w:type="dxa"/>
              <w:left w:w="108" w:type="dxa"/>
              <w:bottom w:w="0" w:type="dxa"/>
              <w:right w:w="108" w:type="dxa"/>
            </w:tcMar>
            <w:vAlign w:val="center"/>
          </w:tcPr>
          <w:p w14:paraId="0DE47A64"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0.57</w:t>
            </w:r>
          </w:p>
        </w:tc>
      </w:tr>
      <w:tr w:rsidR="00052596" w14:paraId="5F51926F" w14:textId="77777777">
        <w:tblPrEx>
          <w:tblCellMar>
            <w:top w:w="0" w:type="dxa"/>
            <w:bottom w:w="0" w:type="dxa"/>
          </w:tblCellMar>
        </w:tblPrEx>
        <w:trPr>
          <w:trHeight w:val="386"/>
        </w:trPr>
        <w:tc>
          <w:tcPr>
            <w:tcW w:w="2904" w:type="dxa"/>
            <w:tcBorders>
              <w:right w:val="single" w:sz="6" w:space="0" w:color="000000"/>
            </w:tcBorders>
            <w:shd w:val="clear" w:color="auto" w:fill="FFF0E1"/>
            <w:tcMar>
              <w:top w:w="0" w:type="dxa"/>
              <w:left w:w="108" w:type="dxa"/>
              <w:bottom w:w="0" w:type="dxa"/>
              <w:right w:w="108" w:type="dxa"/>
            </w:tcMar>
            <w:vAlign w:val="center"/>
          </w:tcPr>
          <w:p w14:paraId="2F5BEE79" w14:textId="77777777" w:rsidR="00052596" w:rsidRDefault="00000000">
            <w:pPr>
              <w:overflowPunct w:val="0"/>
              <w:autoSpaceDE w:val="0"/>
              <w:spacing w:line="360" w:lineRule="exact"/>
              <w:jc w:val="both"/>
              <w:textAlignment w:val="center"/>
            </w:pPr>
            <w:r>
              <w:rPr>
                <w:rFonts w:eastAsia="標楷體"/>
                <w:spacing w:val="4"/>
                <w:kern w:val="0"/>
                <w:szCs w:val="24"/>
              </w:rPr>
              <w:t xml:space="preserve">　資本累積</w:t>
            </w:r>
          </w:p>
        </w:tc>
        <w:tc>
          <w:tcPr>
            <w:tcW w:w="218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74D8535F"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0.78</w:t>
            </w:r>
          </w:p>
        </w:tc>
        <w:tc>
          <w:tcPr>
            <w:tcW w:w="2189" w:type="dxa"/>
            <w:tcBorders>
              <w:left w:val="single" w:sz="6" w:space="0" w:color="000000"/>
            </w:tcBorders>
            <w:shd w:val="clear" w:color="auto" w:fill="FFF0E1"/>
            <w:tcMar>
              <w:top w:w="0" w:type="dxa"/>
              <w:left w:w="108" w:type="dxa"/>
              <w:bottom w:w="0" w:type="dxa"/>
              <w:right w:w="108" w:type="dxa"/>
            </w:tcMar>
            <w:vAlign w:val="center"/>
          </w:tcPr>
          <w:p w14:paraId="2A03654A"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1.21</w:t>
            </w:r>
          </w:p>
        </w:tc>
      </w:tr>
      <w:tr w:rsidR="00052596" w14:paraId="6D7F2675" w14:textId="77777777">
        <w:tblPrEx>
          <w:tblCellMar>
            <w:top w:w="0" w:type="dxa"/>
            <w:bottom w:w="0" w:type="dxa"/>
          </w:tblCellMar>
        </w:tblPrEx>
        <w:trPr>
          <w:trHeight w:val="386"/>
        </w:trPr>
        <w:tc>
          <w:tcPr>
            <w:tcW w:w="2904" w:type="dxa"/>
            <w:tcBorders>
              <w:bottom w:val="single" w:sz="6" w:space="0" w:color="000000"/>
              <w:right w:val="single" w:sz="6" w:space="0" w:color="000000"/>
            </w:tcBorders>
            <w:shd w:val="clear" w:color="auto" w:fill="FFF0E1"/>
            <w:tcMar>
              <w:top w:w="0" w:type="dxa"/>
              <w:left w:w="108" w:type="dxa"/>
              <w:bottom w:w="0" w:type="dxa"/>
              <w:right w:w="108" w:type="dxa"/>
            </w:tcMar>
            <w:vAlign w:val="center"/>
          </w:tcPr>
          <w:p w14:paraId="576BA243" w14:textId="77777777" w:rsidR="00052596" w:rsidRDefault="00000000">
            <w:pPr>
              <w:overflowPunct w:val="0"/>
              <w:autoSpaceDE w:val="0"/>
              <w:spacing w:line="360" w:lineRule="exact"/>
              <w:jc w:val="both"/>
              <w:textAlignment w:val="center"/>
            </w:pPr>
            <w:r>
              <w:rPr>
                <w:rFonts w:eastAsia="標楷體"/>
                <w:spacing w:val="4"/>
                <w:kern w:val="0"/>
                <w:szCs w:val="24"/>
              </w:rPr>
              <w:t xml:space="preserve">　總要素生產力</w:t>
            </w:r>
          </w:p>
        </w:tc>
        <w:tc>
          <w:tcPr>
            <w:tcW w:w="2188" w:type="dxa"/>
            <w:tcBorders>
              <w:left w:val="single" w:sz="6" w:space="0" w:color="000000"/>
              <w:bottom w:val="single" w:sz="6" w:space="0" w:color="000000"/>
              <w:right w:val="single" w:sz="6" w:space="0" w:color="000000"/>
            </w:tcBorders>
            <w:shd w:val="clear" w:color="auto" w:fill="FFF0E1"/>
            <w:tcMar>
              <w:top w:w="0" w:type="dxa"/>
              <w:left w:w="108" w:type="dxa"/>
              <w:bottom w:w="0" w:type="dxa"/>
              <w:right w:w="108" w:type="dxa"/>
            </w:tcMar>
            <w:vAlign w:val="center"/>
          </w:tcPr>
          <w:p w14:paraId="573CBA6E"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2.14</w:t>
            </w:r>
          </w:p>
        </w:tc>
        <w:tc>
          <w:tcPr>
            <w:tcW w:w="2189" w:type="dxa"/>
            <w:tcBorders>
              <w:left w:val="single" w:sz="6" w:space="0" w:color="000000"/>
              <w:bottom w:val="single" w:sz="6" w:space="0" w:color="000000"/>
            </w:tcBorders>
            <w:shd w:val="clear" w:color="auto" w:fill="FFF0E1"/>
            <w:tcMar>
              <w:top w:w="0" w:type="dxa"/>
              <w:left w:w="108" w:type="dxa"/>
              <w:bottom w:w="0" w:type="dxa"/>
              <w:right w:w="108" w:type="dxa"/>
            </w:tcMar>
            <w:vAlign w:val="center"/>
          </w:tcPr>
          <w:p w14:paraId="4FC902D9"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2.72</w:t>
            </w:r>
          </w:p>
        </w:tc>
      </w:tr>
      <w:tr w:rsidR="00052596" w14:paraId="53AC46CC" w14:textId="77777777">
        <w:tblPrEx>
          <w:tblCellMar>
            <w:top w:w="0" w:type="dxa"/>
            <w:bottom w:w="0" w:type="dxa"/>
          </w:tblCellMar>
        </w:tblPrEx>
        <w:trPr>
          <w:trHeight w:val="340"/>
        </w:trPr>
        <w:tc>
          <w:tcPr>
            <w:tcW w:w="2904" w:type="dxa"/>
            <w:tcBorders>
              <w:top w:val="single" w:sz="6" w:space="0" w:color="000000"/>
              <w:bottom w:val="single" w:sz="6" w:space="0" w:color="000000"/>
            </w:tcBorders>
            <w:shd w:val="clear" w:color="auto" w:fill="EFFFEF"/>
            <w:tcMar>
              <w:top w:w="0" w:type="dxa"/>
              <w:left w:w="108" w:type="dxa"/>
              <w:bottom w:w="0" w:type="dxa"/>
              <w:right w:w="108" w:type="dxa"/>
            </w:tcMar>
            <w:vAlign w:val="center"/>
          </w:tcPr>
          <w:p w14:paraId="41F3385C" w14:textId="77777777" w:rsidR="00052596" w:rsidRDefault="00000000">
            <w:pPr>
              <w:overflowPunct w:val="0"/>
              <w:autoSpaceDE w:val="0"/>
              <w:spacing w:line="360" w:lineRule="exact"/>
              <w:jc w:val="both"/>
              <w:textAlignment w:val="center"/>
            </w:pPr>
            <w:r>
              <w:rPr>
                <w:rFonts w:eastAsia="標楷體"/>
                <w:spacing w:val="4"/>
                <w:kern w:val="0"/>
                <w:szCs w:val="24"/>
              </w:rPr>
              <w:t>成長來源</w:t>
            </w:r>
            <w:r>
              <w:rPr>
                <w:rFonts w:ascii="標楷體" w:eastAsia="標楷體" w:hAnsi="標楷體"/>
                <w:spacing w:val="4"/>
                <w:kern w:val="0"/>
                <w:szCs w:val="24"/>
              </w:rPr>
              <w:t>(貢獻</w:t>
            </w:r>
            <w:r>
              <w:rPr>
                <w:rFonts w:eastAsia="標楷體"/>
                <w:spacing w:val="4"/>
                <w:kern w:val="0"/>
                <w:szCs w:val="24"/>
              </w:rPr>
              <w:t>百分率</w:t>
            </w:r>
            <w:r>
              <w:rPr>
                <w:rFonts w:ascii="標楷體" w:eastAsia="標楷體" w:hAnsi="標楷體"/>
                <w:spacing w:val="4"/>
                <w:kern w:val="0"/>
                <w:szCs w:val="24"/>
              </w:rPr>
              <w:t>)</w:t>
            </w:r>
          </w:p>
        </w:tc>
        <w:tc>
          <w:tcPr>
            <w:tcW w:w="2188" w:type="dxa"/>
            <w:tcBorders>
              <w:top w:val="single" w:sz="6" w:space="0" w:color="000000"/>
              <w:bottom w:val="single" w:sz="6" w:space="0" w:color="000000"/>
            </w:tcBorders>
            <w:shd w:val="clear" w:color="auto" w:fill="EFFFEF"/>
            <w:tcMar>
              <w:top w:w="0" w:type="dxa"/>
              <w:left w:w="108" w:type="dxa"/>
              <w:bottom w:w="0" w:type="dxa"/>
              <w:right w:w="108" w:type="dxa"/>
            </w:tcMar>
            <w:vAlign w:val="center"/>
          </w:tcPr>
          <w:p w14:paraId="2AC603F4" w14:textId="77777777" w:rsidR="00052596" w:rsidRDefault="00052596">
            <w:pPr>
              <w:overflowPunct w:val="0"/>
              <w:autoSpaceDE w:val="0"/>
              <w:spacing w:line="360" w:lineRule="exact"/>
              <w:ind w:left="459" w:hanging="221"/>
              <w:jc w:val="center"/>
              <w:textAlignment w:val="center"/>
              <w:rPr>
                <w:rFonts w:eastAsia="標楷體"/>
                <w:spacing w:val="4"/>
                <w:kern w:val="0"/>
                <w:szCs w:val="24"/>
              </w:rPr>
            </w:pPr>
          </w:p>
        </w:tc>
        <w:tc>
          <w:tcPr>
            <w:tcW w:w="2189" w:type="dxa"/>
            <w:tcBorders>
              <w:top w:val="single" w:sz="6" w:space="0" w:color="000000"/>
              <w:bottom w:val="single" w:sz="6" w:space="0" w:color="000000"/>
            </w:tcBorders>
            <w:shd w:val="clear" w:color="auto" w:fill="EFFFEF"/>
            <w:tcMar>
              <w:top w:w="0" w:type="dxa"/>
              <w:left w:w="108" w:type="dxa"/>
              <w:bottom w:w="0" w:type="dxa"/>
              <w:right w:w="108" w:type="dxa"/>
            </w:tcMar>
            <w:vAlign w:val="center"/>
          </w:tcPr>
          <w:p w14:paraId="09927C03" w14:textId="77777777" w:rsidR="00052596" w:rsidRDefault="00052596">
            <w:pPr>
              <w:overflowPunct w:val="0"/>
              <w:autoSpaceDE w:val="0"/>
              <w:spacing w:line="360" w:lineRule="exact"/>
              <w:ind w:left="459" w:hanging="221"/>
              <w:jc w:val="center"/>
              <w:textAlignment w:val="center"/>
              <w:rPr>
                <w:rFonts w:eastAsia="標楷體"/>
                <w:spacing w:val="4"/>
                <w:kern w:val="0"/>
                <w:szCs w:val="24"/>
              </w:rPr>
            </w:pPr>
          </w:p>
        </w:tc>
      </w:tr>
      <w:tr w:rsidR="00052596" w14:paraId="688513B4" w14:textId="77777777">
        <w:tblPrEx>
          <w:tblCellMar>
            <w:top w:w="0" w:type="dxa"/>
            <w:bottom w:w="0" w:type="dxa"/>
          </w:tblCellMar>
        </w:tblPrEx>
        <w:trPr>
          <w:trHeight w:val="397"/>
        </w:trPr>
        <w:tc>
          <w:tcPr>
            <w:tcW w:w="2904" w:type="dxa"/>
            <w:tcBorders>
              <w:top w:val="single" w:sz="6" w:space="0" w:color="000000"/>
              <w:right w:val="single" w:sz="6" w:space="0" w:color="000000"/>
            </w:tcBorders>
            <w:shd w:val="clear" w:color="auto" w:fill="FFF0E1"/>
            <w:tcMar>
              <w:top w:w="0" w:type="dxa"/>
              <w:left w:w="108" w:type="dxa"/>
              <w:bottom w:w="0" w:type="dxa"/>
              <w:right w:w="108" w:type="dxa"/>
            </w:tcMar>
            <w:vAlign w:val="center"/>
          </w:tcPr>
          <w:p w14:paraId="1324D36F" w14:textId="77777777" w:rsidR="00052596" w:rsidRDefault="00000000">
            <w:pPr>
              <w:overflowPunct w:val="0"/>
              <w:autoSpaceDE w:val="0"/>
              <w:spacing w:line="360" w:lineRule="exact"/>
              <w:jc w:val="both"/>
              <w:textAlignment w:val="center"/>
            </w:pPr>
            <w:r>
              <w:rPr>
                <w:rFonts w:eastAsia="標楷體"/>
                <w:spacing w:val="4"/>
                <w:kern w:val="0"/>
                <w:szCs w:val="24"/>
              </w:rPr>
              <w:t xml:space="preserve">　勞動投入</w:t>
            </w:r>
          </w:p>
        </w:tc>
        <w:tc>
          <w:tcPr>
            <w:tcW w:w="2188" w:type="dxa"/>
            <w:tcBorders>
              <w:top w:val="single" w:sz="6" w:space="0" w:color="000000"/>
              <w:left w:val="single" w:sz="6" w:space="0" w:color="000000"/>
              <w:right w:val="single" w:sz="6" w:space="0" w:color="000000"/>
            </w:tcBorders>
            <w:shd w:val="clear" w:color="auto" w:fill="FFF0E1"/>
            <w:tcMar>
              <w:top w:w="0" w:type="dxa"/>
              <w:left w:w="108" w:type="dxa"/>
              <w:bottom w:w="0" w:type="dxa"/>
              <w:right w:w="108" w:type="dxa"/>
            </w:tcMar>
            <w:vAlign w:val="center"/>
          </w:tcPr>
          <w:p w14:paraId="06CFFC34"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17.52</w:t>
            </w:r>
          </w:p>
        </w:tc>
        <w:tc>
          <w:tcPr>
            <w:tcW w:w="2189" w:type="dxa"/>
            <w:tcBorders>
              <w:top w:val="single" w:sz="6" w:space="0" w:color="000000"/>
              <w:left w:val="single" w:sz="6" w:space="0" w:color="000000"/>
            </w:tcBorders>
            <w:shd w:val="clear" w:color="auto" w:fill="FFF0E1"/>
            <w:tcMar>
              <w:top w:w="0" w:type="dxa"/>
              <w:left w:w="108" w:type="dxa"/>
              <w:bottom w:w="0" w:type="dxa"/>
              <w:right w:w="108" w:type="dxa"/>
            </w:tcMar>
            <w:vAlign w:val="center"/>
          </w:tcPr>
          <w:p w14:paraId="740B172D"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12.67</w:t>
            </w:r>
          </w:p>
        </w:tc>
      </w:tr>
      <w:tr w:rsidR="00052596" w14:paraId="30B0973C" w14:textId="77777777">
        <w:tblPrEx>
          <w:tblCellMar>
            <w:top w:w="0" w:type="dxa"/>
            <w:bottom w:w="0" w:type="dxa"/>
          </w:tblCellMar>
        </w:tblPrEx>
        <w:trPr>
          <w:trHeight w:val="397"/>
        </w:trPr>
        <w:tc>
          <w:tcPr>
            <w:tcW w:w="2904" w:type="dxa"/>
            <w:tcBorders>
              <w:right w:val="single" w:sz="6" w:space="0" w:color="000000"/>
            </w:tcBorders>
            <w:shd w:val="clear" w:color="auto" w:fill="FFF0E1"/>
            <w:tcMar>
              <w:top w:w="0" w:type="dxa"/>
              <w:left w:w="108" w:type="dxa"/>
              <w:bottom w:w="0" w:type="dxa"/>
              <w:right w:w="108" w:type="dxa"/>
            </w:tcMar>
            <w:vAlign w:val="center"/>
          </w:tcPr>
          <w:p w14:paraId="5451D20E" w14:textId="77777777" w:rsidR="00052596" w:rsidRDefault="00000000">
            <w:pPr>
              <w:overflowPunct w:val="0"/>
              <w:autoSpaceDE w:val="0"/>
              <w:spacing w:line="360" w:lineRule="exact"/>
              <w:jc w:val="both"/>
              <w:textAlignment w:val="center"/>
            </w:pPr>
            <w:r>
              <w:rPr>
                <w:rFonts w:eastAsia="標楷體"/>
                <w:spacing w:val="4"/>
                <w:kern w:val="0"/>
                <w:szCs w:val="24"/>
              </w:rPr>
              <w:t xml:space="preserve">　資本累積</w:t>
            </w:r>
          </w:p>
        </w:tc>
        <w:tc>
          <w:tcPr>
            <w:tcW w:w="2188" w:type="dxa"/>
            <w:tcBorders>
              <w:left w:val="single" w:sz="6" w:space="0" w:color="000000"/>
              <w:right w:val="single" w:sz="6" w:space="0" w:color="000000"/>
            </w:tcBorders>
            <w:shd w:val="clear" w:color="auto" w:fill="FFF0E1"/>
            <w:tcMar>
              <w:top w:w="0" w:type="dxa"/>
              <w:left w:w="108" w:type="dxa"/>
              <w:bottom w:w="0" w:type="dxa"/>
              <w:right w:w="108" w:type="dxa"/>
            </w:tcMar>
            <w:vAlign w:val="center"/>
          </w:tcPr>
          <w:p w14:paraId="61F451FA"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22.03</w:t>
            </w:r>
          </w:p>
        </w:tc>
        <w:tc>
          <w:tcPr>
            <w:tcW w:w="2189" w:type="dxa"/>
            <w:tcBorders>
              <w:left w:val="single" w:sz="6" w:space="0" w:color="000000"/>
            </w:tcBorders>
            <w:shd w:val="clear" w:color="auto" w:fill="FFF0E1"/>
            <w:tcMar>
              <w:top w:w="0" w:type="dxa"/>
              <w:left w:w="108" w:type="dxa"/>
              <w:bottom w:w="0" w:type="dxa"/>
              <w:right w:w="108" w:type="dxa"/>
            </w:tcMar>
            <w:vAlign w:val="center"/>
          </w:tcPr>
          <w:p w14:paraId="74F9DD6D"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26.89</w:t>
            </w:r>
          </w:p>
        </w:tc>
      </w:tr>
      <w:tr w:rsidR="00052596" w14:paraId="51AE22D0" w14:textId="77777777">
        <w:tblPrEx>
          <w:tblCellMar>
            <w:top w:w="0" w:type="dxa"/>
            <w:bottom w:w="0" w:type="dxa"/>
          </w:tblCellMar>
        </w:tblPrEx>
        <w:trPr>
          <w:trHeight w:val="397"/>
        </w:trPr>
        <w:tc>
          <w:tcPr>
            <w:tcW w:w="2904" w:type="dxa"/>
            <w:tcBorders>
              <w:bottom w:val="single" w:sz="6" w:space="0" w:color="000000"/>
              <w:right w:val="single" w:sz="6" w:space="0" w:color="000000"/>
            </w:tcBorders>
            <w:shd w:val="clear" w:color="auto" w:fill="FFF0E1"/>
            <w:tcMar>
              <w:top w:w="0" w:type="dxa"/>
              <w:left w:w="108" w:type="dxa"/>
              <w:bottom w:w="0" w:type="dxa"/>
              <w:right w:w="108" w:type="dxa"/>
            </w:tcMar>
            <w:vAlign w:val="center"/>
          </w:tcPr>
          <w:p w14:paraId="01A69D5C" w14:textId="77777777" w:rsidR="00052596" w:rsidRDefault="00000000">
            <w:pPr>
              <w:overflowPunct w:val="0"/>
              <w:autoSpaceDE w:val="0"/>
              <w:spacing w:line="360" w:lineRule="exact"/>
              <w:jc w:val="both"/>
              <w:textAlignment w:val="center"/>
            </w:pPr>
            <w:r>
              <w:rPr>
                <w:rFonts w:eastAsia="標楷體"/>
                <w:spacing w:val="4"/>
                <w:kern w:val="0"/>
                <w:szCs w:val="24"/>
              </w:rPr>
              <w:t xml:space="preserve">　總要素生產力</w:t>
            </w:r>
          </w:p>
        </w:tc>
        <w:tc>
          <w:tcPr>
            <w:tcW w:w="2188" w:type="dxa"/>
            <w:tcBorders>
              <w:left w:val="single" w:sz="6" w:space="0" w:color="000000"/>
              <w:bottom w:val="single" w:sz="6" w:space="0" w:color="000000"/>
              <w:right w:val="single" w:sz="6" w:space="0" w:color="000000"/>
            </w:tcBorders>
            <w:shd w:val="clear" w:color="auto" w:fill="FFF0E1"/>
            <w:tcMar>
              <w:top w:w="0" w:type="dxa"/>
              <w:left w:w="108" w:type="dxa"/>
              <w:bottom w:w="0" w:type="dxa"/>
              <w:right w:w="108" w:type="dxa"/>
            </w:tcMar>
            <w:vAlign w:val="center"/>
          </w:tcPr>
          <w:p w14:paraId="6FEF8D9D"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60.45</w:t>
            </w:r>
          </w:p>
        </w:tc>
        <w:tc>
          <w:tcPr>
            <w:tcW w:w="2189" w:type="dxa"/>
            <w:tcBorders>
              <w:left w:val="single" w:sz="6" w:space="0" w:color="000000"/>
              <w:bottom w:val="single" w:sz="6" w:space="0" w:color="000000"/>
            </w:tcBorders>
            <w:shd w:val="clear" w:color="auto" w:fill="FFF0E1"/>
            <w:tcMar>
              <w:top w:w="0" w:type="dxa"/>
              <w:left w:w="108" w:type="dxa"/>
              <w:bottom w:w="0" w:type="dxa"/>
              <w:right w:w="108" w:type="dxa"/>
            </w:tcMar>
            <w:vAlign w:val="center"/>
          </w:tcPr>
          <w:p w14:paraId="5418ACE8" w14:textId="77777777" w:rsidR="00052596" w:rsidRDefault="00000000">
            <w:pPr>
              <w:tabs>
                <w:tab w:val="decimal" w:pos="936"/>
              </w:tabs>
              <w:overflowPunct w:val="0"/>
              <w:autoSpaceDE w:val="0"/>
              <w:spacing w:line="360" w:lineRule="exact"/>
              <w:jc w:val="both"/>
              <w:textAlignment w:val="center"/>
              <w:rPr>
                <w:rFonts w:eastAsia="標楷體"/>
                <w:spacing w:val="4"/>
                <w:kern w:val="0"/>
                <w:szCs w:val="24"/>
              </w:rPr>
            </w:pPr>
            <w:r>
              <w:rPr>
                <w:rFonts w:eastAsia="標楷體"/>
                <w:spacing w:val="4"/>
                <w:kern w:val="0"/>
                <w:szCs w:val="24"/>
              </w:rPr>
              <w:t>60.44</w:t>
            </w:r>
          </w:p>
        </w:tc>
      </w:tr>
    </w:tbl>
    <w:p w14:paraId="207A59EF" w14:textId="77777777" w:rsidR="00052596" w:rsidRDefault="00000000">
      <w:pPr>
        <w:overflowPunct w:val="0"/>
        <w:autoSpaceDE w:val="0"/>
        <w:spacing w:line="280" w:lineRule="exact"/>
        <w:ind w:left="1123" w:firstLine="9"/>
        <w:jc w:val="both"/>
        <w:textAlignment w:val="center"/>
        <w:rPr>
          <w:rFonts w:eastAsia="標楷體"/>
          <w:spacing w:val="-2"/>
          <w:kern w:val="0"/>
          <w:sz w:val="22"/>
          <w:szCs w:val="22"/>
        </w:rPr>
      </w:pPr>
      <w:r>
        <w:rPr>
          <w:rFonts w:eastAsia="標楷體"/>
          <w:spacing w:val="-2"/>
          <w:kern w:val="0"/>
          <w:sz w:val="22"/>
          <w:szCs w:val="22"/>
        </w:rPr>
        <w:t>資料來源：依據行政院主計總處資料推估。</w:t>
      </w:r>
    </w:p>
    <w:p w14:paraId="10D8ED89" w14:textId="77777777" w:rsidR="00052596" w:rsidRDefault="00052596">
      <w:pPr>
        <w:overflowPunct w:val="0"/>
        <w:autoSpaceDE w:val="0"/>
        <w:spacing w:line="200" w:lineRule="exact"/>
        <w:ind w:left="1125" w:hanging="134"/>
        <w:jc w:val="both"/>
        <w:textAlignment w:val="center"/>
        <w:rPr>
          <w:rFonts w:eastAsia="標楷體"/>
          <w:spacing w:val="-2"/>
          <w:kern w:val="0"/>
          <w:sz w:val="22"/>
          <w:szCs w:val="22"/>
        </w:rPr>
      </w:pPr>
    </w:p>
    <w:p w14:paraId="6D1D4DB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勞動市場目標</w:t>
      </w:r>
    </w:p>
    <w:p w14:paraId="183BB1D0" w14:textId="77777777" w:rsidR="00052596" w:rsidRDefault="00000000">
      <w:pPr>
        <w:overflowPunct w:val="0"/>
        <w:autoSpaceDE w:val="0"/>
        <w:spacing w:line="420" w:lineRule="exact"/>
        <w:ind w:left="1032" w:firstLine="576"/>
        <w:jc w:val="both"/>
        <w:textAlignment w:val="center"/>
        <w:rPr>
          <w:rFonts w:eastAsia="標楷體"/>
          <w:spacing w:val="4"/>
          <w:kern w:val="0"/>
          <w:sz w:val="28"/>
          <w:szCs w:val="22"/>
        </w:rPr>
      </w:pPr>
      <w:r>
        <w:rPr>
          <w:rFonts w:eastAsia="標楷體"/>
          <w:spacing w:val="4"/>
          <w:kern w:val="0"/>
          <w:sz w:val="28"/>
          <w:szCs w:val="22"/>
        </w:rPr>
        <w:t>未來四年，政府賡續落實推動「經濟動能推升方案」、「人才培育方案」及「縮短學訓考用落差方案」等相關措施，促進民間投資，以開發在地就業機會，加強人力資本投資，提升就業力與就業率；另加強產學合作，培育知識經濟人才，以提升國內勞動人口就業力與競爭力。設定</w:t>
      </w:r>
      <w:r>
        <w:rPr>
          <w:rFonts w:eastAsia="標楷體"/>
          <w:spacing w:val="4"/>
          <w:kern w:val="0"/>
          <w:sz w:val="28"/>
          <w:szCs w:val="22"/>
        </w:rPr>
        <w:t>105</w:t>
      </w:r>
      <w:r>
        <w:rPr>
          <w:rFonts w:eastAsia="標楷體"/>
          <w:spacing w:val="4"/>
          <w:kern w:val="0"/>
          <w:sz w:val="28"/>
          <w:szCs w:val="22"/>
        </w:rPr>
        <w:t>年勞動力參與率增加為</w:t>
      </w:r>
      <w:r>
        <w:rPr>
          <w:rFonts w:eastAsia="標楷體"/>
          <w:spacing w:val="4"/>
          <w:kern w:val="0"/>
          <w:sz w:val="28"/>
          <w:szCs w:val="22"/>
        </w:rPr>
        <w:t>58.7%</w:t>
      </w:r>
      <w:r>
        <w:rPr>
          <w:rFonts w:eastAsia="標楷體"/>
          <w:spacing w:val="4"/>
          <w:kern w:val="0"/>
          <w:sz w:val="28"/>
          <w:szCs w:val="22"/>
        </w:rPr>
        <w:t>，</w:t>
      </w:r>
      <w:r>
        <w:rPr>
          <w:rFonts w:eastAsia="標楷體"/>
          <w:spacing w:val="4"/>
          <w:kern w:val="0"/>
          <w:sz w:val="28"/>
          <w:szCs w:val="22"/>
        </w:rPr>
        <w:t>15</w:t>
      </w:r>
      <w:r>
        <w:rPr>
          <w:rFonts w:eastAsia="標楷體"/>
          <w:spacing w:val="4"/>
          <w:kern w:val="0"/>
          <w:sz w:val="28"/>
          <w:szCs w:val="22"/>
        </w:rPr>
        <w:t>歲以上民間人口就業率提高為</w:t>
      </w:r>
      <w:r>
        <w:rPr>
          <w:rFonts w:eastAsia="標楷體"/>
          <w:spacing w:val="4"/>
          <w:kern w:val="0"/>
          <w:sz w:val="28"/>
          <w:szCs w:val="22"/>
        </w:rPr>
        <w:lastRenderedPageBreak/>
        <w:t>56.4%</w:t>
      </w:r>
      <w:r>
        <w:rPr>
          <w:rFonts w:eastAsia="標楷體"/>
          <w:spacing w:val="4"/>
          <w:kern w:val="0"/>
          <w:sz w:val="28"/>
          <w:szCs w:val="22"/>
        </w:rPr>
        <w:t>，就業增加率</w:t>
      </w:r>
      <w:r>
        <w:rPr>
          <w:rFonts w:eastAsia="標楷體"/>
          <w:spacing w:val="4"/>
          <w:kern w:val="0"/>
          <w:sz w:val="28"/>
          <w:szCs w:val="22"/>
        </w:rPr>
        <w:t>1.0%</w:t>
      </w:r>
      <w:r>
        <w:rPr>
          <w:rFonts w:eastAsia="標楷體"/>
          <w:spacing w:val="4"/>
          <w:kern w:val="0"/>
          <w:sz w:val="28"/>
          <w:szCs w:val="22"/>
        </w:rPr>
        <w:t>，失業率降至</w:t>
      </w:r>
      <w:r>
        <w:rPr>
          <w:rFonts w:eastAsia="標楷體"/>
          <w:spacing w:val="4"/>
          <w:kern w:val="0"/>
          <w:sz w:val="28"/>
          <w:szCs w:val="22"/>
        </w:rPr>
        <w:t>3.9%</w:t>
      </w:r>
      <w:r>
        <w:rPr>
          <w:rFonts w:eastAsia="標楷體"/>
          <w:spacing w:val="4"/>
          <w:kern w:val="0"/>
          <w:sz w:val="28"/>
          <w:szCs w:val="22"/>
        </w:rPr>
        <w:t>。</w:t>
      </w:r>
    </w:p>
    <w:tbl>
      <w:tblPr>
        <w:tblW w:w="8505" w:type="dxa"/>
        <w:jc w:val="center"/>
        <w:tblLayout w:type="fixed"/>
        <w:tblCellMar>
          <w:left w:w="10" w:type="dxa"/>
          <w:right w:w="10" w:type="dxa"/>
        </w:tblCellMar>
        <w:tblLook w:val="04A0" w:firstRow="1" w:lastRow="0" w:firstColumn="1" w:lastColumn="0" w:noHBand="0" w:noVBand="1"/>
      </w:tblPr>
      <w:tblGrid>
        <w:gridCol w:w="8505"/>
      </w:tblGrid>
      <w:tr w:rsidR="00052596" w14:paraId="4DDFF2E5" w14:textId="77777777">
        <w:tblPrEx>
          <w:tblCellMar>
            <w:top w:w="0" w:type="dxa"/>
            <w:bottom w:w="0" w:type="dxa"/>
          </w:tblCellMar>
        </w:tblPrEx>
        <w:trPr>
          <w:trHeight w:val="10741"/>
          <w:jc w:val="center"/>
        </w:trPr>
        <w:tc>
          <w:tcPr>
            <w:tcW w:w="8505" w:type="dxa"/>
            <w:tcBorders>
              <w:top w:val="single" w:sz="6" w:space="0" w:color="000000"/>
              <w:left w:val="single" w:sz="6" w:space="0" w:color="000000"/>
              <w:bottom w:val="single" w:sz="6" w:space="0" w:color="000000"/>
              <w:right w:val="single" w:sz="6" w:space="0" w:color="000000"/>
            </w:tcBorders>
            <w:shd w:val="clear" w:color="auto" w:fill="EFF5FF"/>
            <w:tcMar>
              <w:top w:w="0" w:type="dxa"/>
              <w:left w:w="108" w:type="dxa"/>
              <w:bottom w:w="0" w:type="dxa"/>
              <w:right w:w="108" w:type="dxa"/>
            </w:tcMar>
          </w:tcPr>
          <w:p w14:paraId="452138ED" w14:textId="77777777" w:rsidR="00052596" w:rsidRDefault="00000000">
            <w:pPr>
              <w:overflowPunct w:val="0"/>
              <w:autoSpaceDE w:val="0"/>
              <w:spacing w:before="240" w:after="120" w:line="360" w:lineRule="exact"/>
              <w:jc w:val="center"/>
              <w:textAlignment w:val="center"/>
              <w:rPr>
                <w:rFonts w:ascii="新細明體" w:hAnsi="新細明體"/>
                <w:b/>
                <w:color w:val="0000FF"/>
                <w:spacing w:val="14"/>
                <w:kern w:val="0"/>
                <w:szCs w:val="24"/>
              </w:rPr>
            </w:pPr>
            <w:r>
              <w:rPr>
                <w:rFonts w:ascii="新細明體" w:hAnsi="新細明體"/>
                <w:b/>
                <w:color w:val="0000FF"/>
                <w:spacing w:val="14"/>
                <w:kern w:val="0"/>
                <w:szCs w:val="24"/>
              </w:rPr>
              <w:t>推動結構性改革，促進經濟成長</w:t>
            </w:r>
          </w:p>
          <w:p w14:paraId="2691B710" w14:textId="77777777" w:rsidR="00052596" w:rsidRDefault="00000000">
            <w:pPr>
              <w:overflowPunct w:val="0"/>
              <w:autoSpaceDE w:val="0"/>
              <w:spacing w:line="40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90至100年經濟成長率平均3.94%，遠低於80至89年平均6.24%，減少2.3個百分點。從經濟成長來源分析，主因有二：一是來自民間投資下降所導致的資本累積減少；二是來自反映整體經濟效率與技術進步的總要素生產力成長減緩。更值得重視的是，總要素生產力的影響因素中，與整體經濟的創造性破壞機制等密切相關的資源重配置效應大幅減弱，其對經濟成長的貢獻，由80至89年平均的0.35個百分點，降為90至100年的負貢獻0.01個百分點，突顯近十年來我國資源配置效益未能充分發揮，拖累經濟成長。此一發展趨勢亟需調整，以免衝擊未來臺灣經濟成長。</w:t>
            </w:r>
          </w:p>
          <w:p w14:paraId="3F28A7EB" w14:textId="77777777" w:rsidR="00052596" w:rsidRDefault="00000000">
            <w:pPr>
              <w:overflowPunct w:val="0"/>
              <w:autoSpaceDE w:val="0"/>
              <w:spacing w:line="40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OECD(2012)指出，後金融風暴時期，各國為恢復經濟活力及推動永續的穩定成長，均積極推動結構改革(structural reform)，包括：勞動市場改革、租稅改革及產品市場改革等。OECD的實證研究顯示，結構性改革對經濟體的長期影響有利(包括提升勞動生產力及擴增就業)，很少造成重大損失，惟改革的效益往往需要一段時間才能完全展現。至於實際效益顯現的時點，則需視各國推動結構性改革的速度、改革層面及改革制度的設計而定。此外，結構性改革的短期衝擊未必是負面，設計良好的結構性改革在短期即能迅速推動成長。另有效的溝通策略，將提振民間信心與消費，亦有助提升短期效益。</w:t>
            </w:r>
          </w:p>
          <w:p w14:paraId="15BECAAD" w14:textId="77777777" w:rsidR="00052596" w:rsidRDefault="00000000">
            <w:pPr>
              <w:overflowPunct w:val="0"/>
              <w:autoSpaceDE w:val="0"/>
              <w:spacing w:line="360" w:lineRule="exact"/>
              <w:ind w:left="72"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未來四年，政府積極執行「經濟動能推升方案」，將以「體制調整」及「法規鬆綁」為主軸，進行中長期經濟體質改造，以增強臺灣產業因應景氣波動能力並提高資源配置效率，促進經濟穩定成長。</w:t>
            </w:r>
          </w:p>
          <w:p w14:paraId="5371FC54" w14:textId="77777777" w:rsidR="00052596" w:rsidRDefault="00000000">
            <w:pPr>
              <w:overflowPunct w:val="0"/>
              <w:autoSpaceDE w:val="0"/>
              <w:spacing w:before="120" w:after="120" w:line="400" w:lineRule="exact"/>
              <w:ind w:left="72" w:right="72"/>
              <w:jc w:val="center"/>
              <w:textAlignment w:val="center"/>
              <w:rPr>
                <w:rFonts w:ascii="新細明體" w:hAnsi="新細明體"/>
                <w:b/>
                <w:bCs/>
                <w:color w:val="0000FF"/>
                <w:spacing w:val="8"/>
                <w:kern w:val="0"/>
                <w:sz w:val="22"/>
                <w:szCs w:val="22"/>
              </w:rPr>
            </w:pPr>
            <w:r>
              <w:rPr>
                <w:rFonts w:ascii="新細明體" w:hAnsi="新細明體"/>
                <w:b/>
                <w:bCs/>
                <w:color w:val="0000FF"/>
                <w:spacing w:val="8"/>
                <w:kern w:val="0"/>
                <w:sz w:val="22"/>
                <w:szCs w:val="22"/>
              </w:rPr>
              <w:t>臺灣經濟成長來源</w:t>
            </w:r>
          </w:p>
          <w:tbl>
            <w:tblPr>
              <w:tblW w:w="7182" w:type="dxa"/>
              <w:jc w:val="center"/>
              <w:tblLayout w:type="fixed"/>
              <w:tblCellMar>
                <w:left w:w="10" w:type="dxa"/>
                <w:right w:w="10" w:type="dxa"/>
              </w:tblCellMar>
              <w:tblLook w:val="04A0" w:firstRow="1" w:lastRow="0" w:firstColumn="1" w:lastColumn="0" w:noHBand="0" w:noVBand="1"/>
            </w:tblPr>
            <w:tblGrid>
              <w:gridCol w:w="3071"/>
              <w:gridCol w:w="2055"/>
              <w:gridCol w:w="2056"/>
            </w:tblGrid>
            <w:tr w:rsidR="00052596" w14:paraId="48F44BF1" w14:textId="77777777">
              <w:tblPrEx>
                <w:tblCellMar>
                  <w:top w:w="0" w:type="dxa"/>
                  <w:bottom w:w="0" w:type="dxa"/>
                </w:tblCellMar>
              </w:tblPrEx>
              <w:trPr>
                <w:trHeight w:val="353"/>
                <w:jc w:val="center"/>
              </w:trPr>
              <w:tc>
                <w:tcPr>
                  <w:tcW w:w="3071" w:type="dxa"/>
                  <w:tcBorders>
                    <w:top w:val="single" w:sz="4" w:space="0" w:color="000000"/>
                    <w:bottom w:val="single" w:sz="4" w:space="0" w:color="000000"/>
                    <w:right w:val="single" w:sz="4" w:space="0" w:color="000000"/>
                  </w:tcBorders>
                  <w:shd w:val="clear" w:color="auto" w:fill="EFFFEF"/>
                  <w:tcMar>
                    <w:top w:w="0" w:type="dxa"/>
                    <w:left w:w="108" w:type="dxa"/>
                    <w:bottom w:w="0" w:type="dxa"/>
                    <w:right w:w="108" w:type="dxa"/>
                  </w:tcMar>
                </w:tcPr>
                <w:p w14:paraId="56EA062B" w14:textId="77777777" w:rsidR="00052596" w:rsidRDefault="00052596">
                  <w:pPr>
                    <w:spacing w:line="400" w:lineRule="exact"/>
                    <w:ind w:left="522" w:hanging="522"/>
                    <w:textAlignment w:val="center"/>
                    <w:rPr>
                      <w:rFonts w:ascii="新細明體" w:hAnsi="新細明體"/>
                      <w:sz w:val="22"/>
                      <w:szCs w:val="22"/>
                    </w:rPr>
                  </w:pPr>
                </w:p>
              </w:tc>
              <w:tc>
                <w:tcPr>
                  <w:tcW w:w="2055" w:type="dxa"/>
                  <w:tcBorders>
                    <w:top w:val="single" w:sz="4" w:space="0" w:color="000000"/>
                    <w:left w:val="single" w:sz="4" w:space="0" w:color="000000"/>
                    <w:bottom w:val="single" w:sz="4" w:space="0" w:color="000000"/>
                    <w:right w:val="single" w:sz="4" w:space="0" w:color="000000"/>
                  </w:tcBorders>
                  <w:shd w:val="clear" w:color="auto" w:fill="EFFFEF"/>
                  <w:tcMar>
                    <w:top w:w="0" w:type="dxa"/>
                    <w:left w:w="108" w:type="dxa"/>
                    <w:bottom w:w="0" w:type="dxa"/>
                    <w:right w:w="108" w:type="dxa"/>
                  </w:tcMar>
                </w:tcPr>
                <w:p w14:paraId="6AFB8FC9" w14:textId="77777777" w:rsidR="00052596" w:rsidRDefault="00000000">
                  <w:pPr>
                    <w:spacing w:line="400" w:lineRule="exact"/>
                    <w:jc w:val="center"/>
                    <w:textAlignment w:val="center"/>
                    <w:rPr>
                      <w:rFonts w:ascii="新細明體" w:hAnsi="新細明體"/>
                      <w:sz w:val="22"/>
                      <w:szCs w:val="22"/>
                    </w:rPr>
                  </w:pPr>
                  <w:r>
                    <w:rPr>
                      <w:rFonts w:ascii="新細明體" w:hAnsi="新細明體"/>
                      <w:sz w:val="22"/>
                      <w:szCs w:val="22"/>
                    </w:rPr>
                    <w:t>80-89年平均</w:t>
                  </w:r>
                </w:p>
              </w:tc>
              <w:tc>
                <w:tcPr>
                  <w:tcW w:w="2056" w:type="dxa"/>
                  <w:tcBorders>
                    <w:top w:val="single" w:sz="4" w:space="0" w:color="000000"/>
                    <w:left w:val="single" w:sz="4" w:space="0" w:color="000000"/>
                    <w:bottom w:val="single" w:sz="4" w:space="0" w:color="000000"/>
                  </w:tcBorders>
                  <w:shd w:val="clear" w:color="auto" w:fill="EFFFEF"/>
                  <w:tcMar>
                    <w:top w:w="0" w:type="dxa"/>
                    <w:left w:w="108" w:type="dxa"/>
                    <w:bottom w:w="0" w:type="dxa"/>
                    <w:right w:w="108" w:type="dxa"/>
                  </w:tcMar>
                </w:tcPr>
                <w:p w14:paraId="4FC80F00" w14:textId="77777777" w:rsidR="00052596" w:rsidRDefault="00000000">
                  <w:pPr>
                    <w:spacing w:line="400" w:lineRule="exact"/>
                    <w:jc w:val="center"/>
                    <w:textAlignment w:val="center"/>
                    <w:rPr>
                      <w:rFonts w:ascii="新細明體" w:hAnsi="新細明體"/>
                      <w:sz w:val="22"/>
                      <w:szCs w:val="22"/>
                    </w:rPr>
                  </w:pPr>
                  <w:r>
                    <w:rPr>
                      <w:rFonts w:ascii="新細明體" w:hAnsi="新細明體"/>
                      <w:sz w:val="22"/>
                      <w:szCs w:val="22"/>
                    </w:rPr>
                    <w:t>90-100年平均</w:t>
                  </w:r>
                </w:p>
              </w:tc>
            </w:tr>
            <w:tr w:rsidR="00052596" w14:paraId="598772CC" w14:textId="77777777">
              <w:tblPrEx>
                <w:tblCellMar>
                  <w:top w:w="0" w:type="dxa"/>
                  <w:bottom w:w="0" w:type="dxa"/>
                </w:tblCellMar>
              </w:tblPrEx>
              <w:trPr>
                <w:jc w:val="center"/>
              </w:trPr>
              <w:tc>
                <w:tcPr>
                  <w:tcW w:w="3071" w:type="dxa"/>
                  <w:tcBorders>
                    <w:top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5F122754" w14:textId="77777777" w:rsidR="00052596" w:rsidRDefault="00000000">
                  <w:pPr>
                    <w:spacing w:line="360" w:lineRule="exact"/>
                    <w:ind w:left="477" w:hanging="477"/>
                    <w:textAlignment w:val="center"/>
                    <w:rPr>
                      <w:rFonts w:ascii="新細明體" w:hAnsi="新細明體"/>
                      <w:sz w:val="22"/>
                      <w:szCs w:val="22"/>
                    </w:rPr>
                  </w:pPr>
                  <w:r>
                    <w:rPr>
                      <w:rFonts w:ascii="新細明體" w:hAnsi="新細明體"/>
                      <w:sz w:val="22"/>
                      <w:szCs w:val="22"/>
                    </w:rPr>
                    <w:t>經濟成長率(%)</w:t>
                  </w:r>
                </w:p>
              </w:tc>
              <w:tc>
                <w:tcPr>
                  <w:tcW w:w="2055" w:type="dxa"/>
                  <w:tcBorders>
                    <w:top w:val="single" w:sz="4" w:space="0" w:color="000000"/>
                    <w:left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567BA5FE" w14:textId="77777777" w:rsidR="00052596" w:rsidRDefault="00000000">
                  <w:pPr>
                    <w:spacing w:line="360" w:lineRule="exact"/>
                    <w:ind w:left="477" w:hanging="477"/>
                    <w:jc w:val="center"/>
                    <w:textAlignment w:val="center"/>
                    <w:rPr>
                      <w:rFonts w:ascii="新細明體" w:hAnsi="新細明體"/>
                      <w:sz w:val="22"/>
                      <w:szCs w:val="22"/>
                    </w:rPr>
                  </w:pPr>
                  <w:r>
                    <w:rPr>
                      <w:rFonts w:ascii="新細明體" w:hAnsi="新細明體"/>
                      <w:sz w:val="22"/>
                      <w:szCs w:val="22"/>
                    </w:rPr>
                    <w:t>6.24</w:t>
                  </w:r>
                </w:p>
              </w:tc>
              <w:tc>
                <w:tcPr>
                  <w:tcW w:w="2056" w:type="dxa"/>
                  <w:tcBorders>
                    <w:top w:val="single" w:sz="4" w:space="0" w:color="000000"/>
                    <w:left w:val="single" w:sz="4" w:space="0" w:color="000000"/>
                    <w:bottom w:val="single" w:sz="4" w:space="0" w:color="000000"/>
                  </w:tcBorders>
                  <w:shd w:val="clear" w:color="auto" w:fill="FFF0E1"/>
                  <w:tcMar>
                    <w:top w:w="0" w:type="dxa"/>
                    <w:left w:w="108" w:type="dxa"/>
                    <w:bottom w:w="0" w:type="dxa"/>
                    <w:right w:w="108" w:type="dxa"/>
                  </w:tcMar>
                </w:tcPr>
                <w:p w14:paraId="609BF15D" w14:textId="77777777" w:rsidR="00052596" w:rsidRDefault="00000000">
                  <w:pPr>
                    <w:spacing w:line="360" w:lineRule="exact"/>
                    <w:ind w:left="477" w:hanging="477"/>
                    <w:jc w:val="center"/>
                    <w:textAlignment w:val="center"/>
                    <w:rPr>
                      <w:rFonts w:ascii="新細明體" w:hAnsi="新細明體"/>
                      <w:sz w:val="22"/>
                      <w:szCs w:val="22"/>
                    </w:rPr>
                  </w:pPr>
                  <w:r>
                    <w:rPr>
                      <w:rFonts w:ascii="新細明體" w:hAnsi="新細明體"/>
                      <w:sz w:val="22"/>
                      <w:szCs w:val="22"/>
                    </w:rPr>
                    <w:t>3.94</w:t>
                  </w:r>
                </w:p>
              </w:tc>
            </w:tr>
            <w:tr w:rsidR="00052596" w14:paraId="0BE8BA12" w14:textId="77777777">
              <w:tblPrEx>
                <w:tblCellMar>
                  <w:top w:w="0" w:type="dxa"/>
                  <w:bottom w:w="0" w:type="dxa"/>
                </w:tblCellMar>
              </w:tblPrEx>
              <w:trPr>
                <w:jc w:val="center"/>
              </w:trPr>
              <w:tc>
                <w:tcPr>
                  <w:tcW w:w="3071" w:type="dxa"/>
                  <w:tcBorders>
                    <w:top w:val="single" w:sz="4" w:space="0" w:color="000000"/>
                    <w:bottom w:val="single" w:sz="4" w:space="0" w:color="000000"/>
                  </w:tcBorders>
                  <w:shd w:val="clear" w:color="auto" w:fill="FFF0E1"/>
                  <w:tcMar>
                    <w:top w:w="0" w:type="dxa"/>
                    <w:left w:w="108" w:type="dxa"/>
                    <w:bottom w:w="0" w:type="dxa"/>
                    <w:right w:w="108" w:type="dxa"/>
                  </w:tcMar>
                </w:tcPr>
                <w:p w14:paraId="3C4BD92C" w14:textId="77777777" w:rsidR="00052596" w:rsidRDefault="00000000">
                  <w:pPr>
                    <w:spacing w:line="360" w:lineRule="exact"/>
                    <w:ind w:left="477" w:hanging="477"/>
                    <w:textAlignment w:val="center"/>
                    <w:rPr>
                      <w:rFonts w:ascii="新細明體" w:hAnsi="新細明體"/>
                      <w:sz w:val="22"/>
                      <w:szCs w:val="22"/>
                    </w:rPr>
                  </w:pPr>
                  <w:r>
                    <w:rPr>
                      <w:rFonts w:ascii="新細明體" w:hAnsi="新細明體"/>
                      <w:sz w:val="22"/>
                      <w:szCs w:val="22"/>
                    </w:rPr>
                    <w:t>對經濟成長率之貢獻(百分點)</w:t>
                  </w:r>
                </w:p>
              </w:tc>
              <w:tc>
                <w:tcPr>
                  <w:tcW w:w="2055" w:type="dxa"/>
                  <w:tcBorders>
                    <w:top w:val="single" w:sz="4" w:space="0" w:color="000000"/>
                    <w:bottom w:val="single" w:sz="4" w:space="0" w:color="000000"/>
                  </w:tcBorders>
                  <w:shd w:val="clear" w:color="auto" w:fill="FFF0E1"/>
                  <w:tcMar>
                    <w:top w:w="0" w:type="dxa"/>
                    <w:left w:w="108" w:type="dxa"/>
                    <w:bottom w:w="0" w:type="dxa"/>
                    <w:right w:w="108" w:type="dxa"/>
                  </w:tcMar>
                </w:tcPr>
                <w:p w14:paraId="44D73763" w14:textId="77777777" w:rsidR="00052596" w:rsidRDefault="00052596">
                  <w:pPr>
                    <w:spacing w:line="360" w:lineRule="exact"/>
                    <w:ind w:left="402" w:hanging="522"/>
                    <w:textAlignment w:val="center"/>
                    <w:rPr>
                      <w:rFonts w:ascii="新細明體" w:hAnsi="新細明體"/>
                      <w:sz w:val="22"/>
                      <w:szCs w:val="22"/>
                    </w:rPr>
                  </w:pPr>
                </w:p>
              </w:tc>
              <w:tc>
                <w:tcPr>
                  <w:tcW w:w="2056" w:type="dxa"/>
                  <w:tcBorders>
                    <w:top w:val="single" w:sz="4" w:space="0" w:color="000000"/>
                    <w:bottom w:val="single" w:sz="4" w:space="0" w:color="000000"/>
                  </w:tcBorders>
                  <w:shd w:val="clear" w:color="auto" w:fill="FFF0E1"/>
                  <w:tcMar>
                    <w:top w:w="0" w:type="dxa"/>
                    <w:left w:w="108" w:type="dxa"/>
                    <w:bottom w:w="0" w:type="dxa"/>
                    <w:right w:w="108" w:type="dxa"/>
                  </w:tcMar>
                </w:tcPr>
                <w:p w14:paraId="0F74B8F8" w14:textId="77777777" w:rsidR="00052596" w:rsidRDefault="00052596">
                  <w:pPr>
                    <w:spacing w:line="360" w:lineRule="exact"/>
                    <w:ind w:left="402" w:hanging="522"/>
                    <w:textAlignment w:val="center"/>
                    <w:rPr>
                      <w:rFonts w:ascii="新細明體" w:hAnsi="新細明體"/>
                      <w:sz w:val="22"/>
                      <w:szCs w:val="22"/>
                    </w:rPr>
                  </w:pPr>
                </w:p>
              </w:tc>
            </w:tr>
            <w:tr w:rsidR="00052596" w14:paraId="3353A2E8" w14:textId="77777777">
              <w:tblPrEx>
                <w:tblCellMar>
                  <w:top w:w="0" w:type="dxa"/>
                  <w:bottom w:w="0" w:type="dxa"/>
                </w:tblCellMar>
              </w:tblPrEx>
              <w:trPr>
                <w:jc w:val="center"/>
              </w:trPr>
              <w:tc>
                <w:tcPr>
                  <w:tcW w:w="3071" w:type="dxa"/>
                  <w:tcBorders>
                    <w:top w:val="single" w:sz="4" w:space="0" w:color="000000"/>
                    <w:right w:val="single" w:sz="4" w:space="0" w:color="000000"/>
                  </w:tcBorders>
                  <w:shd w:val="clear" w:color="auto" w:fill="FFF0E1"/>
                  <w:tcMar>
                    <w:top w:w="0" w:type="dxa"/>
                    <w:left w:w="108" w:type="dxa"/>
                    <w:bottom w:w="0" w:type="dxa"/>
                    <w:right w:w="108" w:type="dxa"/>
                  </w:tcMar>
                </w:tcPr>
                <w:p w14:paraId="7A36EBF3" w14:textId="77777777" w:rsidR="00052596" w:rsidRDefault="00000000">
                  <w:pPr>
                    <w:spacing w:line="360" w:lineRule="exact"/>
                    <w:textAlignment w:val="center"/>
                    <w:rPr>
                      <w:rFonts w:ascii="新細明體" w:hAnsi="新細明體"/>
                      <w:sz w:val="22"/>
                      <w:szCs w:val="22"/>
                    </w:rPr>
                  </w:pPr>
                  <w:r>
                    <w:rPr>
                      <w:rFonts w:ascii="新細明體" w:hAnsi="新細明體"/>
                      <w:sz w:val="22"/>
                      <w:szCs w:val="22"/>
                    </w:rPr>
                    <w:t>勞動投入</w:t>
                  </w:r>
                </w:p>
              </w:tc>
              <w:tc>
                <w:tcPr>
                  <w:tcW w:w="2055" w:type="dxa"/>
                  <w:tcBorders>
                    <w:top w:val="single" w:sz="4" w:space="0" w:color="000000"/>
                    <w:left w:val="single" w:sz="4" w:space="0" w:color="000000"/>
                    <w:right w:val="single" w:sz="4" w:space="0" w:color="000000"/>
                  </w:tcBorders>
                  <w:shd w:val="clear" w:color="auto" w:fill="FFF0E1"/>
                  <w:tcMar>
                    <w:top w:w="0" w:type="dxa"/>
                    <w:left w:w="108" w:type="dxa"/>
                    <w:bottom w:w="0" w:type="dxa"/>
                    <w:right w:w="108" w:type="dxa"/>
                  </w:tcMar>
                </w:tcPr>
                <w:p w14:paraId="2806B7F3"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0.85</w:t>
                  </w:r>
                </w:p>
              </w:tc>
              <w:tc>
                <w:tcPr>
                  <w:tcW w:w="2056" w:type="dxa"/>
                  <w:tcBorders>
                    <w:top w:val="single" w:sz="4" w:space="0" w:color="000000"/>
                    <w:left w:val="single" w:sz="4" w:space="0" w:color="000000"/>
                  </w:tcBorders>
                  <w:shd w:val="clear" w:color="auto" w:fill="FFF0E1"/>
                  <w:tcMar>
                    <w:top w:w="0" w:type="dxa"/>
                    <w:left w:w="108" w:type="dxa"/>
                    <w:bottom w:w="0" w:type="dxa"/>
                    <w:right w:w="108" w:type="dxa"/>
                  </w:tcMar>
                </w:tcPr>
                <w:p w14:paraId="24CBA3B2"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0.63</w:t>
                  </w:r>
                </w:p>
              </w:tc>
            </w:tr>
            <w:tr w:rsidR="00052596" w14:paraId="10864419" w14:textId="77777777">
              <w:tblPrEx>
                <w:tblCellMar>
                  <w:top w:w="0" w:type="dxa"/>
                  <w:bottom w:w="0" w:type="dxa"/>
                </w:tblCellMar>
              </w:tblPrEx>
              <w:trPr>
                <w:jc w:val="center"/>
              </w:trPr>
              <w:tc>
                <w:tcPr>
                  <w:tcW w:w="3071" w:type="dxa"/>
                  <w:tcBorders>
                    <w:right w:val="single" w:sz="4" w:space="0" w:color="000000"/>
                  </w:tcBorders>
                  <w:shd w:val="clear" w:color="auto" w:fill="FFF0E1"/>
                  <w:tcMar>
                    <w:top w:w="0" w:type="dxa"/>
                    <w:left w:w="108" w:type="dxa"/>
                    <w:bottom w:w="0" w:type="dxa"/>
                    <w:right w:w="108" w:type="dxa"/>
                  </w:tcMar>
                </w:tcPr>
                <w:p w14:paraId="2A9D5D73" w14:textId="77777777" w:rsidR="00052596" w:rsidRDefault="00000000">
                  <w:pPr>
                    <w:spacing w:line="360" w:lineRule="exact"/>
                    <w:textAlignment w:val="center"/>
                    <w:rPr>
                      <w:rFonts w:ascii="新細明體" w:hAnsi="新細明體"/>
                      <w:sz w:val="22"/>
                      <w:szCs w:val="22"/>
                    </w:rPr>
                  </w:pPr>
                  <w:r>
                    <w:rPr>
                      <w:rFonts w:ascii="新細明體" w:hAnsi="新細明體"/>
                      <w:sz w:val="22"/>
                      <w:szCs w:val="22"/>
                    </w:rPr>
                    <w:t>資本累積</w:t>
                  </w:r>
                </w:p>
              </w:tc>
              <w:tc>
                <w:tcPr>
                  <w:tcW w:w="2055" w:type="dxa"/>
                  <w:tcBorders>
                    <w:left w:val="single" w:sz="4" w:space="0" w:color="000000"/>
                    <w:right w:val="single" w:sz="4" w:space="0" w:color="000000"/>
                  </w:tcBorders>
                  <w:shd w:val="clear" w:color="auto" w:fill="FFF0E1"/>
                  <w:tcMar>
                    <w:top w:w="0" w:type="dxa"/>
                    <w:left w:w="108" w:type="dxa"/>
                    <w:bottom w:w="0" w:type="dxa"/>
                    <w:right w:w="108" w:type="dxa"/>
                  </w:tcMar>
                </w:tcPr>
                <w:p w14:paraId="7216BCF9"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3.30</w:t>
                  </w:r>
                </w:p>
              </w:tc>
              <w:tc>
                <w:tcPr>
                  <w:tcW w:w="2056" w:type="dxa"/>
                  <w:tcBorders>
                    <w:left w:val="single" w:sz="4" w:space="0" w:color="000000"/>
                  </w:tcBorders>
                  <w:shd w:val="clear" w:color="auto" w:fill="FFF0E1"/>
                  <w:tcMar>
                    <w:top w:w="0" w:type="dxa"/>
                    <w:left w:w="108" w:type="dxa"/>
                    <w:bottom w:w="0" w:type="dxa"/>
                    <w:right w:w="108" w:type="dxa"/>
                  </w:tcMar>
                </w:tcPr>
                <w:p w14:paraId="6D5C7F23"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1.37</w:t>
                  </w:r>
                </w:p>
              </w:tc>
            </w:tr>
            <w:tr w:rsidR="00052596" w14:paraId="1F8D47E6" w14:textId="77777777">
              <w:tblPrEx>
                <w:tblCellMar>
                  <w:top w:w="0" w:type="dxa"/>
                  <w:bottom w:w="0" w:type="dxa"/>
                </w:tblCellMar>
              </w:tblPrEx>
              <w:trPr>
                <w:jc w:val="center"/>
              </w:trPr>
              <w:tc>
                <w:tcPr>
                  <w:tcW w:w="3071" w:type="dxa"/>
                  <w:tcBorders>
                    <w:right w:val="single" w:sz="4" w:space="0" w:color="000000"/>
                  </w:tcBorders>
                  <w:shd w:val="clear" w:color="auto" w:fill="FFF0E1"/>
                  <w:tcMar>
                    <w:top w:w="0" w:type="dxa"/>
                    <w:left w:w="108" w:type="dxa"/>
                    <w:bottom w:w="0" w:type="dxa"/>
                    <w:right w:w="108" w:type="dxa"/>
                  </w:tcMar>
                </w:tcPr>
                <w:p w14:paraId="09EF3998" w14:textId="77777777" w:rsidR="00052596" w:rsidRDefault="00000000">
                  <w:pPr>
                    <w:spacing w:line="360" w:lineRule="exact"/>
                    <w:textAlignment w:val="center"/>
                    <w:rPr>
                      <w:rFonts w:ascii="新細明體" w:hAnsi="新細明體"/>
                      <w:sz w:val="22"/>
                      <w:szCs w:val="22"/>
                    </w:rPr>
                  </w:pPr>
                  <w:r>
                    <w:rPr>
                      <w:rFonts w:ascii="新細明體" w:hAnsi="新細明體"/>
                      <w:sz w:val="22"/>
                      <w:szCs w:val="22"/>
                    </w:rPr>
                    <w:t>總要素生產力貢獻</w:t>
                  </w:r>
                </w:p>
              </w:tc>
              <w:tc>
                <w:tcPr>
                  <w:tcW w:w="2055" w:type="dxa"/>
                  <w:tcBorders>
                    <w:left w:val="single" w:sz="4" w:space="0" w:color="000000"/>
                    <w:right w:val="single" w:sz="4" w:space="0" w:color="000000"/>
                  </w:tcBorders>
                  <w:shd w:val="clear" w:color="auto" w:fill="FFF0E1"/>
                  <w:tcMar>
                    <w:top w:w="0" w:type="dxa"/>
                    <w:left w:w="108" w:type="dxa"/>
                    <w:bottom w:w="0" w:type="dxa"/>
                    <w:right w:w="108" w:type="dxa"/>
                  </w:tcMar>
                </w:tcPr>
                <w:p w14:paraId="39812CC6"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2.09</w:t>
                  </w:r>
                </w:p>
              </w:tc>
              <w:tc>
                <w:tcPr>
                  <w:tcW w:w="2056" w:type="dxa"/>
                  <w:tcBorders>
                    <w:left w:val="single" w:sz="4" w:space="0" w:color="000000"/>
                  </w:tcBorders>
                  <w:shd w:val="clear" w:color="auto" w:fill="FFF0E1"/>
                  <w:tcMar>
                    <w:top w:w="0" w:type="dxa"/>
                    <w:left w:w="108" w:type="dxa"/>
                    <w:bottom w:w="0" w:type="dxa"/>
                    <w:right w:w="108" w:type="dxa"/>
                  </w:tcMar>
                </w:tcPr>
                <w:p w14:paraId="2B9F7662"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1.94</w:t>
                  </w:r>
                </w:p>
              </w:tc>
            </w:tr>
            <w:tr w:rsidR="00052596" w14:paraId="1F820A9B" w14:textId="77777777">
              <w:tblPrEx>
                <w:tblCellMar>
                  <w:top w:w="0" w:type="dxa"/>
                  <w:bottom w:w="0" w:type="dxa"/>
                </w:tblCellMar>
              </w:tblPrEx>
              <w:trPr>
                <w:jc w:val="center"/>
              </w:trPr>
              <w:tc>
                <w:tcPr>
                  <w:tcW w:w="3071" w:type="dxa"/>
                  <w:tcBorders>
                    <w:right w:val="single" w:sz="4" w:space="0" w:color="000000"/>
                  </w:tcBorders>
                  <w:shd w:val="clear" w:color="auto" w:fill="FFF0E1"/>
                  <w:tcMar>
                    <w:top w:w="0" w:type="dxa"/>
                    <w:left w:w="108" w:type="dxa"/>
                    <w:bottom w:w="0" w:type="dxa"/>
                    <w:right w:w="108" w:type="dxa"/>
                  </w:tcMar>
                </w:tcPr>
                <w:p w14:paraId="0A0C022C" w14:textId="77777777" w:rsidR="00052596" w:rsidRDefault="00000000">
                  <w:pPr>
                    <w:spacing w:line="360" w:lineRule="exact"/>
                    <w:ind w:left="522" w:hanging="522"/>
                    <w:textAlignment w:val="center"/>
                    <w:rPr>
                      <w:rFonts w:ascii="新細明體" w:hAnsi="新細明體"/>
                      <w:sz w:val="22"/>
                      <w:szCs w:val="22"/>
                    </w:rPr>
                  </w:pPr>
                  <w:r>
                    <w:rPr>
                      <w:rFonts w:ascii="新細明體" w:hAnsi="新細明體"/>
                      <w:sz w:val="22"/>
                      <w:szCs w:val="22"/>
                    </w:rPr>
                    <w:t xml:space="preserve">  資源重配置效果 </w:t>
                  </w:r>
                </w:p>
              </w:tc>
              <w:tc>
                <w:tcPr>
                  <w:tcW w:w="2055" w:type="dxa"/>
                  <w:tcBorders>
                    <w:left w:val="single" w:sz="4" w:space="0" w:color="000000"/>
                    <w:right w:val="single" w:sz="4" w:space="0" w:color="000000"/>
                  </w:tcBorders>
                  <w:shd w:val="clear" w:color="auto" w:fill="FFF0E1"/>
                  <w:tcMar>
                    <w:top w:w="0" w:type="dxa"/>
                    <w:left w:w="108" w:type="dxa"/>
                    <w:bottom w:w="0" w:type="dxa"/>
                    <w:right w:w="108" w:type="dxa"/>
                  </w:tcMar>
                </w:tcPr>
                <w:p w14:paraId="09BC0DA2"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0.35</w:t>
                  </w:r>
                </w:p>
              </w:tc>
              <w:tc>
                <w:tcPr>
                  <w:tcW w:w="2056" w:type="dxa"/>
                  <w:tcBorders>
                    <w:left w:val="single" w:sz="4" w:space="0" w:color="000000"/>
                  </w:tcBorders>
                  <w:shd w:val="clear" w:color="auto" w:fill="FFF0E1"/>
                  <w:tcMar>
                    <w:top w:w="0" w:type="dxa"/>
                    <w:left w:w="108" w:type="dxa"/>
                    <w:bottom w:w="0" w:type="dxa"/>
                    <w:right w:w="108" w:type="dxa"/>
                  </w:tcMar>
                </w:tcPr>
                <w:p w14:paraId="0E63A372"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-0.01</w:t>
                  </w:r>
                </w:p>
              </w:tc>
            </w:tr>
            <w:tr w:rsidR="00052596" w14:paraId="29C3419B" w14:textId="77777777">
              <w:tblPrEx>
                <w:tblCellMar>
                  <w:top w:w="0" w:type="dxa"/>
                  <w:bottom w:w="0" w:type="dxa"/>
                </w:tblCellMar>
              </w:tblPrEx>
              <w:trPr>
                <w:jc w:val="center"/>
              </w:trPr>
              <w:tc>
                <w:tcPr>
                  <w:tcW w:w="3071" w:type="dxa"/>
                  <w:tcBorders>
                    <w:bottom w:val="single" w:sz="4" w:space="0" w:color="000000"/>
                    <w:right w:val="single" w:sz="4" w:space="0" w:color="000000"/>
                  </w:tcBorders>
                  <w:shd w:val="clear" w:color="auto" w:fill="FFF0E1"/>
                  <w:tcMar>
                    <w:top w:w="0" w:type="dxa"/>
                    <w:left w:w="108" w:type="dxa"/>
                    <w:bottom w:w="0" w:type="dxa"/>
                    <w:right w:w="108" w:type="dxa"/>
                  </w:tcMar>
                </w:tcPr>
                <w:p w14:paraId="5ADDAD01" w14:textId="77777777" w:rsidR="00052596" w:rsidRDefault="00000000">
                  <w:pPr>
                    <w:spacing w:line="360" w:lineRule="exact"/>
                    <w:ind w:left="522" w:hanging="522"/>
                    <w:textAlignment w:val="center"/>
                    <w:rPr>
                      <w:rFonts w:ascii="新細明體" w:hAnsi="新細明體"/>
                      <w:sz w:val="22"/>
                      <w:szCs w:val="22"/>
                    </w:rPr>
                  </w:pPr>
                  <w:r>
                    <w:rPr>
                      <w:rFonts w:ascii="新細明體" w:hAnsi="新細明體"/>
                      <w:sz w:val="22"/>
                      <w:szCs w:val="22"/>
                    </w:rPr>
                    <w:t xml:space="preserve">  科研創新及其他因素效果</w:t>
                  </w:r>
                </w:p>
              </w:tc>
              <w:tc>
                <w:tcPr>
                  <w:tcW w:w="2055" w:type="dxa"/>
                  <w:tcBorders>
                    <w:left w:val="single" w:sz="4" w:space="0" w:color="000000"/>
                    <w:bottom w:val="single" w:sz="4" w:space="0" w:color="000000"/>
                    <w:right w:val="single" w:sz="4" w:space="0" w:color="000000"/>
                  </w:tcBorders>
                  <w:shd w:val="clear" w:color="auto" w:fill="FFF0E1"/>
                  <w:tcMar>
                    <w:top w:w="0" w:type="dxa"/>
                    <w:left w:w="108" w:type="dxa"/>
                    <w:bottom w:w="0" w:type="dxa"/>
                    <w:right w:w="108" w:type="dxa"/>
                  </w:tcMar>
                </w:tcPr>
                <w:p w14:paraId="0542F142"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1.74</w:t>
                  </w:r>
                </w:p>
              </w:tc>
              <w:tc>
                <w:tcPr>
                  <w:tcW w:w="2056" w:type="dxa"/>
                  <w:tcBorders>
                    <w:left w:val="single" w:sz="4" w:space="0" w:color="000000"/>
                    <w:bottom w:val="single" w:sz="4" w:space="0" w:color="000000"/>
                  </w:tcBorders>
                  <w:shd w:val="clear" w:color="auto" w:fill="FFF0E1"/>
                  <w:tcMar>
                    <w:top w:w="0" w:type="dxa"/>
                    <w:left w:w="108" w:type="dxa"/>
                    <w:bottom w:w="0" w:type="dxa"/>
                    <w:right w:w="108" w:type="dxa"/>
                  </w:tcMar>
                </w:tcPr>
                <w:p w14:paraId="742E280C" w14:textId="77777777" w:rsidR="00052596" w:rsidRDefault="00000000">
                  <w:pPr>
                    <w:spacing w:line="360" w:lineRule="exact"/>
                    <w:ind w:left="522" w:hanging="522"/>
                    <w:jc w:val="center"/>
                    <w:textAlignment w:val="center"/>
                    <w:rPr>
                      <w:rFonts w:ascii="新細明體" w:hAnsi="新細明體"/>
                      <w:sz w:val="22"/>
                      <w:szCs w:val="22"/>
                    </w:rPr>
                  </w:pPr>
                  <w:r>
                    <w:rPr>
                      <w:rFonts w:ascii="新細明體" w:hAnsi="新細明體"/>
                      <w:sz w:val="22"/>
                      <w:szCs w:val="22"/>
                    </w:rPr>
                    <w:t>1.95</w:t>
                  </w:r>
                </w:p>
              </w:tc>
            </w:tr>
          </w:tbl>
          <w:p w14:paraId="42B8AADB" w14:textId="77777777" w:rsidR="00052596" w:rsidRDefault="00000000">
            <w:pPr>
              <w:overflowPunct w:val="0"/>
              <w:autoSpaceDE w:val="0"/>
              <w:spacing w:before="60" w:line="280" w:lineRule="exact"/>
              <w:ind w:left="96" w:right="72" w:firstLine="472"/>
              <w:jc w:val="both"/>
              <w:textAlignment w:val="center"/>
              <w:rPr>
                <w:rFonts w:ascii="新細明體" w:hAnsi="新細明體"/>
                <w:bCs/>
                <w:spacing w:val="8"/>
                <w:kern w:val="0"/>
                <w:sz w:val="22"/>
                <w:szCs w:val="22"/>
              </w:rPr>
            </w:pPr>
            <w:r>
              <w:rPr>
                <w:rFonts w:ascii="新細明體" w:hAnsi="新細明體"/>
                <w:bCs/>
                <w:spacing w:val="8"/>
                <w:kern w:val="0"/>
                <w:sz w:val="22"/>
                <w:szCs w:val="22"/>
              </w:rPr>
              <w:t xml:space="preserve">　　　註：其他因素包括教育、外人投資等。</w:t>
            </w:r>
          </w:p>
          <w:p w14:paraId="417F5B57" w14:textId="77777777" w:rsidR="00052596" w:rsidRDefault="00000000">
            <w:pPr>
              <w:overflowPunct w:val="0"/>
              <w:autoSpaceDE w:val="0"/>
              <w:spacing w:after="120" w:line="280" w:lineRule="exact"/>
              <w:ind w:left="72" w:right="72" w:firstLine="472"/>
              <w:jc w:val="both"/>
              <w:textAlignment w:val="center"/>
            </w:pPr>
            <w:r>
              <w:rPr>
                <w:rFonts w:ascii="新細明體" w:hAnsi="新細明體"/>
                <w:bCs/>
                <w:spacing w:val="8"/>
                <w:kern w:val="0"/>
                <w:sz w:val="22"/>
                <w:szCs w:val="22"/>
              </w:rPr>
              <w:lastRenderedPageBreak/>
              <w:t>資料來源：依據行政院主計總處資料推估。</w:t>
            </w:r>
          </w:p>
        </w:tc>
      </w:tr>
    </w:tbl>
    <w:p w14:paraId="23761050" w14:textId="77777777" w:rsidR="00052596" w:rsidRDefault="00000000">
      <w:pPr>
        <w:overflowPunct w:val="0"/>
        <w:autoSpaceDE w:val="0"/>
        <w:snapToGrid w:val="0"/>
        <w:spacing w:before="240" w:after="240" w:line="280" w:lineRule="exact"/>
        <w:jc w:val="center"/>
        <w:textAlignment w:val="center"/>
        <w:rPr>
          <w:rFonts w:eastAsia="標楷體"/>
          <w:b/>
          <w:color w:val="0000FF"/>
          <w:kern w:val="0"/>
          <w:sz w:val="25"/>
          <w:szCs w:val="22"/>
        </w:rPr>
      </w:pPr>
      <w:r>
        <w:rPr>
          <w:rFonts w:eastAsia="標楷體"/>
          <w:b/>
          <w:color w:val="0000FF"/>
          <w:kern w:val="0"/>
          <w:sz w:val="25"/>
          <w:szCs w:val="22"/>
        </w:rPr>
        <w:lastRenderedPageBreak/>
        <w:t>表</w:t>
      </w:r>
      <w:r>
        <w:rPr>
          <w:rFonts w:eastAsia="標楷體"/>
          <w:b/>
          <w:color w:val="0000FF"/>
          <w:kern w:val="0"/>
          <w:sz w:val="25"/>
          <w:szCs w:val="22"/>
        </w:rPr>
        <w:t>2.3.4</w:t>
      </w:r>
      <w:r>
        <w:rPr>
          <w:rFonts w:eastAsia="標楷體"/>
          <w:b/>
          <w:color w:val="0000FF"/>
          <w:kern w:val="0"/>
          <w:sz w:val="25"/>
          <w:szCs w:val="22"/>
        </w:rPr>
        <w:t xml:space="preserve">　</w:t>
      </w:r>
      <w:r>
        <w:rPr>
          <w:rFonts w:eastAsia="標楷體"/>
          <w:b/>
          <w:color w:val="0000FF"/>
          <w:kern w:val="0"/>
          <w:sz w:val="25"/>
          <w:szCs w:val="22"/>
        </w:rPr>
        <w:t>102</w:t>
      </w:r>
      <w:r>
        <w:rPr>
          <w:rFonts w:eastAsia="標楷體"/>
          <w:b/>
          <w:color w:val="0000FF"/>
          <w:kern w:val="0"/>
          <w:sz w:val="25"/>
          <w:szCs w:val="22"/>
        </w:rPr>
        <w:t>至</w:t>
      </w:r>
      <w:r>
        <w:rPr>
          <w:rFonts w:eastAsia="標楷體"/>
          <w:b/>
          <w:color w:val="0000FF"/>
          <w:kern w:val="0"/>
          <w:sz w:val="25"/>
          <w:szCs w:val="22"/>
        </w:rPr>
        <w:t>105</w:t>
      </w:r>
      <w:r>
        <w:rPr>
          <w:rFonts w:eastAsia="標楷體"/>
          <w:b/>
          <w:color w:val="0000FF"/>
          <w:kern w:val="0"/>
          <w:sz w:val="25"/>
          <w:szCs w:val="22"/>
        </w:rPr>
        <w:t>年重要勞動市場目標</w:t>
      </w:r>
    </w:p>
    <w:tbl>
      <w:tblPr>
        <w:tblW w:w="7815" w:type="dxa"/>
        <w:jc w:val="center"/>
        <w:tblCellMar>
          <w:left w:w="10" w:type="dxa"/>
          <w:right w:w="10" w:type="dxa"/>
        </w:tblCellMar>
        <w:tblLook w:val="04A0" w:firstRow="1" w:lastRow="0" w:firstColumn="1" w:lastColumn="0" w:noHBand="0" w:noVBand="1"/>
      </w:tblPr>
      <w:tblGrid>
        <w:gridCol w:w="26"/>
        <w:gridCol w:w="1495"/>
        <w:gridCol w:w="1063"/>
        <w:gridCol w:w="1271"/>
        <w:gridCol w:w="1062"/>
        <w:gridCol w:w="1899"/>
        <w:gridCol w:w="973"/>
        <w:gridCol w:w="26"/>
      </w:tblGrid>
      <w:tr w:rsidR="00052596" w14:paraId="167E4C4D" w14:textId="77777777">
        <w:tblPrEx>
          <w:tblCellMar>
            <w:top w:w="0" w:type="dxa"/>
            <w:bottom w:w="0" w:type="dxa"/>
          </w:tblCellMar>
        </w:tblPrEx>
        <w:trPr>
          <w:trHeight w:val="241"/>
          <w:jc w:val="center"/>
        </w:trPr>
        <w:tc>
          <w:tcPr>
            <w:tcW w:w="18" w:type="dxa"/>
          </w:tcPr>
          <w:p w14:paraId="035C8DBB" w14:textId="77777777" w:rsidR="00052596" w:rsidRDefault="00052596">
            <w:pPr>
              <w:overflowPunct w:val="0"/>
              <w:autoSpaceDE w:val="0"/>
              <w:spacing w:line="360" w:lineRule="exact"/>
              <w:jc w:val="both"/>
              <w:textAlignment w:val="center"/>
              <w:rPr>
                <w:rFonts w:eastAsia="標楷體"/>
                <w:spacing w:val="4"/>
                <w:kern w:val="0"/>
                <w:szCs w:val="24"/>
              </w:rPr>
            </w:pPr>
          </w:p>
        </w:tc>
        <w:tc>
          <w:tcPr>
            <w:tcW w:w="1499" w:type="dxa"/>
            <w:tcBorders>
              <w:top w:val="single" w:sz="6" w:space="0" w:color="000000"/>
              <w:right w:val="single" w:sz="6" w:space="0" w:color="000000"/>
            </w:tcBorders>
            <w:shd w:val="clear" w:color="auto" w:fill="EFFFEF"/>
            <w:tcMar>
              <w:top w:w="0" w:type="dxa"/>
              <w:left w:w="57" w:type="dxa"/>
              <w:bottom w:w="0" w:type="dxa"/>
              <w:right w:w="57" w:type="dxa"/>
            </w:tcMar>
          </w:tcPr>
          <w:p w14:paraId="10B5E90C" w14:textId="77777777" w:rsidR="00052596" w:rsidRDefault="00052596">
            <w:pPr>
              <w:overflowPunct w:val="0"/>
              <w:autoSpaceDE w:val="0"/>
              <w:spacing w:line="360" w:lineRule="exact"/>
              <w:jc w:val="both"/>
              <w:textAlignment w:val="center"/>
              <w:rPr>
                <w:rFonts w:eastAsia="標楷體"/>
                <w:spacing w:val="4"/>
                <w:kern w:val="0"/>
                <w:szCs w:val="24"/>
              </w:rPr>
            </w:pPr>
          </w:p>
        </w:tc>
        <w:tc>
          <w:tcPr>
            <w:tcW w:w="1064" w:type="dxa"/>
            <w:tcBorders>
              <w:top w:val="single" w:sz="6" w:space="0" w:color="000000"/>
              <w:left w:val="single" w:sz="6" w:space="0" w:color="000000"/>
              <w:right w:val="single" w:sz="6" w:space="0" w:color="000000"/>
            </w:tcBorders>
            <w:shd w:val="clear" w:color="auto" w:fill="EFFFEF"/>
            <w:tcMar>
              <w:top w:w="0" w:type="dxa"/>
              <w:left w:w="57" w:type="dxa"/>
              <w:bottom w:w="0" w:type="dxa"/>
              <w:right w:w="57" w:type="dxa"/>
            </w:tcMar>
          </w:tcPr>
          <w:p w14:paraId="2DBA27FC" w14:textId="77777777" w:rsidR="00052596" w:rsidRDefault="00000000">
            <w:pPr>
              <w:overflowPunct w:val="0"/>
              <w:autoSpaceDE w:val="0"/>
              <w:spacing w:line="360" w:lineRule="exact"/>
              <w:jc w:val="center"/>
              <w:textAlignment w:val="center"/>
              <w:rPr>
                <w:rFonts w:eastAsia="標楷體"/>
                <w:bCs/>
                <w:kern w:val="0"/>
                <w:szCs w:val="24"/>
              </w:rPr>
            </w:pPr>
            <w:r>
              <w:rPr>
                <w:rFonts w:eastAsia="標楷體"/>
                <w:bCs/>
                <w:kern w:val="0"/>
                <w:szCs w:val="24"/>
              </w:rPr>
              <w:t>勞動力</w:t>
            </w:r>
          </w:p>
        </w:tc>
        <w:tc>
          <w:tcPr>
            <w:tcW w:w="4241" w:type="dxa"/>
            <w:gridSpan w:val="3"/>
            <w:tcBorders>
              <w:top w:val="single" w:sz="6" w:space="0" w:color="000000"/>
              <w:left w:val="single" w:sz="6" w:space="0" w:color="000000"/>
              <w:bottom w:val="single" w:sz="6" w:space="0" w:color="000000"/>
              <w:right w:val="single" w:sz="6" w:space="0" w:color="000000"/>
            </w:tcBorders>
            <w:shd w:val="clear" w:color="auto" w:fill="EFFFEF"/>
            <w:tcMar>
              <w:top w:w="0" w:type="dxa"/>
              <w:left w:w="57" w:type="dxa"/>
              <w:bottom w:w="0" w:type="dxa"/>
              <w:right w:w="57" w:type="dxa"/>
            </w:tcMar>
          </w:tcPr>
          <w:p w14:paraId="599CB1FB" w14:textId="77777777" w:rsidR="00052596" w:rsidRDefault="00000000">
            <w:pPr>
              <w:overflowPunct w:val="0"/>
              <w:autoSpaceDE w:val="0"/>
              <w:spacing w:line="360" w:lineRule="exact"/>
              <w:jc w:val="center"/>
              <w:textAlignment w:val="center"/>
            </w:pPr>
            <w:r>
              <w:rPr>
                <w:rFonts w:eastAsia="標楷體"/>
                <w:bCs/>
                <w:kern w:val="0"/>
                <w:szCs w:val="24"/>
              </w:rPr>
              <w:t>就業人口</w:t>
            </w:r>
          </w:p>
        </w:tc>
        <w:tc>
          <w:tcPr>
            <w:tcW w:w="993" w:type="dxa"/>
            <w:gridSpan w:val="2"/>
            <w:tcBorders>
              <w:top w:val="single" w:sz="6" w:space="0" w:color="000000"/>
              <w:left w:val="single" w:sz="6" w:space="0" w:color="000000"/>
            </w:tcBorders>
            <w:shd w:val="clear" w:color="auto" w:fill="EFFFEF"/>
            <w:tcMar>
              <w:top w:w="0" w:type="dxa"/>
              <w:left w:w="57" w:type="dxa"/>
              <w:bottom w:w="0" w:type="dxa"/>
              <w:right w:w="57" w:type="dxa"/>
            </w:tcMar>
            <w:vAlign w:val="center"/>
          </w:tcPr>
          <w:p w14:paraId="6B64D64E" w14:textId="77777777" w:rsidR="00052596" w:rsidRDefault="00000000">
            <w:pPr>
              <w:overflowPunct w:val="0"/>
              <w:autoSpaceDE w:val="0"/>
              <w:spacing w:line="360" w:lineRule="exact"/>
              <w:jc w:val="center"/>
              <w:textAlignment w:val="center"/>
              <w:rPr>
                <w:rFonts w:eastAsia="標楷體"/>
                <w:bCs/>
                <w:spacing w:val="-6"/>
                <w:kern w:val="0"/>
                <w:szCs w:val="24"/>
              </w:rPr>
            </w:pPr>
            <w:r>
              <w:rPr>
                <w:rFonts w:eastAsia="標楷體"/>
                <w:bCs/>
                <w:spacing w:val="-6"/>
                <w:kern w:val="0"/>
                <w:szCs w:val="24"/>
              </w:rPr>
              <w:t>失業率</w:t>
            </w:r>
          </w:p>
        </w:tc>
      </w:tr>
      <w:tr w:rsidR="00052596" w14:paraId="19E19331" w14:textId="77777777">
        <w:tblPrEx>
          <w:tblCellMar>
            <w:top w:w="0" w:type="dxa"/>
            <w:bottom w:w="0" w:type="dxa"/>
          </w:tblCellMar>
        </w:tblPrEx>
        <w:trPr>
          <w:trHeight w:val="241"/>
          <w:jc w:val="center"/>
        </w:trPr>
        <w:tc>
          <w:tcPr>
            <w:tcW w:w="18" w:type="dxa"/>
          </w:tcPr>
          <w:p w14:paraId="0641D10F" w14:textId="77777777" w:rsidR="00052596" w:rsidRDefault="00052596">
            <w:pPr>
              <w:overflowPunct w:val="0"/>
              <w:autoSpaceDE w:val="0"/>
              <w:spacing w:line="360" w:lineRule="exact"/>
              <w:jc w:val="center"/>
              <w:textAlignment w:val="center"/>
              <w:rPr>
                <w:rFonts w:eastAsia="標楷體"/>
                <w:spacing w:val="4"/>
                <w:kern w:val="0"/>
                <w:szCs w:val="24"/>
              </w:rPr>
            </w:pPr>
          </w:p>
        </w:tc>
        <w:tc>
          <w:tcPr>
            <w:tcW w:w="1499" w:type="dxa"/>
            <w:tcBorders>
              <w:bottom w:val="single" w:sz="6" w:space="0" w:color="000000"/>
              <w:right w:val="single" w:sz="6" w:space="0" w:color="000000"/>
            </w:tcBorders>
            <w:shd w:val="clear" w:color="auto" w:fill="EFFFEF"/>
            <w:tcMar>
              <w:top w:w="0" w:type="dxa"/>
              <w:left w:w="57" w:type="dxa"/>
              <w:bottom w:w="0" w:type="dxa"/>
              <w:right w:w="57" w:type="dxa"/>
            </w:tcMar>
          </w:tcPr>
          <w:p w14:paraId="25FDF0F0" w14:textId="77777777" w:rsidR="00052596" w:rsidRDefault="00052596">
            <w:pPr>
              <w:overflowPunct w:val="0"/>
              <w:autoSpaceDE w:val="0"/>
              <w:spacing w:line="360" w:lineRule="exact"/>
              <w:jc w:val="center"/>
              <w:textAlignment w:val="center"/>
              <w:rPr>
                <w:rFonts w:eastAsia="標楷體"/>
                <w:spacing w:val="4"/>
                <w:kern w:val="0"/>
                <w:szCs w:val="24"/>
              </w:rPr>
            </w:pPr>
          </w:p>
        </w:tc>
        <w:tc>
          <w:tcPr>
            <w:tcW w:w="1064" w:type="dxa"/>
            <w:tcBorders>
              <w:left w:val="single" w:sz="6" w:space="0" w:color="000000"/>
              <w:bottom w:val="single" w:sz="6" w:space="0" w:color="000000"/>
              <w:right w:val="single" w:sz="6" w:space="0" w:color="000000"/>
            </w:tcBorders>
            <w:shd w:val="clear" w:color="auto" w:fill="EFFFEF"/>
            <w:tcMar>
              <w:top w:w="0" w:type="dxa"/>
              <w:left w:w="57" w:type="dxa"/>
              <w:bottom w:w="0" w:type="dxa"/>
              <w:right w:w="57" w:type="dxa"/>
            </w:tcMar>
          </w:tcPr>
          <w:p w14:paraId="1A10DB6A" w14:textId="77777777" w:rsidR="00052596" w:rsidRDefault="00000000">
            <w:pPr>
              <w:overflowPunct w:val="0"/>
              <w:autoSpaceDE w:val="0"/>
              <w:spacing w:line="360" w:lineRule="exact"/>
              <w:jc w:val="center"/>
              <w:textAlignment w:val="center"/>
              <w:rPr>
                <w:rFonts w:eastAsia="標楷體"/>
                <w:bCs/>
                <w:kern w:val="0"/>
                <w:szCs w:val="24"/>
              </w:rPr>
            </w:pPr>
            <w:r>
              <w:rPr>
                <w:rFonts w:eastAsia="標楷體"/>
                <w:bCs/>
                <w:kern w:val="0"/>
                <w:szCs w:val="24"/>
              </w:rPr>
              <w:t>參與率</w:t>
            </w:r>
          </w:p>
          <w:p w14:paraId="13BE3C24" w14:textId="77777777" w:rsidR="00052596" w:rsidRDefault="00000000">
            <w:pPr>
              <w:overflowPunct w:val="0"/>
              <w:autoSpaceDE w:val="0"/>
              <w:spacing w:line="360" w:lineRule="exact"/>
              <w:jc w:val="center"/>
              <w:textAlignment w:val="center"/>
            </w:pPr>
            <w:r>
              <w:rPr>
                <w:rFonts w:ascii="標楷體" w:eastAsia="標楷體" w:hAnsi="標楷體"/>
                <w:bCs/>
                <w:kern w:val="0"/>
                <w:szCs w:val="24"/>
              </w:rPr>
              <w:t>(</w:t>
            </w:r>
            <w:r>
              <w:rPr>
                <w:rFonts w:eastAsia="標楷體"/>
                <w:bCs/>
                <w:kern w:val="0"/>
                <w:szCs w:val="24"/>
              </w:rPr>
              <w:t>%</w:t>
            </w:r>
            <w:r>
              <w:rPr>
                <w:rFonts w:ascii="標楷體" w:eastAsia="標楷體" w:hAnsi="標楷體"/>
                <w:bCs/>
                <w:kern w:val="0"/>
                <w:szCs w:val="24"/>
              </w:rPr>
              <w:t>)</w:t>
            </w:r>
          </w:p>
        </w:tc>
        <w:tc>
          <w:tcPr>
            <w:tcW w:w="1274" w:type="dxa"/>
            <w:tcBorders>
              <w:top w:val="single" w:sz="6" w:space="0" w:color="000000"/>
              <w:left w:val="single" w:sz="6" w:space="0" w:color="000000"/>
              <w:bottom w:val="single" w:sz="6" w:space="0" w:color="000000"/>
              <w:right w:val="single" w:sz="6" w:space="0" w:color="000000"/>
            </w:tcBorders>
            <w:shd w:val="clear" w:color="auto" w:fill="EFFFEF"/>
            <w:tcMar>
              <w:top w:w="0" w:type="dxa"/>
              <w:left w:w="57" w:type="dxa"/>
              <w:bottom w:w="0" w:type="dxa"/>
              <w:right w:w="57" w:type="dxa"/>
            </w:tcMar>
          </w:tcPr>
          <w:p w14:paraId="0415E143" w14:textId="77777777" w:rsidR="00052596" w:rsidRDefault="00000000">
            <w:pPr>
              <w:overflowPunct w:val="0"/>
              <w:autoSpaceDE w:val="0"/>
              <w:spacing w:line="360" w:lineRule="exact"/>
              <w:jc w:val="center"/>
              <w:textAlignment w:val="center"/>
              <w:rPr>
                <w:rFonts w:eastAsia="標楷體"/>
                <w:bCs/>
                <w:kern w:val="0"/>
                <w:szCs w:val="24"/>
              </w:rPr>
            </w:pPr>
            <w:r>
              <w:rPr>
                <w:rFonts w:eastAsia="標楷體"/>
                <w:bCs/>
                <w:kern w:val="0"/>
                <w:szCs w:val="24"/>
              </w:rPr>
              <w:t>增加人數</w:t>
            </w:r>
          </w:p>
          <w:p w14:paraId="566F72F2" w14:textId="77777777" w:rsidR="00052596" w:rsidRDefault="00000000">
            <w:pPr>
              <w:overflowPunct w:val="0"/>
              <w:autoSpaceDE w:val="0"/>
              <w:spacing w:line="360" w:lineRule="exact"/>
              <w:jc w:val="center"/>
              <w:textAlignment w:val="center"/>
            </w:pPr>
            <w:r>
              <w:rPr>
                <w:rFonts w:ascii="標楷體" w:eastAsia="標楷體" w:hAnsi="標楷體"/>
                <w:bCs/>
                <w:kern w:val="0"/>
                <w:szCs w:val="24"/>
              </w:rPr>
              <w:t>(</w:t>
            </w:r>
            <w:r>
              <w:rPr>
                <w:rFonts w:eastAsia="標楷體"/>
                <w:bCs/>
                <w:kern w:val="0"/>
                <w:szCs w:val="24"/>
              </w:rPr>
              <w:t>千人</w:t>
            </w:r>
            <w:r>
              <w:rPr>
                <w:rFonts w:ascii="標楷體" w:eastAsia="標楷體" w:hAnsi="標楷體"/>
                <w:bCs/>
                <w:kern w:val="0"/>
                <w:szCs w:val="24"/>
              </w:rPr>
              <w:t>)</w:t>
            </w:r>
          </w:p>
        </w:tc>
        <w:tc>
          <w:tcPr>
            <w:tcW w:w="1064" w:type="dxa"/>
            <w:tcBorders>
              <w:top w:val="single" w:sz="6" w:space="0" w:color="000000"/>
              <w:left w:val="single" w:sz="6" w:space="0" w:color="000000"/>
              <w:bottom w:val="single" w:sz="6" w:space="0" w:color="000000"/>
              <w:right w:val="single" w:sz="6" w:space="0" w:color="000000"/>
            </w:tcBorders>
            <w:shd w:val="clear" w:color="auto" w:fill="EFFFEF"/>
            <w:tcMar>
              <w:top w:w="0" w:type="dxa"/>
              <w:left w:w="57" w:type="dxa"/>
              <w:bottom w:w="0" w:type="dxa"/>
              <w:right w:w="57" w:type="dxa"/>
            </w:tcMar>
            <w:vAlign w:val="center"/>
          </w:tcPr>
          <w:p w14:paraId="0C99A32E" w14:textId="77777777" w:rsidR="00052596" w:rsidRDefault="00000000">
            <w:pPr>
              <w:overflowPunct w:val="0"/>
              <w:autoSpaceDE w:val="0"/>
              <w:spacing w:line="360" w:lineRule="exact"/>
              <w:jc w:val="center"/>
              <w:textAlignment w:val="center"/>
              <w:rPr>
                <w:rFonts w:eastAsia="標楷體"/>
                <w:bCs/>
                <w:kern w:val="0"/>
                <w:szCs w:val="24"/>
              </w:rPr>
            </w:pPr>
            <w:r>
              <w:rPr>
                <w:rFonts w:eastAsia="標楷體"/>
                <w:bCs/>
                <w:kern w:val="0"/>
                <w:szCs w:val="24"/>
              </w:rPr>
              <w:t>增加率</w:t>
            </w:r>
          </w:p>
          <w:p w14:paraId="7D15D973" w14:textId="77777777" w:rsidR="00052596" w:rsidRDefault="00000000">
            <w:pPr>
              <w:overflowPunct w:val="0"/>
              <w:autoSpaceDE w:val="0"/>
              <w:spacing w:line="360" w:lineRule="exact"/>
              <w:jc w:val="center"/>
              <w:textAlignment w:val="center"/>
            </w:pPr>
            <w:r>
              <w:rPr>
                <w:rFonts w:ascii="標楷體" w:eastAsia="標楷體" w:hAnsi="標楷體"/>
                <w:bCs/>
                <w:kern w:val="0"/>
                <w:szCs w:val="24"/>
              </w:rPr>
              <w:t>(</w:t>
            </w:r>
            <w:r>
              <w:rPr>
                <w:rFonts w:eastAsia="標楷體"/>
                <w:bCs/>
                <w:kern w:val="0"/>
                <w:szCs w:val="24"/>
              </w:rPr>
              <w:t>%</w:t>
            </w:r>
            <w:r>
              <w:rPr>
                <w:rFonts w:ascii="標楷體" w:eastAsia="標楷體" w:hAnsi="標楷體"/>
                <w:bCs/>
                <w:kern w:val="0"/>
                <w:szCs w:val="24"/>
              </w:rPr>
              <w:t>)</w:t>
            </w:r>
          </w:p>
        </w:tc>
        <w:tc>
          <w:tcPr>
            <w:tcW w:w="1903" w:type="dxa"/>
            <w:tcBorders>
              <w:top w:val="single" w:sz="6" w:space="0" w:color="000000"/>
              <w:left w:val="single" w:sz="6" w:space="0" w:color="000000"/>
              <w:bottom w:val="single" w:sz="6" w:space="0" w:color="000000"/>
              <w:right w:val="single" w:sz="6" w:space="0" w:color="000000"/>
            </w:tcBorders>
            <w:shd w:val="clear" w:color="auto" w:fill="EFFFEF"/>
            <w:tcMar>
              <w:top w:w="0" w:type="dxa"/>
              <w:left w:w="57" w:type="dxa"/>
              <w:bottom w:w="0" w:type="dxa"/>
              <w:right w:w="57" w:type="dxa"/>
            </w:tcMar>
          </w:tcPr>
          <w:p w14:paraId="4A440464" w14:textId="77777777" w:rsidR="00052596" w:rsidRDefault="00000000">
            <w:pPr>
              <w:overflowPunct w:val="0"/>
              <w:autoSpaceDE w:val="0"/>
              <w:spacing w:line="360" w:lineRule="exact"/>
              <w:jc w:val="center"/>
              <w:textAlignment w:val="center"/>
            </w:pPr>
            <w:r>
              <w:rPr>
                <w:rFonts w:eastAsia="標楷體"/>
                <w:bCs/>
                <w:spacing w:val="-6"/>
                <w:kern w:val="0"/>
                <w:szCs w:val="24"/>
              </w:rPr>
              <w:t>占</w:t>
            </w:r>
            <w:r>
              <w:rPr>
                <w:rFonts w:eastAsia="標楷體"/>
                <w:bCs/>
                <w:spacing w:val="-6"/>
                <w:kern w:val="0"/>
                <w:szCs w:val="24"/>
              </w:rPr>
              <w:t>15</w:t>
            </w:r>
            <w:r>
              <w:rPr>
                <w:rFonts w:eastAsia="標楷體"/>
                <w:bCs/>
                <w:spacing w:val="-6"/>
                <w:kern w:val="0"/>
                <w:szCs w:val="24"/>
              </w:rPr>
              <w:t>歲以上民間人口比率</w:t>
            </w:r>
            <w:r>
              <w:rPr>
                <w:rFonts w:ascii="標楷體" w:eastAsia="標楷體" w:hAnsi="標楷體"/>
                <w:bCs/>
                <w:spacing w:val="-6"/>
                <w:kern w:val="0"/>
                <w:szCs w:val="24"/>
              </w:rPr>
              <w:t>(</w:t>
            </w:r>
            <w:r>
              <w:rPr>
                <w:rFonts w:eastAsia="標楷體"/>
                <w:bCs/>
                <w:spacing w:val="-6"/>
                <w:kern w:val="0"/>
                <w:szCs w:val="24"/>
              </w:rPr>
              <w:t>%</w:t>
            </w:r>
            <w:r>
              <w:rPr>
                <w:rFonts w:ascii="標楷體" w:eastAsia="標楷體" w:hAnsi="標楷體"/>
                <w:bCs/>
                <w:spacing w:val="-6"/>
                <w:kern w:val="0"/>
                <w:szCs w:val="24"/>
              </w:rPr>
              <w:t>)</w:t>
            </w:r>
          </w:p>
        </w:tc>
        <w:tc>
          <w:tcPr>
            <w:tcW w:w="993" w:type="dxa"/>
            <w:gridSpan w:val="2"/>
            <w:tcBorders>
              <w:left w:val="single" w:sz="6" w:space="0" w:color="000000"/>
              <w:bottom w:val="single" w:sz="6" w:space="0" w:color="000000"/>
            </w:tcBorders>
            <w:shd w:val="clear" w:color="auto" w:fill="EFFFEF"/>
            <w:tcMar>
              <w:top w:w="0" w:type="dxa"/>
              <w:left w:w="28" w:type="dxa"/>
              <w:bottom w:w="0" w:type="dxa"/>
              <w:right w:w="28" w:type="dxa"/>
            </w:tcMar>
            <w:vAlign w:val="center"/>
          </w:tcPr>
          <w:p w14:paraId="2E6954A9" w14:textId="77777777" w:rsidR="00052596" w:rsidRDefault="00000000">
            <w:pPr>
              <w:overflowPunct w:val="0"/>
              <w:autoSpaceDE w:val="0"/>
              <w:spacing w:line="360" w:lineRule="exact"/>
              <w:jc w:val="center"/>
              <w:textAlignment w:val="center"/>
            </w:pPr>
            <w:r>
              <w:rPr>
                <w:rFonts w:ascii="標楷體" w:eastAsia="標楷體" w:hAnsi="標楷體"/>
                <w:bCs/>
                <w:spacing w:val="-6"/>
                <w:kern w:val="0"/>
                <w:szCs w:val="24"/>
              </w:rPr>
              <w:t>(</w:t>
            </w:r>
            <w:r>
              <w:rPr>
                <w:rFonts w:eastAsia="標楷體"/>
                <w:bCs/>
                <w:spacing w:val="-6"/>
                <w:kern w:val="0"/>
                <w:szCs w:val="24"/>
              </w:rPr>
              <w:t>%</w:t>
            </w:r>
            <w:r>
              <w:rPr>
                <w:rFonts w:ascii="標楷體" w:eastAsia="標楷體" w:hAnsi="標楷體"/>
                <w:bCs/>
                <w:spacing w:val="-6"/>
                <w:kern w:val="0"/>
                <w:szCs w:val="24"/>
              </w:rPr>
              <w:t>)</w:t>
            </w:r>
          </w:p>
        </w:tc>
      </w:tr>
      <w:tr w:rsidR="00052596" w14:paraId="617EBD99" w14:textId="77777777">
        <w:tblPrEx>
          <w:tblCellMar>
            <w:top w:w="0" w:type="dxa"/>
            <w:bottom w:w="0" w:type="dxa"/>
          </w:tblCellMar>
        </w:tblPrEx>
        <w:trPr>
          <w:trHeight w:val="312"/>
          <w:jc w:val="center"/>
        </w:trPr>
        <w:tc>
          <w:tcPr>
            <w:tcW w:w="1517" w:type="dxa"/>
            <w:gridSpan w:val="2"/>
            <w:tcBorders>
              <w:top w:val="single" w:sz="6" w:space="0" w:color="000000"/>
              <w:right w:val="single" w:sz="6" w:space="0" w:color="000000"/>
            </w:tcBorders>
            <w:shd w:val="clear" w:color="auto" w:fill="FFF0E1"/>
            <w:tcMar>
              <w:top w:w="0" w:type="dxa"/>
              <w:left w:w="57" w:type="dxa"/>
              <w:bottom w:w="0" w:type="dxa"/>
              <w:right w:w="57" w:type="dxa"/>
            </w:tcMar>
          </w:tcPr>
          <w:p w14:paraId="7DD87053" w14:textId="77777777" w:rsidR="00052596" w:rsidRDefault="00000000">
            <w:pPr>
              <w:overflowPunct w:val="0"/>
              <w:autoSpaceDE w:val="0"/>
              <w:spacing w:line="360" w:lineRule="exact"/>
              <w:jc w:val="both"/>
              <w:textAlignment w:val="center"/>
            </w:pPr>
            <w:r>
              <w:rPr>
                <w:rFonts w:eastAsia="標楷體"/>
                <w:bCs/>
                <w:color w:val="000000"/>
                <w:spacing w:val="4"/>
                <w:kern w:val="0"/>
                <w:szCs w:val="24"/>
              </w:rPr>
              <w:lastRenderedPageBreak/>
              <w:t>101</w:t>
            </w:r>
            <w:r>
              <w:rPr>
                <w:rFonts w:eastAsia="標楷體"/>
                <w:bCs/>
                <w:color w:val="000000"/>
                <w:spacing w:val="4"/>
                <w:kern w:val="0"/>
                <w:szCs w:val="24"/>
              </w:rPr>
              <w:t>年</w:t>
            </w:r>
            <w:r>
              <w:rPr>
                <w:rFonts w:ascii="標楷體" w:eastAsia="標楷體" w:hAnsi="標楷體"/>
                <w:bCs/>
                <w:color w:val="000000"/>
                <w:spacing w:val="4"/>
                <w:kern w:val="0"/>
                <w:szCs w:val="24"/>
              </w:rPr>
              <w:t>(估計)</w:t>
            </w:r>
          </w:p>
        </w:tc>
        <w:tc>
          <w:tcPr>
            <w:tcW w:w="1064" w:type="dxa"/>
            <w:tcBorders>
              <w:top w:val="single" w:sz="6" w:space="0" w:color="000000"/>
              <w:left w:val="single" w:sz="6" w:space="0" w:color="000000"/>
              <w:right w:val="single" w:sz="6" w:space="0" w:color="000000"/>
            </w:tcBorders>
            <w:shd w:val="clear" w:color="auto" w:fill="FFF0E1"/>
            <w:tcMar>
              <w:top w:w="0" w:type="dxa"/>
              <w:left w:w="57" w:type="dxa"/>
              <w:bottom w:w="0" w:type="dxa"/>
              <w:right w:w="57" w:type="dxa"/>
            </w:tcMar>
          </w:tcPr>
          <w:p w14:paraId="735A22D3"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58.35</w:t>
            </w:r>
          </w:p>
        </w:tc>
        <w:tc>
          <w:tcPr>
            <w:tcW w:w="1274" w:type="dxa"/>
            <w:tcBorders>
              <w:top w:val="single" w:sz="6" w:space="0" w:color="000000"/>
              <w:left w:val="single" w:sz="6" w:space="0" w:color="000000"/>
              <w:right w:val="single" w:sz="6" w:space="0" w:color="000000"/>
            </w:tcBorders>
            <w:shd w:val="clear" w:color="auto" w:fill="FFF0E1"/>
            <w:tcMar>
              <w:top w:w="0" w:type="dxa"/>
              <w:left w:w="57" w:type="dxa"/>
              <w:bottom w:w="0" w:type="dxa"/>
              <w:right w:w="57" w:type="dxa"/>
            </w:tcMar>
          </w:tcPr>
          <w:p w14:paraId="63F6F076"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150</w:t>
            </w:r>
          </w:p>
        </w:tc>
        <w:tc>
          <w:tcPr>
            <w:tcW w:w="1064" w:type="dxa"/>
            <w:tcBorders>
              <w:top w:val="single" w:sz="6" w:space="0" w:color="000000"/>
              <w:left w:val="single" w:sz="6" w:space="0" w:color="000000"/>
              <w:right w:val="single" w:sz="6" w:space="0" w:color="000000"/>
            </w:tcBorders>
            <w:shd w:val="clear" w:color="auto" w:fill="FFF0E1"/>
            <w:tcMar>
              <w:top w:w="0" w:type="dxa"/>
              <w:left w:w="57" w:type="dxa"/>
              <w:bottom w:w="0" w:type="dxa"/>
              <w:right w:w="57" w:type="dxa"/>
            </w:tcMar>
          </w:tcPr>
          <w:p w14:paraId="1373C9CB"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1.40</w:t>
            </w:r>
          </w:p>
        </w:tc>
        <w:tc>
          <w:tcPr>
            <w:tcW w:w="1903" w:type="dxa"/>
            <w:tcBorders>
              <w:top w:val="single" w:sz="6" w:space="0" w:color="000000"/>
              <w:left w:val="single" w:sz="6" w:space="0" w:color="000000"/>
              <w:right w:val="single" w:sz="6" w:space="0" w:color="000000"/>
            </w:tcBorders>
            <w:shd w:val="clear" w:color="auto" w:fill="FFF0E1"/>
            <w:tcMar>
              <w:top w:w="0" w:type="dxa"/>
              <w:left w:w="57" w:type="dxa"/>
              <w:bottom w:w="0" w:type="dxa"/>
              <w:right w:w="57" w:type="dxa"/>
            </w:tcMar>
          </w:tcPr>
          <w:p w14:paraId="5C112BF0"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55.87</w:t>
            </w:r>
          </w:p>
        </w:tc>
        <w:tc>
          <w:tcPr>
            <w:tcW w:w="975" w:type="dxa"/>
            <w:tcBorders>
              <w:top w:val="single" w:sz="6" w:space="0" w:color="000000"/>
              <w:left w:val="single" w:sz="6" w:space="0" w:color="000000"/>
            </w:tcBorders>
            <w:shd w:val="clear" w:color="auto" w:fill="FFF0E1"/>
            <w:tcMar>
              <w:top w:w="0" w:type="dxa"/>
              <w:left w:w="57" w:type="dxa"/>
              <w:bottom w:w="0" w:type="dxa"/>
              <w:right w:w="57" w:type="dxa"/>
            </w:tcMar>
          </w:tcPr>
          <w:p w14:paraId="19CF8310"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4.24</w:t>
            </w:r>
          </w:p>
        </w:tc>
        <w:tc>
          <w:tcPr>
            <w:tcW w:w="18" w:type="dxa"/>
          </w:tcPr>
          <w:p w14:paraId="48E3AD5E" w14:textId="77777777" w:rsidR="00052596" w:rsidRDefault="00052596">
            <w:pPr>
              <w:overflowPunct w:val="0"/>
              <w:autoSpaceDE w:val="0"/>
              <w:spacing w:line="360" w:lineRule="exact"/>
              <w:jc w:val="center"/>
              <w:textAlignment w:val="center"/>
              <w:rPr>
                <w:rFonts w:eastAsia="標楷體"/>
                <w:color w:val="000000"/>
                <w:spacing w:val="4"/>
                <w:kern w:val="0"/>
                <w:szCs w:val="24"/>
              </w:rPr>
            </w:pPr>
          </w:p>
        </w:tc>
      </w:tr>
      <w:tr w:rsidR="00052596" w14:paraId="44293245" w14:textId="77777777">
        <w:tblPrEx>
          <w:tblCellMar>
            <w:top w:w="0" w:type="dxa"/>
            <w:bottom w:w="0" w:type="dxa"/>
          </w:tblCellMar>
        </w:tblPrEx>
        <w:trPr>
          <w:trHeight w:val="312"/>
          <w:jc w:val="center"/>
        </w:trPr>
        <w:tc>
          <w:tcPr>
            <w:tcW w:w="1517" w:type="dxa"/>
            <w:gridSpan w:val="2"/>
            <w:tcBorders>
              <w:right w:val="single" w:sz="6" w:space="0" w:color="000000"/>
            </w:tcBorders>
            <w:shd w:val="clear" w:color="auto" w:fill="FFF0E1"/>
            <w:tcMar>
              <w:top w:w="0" w:type="dxa"/>
              <w:left w:w="57" w:type="dxa"/>
              <w:bottom w:w="0" w:type="dxa"/>
              <w:right w:w="57" w:type="dxa"/>
            </w:tcMar>
          </w:tcPr>
          <w:p w14:paraId="563C773D" w14:textId="77777777" w:rsidR="00052596" w:rsidRDefault="00000000">
            <w:pPr>
              <w:overflowPunct w:val="0"/>
              <w:autoSpaceDE w:val="0"/>
              <w:spacing w:line="360" w:lineRule="exact"/>
              <w:jc w:val="both"/>
              <w:textAlignment w:val="center"/>
            </w:pPr>
            <w:r>
              <w:rPr>
                <w:rFonts w:eastAsia="標楷體"/>
                <w:bCs/>
                <w:color w:val="000000"/>
                <w:kern w:val="0"/>
                <w:szCs w:val="24"/>
              </w:rPr>
              <w:t>102</w:t>
            </w:r>
            <w:r>
              <w:rPr>
                <w:rFonts w:eastAsia="標楷體"/>
                <w:bCs/>
                <w:color w:val="000000"/>
                <w:kern w:val="0"/>
                <w:szCs w:val="24"/>
              </w:rPr>
              <w:t>年</w:t>
            </w:r>
            <w:r>
              <w:rPr>
                <w:rFonts w:ascii="標楷體" w:eastAsia="標楷體" w:hAnsi="標楷體"/>
                <w:bCs/>
                <w:color w:val="000000"/>
                <w:kern w:val="0"/>
                <w:szCs w:val="24"/>
              </w:rPr>
              <w:t>(目標)</w:t>
            </w:r>
          </w:p>
        </w:tc>
        <w:tc>
          <w:tcPr>
            <w:tcW w:w="1064" w:type="dxa"/>
            <w:tcBorders>
              <w:left w:val="single" w:sz="6" w:space="0" w:color="000000"/>
              <w:right w:val="single" w:sz="6" w:space="0" w:color="000000"/>
            </w:tcBorders>
            <w:shd w:val="clear" w:color="auto" w:fill="FFF0E1"/>
            <w:tcMar>
              <w:top w:w="0" w:type="dxa"/>
              <w:left w:w="57" w:type="dxa"/>
              <w:bottom w:w="0" w:type="dxa"/>
              <w:right w:w="57" w:type="dxa"/>
            </w:tcMar>
          </w:tcPr>
          <w:p w14:paraId="68B74523"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58.4</w:t>
            </w:r>
          </w:p>
        </w:tc>
        <w:tc>
          <w:tcPr>
            <w:tcW w:w="1274" w:type="dxa"/>
            <w:tcBorders>
              <w:left w:val="single" w:sz="6" w:space="0" w:color="000000"/>
              <w:right w:val="single" w:sz="6" w:space="0" w:color="000000"/>
            </w:tcBorders>
            <w:shd w:val="clear" w:color="auto" w:fill="FFF0E1"/>
            <w:tcMar>
              <w:top w:w="0" w:type="dxa"/>
              <w:left w:w="57" w:type="dxa"/>
              <w:bottom w:w="0" w:type="dxa"/>
              <w:right w:w="57" w:type="dxa"/>
            </w:tcMar>
          </w:tcPr>
          <w:p w14:paraId="59E431B8"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115</w:t>
            </w:r>
          </w:p>
        </w:tc>
        <w:tc>
          <w:tcPr>
            <w:tcW w:w="1064" w:type="dxa"/>
            <w:tcBorders>
              <w:left w:val="single" w:sz="6" w:space="0" w:color="000000"/>
              <w:right w:val="single" w:sz="6" w:space="0" w:color="000000"/>
            </w:tcBorders>
            <w:shd w:val="clear" w:color="auto" w:fill="FFF0E1"/>
            <w:tcMar>
              <w:top w:w="0" w:type="dxa"/>
              <w:left w:w="57" w:type="dxa"/>
              <w:bottom w:w="0" w:type="dxa"/>
              <w:right w:w="57" w:type="dxa"/>
            </w:tcMar>
          </w:tcPr>
          <w:p w14:paraId="2254502A"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1.1</w:t>
            </w:r>
          </w:p>
        </w:tc>
        <w:tc>
          <w:tcPr>
            <w:tcW w:w="1903" w:type="dxa"/>
            <w:tcBorders>
              <w:left w:val="single" w:sz="6" w:space="0" w:color="000000"/>
              <w:right w:val="single" w:sz="6" w:space="0" w:color="000000"/>
            </w:tcBorders>
            <w:shd w:val="clear" w:color="auto" w:fill="FFF0E1"/>
            <w:tcMar>
              <w:top w:w="0" w:type="dxa"/>
              <w:left w:w="57" w:type="dxa"/>
              <w:bottom w:w="0" w:type="dxa"/>
              <w:right w:w="57" w:type="dxa"/>
            </w:tcMar>
          </w:tcPr>
          <w:p w14:paraId="17941973"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56.0</w:t>
            </w:r>
          </w:p>
        </w:tc>
        <w:tc>
          <w:tcPr>
            <w:tcW w:w="975" w:type="dxa"/>
            <w:tcBorders>
              <w:left w:val="single" w:sz="6" w:space="0" w:color="000000"/>
            </w:tcBorders>
            <w:shd w:val="clear" w:color="auto" w:fill="FFF0E1"/>
            <w:tcMar>
              <w:top w:w="0" w:type="dxa"/>
              <w:left w:w="57" w:type="dxa"/>
              <w:bottom w:w="0" w:type="dxa"/>
              <w:right w:w="57" w:type="dxa"/>
            </w:tcMar>
          </w:tcPr>
          <w:p w14:paraId="27A1217A"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4.1</w:t>
            </w:r>
          </w:p>
        </w:tc>
        <w:tc>
          <w:tcPr>
            <w:tcW w:w="18" w:type="dxa"/>
          </w:tcPr>
          <w:p w14:paraId="6B8E10D8" w14:textId="77777777" w:rsidR="00052596" w:rsidRDefault="00052596">
            <w:pPr>
              <w:overflowPunct w:val="0"/>
              <w:autoSpaceDE w:val="0"/>
              <w:spacing w:line="360" w:lineRule="exact"/>
              <w:jc w:val="center"/>
              <w:textAlignment w:val="center"/>
              <w:rPr>
                <w:rFonts w:eastAsia="標楷體"/>
                <w:color w:val="000000"/>
                <w:spacing w:val="4"/>
                <w:kern w:val="0"/>
                <w:szCs w:val="24"/>
              </w:rPr>
            </w:pPr>
          </w:p>
        </w:tc>
      </w:tr>
      <w:tr w:rsidR="00052596" w14:paraId="0CFE281D" w14:textId="77777777">
        <w:tblPrEx>
          <w:tblCellMar>
            <w:top w:w="0" w:type="dxa"/>
            <w:bottom w:w="0" w:type="dxa"/>
          </w:tblCellMar>
        </w:tblPrEx>
        <w:trPr>
          <w:trHeight w:val="312"/>
          <w:jc w:val="center"/>
        </w:trPr>
        <w:tc>
          <w:tcPr>
            <w:tcW w:w="1517" w:type="dxa"/>
            <w:gridSpan w:val="2"/>
            <w:tcBorders>
              <w:bottom w:val="single" w:sz="6" w:space="0" w:color="000000"/>
              <w:right w:val="single" w:sz="6" w:space="0" w:color="000000"/>
            </w:tcBorders>
            <w:shd w:val="clear" w:color="auto" w:fill="FFF0E1"/>
            <w:tcMar>
              <w:top w:w="0" w:type="dxa"/>
              <w:left w:w="57" w:type="dxa"/>
              <w:bottom w:w="0" w:type="dxa"/>
              <w:right w:w="57" w:type="dxa"/>
            </w:tcMar>
          </w:tcPr>
          <w:p w14:paraId="7B7A4805" w14:textId="77777777" w:rsidR="00052596" w:rsidRDefault="00000000">
            <w:pPr>
              <w:overflowPunct w:val="0"/>
              <w:autoSpaceDE w:val="0"/>
              <w:spacing w:line="360" w:lineRule="exact"/>
              <w:jc w:val="both"/>
              <w:textAlignment w:val="center"/>
            </w:pPr>
            <w:r>
              <w:rPr>
                <w:rFonts w:eastAsia="標楷體"/>
                <w:color w:val="000000"/>
                <w:kern w:val="0"/>
                <w:szCs w:val="24"/>
              </w:rPr>
              <w:t>105</w:t>
            </w:r>
            <w:r>
              <w:rPr>
                <w:rFonts w:eastAsia="標楷體"/>
                <w:color w:val="000000"/>
                <w:kern w:val="0"/>
                <w:szCs w:val="24"/>
              </w:rPr>
              <w:t>年</w:t>
            </w:r>
            <w:r>
              <w:rPr>
                <w:rFonts w:ascii="標楷體" w:eastAsia="標楷體" w:hAnsi="標楷體"/>
                <w:color w:val="000000"/>
                <w:kern w:val="0"/>
                <w:szCs w:val="24"/>
              </w:rPr>
              <w:t>(目標)</w:t>
            </w:r>
          </w:p>
        </w:tc>
        <w:tc>
          <w:tcPr>
            <w:tcW w:w="1064" w:type="dxa"/>
            <w:tcBorders>
              <w:left w:val="single" w:sz="6" w:space="0" w:color="000000"/>
              <w:bottom w:val="single" w:sz="6" w:space="0" w:color="000000"/>
              <w:right w:val="single" w:sz="6" w:space="0" w:color="000000"/>
            </w:tcBorders>
            <w:shd w:val="clear" w:color="auto" w:fill="FFF0E1"/>
            <w:tcMar>
              <w:top w:w="0" w:type="dxa"/>
              <w:left w:w="57" w:type="dxa"/>
              <w:bottom w:w="0" w:type="dxa"/>
              <w:right w:w="57" w:type="dxa"/>
            </w:tcMar>
          </w:tcPr>
          <w:p w14:paraId="1D29E88C"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58.7</w:t>
            </w:r>
          </w:p>
        </w:tc>
        <w:tc>
          <w:tcPr>
            <w:tcW w:w="1274" w:type="dxa"/>
            <w:tcBorders>
              <w:left w:val="single" w:sz="6" w:space="0" w:color="000000"/>
              <w:bottom w:val="single" w:sz="6" w:space="0" w:color="000000"/>
              <w:right w:val="single" w:sz="6" w:space="0" w:color="000000"/>
            </w:tcBorders>
            <w:shd w:val="clear" w:color="auto" w:fill="FFF0E1"/>
            <w:tcMar>
              <w:top w:w="0" w:type="dxa"/>
              <w:left w:w="57" w:type="dxa"/>
              <w:bottom w:w="0" w:type="dxa"/>
              <w:right w:w="57" w:type="dxa"/>
            </w:tcMar>
          </w:tcPr>
          <w:p w14:paraId="6BCAF8BB"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112</w:t>
            </w:r>
          </w:p>
        </w:tc>
        <w:tc>
          <w:tcPr>
            <w:tcW w:w="1064" w:type="dxa"/>
            <w:tcBorders>
              <w:left w:val="single" w:sz="6" w:space="0" w:color="000000"/>
              <w:bottom w:val="single" w:sz="6" w:space="0" w:color="000000"/>
              <w:right w:val="single" w:sz="6" w:space="0" w:color="000000"/>
            </w:tcBorders>
            <w:shd w:val="clear" w:color="auto" w:fill="FFF0E1"/>
            <w:tcMar>
              <w:top w:w="0" w:type="dxa"/>
              <w:left w:w="57" w:type="dxa"/>
              <w:bottom w:w="0" w:type="dxa"/>
              <w:right w:w="57" w:type="dxa"/>
            </w:tcMar>
          </w:tcPr>
          <w:p w14:paraId="64B50EC6"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1.0</w:t>
            </w:r>
          </w:p>
        </w:tc>
        <w:tc>
          <w:tcPr>
            <w:tcW w:w="1903" w:type="dxa"/>
            <w:tcBorders>
              <w:left w:val="single" w:sz="6" w:space="0" w:color="000000"/>
              <w:bottom w:val="single" w:sz="6" w:space="0" w:color="000000"/>
              <w:right w:val="single" w:sz="6" w:space="0" w:color="000000"/>
            </w:tcBorders>
            <w:shd w:val="clear" w:color="auto" w:fill="FFF0E1"/>
            <w:tcMar>
              <w:top w:w="0" w:type="dxa"/>
              <w:left w:w="57" w:type="dxa"/>
              <w:bottom w:w="0" w:type="dxa"/>
              <w:right w:w="57" w:type="dxa"/>
            </w:tcMar>
          </w:tcPr>
          <w:p w14:paraId="1104B10D"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56.4</w:t>
            </w:r>
          </w:p>
        </w:tc>
        <w:tc>
          <w:tcPr>
            <w:tcW w:w="975" w:type="dxa"/>
            <w:tcBorders>
              <w:left w:val="single" w:sz="6" w:space="0" w:color="000000"/>
              <w:bottom w:val="single" w:sz="6" w:space="0" w:color="000000"/>
            </w:tcBorders>
            <w:shd w:val="clear" w:color="auto" w:fill="FFF0E1"/>
            <w:tcMar>
              <w:top w:w="0" w:type="dxa"/>
              <w:left w:w="57" w:type="dxa"/>
              <w:bottom w:w="0" w:type="dxa"/>
              <w:right w:w="57" w:type="dxa"/>
            </w:tcMar>
          </w:tcPr>
          <w:p w14:paraId="7C090182" w14:textId="77777777" w:rsidR="00052596" w:rsidRDefault="00000000">
            <w:pPr>
              <w:overflowPunct w:val="0"/>
              <w:autoSpaceDE w:val="0"/>
              <w:spacing w:line="360" w:lineRule="exact"/>
              <w:jc w:val="center"/>
              <w:textAlignment w:val="center"/>
              <w:rPr>
                <w:rFonts w:eastAsia="標楷體"/>
                <w:color w:val="000000"/>
                <w:spacing w:val="4"/>
                <w:kern w:val="0"/>
                <w:szCs w:val="24"/>
              </w:rPr>
            </w:pPr>
            <w:r>
              <w:rPr>
                <w:rFonts w:eastAsia="標楷體"/>
                <w:color w:val="000000"/>
                <w:spacing w:val="4"/>
                <w:kern w:val="0"/>
                <w:szCs w:val="24"/>
              </w:rPr>
              <w:t>3.9</w:t>
            </w:r>
          </w:p>
        </w:tc>
        <w:tc>
          <w:tcPr>
            <w:tcW w:w="18" w:type="dxa"/>
          </w:tcPr>
          <w:p w14:paraId="008BC481" w14:textId="77777777" w:rsidR="00052596" w:rsidRDefault="00052596">
            <w:pPr>
              <w:overflowPunct w:val="0"/>
              <w:autoSpaceDE w:val="0"/>
              <w:spacing w:line="360" w:lineRule="exact"/>
              <w:jc w:val="center"/>
              <w:textAlignment w:val="center"/>
              <w:rPr>
                <w:rFonts w:eastAsia="標楷體"/>
                <w:color w:val="000000"/>
                <w:spacing w:val="4"/>
                <w:kern w:val="0"/>
                <w:szCs w:val="24"/>
              </w:rPr>
            </w:pPr>
          </w:p>
        </w:tc>
      </w:tr>
    </w:tbl>
    <w:p w14:paraId="0D558A33" w14:textId="77777777" w:rsidR="00052596" w:rsidRDefault="00000000">
      <w:pPr>
        <w:overflowPunct w:val="0"/>
        <w:autoSpaceDE w:val="0"/>
        <w:spacing w:line="280" w:lineRule="exact"/>
        <w:ind w:left="1416" w:hanging="1080"/>
        <w:jc w:val="both"/>
        <w:textAlignment w:val="center"/>
        <w:rPr>
          <w:rFonts w:eastAsia="標楷體"/>
          <w:spacing w:val="-2"/>
          <w:kern w:val="0"/>
          <w:sz w:val="22"/>
          <w:szCs w:val="22"/>
        </w:rPr>
      </w:pPr>
      <w:r>
        <w:rPr>
          <w:rFonts w:eastAsia="標楷體"/>
          <w:spacing w:val="-2"/>
          <w:kern w:val="0"/>
          <w:sz w:val="22"/>
          <w:szCs w:val="22"/>
        </w:rPr>
        <w:t>資料來源：經建會推估。</w:t>
      </w:r>
    </w:p>
    <w:p w14:paraId="25A38535" w14:textId="77777777" w:rsidR="00052596" w:rsidRDefault="00052596">
      <w:pPr>
        <w:tabs>
          <w:tab w:val="left" w:pos="960"/>
          <w:tab w:val="left" w:pos="1920"/>
          <w:tab w:val="left" w:pos="2880"/>
          <w:tab w:val="left" w:pos="3840"/>
          <w:tab w:val="left" w:pos="4800"/>
          <w:tab w:val="left" w:pos="5760"/>
        </w:tabs>
        <w:overflowPunct w:val="0"/>
        <w:autoSpaceDE w:val="0"/>
        <w:spacing w:before="120" w:after="120" w:line="420" w:lineRule="exact"/>
        <w:ind w:left="768" w:hanging="288"/>
        <w:jc w:val="both"/>
        <w:textAlignment w:val="center"/>
        <w:rPr>
          <w:rFonts w:eastAsia="標楷體"/>
          <w:spacing w:val="4"/>
          <w:kern w:val="0"/>
          <w:sz w:val="28"/>
        </w:rPr>
      </w:pPr>
    </w:p>
    <w:p w14:paraId="0D3A06B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永續發展目標</w:t>
      </w:r>
    </w:p>
    <w:p w14:paraId="061FEB51" w14:textId="77777777" w:rsidR="00052596" w:rsidRDefault="00000000">
      <w:pPr>
        <w:overflowPunct w:val="0"/>
        <w:autoSpaceDE w:val="0"/>
        <w:spacing w:line="420" w:lineRule="exact"/>
        <w:ind w:left="1032" w:firstLine="576"/>
        <w:jc w:val="both"/>
        <w:textAlignment w:val="center"/>
      </w:pPr>
      <w:r>
        <w:rPr>
          <w:rFonts w:eastAsia="標楷體"/>
          <w:spacing w:val="4"/>
          <w:kern w:val="0"/>
          <w:sz w:val="28"/>
          <w:szCs w:val="22"/>
        </w:rPr>
        <w:t>未來四年政府因應全球永續潮流，將加強節能減碳、並藉由發展潔淨能源、拓展綠色產業、強化綠色投資，使綠色成長成為經濟成長的新動能。準此，在兼顧能源安全、環境保護及經濟發展三贏的目標下，設定節能、減碳及能源</w:t>
      </w:r>
      <w:r>
        <w:rPr>
          <w:rFonts w:ascii="標楷體" w:eastAsia="標楷體" w:hAnsi="標楷體"/>
          <w:spacing w:val="4"/>
          <w:kern w:val="0"/>
          <w:sz w:val="28"/>
        </w:rPr>
        <w:t>目標如次：</w:t>
      </w:r>
    </w:p>
    <w:p w14:paraId="11933BF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6"/>
        </w:rPr>
        <w:t>(</w:t>
      </w:r>
      <w:r>
        <w:rPr>
          <w:rFonts w:eastAsia="標楷體"/>
          <w:spacing w:val="4"/>
          <w:kern w:val="0"/>
          <w:sz w:val="28"/>
          <w:szCs w:val="26"/>
        </w:rPr>
        <w:t>1</w:t>
      </w:r>
      <w:r>
        <w:rPr>
          <w:rFonts w:ascii="標楷體" w:eastAsia="標楷體" w:hAnsi="標楷體"/>
          <w:spacing w:val="4"/>
          <w:kern w:val="0"/>
          <w:sz w:val="28"/>
          <w:szCs w:val="26"/>
        </w:rPr>
        <w:t>)</w:t>
      </w:r>
      <w:r>
        <w:rPr>
          <w:rFonts w:eastAsia="標楷體"/>
          <w:spacing w:val="4"/>
          <w:kern w:val="0"/>
          <w:sz w:val="28"/>
          <w:szCs w:val="26"/>
        </w:rPr>
        <w:t>節能：</w:t>
      </w:r>
      <w:r>
        <w:rPr>
          <w:rFonts w:eastAsia="標楷體"/>
          <w:spacing w:val="4"/>
          <w:kern w:val="0"/>
          <w:sz w:val="28"/>
          <w:szCs w:val="22"/>
        </w:rPr>
        <w:t>每年提高能源效率</w:t>
      </w:r>
      <w:r>
        <w:rPr>
          <w:rFonts w:eastAsia="標楷體"/>
          <w:spacing w:val="4"/>
          <w:kern w:val="0"/>
          <w:sz w:val="28"/>
          <w:szCs w:val="22"/>
        </w:rPr>
        <w:t>2%</w:t>
      </w:r>
      <w:r>
        <w:rPr>
          <w:rFonts w:eastAsia="標楷體"/>
          <w:spacing w:val="4"/>
          <w:kern w:val="0"/>
          <w:sz w:val="28"/>
          <w:szCs w:val="22"/>
        </w:rPr>
        <w:t>以上，</w:t>
      </w:r>
      <w:r>
        <w:rPr>
          <w:rFonts w:eastAsia="標楷體"/>
          <w:spacing w:val="4"/>
          <w:kern w:val="0"/>
          <w:sz w:val="28"/>
          <w:szCs w:val="22"/>
        </w:rPr>
        <w:t>105</w:t>
      </w:r>
      <w:r>
        <w:rPr>
          <w:rFonts w:eastAsia="標楷體"/>
          <w:spacing w:val="4"/>
          <w:kern w:val="0"/>
          <w:sz w:val="28"/>
          <w:szCs w:val="22"/>
        </w:rPr>
        <w:t>年能源密集度較</w:t>
      </w:r>
      <w:r>
        <w:rPr>
          <w:rFonts w:eastAsia="標楷體"/>
          <w:spacing w:val="4"/>
          <w:kern w:val="0"/>
          <w:sz w:val="28"/>
          <w:szCs w:val="22"/>
        </w:rPr>
        <w:t>99</w:t>
      </w:r>
      <w:r>
        <w:rPr>
          <w:rFonts w:eastAsia="標楷體"/>
          <w:spacing w:val="4"/>
          <w:kern w:val="0"/>
          <w:sz w:val="28"/>
          <w:szCs w:val="22"/>
        </w:rPr>
        <w:t>年下降</w:t>
      </w:r>
      <w:r>
        <w:rPr>
          <w:rFonts w:eastAsia="標楷體"/>
          <w:spacing w:val="4"/>
          <w:kern w:val="0"/>
          <w:sz w:val="28"/>
          <w:szCs w:val="22"/>
        </w:rPr>
        <w:t>12%</w:t>
      </w:r>
      <w:r>
        <w:rPr>
          <w:rFonts w:eastAsia="標楷體"/>
          <w:spacing w:val="4"/>
          <w:kern w:val="0"/>
          <w:sz w:val="28"/>
          <w:szCs w:val="22"/>
        </w:rPr>
        <w:t>。</w:t>
      </w:r>
    </w:p>
    <w:p w14:paraId="586F162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6"/>
        </w:rPr>
        <w:t>(</w:t>
      </w:r>
      <w:r>
        <w:rPr>
          <w:rFonts w:eastAsia="標楷體"/>
          <w:spacing w:val="4"/>
          <w:kern w:val="0"/>
          <w:sz w:val="28"/>
          <w:szCs w:val="26"/>
        </w:rPr>
        <w:t>2</w:t>
      </w:r>
      <w:r>
        <w:rPr>
          <w:rFonts w:ascii="標楷體" w:eastAsia="標楷體" w:hAnsi="標楷體"/>
          <w:spacing w:val="4"/>
          <w:kern w:val="0"/>
          <w:sz w:val="28"/>
          <w:szCs w:val="26"/>
        </w:rPr>
        <w:t>)</w:t>
      </w:r>
      <w:r>
        <w:rPr>
          <w:rFonts w:eastAsia="標楷體"/>
          <w:spacing w:val="4"/>
          <w:kern w:val="0"/>
          <w:sz w:val="28"/>
          <w:szCs w:val="26"/>
        </w:rPr>
        <w:t>減碳：</w:t>
      </w:r>
      <w:r>
        <w:rPr>
          <w:rFonts w:eastAsia="標楷體"/>
          <w:spacing w:val="4"/>
          <w:kern w:val="0"/>
          <w:sz w:val="28"/>
          <w:szCs w:val="22"/>
          <w:lang w:bidi="hi-IN"/>
        </w:rPr>
        <w:t>全國</w:t>
      </w:r>
      <w:r>
        <w:rPr>
          <w:rFonts w:eastAsia="標楷體"/>
          <w:spacing w:val="4"/>
          <w:kern w:val="0"/>
          <w:sz w:val="28"/>
          <w:szCs w:val="22"/>
          <w:lang w:bidi="hi-IN"/>
        </w:rPr>
        <w:t>CO</w:t>
      </w:r>
      <w:r>
        <w:rPr>
          <w:rFonts w:eastAsia="標楷體"/>
          <w:spacing w:val="4"/>
          <w:kern w:val="0"/>
          <w:sz w:val="28"/>
          <w:szCs w:val="22"/>
          <w:vertAlign w:val="subscript"/>
          <w:lang w:bidi="hi-IN"/>
        </w:rPr>
        <w:t>2</w:t>
      </w:r>
      <w:r>
        <w:rPr>
          <w:rFonts w:eastAsia="標楷體"/>
          <w:spacing w:val="4"/>
          <w:kern w:val="0"/>
          <w:sz w:val="28"/>
          <w:szCs w:val="22"/>
          <w:lang w:bidi="hi-IN"/>
        </w:rPr>
        <w:t>排放減量，於</w:t>
      </w:r>
      <w:r>
        <w:rPr>
          <w:rFonts w:eastAsia="標楷體"/>
          <w:spacing w:val="4"/>
          <w:kern w:val="0"/>
          <w:sz w:val="28"/>
          <w:szCs w:val="22"/>
          <w:lang w:bidi="hi-IN"/>
        </w:rPr>
        <w:t>109</w:t>
      </w:r>
      <w:r>
        <w:rPr>
          <w:rFonts w:eastAsia="標楷體"/>
          <w:spacing w:val="4"/>
          <w:kern w:val="0"/>
          <w:sz w:val="28"/>
          <w:szCs w:val="22"/>
          <w:lang w:bidi="hi-IN"/>
        </w:rPr>
        <w:t>年回到</w:t>
      </w:r>
      <w:r>
        <w:rPr>
          <w:rFonts w:eastAsia="標楷體"/>
          <w:spacing w:val="4"/>
          <w:kern w:val="0"/>
          <w:sz w:val="28"/>
          <w:szCs w:val="22"/>
          <w:lang w:bidi="hi-IN"/>
        </w:rPr>
        <w:t>94</w:t>
      </w:r>
      <w:r>
        <w:rPr>
          <w:rFonts w:eastAsia="標楷體"/>
          <w:spacing w:val="4"/>
          <w:kern w:val="0"/>
          <w:sz w:val="28"/>
          <w:szCs w:val="22"/>
          <w:lang w:bidi="hi-IN"/>
        </w:rPr>
        <w:t>年排放量，於</w:t>
      </w:r>
      <w:r>
        <w:rPr>
          <w:rFonts w:eastAsia="標楷體"/>
          <w:spacing w:val="4"/>
          <w:kern w:val="0"/>
          <w:sz w:val="28"/>
          <w:szCs w:val="22"/>
          <w:lang w:bidi="hi-IN"/>
        </w:rPr>
        <w:t>114</w:t>
      </w:r>
      <w:r>
        <w:rPr>
          <w:rFonts w:eastAsia="標楷體"/>
          <w:spacing w:val="4"/>
          <w:kern w:val="0"/>
          <w:sz w:val="28"/>
          <w:szCs w:val="22"/>
          <w:lang w:bidi="hi-IN"/>
        </w:rPr>
        <w:t>年回到</w:t>
      </w:r>
      <w:r>
        <w:rPr>
          <w:rFonts w:eastAsia="標楷體"/>
          <w:spacing w:val="4"/>
          <w:kern w:val="0"/>
          <w:sz w:val="28"/>
          <w:szCs w:val="22"/>
          <w:lang w:bidi="hi-IN"/>
        </w:rPr>
        <w:t>89</w:t>
      </w:r>
      <w:r>
        <w:rPr>
          <w:rFonts w:eastAsia="標楷體"/>
          <w:spacing w:val="4"/>
          <w:kern w:val="0"/>
          <w:sz w:val="28"/>
          <w:szCs w:val="22"/>
          <w:lang w:bidi="hi-IN"/>
        </w:rPr>
        <w:t>年排放量。</w:t>
      </w:r>
    </w:p>
    <w:p w14:paraId="38B2B67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6"/>
        </w:rPr>
        <w:t>(</w:t>
      </w:r>
      <w:r>
        <w:rPr>
          <w:rFonts w:eastAsia="標楷體"/>
          <w:spacing w:val="4"/>
          <w:kern w:val="0"/>
          <w:sz w:val="28"/>
          <w:szCs w:val="26"/>
        </w:rPr>
        <w:t>3</w:t>
      </w:r>
      <w:r>
        <w:rPr>
          <w:rFonts w:ascii="標楷體" w:eastAsia="標楷體" w:hAnsi="標楷體"/>
          <w:spacing w:val="4"/>
          <w:kern w:val="0"/>
          <w:sz w:val="28"/>
          <w:szCs w:val="26"/>
        </w:rPr>
        <w:t>)</w:t>
      </w:r>
      <w:r>
        <w:rPr>
          <w:rFonts w:eastAsia="標楷體"/>
          <w:spacing w:val="4"/>
          <w:kern w:val="0"/>
          <w:sz w:val="28"/>
          <w:szCs w:val="26"/>
        </w:rPr>
        <w:t>能源：</w:t>
      </w:r>
      <w:r>
        <w:rPr>
          <w:rFonts w:eastAsia="標楷體"/>
          <w:spacing w:val="4"/>
          <w:kern w:val="0"/>
          <w:sz w:val="28"/>
          <w:szCs w:val="26"/>
        </w:rPr>
        <w:t>105</w:t>
      </w:r>
      <w:r>
        <w:rPr>
          <w:rFonts w:eastAsia="標楷體"/>
          <w:spacing w:val="4"/>
          <w:kern w:val="0"/>
          <w:sz w:val="28"/>
          <w:szCs w:val="26"/>
        </w:rPr>
        <w:t>年再生能源總設置容量達</w:t>
      </w:r>
      <w:r>
        <w:rPr>
          <w:rFonts w:eastAsia="標楷體"/>
          <w:spacing w:val="4"/>
          <w:kern w:val="0"/>
          <w:sz w:val="28"/>
          <w:szCs w:val="26"/>
        </w:rPr>
        <w:t>458</w:t>
      </w:r>
      <w:r>
        <w:rPr>
          <w:rFonts w:eastAsia="標楷體"/>
          <w:spacing w:val="4"/>
          <w:kern w:val="0"/>
          <w:sz w:val="28"/>
          <w:szCs w:val="26"/>
        </w:rPr>
        <w:t>萬瓩，年發電量為</w:t>
      </w:r>
      <w:r>
        <w:rPr>
          <w:rFonts w:eastAsia="標楷體"/>
          <w:spacing w:val="4"/>
          <w:kern w:val="0"/>
          <w:sz w:val="28"/>
          <w:szCs w:val="26"/>
        </w:rPr>
        <w:t>122</w:t>
      </w:r>
      <w:r>
        <w:rPr>
          <w:rFonts w:eastAsia="標楷體"/>
          <w:spacing w:val="4"/>
          <w:kern w:val="0"/>
          <w:sz w:val="28"/>
          <w:szCs w:val="26"/>
        </w:rPr>
        <w:t>億度電。</w:t>
      </w:r>
    </w:p>
    <w:p w14:paraId="3B0DF966" w14:textId="77777777" w:rsidR="00052596" w:rsidRDefault="00052596">
      <w:pPr>
        <w:pageBreakBefore/>
        <w:widowControl/>
      </w:pPr>
    </w:p>
    <w:p w14:paraId="22258A8F"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貳、國家發展指標</w:t>
      </w:r>
    </w:p>
    <w:p w14:paraId="154154E3"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6624024"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為具體勾繪國家發展願景，並便於檢視政府施政績效及建設成果，茲就經濟、社會、基礎建設與政府、環境等四大面向，選取可量化且較具代表性之重要指標項目，建構國家發展指標。</w:t>
      </w:r>
    </w:p>
    <w:p w14:paraId="024356F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480"/>
        <w:jc w:val="both"/>
        <w:textAlignment w:val="center"/>
      </w:pPr>
      <w:r>
        <w:rPr>
          <w:noProof/>
        </w:rPr>
        <mc:AlternateContent>
          <mc:Choice Requires="wps">
            <w:drawing>
              <wp:anchor distT="0" distB="0" distL="114300" distR="114300" simplePos="0" relativeHeight="251694592" behindDoc="1" locked="0" layoutInCell="1" allowOverlap="1" wp14:anchorId="2BCD8245" wp14:editId="060B55A2">
                <wp:simplePos x="0" y="0"/>
                <wp:positionH relativeFrom="column">
                  <wp:posOffset>-174622</wp:posOffset>
                </wp:positionH>
                <wp:positionV relativeFrom="paragraph">
                  <wp:posOffset>189225</wp:posOffset>
                </wp:positionV>
                <wp:extent cx="5719443" cy="6547488"/>
                <wp:effectExtent l="0" t="0" r="0" b="5712"/>
                <wp:wrapNone/>
                <wp:docPr id="198" name="矩形 47"/>
                <wp:cNvGraphicFramePr/>
                <a:graphic xmlns:a="http://schemas.openxmlformats.org/drawingml/2006/main">
                  <a:graphicData uri="http://schemas.microsoft.com/office/word/2010/wordprocessingShape">
                    <wps:wsp>
                      <wps:cNvSpPr/>
                      <wps:spPr>
                        <a:xfrm>
                          <a:off x="0" y="0"/>
                          <a:ext cx="5719443" cy="6547488"/>
                        </a:xfrm>
                        <a:prstGeom prst="rect">
                          <a:avLst/>
                        </a:prstGeom>
                        <a:gradFill>
                          <a:gsLst>
                            <a:gs pos="0">
                              <a:srgbClr val="FFFFFF"/>
                            </a:gs>
                            <a:gs pos="100000">
                              <a:srgbClr val="EDFAFF"/>
                            </a:gs>
                          </a:gsLst>
                          <a:path path="circle">
                            <a:fillToRect l="50000" t="50000" r="50000" b="50000"/>
                          </a:path>
                        </a:gradFill>
                        <a:ln>
                          <a:noFill/>
                          <a:prstDash val="solid"/>
                        </a:ln>
                      </wps:spPr>
                      <wps:bodyPr lIns="0" tIns="0" rIns="0" bIns="0"/>
                    </wps:wsp>
                  </a:graphicData>
                </a:graphic>
              </wp:anchor>
            </w:drawing>
          </mc:Choice>
          <mc:Fallback>
            <w:pict>
              <v:rect w14:anchorId="4FAE1725" id="矩形 47" o:spid="_x0000_s1026" style="position:absolute;margin-left:-13.75pt;margin-top:14.9pt;width:450.35pt;height:515.5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" stroked="f">
                <v:fill color2="#edfaff" focusposition=".5,.5" focussize="" focus="100%" type="gradientRadial"/>
                <v:textbox inset="0,0,0,0"/>
              </v:rect>
            </w:pict>
          </mc:Fallback>
        </mc:AlternateContent>
      </w:r>
    </w:p>
    <w:p w14:paraId="6C6CB3F9" w14:textId="77777777" w:rsidR="00052596" w:rsidRDefault="00000000">
      <w:pPr>
        <w:overflowPunct w:val="0"/>
        <w:autoSpaceDE w:val="0"/>
        <w:spacing w:after="120" w:line="360" w:lineRule="exact"/>
        <w:jc w:val="center"/>
        <w:textAlignment w:val="center"/>
        <w:rPr>
          <w:rFonts w:eastAsia="標楷體"/>
          <w:b/>
          <w:color w:val="0000FF"/>
          <w:spacing w:val="10"/>
          <w:kern w:val="0"/>
          <w:sz w:val="26"/>
          <w:szCs w:val="26"/>
        </w:rPr>
      </w:pPr>
      <w:r>
        <w:rPr>
          <w:rFonts w:eastAsia="標楷體"/>
          <w:b/>
          <w:color w:val="0000FF"/>
          <w:spacing w:val="10"/>
          <w:kern w:val="0"/>
          <w:sz w:val="26"/>
          <w:szCs w:val="26"/>
        </w:rPr>
        <w:t>經濟面</w:t>
      </w:r>
    </w:p>
    <w:tbl>
      <w:tblPr>
        <w:tblW w:w="8712" w:type="dxa"/>
        <w:jc w:val="center"/>
        <w:tblLayout w:type="fixed"/>
        <w:tblCellMar>
          <w:left w:w="10" w:type="dxa"/>
          <w:right w:w="10" w:type="dxa"/>
        </w:tblCellMar>
        <w:tblLook w:val="04A0" w:firstRow="1" w:lastRow="0" w:firstColumn="1" w:lastColumn="0" w:noHBand="0" w:noVBand="1"/>
      </w:tblPr>
      <w:tblGrid>
        <w:gridCol w:w="4265"/>
        <w:gridCol w:w="855"/>
        <w:gridCol w:w="1278"/>
        <w:gridCol w:w="1134"/>
        <w:gridCol w:w="1180"/>
      </w:tblGrid>
      <w:tr w:rsidR="00052596" w14:paraId="28043152" w14:textId="77777777">
        <w:tblPrEx>
          <w:tblCellMar>
            <w:top w:w="0" w:type="dxa"/>
            <w:bottom w:w="0" w:type="dxa"/>
          </w:tblCellMar>
        </w:tblPrEx>
        <w:trPr>
          <w:trHeight w:val="191"/>
          <w:tblHeader/>
          <w:jc w:val="center"/>
        </w:trPr>
        <w:tc>
          <w:tcPr>
            <w:tcW w:w="4265" w:type="dxa"/>
            <w:vMerge w:val="restart"/>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1413AAB" w14:textId="77777777" w:rsidR="00052596" w:rsidRDefault="00000000">
            <w:pPr>
              <w:widowControl/>
              <w:overflowPunct w:val="0"/>
              <w:autoSpaceDE w:val="0"/>
              <w:spacing w:line="320" w:lineRule="exact"/>
              <w:ind w:left="168" w:hanging="168"/>
              <w:jc w:val="center"/>
              <w:rPr>
                <w:rFonts w:eastAsia="標楷體"/>
                <w:b/>
                <w:color w:val="0000FF"/>
                <w:kern w:val="0"/>
                <w:szCs w:val="24"/>
              </w:rPr>
            </w:pPr>
            <w:r>
              <w:rPr>
                <w:rFonts w:eastAsia="標楷體"/>
                <w:b/>
                <w:color w:val="0000FF"/>
                <w:kern w:val="0"/>
                <w:szCs w:val="24"/>
              </w:rPr>
              <w:t>項</w:t>
            </w:r>
            <w:r>
              <w:rPr>
                <w:rFonts w:eastAsia="標楷體"/>
                <w:b/>
                <w:color w:val="0000FF"/>
                <w:kern w:val="0"/>
                <w:szCs w:val="24"/>
              </w:rPr>
              <w:t xml:space="preserve"> </w:t>
            </w:r>
            <w:r>
              <w:rPr>
                <w:rFonts w:eastAsia="標楷體"/>
                <w:b/>
                <w:color w:val="0000FF"/>
                <w:kern w:val="0"/>
                <w:szCs w:val="24"/>
              </w:rPr>
              <w:t>目</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E746931"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單</w:t>
            </w:r>
            <w:r>
              <w:rPr>
                <w:rFonts w:eastAsia="標楷體"/>
                <w:b/>
                <w:color w:val="0000FF"/>
                <w:kern w:val="0"/>
                <w:szCs w:val="24"/>
              </w:rPr>
              <w:t xml:space="preserve"> </w:t>
            </w:r>
            <w:r>
              <w:rPr>
                <w:rFonts w:eastAsia="標楷體"/>
                <w:b/>
                <w:color w:val="0000FF"/>
                <w:kern w:val="0"/>
                <w:szCs w:val="24"/>
              </w:rPr>
              <w:t>位</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2F46A0C"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現況值</w:t>
            </w:r>
          </w:p>
          <w:p w14:paraId="659521C1"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(101</w:t>
            </w:r>
            <w:r>
              <w:rPr>
                <w:rFonts w:eastAsia="標楷體"/>
                <w:b/>
                <w:color w:val="0000FF"/>
                <w:kern w:val="0"/>
                <w:szCs w:val="24"/>
              </w:rPr>
              <w:t>年</w:t>
            </w:r>
            <w:r>
              <w:rPr>
                <w:rFonts w:eastAsia="標楷體"/>
                <w:b/>
                <w:color w:val="0000FF"/>
                <w:kern w:val="0"/>
                <w:szCs w:val="24"/>
              </w:rPr>
              <w:t>)</w:t>
            </w:r>
          </w:p>
        </w:tc>
        <w:tc>
          <w:tcPr>
            <w:tcW w:w="2314" w:type="dxa"/>
            <w:gridSpan w:val="2"/>
            <w:tcBorders>
              <w:top w:val="single" w:sz="4" w:space="0" w:color="000000"/>
              <w:bottom w:val="single" w:sz="4" w:space="0" w:color="000000"/>
            </w:tcBorders>
            <w:shd w:val="clear" w:color="auto" w:fill="auto"/>
            <w:noWrap/>
            <w:tcMar>
              <w:top w:w="0" w:type="dxa"/>
              <w:left w:w="28" w:type="dxa"/>
              <w:bottom w:w="0" w:type="dxa"/>
              <w:right w:w="28" w:type="dxa"/>
            </w:tcMar>
            <w:vAlign w:val="center"/>
          </w:tcPr>
          <w:p w14:paraId="253CC953"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目標值</w:t>
            </w:r>
          </w:p>
        </w:tc>
      </w:tr>
      <w:tr w:rsidR="00052596" w14:paraId="2249E20A" w14:textId="77777777">
        <w:tblPrEx>
          <w:tblCellMar>
            <w:top w:w="0" w:type="dxa"/>
            <w:bottom w:w="0" w:type="dxa"/>
          </w:tblCellMar>
        </w:tblPrEx>
        <w:trPr>
          <w:trHeight w:val="243"/>
          <w:tblHeader/>
          <w:jc w:val="center"/>
        </w:trPr>
        <w:tc>
          <w:tcPr>
            <w:tcW w:w="4265" w:type="dxa"/>
            <w:vMerge/>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3E4EB29" w14:textId="77777777" w:rsidR="00052596" w:rsidRDefault="00052596">
            <w:pPr>
              <w:widowControl/>
              <w:overflowPunct w:val="0"/>
              <w:autoSpaceDE w:val="0"/>
              <w:spacing w:line="320" w:lineRule="exact"/>
              <w:ind w:left="168" w:hanging="168"/>
              <w:jc w:val="both"/>
              <w:rPr>
                <w:rFonts w:eastAsia="標楷體"/>
                <w:b/>
                <w:color w:val="0000FF"/>
                <w:kern w:val="0"/>
                <w:szCs w:val="24"/>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01E4B9A" w14:textId="77777777" w:rsidR="00052596" w:rsidRDefault="00052596">
            <w:pPr>
              <w:widowControl/>
              <w:overflowPunct w:val="0"/>
              <w:autoSpaceDE w:val="0"/>
              <w:spacing w:line="320" w:lineRule="exact"/>
              <w:jc w:val="center"/>
              <w:rPr>
                <w:rFonts w:eastAsia="標楷體"/>
                <w:b/>
                <w:color w:val="0000FF"/>
                <w:kern w:val="0"/>
                <w:szCs w:val="24"/>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5472643" w14:textId="77777777" w:rsidR="00052596" w:rsidRDefault="00052596">
            <w:pPr>
              <w:widowControl/>
              <w:overflowPunct w:val="0"/>
              <w:autoSpaceDE w:val="0"/>
              <w:spacing w:line="320" w:lineRule="exact"/>
              <w:jc w:val="center"/>
              <w:rPr>
                <w:rFonts w:eastAsia="標楷體"/>
                <w:b/>
                <w:color w:val="0000FF"/>
                <w:kern w:val="0"/>
                <w:szCs w:val="24"/>
              </w:rPr>
            </w:pP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593D7F1"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102</w:t>
            </w:r>
            <w:r>
              <w:rPr>
                <w:rFonts w:eastAsia="標楷體"/>
                <w:b/>
                <w:color w:val="0000FF"/>
                <w:kern w:val="0"/>
                <w:szCs w:val="24"/>
              </w:rPr>
              <w:t>年</w:t>
            </w:r>
          </w:p>
        </w:tc>
        <w:tc>
          <w:tcPr>
            <w:tcW w:w="1180" w:type="dxa"/>
            <w:tcBorders>
              <w:bottom w:val="single" w:sz="4" w:space="0" w:color="000000"/>
            </w:tcBorders>
            <w:shd w:val="clear" w:color="auto" w:fill="auto"/>
            <w:noWrap/>
            <w:tcMar>
              <w:top w:w="0" w:type="dxa"/>
              <w:left w:w="28" w:type="dxa"/>
              <w:bottom w:w="0" w:type="dxa"/>
              <w:right w:w="28" w:type="dxa"/>
            </w:tcMar>
            <w:vAlign w:val="center"/>
          </w:tcPr>
          <w:p w14:paraId="43D01F34"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105</w:t>
            </w:r>
            <w:r>
              <w:rPr>
                <w:rFonts w:eastAsia="標楷體"/>
                <w:b/>
                <w:color w:val="0000FF"/>
                <w:kern w:val="0"/>
                <w:szCs w:val="24"/>
              </w:rPr>
              <w:t>年</w:t>
            </w:r>
          </w:p>
        </w:tc>
      </w:tr>
      <w:tr w:rsidR="00052596" w14:paraId="6F508DC4" w14:textId="77777777">
        <w:tblPrEx>
          <w:tblCellMar>
            <w:top w:w="0" w:type="dxa"/>
            <w:bottom w:w="0" w:type="dxa"/>
          </w:tblCellMar>
        </w:tblPrEx>
        <w:trPr>
          <w:cantSplit/>
          <w:trHeight w:val="236"/>
          <w:jc w:val="center"/>
        </w:trPr>
        <w:tc>
          <w:tcPr>
            <w:tcW w:w="4265" w:type="dxa"/>
            <w:tcBorders>
              <w:right w:val="single" w:sz="4" w:space="0" w:color="000000"/>
            </w:tcBorders>
            <w:shd w:val="clear" w:color="auto" w:fill="auto"/>
            <w:noWrap/>
            <w:tcMar>
              <w:top w:w="0" w:type="dxa"/>
              <w:left w:w="28" w:type="dxa"/>
              <w:bottom w:w="0" w:type="dxa"/>
              <w:right w:w="28" w:type="dxa"/>
            </w:tcMar>
          </w:tcPr>
          <w:p w14:paraId="07714C70" w14:textId="77777777" w:rsidR="00052596" w:rsidRDefault="00000000">
            <w:pPr>
              <w:widowControl/>
              <w:overflowPunct w:val="0"/>
              <w:autoSpaceDE w:val="0"/>
              <w:spacing w:line="320" w:lineRule="exact"/>
              <w:ind w:left="168" w:hanging="168"/>
              <w:jc w:val="both"/>
              <w:rPr>
                <w:rFonts w:eastAsia="標楷體"/>
                <w:b/>
                <w:color w:val="800000"/>
                <w:kern w:val="0"/>
                <w:szCs w:val="24"/>
              </w:rPr>
            </w:pPr>
            <w:r>
              <w:rPr>
                <w:rFonts w:eastAsia="標楷體"/>
                <w:b/>
                <w:color w:val="800000"/>
                <w:kern w:val="0"/>
                <w:szCs w:val="24"/>
              </w:rPr>
              <w:t>開放布局</w:t>
            </w:r>
          </w:p>
        </w:tc>
        <w:tc>
          <w:tcPr>
            <w:tcW w:w="855" w:type="dxa"/>
            <w:tcBorders>
              <w:right w:val="single" w:sz="4" w:space="0" w:color="000000"/>
            </w:tcBorders>
            <w:shd w:val="clear" w:color="auto" w:fill="auto"/>
            <w:noWrap/>
            <w:tcMar>
              <w:top w:w="0" w:type="dxa"/>
              <w:left w:w="28" w:type="dxa"/>
              <w:bottom w:w="0" w:type="dxa"/>
              <w:right w:w="28" w:type="dxa"/>
            </w:tcMar>
          </w:tcPr>
          <w:p w14:paraId="208E1E03" w14:textId="77777777" w:rsidR="00052596" w:rsidRDefault="00052596">
            <w:pPr>
              <w:widowControl/>
              <w:overflowPunct w:val="0"/>
              <w:autoSpaceDE w:val="0"/>
              <w:spacing w:line="320" w:lineRule="exact"/>
              <w:jc w:val="center"/>
              <w:rPr>
                <w:rFonts w:eastAsia="標楷體"/>
                <w:kern w:val="0"/>
                <w:szCs w:val="24"/>
              </w:rPr>
            </w:pPr>
          </w:p>
        </w:tc>
        <w:tc>
          <w:tcPr>
            <w:tcW w:w="1278" w:type="dxa"/>
            <w:tcBorders>
              <w:right w:val="single" w:sz="4" w:space="0" w:color="000000"/>
            </w:tcBorders>
            <w:shd w:val="clear" w:color="auto" w:fill="auto"/>
            <w:noWrap/>
            <w:tcMar>
              <w:top w:w="0" w:type="dxa"/>
              <w:left w:w="28" w:type="dxa"/>
              <w:bottom w:w="0" w:type="dxa"/>
              <w:right w:w="28" w:type="dxa"/>
            </w:tcMar>
          </w:tcPr>
          <w:p w14:paraId="07220AD9" w14:textId="77777777" w:rsidR="00052596" w:rsidRDefault="00052596">
            <w:pPr>
              <w:widowControl/>
              <w:overflowPunct w:val="0"/>
              <w:autoSpaceDE w:val="0"/>
              <w:spacing w:line="320" w:lineRule="exact"/>
              <w:jc w:val="right"/>
              <w:rPr>
                <w:rFonts w:eastAsia="標楷體"/>
                <w:kern w:val="0"/>
                <w:szCs w:val="24"/>
              </w:rPr>
            </w:pPr>
          </w:p>
        </w:tc>
        <w:tc>
          <w:tcPr>
            <w:tcW w:w="1134" w:type="dxa"/>
            <w:tcBorders>
              <w:right w:val="single" w:sz="4" w:space="0" w:color="000000"/>
            </w:tcBorders>
            <w:shd w:val="clear" w:color="auto" w:fill="auto"/>
            <w:noWrap/>
            <w:tcMar>
              <w:top w:w="0" w:type="dxa"/>
              <w:left w:w="28" w:type="dxa"/>
              <w:bottom w:w="0" w:type="dxa"/>
              <w:right w:w="28" w:type="dxa"/>
            </w:tcMar>
          </w:tcPr>
          <w:p w14:paraId="4006CB53" w14:textId="77777777" w:rsidR="00052596" w:rsidRDefault="00052596">
            <w:pPr>
              <w:widowControl/>
              <w:overflowPunct w:val="0"/>
              <w:autoSpaceDE w:val="0"/>
              <w:spacing w:line="320" w:lineRule="exact"/>
              <w:jc w:val="right"/>
              <w:rPr>
                <w:rFonts w:eastAsia="標楷體"/>
                <w:kern w:val="0"/>
                <w:szCs w:val="24"/>
              </w:rPr>
            </w:pPr>
          </w:p>
        </w:tc>
        <w:tc>
          <w:tcPr>
            <w:tcW w:w="1180" w:type="dxa"/>
            <w:shd w:val="clear" w:color="auto" w:fill="auto"/>
            <w:noWrap/>
            <w:tcMar>
              <w:top w:w="0" w:type="dxa"/>
              <w:left w:w="28" w:type="dxa"/>
              <w:bottom w:w="0" w:type="dxa"/>
              <w:right w:w="28" w:type="dxa"/>
            </w:tcMar>
          </w:tcPr>
          <w:p w14:paraId="5FB2F43C" w14:textId="77777777" w:rsidR="00052596" w:rsidRDefault="00052596">
            <w:pPr>
              <w:widowControl/>
              <w:overflowPunct w:val="0"/>
              <w:autoSpaceDE w:val="0"/>
              <w:spacing w:line="320" w:lineRule="exact"/>
              <w:jc w:val="right"/>
              <w:rPr>
                <w:rFonts w:eastAsia="標楷體"/>
                <w:kern w:val="0"/>
                <w:szCs w:val="24"/>
              </w:rPr>
            </w:pPr>
          </w:p>
        </w:tc>
      </w:tr>
      <w:tr w:rsidR="00052596" w14:paraId="1D3F9B8D" w14:textId="77777777">
        <w:tblPrEx>
          <w:tblCellMar>
            <w:top w:w="0" w:type="dxa"/>
            <w:bottom w:w="0" w:type="dxa"/>
          </w:tblCellMar>
        </w:tblPrEx>
        <w:trPr>
          <w:cantSplit/>
          <w:trHeight w:val="346"/>
          <w:jc w:val="center"/>
        </w:trPr>
        <w:tc>
          <w:tcPr>
            <w:tcW w:w="4265" w:type="dxa"/>
            <w:tcBorders>
              <w:right w:val="single" w:sz="4" w:space="0" w:color="000000"/>
            </w:tcBorders>
            <w:shd w:val="clear" w:color="auto" w:fill="auto"/>
            <w:noWrap/>
            <w:tcMar>
              <w:top w:w="0" w:type="dxa"/>
              <w:left w:w="28" w:type="dxa"/>
              <w:bottom w:w="0" w:type="dxa"/>
              <w:right w:w="28" w:type="dxa"/>
            </w:tcMar>
          </w:tcPr>
          <w:p w14:paraId="005B8E98" w14:textId="77777777" w:rsidR="00052596" w:rsidRDefault="00000000">
            <w:pPr>
              <w:widowControl/>
              <w:overflowPunct w:val="0"/>
              <w:autoSpaceDE w:val="0"/>
              <w:spacing w:line="320" w:lineRule="exact"/>
              <w:ind w:left="480" w:hanging="168"/>
              <w:jc w:val="both"/>
            </w:pPr>
            <w:r>
              <w:rPr>
                <w:rFonts w:eastAsia="標楷體"/>
                <w:kern w:val="0"/>
                <w:szCs w:val="24"/>
              </w:rPr>
              <w:t>1.</w:t>
            </w:r>
            <w:r>
              <w:rPr>
                <w:rFonts w:eastAsia="標楷體"/>
                <w:kern w:val="0"/>
                <w:szCs w:val="24"/>
              </w:rPr>
              <w:t>完成</w:t>
            </w:r>
            <w:r>
              <w:rPr>
                <w:kern w:val="0"/>
                <w:szCs w:val="24"/>
              </w:rPr>
              <w:t>ECA/FTA</w:t>
            </w:r>
            <w:r>
              <w:rPr>
                <w:rFonts w:eastAsia="標楷體"/>
                <w:kern w:val="0"/>
                <w:szCs w:val="24"/>
              </w:rPr>
              <w:t>談判數量</w:t>
            </w:r>
          </w:p>
        </w:tc>
        <w:tc>
          <w:tcPr>
            <w:tcW w:w="855" w:type="dxa"/>
            <w:tcBorders>
              <w:right w:val="single" w:sz="4" w:space="0" w:color="000000"/>
            </w:tcBorders>
            <w:shd w:val="clear" w:color="auto" w:fill="auto"/>
            <w:noWrap/>
            <w:tcMar>
              <w:top w:w="0" w:type="dxa"/>
              <w:left w:w="28" w:type="dxa"/>
              <w:bottom w:w="0" w:type="dxa"/>
              <w:right w:w="28" w:type="dxa"/>
            </w:tcMar>
          </w:tcPr>
          <w:p w14:paraId="537A1065"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個</w:t>
            </w:r>
          </w:p>
        </w:tc>
        <w:tc>
          <w:tcPr>
            <w:tcW w:w="1278" w:type="dxa"/>
            <w:tcBorders>
              <w:right w:val="single" w:sz="4" w:space="0" w:color="000000"/>
            </w:tcBorders>
            <w:shd w:val="clear" w:color="auto" w:fill="auto"/>
            <w:noWrap/>
            <w:tcMar>
              <w:top w:w="0" w:type="dxa"/>
              <w:left w:w="28" w:type="dxa"/>
              <w:bottom w:w="0" w:type="dxa"/>
              <w:right w:w="28" w:type="dxa"/>
            </w:tcMar>
          </w:tcPr>
          <w:p w14:paraId="0CD3CED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5</w:t>
            </w:r>
          </w:p>
        </w:tc>
        <w:tc>
          <w:tcPr>
            <w:tcW w:w="1134" w:type="dxa"/>
            <w:tcBorders>
              <w:right w:val="single" w:sz="4" w:space="0" w:color="000000"/>
            </w:tcBorders>
            <w:shd w:val="clear" w:color="auto" w:fill="auto"/>
            <w:noWrap/>
            <w:tcMar>
              <w:top w:w="0" w:type="dxa"/>
              <w:left w:w="28" w:type="dxa"/>
              <w:bottom w:w="0" w:type="dxa"/>
              <w:right w:w="28" w:type="dxa"/>
            </w:tcMar>
          </w:tcPr>
          <w:p w14:paraId="34B37975"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2-3</w:t>
            </w:r>
          </w:p>
        </w:tc>
        <w:tc>
          <w:tcPr>
            <w:tcW w:w="1180" w:type="dxa"/>
            <w:shd w:val="clear" w:color="auto" w:fill="auto"/>
            <w:noWrap/>
            <w:tcMar>
              <w:top w:w="0" w:type="dxa"/>
              <w:left w:w="28" w:type="dxa"/>
              <w:bottom w:w="0" w:type="dxa"/>
              <w:right w:w="28" w:type="dxa"/>
            </w:tcMar>
          </w:tcPr>
          <w:p w14:paraId="6447456F"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3-4</w:t>
            </w:r>
          </w:p>
        </w:tc>
      </w:tr>
      <w:tr w:rsidR="00052596" w14:paraId="481C0F01" w14:textId="77777777">
        <w:tblPrEx>
          <w:tblCellMar>
            <w:top w:w="0" w:type="dxa"/>
            <w:bottom w:w="0" w:type="dxa"/>
          </w:tblCellMar>
        </w:tblPrEx>
        <w:trPr>
          <w:cantSplit/>
          <w:trHeight w:val="346"/>
          <w:jc w:val="center"/>
        </w:trPr>
        <w:tc>
          <w:tcPr>
            <w:tcW w:w="4265" w:type="dxa"/>
            <w:tcBorders>
              <w:right w:val="single" w:sz="4" w:space="0" w:color="000000"/>
            </w:tcBorders>
            <w:shd w:val="clear" w:color="auto" w:fill="auto"/>
            <w:noWrap/>
            <w:tcMar>
              <w:top w:w="0" w:type="dxa"/>
              <w:left w:w="28" w:type="dxa"/>
              <w:bottom w:w="0" w:type="dxa"/>
              <w:right w:w="28" w:type="dxa"/>
            </w:tcMar>
          </w:tcPr>
          <w:p w14:paraId="2C3F3D1A" w14:textId="77777777" w:rsidR="00052596" w:rsidRDefault="00000000">
            <w:pPr>
              <w:widowControl/>
              <w:overflowPunct w:val="0"/>
              <w:autoSpaceDE w:val="0"/>
              <w:spacing w:line="320" w:lineRule="exact"/>
              <w:ind w:left="504" w:hanging="192"/>
              <w:jc w:val="both"/>
            </w:pPr>
            <w:r>
              <w:rPr>
                <w:rFonts w:eastAsia="標楷體"/>
                <w:kern w:val="0"/>
                <w:szCs w:val="24"/>
              </w:rPr>
              <w:t>2.</w:t>
            </w:r>
            <w:r>
              <w:rPr>
                <w:rFonts w:eastAsia="標楷體"/>
                <w:kern w:val="0"/>
                <w:szCs w:val="24"/>
              </w:rPr>
              <w:t>與</w:t>
            </w:r>
            <w:r>
              <w:rPr>
                <w:rFonts w:eastAsia="標楷體"/>
                <w:kern w:val="0"/>
                <w:szCs w:val="24"/>
              </w:rPr>
              <w:t>ECA</w:t>
            </w:r>
            <w:r>
              <w:rPr>
                <w:rFonts w:ascii="標楷體" w:eastAsia="標楷體" w:hAnsi="標楷體"/>
                <w:kern w:val="0"/>
                <w:szCs w:val="24"/>
              </w:rPr>
              <w:t>(</w:t>
            </w:r>
            <w:r>
              <w:rPr>
                <w:rFonts w:eastAsia="標楷體"/>
                <w:kern w:val="0"/>
                <w:szCs w:val="24"/>
              </w:rPr>
              <w:t>含</w:t>
            </w:r>
            <w:r>
              <w:rPr>
                <w:rFonts w:eastAsia="標楷體"/>
                <w:kern w:val="0"/>
                <w:szCs w:val="24"/>
              </w:rPr>
              <w:t>ECFA</w:t>
            </w:r>
            <w:r>
              <w:rPr>
                <w:rFonts w:ascii="標楷體" w:eastAsia="標楷體" w:hAnsi="標楷體"/>
                <w:kern w:val="0"/>
                <w:szCs w:val="24"/>
              </w:rPr>
              <w:t>)</w:t>
            </w:r>
            <w:r>
              <w:rPr>
                <w:rFonts w:eastAsia="標楷體"/>
                <w:kern w:val="0"/>
                <w:szCs w:val="24"/>
              </w:rPr>
              <w:t>簽署國的貿易額占我對外貿易總額比率</w:t>
            </w:r>
          </w:p>
        </w:tc>
        <w:tc>
          <w:tcPr>
            <w:tcW w:w="855" w:type="dxa"/>
            <w:tcBorders>
              <w:right w:val="single" w:sz="4" w:space="0" w:color="000000"/>
            </w:tcBorders>
            <w:shd w:val="clear" w:color="auto" w:fill="auto"/>
            <w:noWrap/>
            <w:tcMar>
              <w:top w:w="0" w:type="dxa"/>
              <w:left w:w="28" w:type="dxa"/>
              <w:bottom w:w="0" w:type="dxa"/>
              <w:right w:w="28" w:type="dxa"/>
            </w:tcMar>
          </w:tcPr>
          <w:p w14:paraId="1117CFDC"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278" w:type="dxa"/>
            <w:tcBorders>
              <w:right w:val="single" w:sz="4" w:space="0" w:color="000000"/>
            </w:tcBorders>
            <w:shd w:val="clear" w:color="auto" w:fill="auto"/>
            <w:noWrap/>
            <w:tcMar>
              <w:top w:w="0" w:type="dxa"/>
              <w:left w:w="28" w:type="dxa"/>
              <w:bottom w:w="0" w:type="dxa"/>
              <w:right w:w="28" w:type="dxa"/>
            </w:tcMar>
          </w:tcPr>
          <w:p w14:paraId="598DF45A"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21.3</w:t>
            </w:r>
          </w:p>
        </w:tc>
        <w:tc>
          <w:tcPr>
            <w:tcW w:w="1134" w:type="dxa"/>
            <w:tcBorders>
              <w:right w:val="single" w:sz="4" w:space="0" w:color="000000"/>
            </w:tcBorders>
            <w:shd w:val="clear" w:color="auto" w:fill="auto"/>
            <w:noWrap/>
            <w:tcMar>
              <w:top w:w="0" w:type="dxa"/>
              <w:left w:w="28" w:type="dxa"/>
              <w:bottom w:w="0" w:type="dxa"/>
              <w:right w:w="28" w:type="dxa"/>
            </w:tcMar>
          </w:tcPr>
          <w:p w14:paraId="35E3FAD6"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26.45</w:t>
            </w:r>
          </w:p>
        </w:tc>
        <w:tc>
          <w:tcPr>
            <w:tcW w:w="1180" w:type="dxa"/>
            <w:shd w:val="clear" w:color="auto" w:fill="auto"/>
            <w:noWrap/>
            <w:tcMar>
              <w:top w:w="0" w:type="dxa"/>
              <w:left w:w="28" w:type="dxa"/>
              <w:bottom w:w="0" w:type="dxa"/>
              <w:right w:w="28" w:type="dxa"/>
            </w:tcMar>
          </w:tcPr>
          <w:p w14:paraId="061AAAEE"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50</w:t>
            </w:r>
          </w:p>
        </w:tc>
      </w:tr>
      <w:tr w:rsidR="00052596" w14:paraId="432FD40E" w14:textId="77777777">
        <w:tblPrEx>
          <w:tblCellMar>
            <w:top w:w="0" w:type="dxa"/>
            <w:bottom w:w="0" w:type="dxa"/>
          </w:tblCellMar>
        </w:tblPrEx>
        <w:trPr>
          <w:cantSplit/>
          <w:trHeight w:val="346"/>
          <w:jc w:val="center"/>
        </w:trPr>
        <w:tc>
          <w:tcPr>
            <w:tcW w:w="4265" w:type="dxa"/>
            <w:tcBorders>
              <w:right w:val="single" w:sz="4" w:space="0" w:color="000000"/>
            </w:tcBorders>
            <w:shd w:val="clear" w:color="auto" w:fill="auto"/>
            <w:noWrap/>
            <w:tcMar>
              <w:top w:w="0" w:type="dxa"/>
              <w:left w:w="28" w:type="dxa"/>
              <w:bottom w:w="0" w:type="dxa"/>
              <w:right w:w="28" w:type="dxa"/>
            </w:tcMar>
          </w:tcPr>
          <w:p w14:paraId="77786915" w14:textId="77777777" w:rsidR="00052596" w:rsidRDefault="00000000">
            <w:pPr>
              <w:widowControl/>
              <w:overflowPunct w:val="0"/>
              <w:autoSpaceDE w:val="0"/>
              <w:spacing w:before="120" w:line="320" w:lineRule="exact"/>
              <w:ind w:left="168" w:hanging="168"/>
              <w:jc w:val="both"/>
              <w:rPr>
                <w:rFonts w:eastAsia="標楷體"/>
                <w:b/>
                <w:color w:val="800000"/>
                <w:kern w:val="0"/>
                <w:szCs w:val="24"/>
              </w:rPr>
            </w:pPr>
            <w:r>
              <w:rPr>
                <w:rFonts w:eastAsia="標楷體"/>
                <w:b/>
                <w:color w:val="800000"/>
                <w:kern w:val="0"/>
                <w:szCs w:val="24"/>
              </w:rPr>
              <w:t>科技創新</w:t>
            </w:r>
          </w:p>
        </w:tc>
        <w:tc>
          <w:tcPr>
            <w:tcW w:w="855" w:type="dxa"/>
            <w:tcBorders>
              <w:right w:val="single" w:sz="4" w:space="0" w:color="000000"/>
            </w:tcBorders>
            <w:shd w:val="clear" w:color="auto" w:fill="auto"/>
            <w:noWrap/>
            <w:tcMar>
              <w:top w:w="0" w:type="dxa"/>
              <w:left w:w="28" w:type="dxa"/>
              <w:bottom w:w="0" w:type="dxa"/>
              <w:right w:w="28" w:type="dxa"/>
            </w:tcMar>
          </w:tcPr>
          <w:p w14:paraId="61645505" w14:textId="77777777" w:rsidR="00052596" w:rsidRDefault="00052596">
            <w:pPr>
              <w:widowControl/>
              <w:overflowPunct w:val="0"/>
              <w:autoSpaceDE w:val="0"/>
              <w:spacing w:line="320" w:lineRule="exact"/>
              <w:jc w:val="center"/>
              <w:rPr>
                <w:rFonts w:eastAsia="標楷體"/>
                <w:kern w:val="0"/>
                <w:szCs w:val="24"/>
              </w:rPr>
            </w:pPr>
          </w:p>
        </w:tc>
        <w:tc>
          <w:tcPr>
            <w:tcW w:w="1278" w:type="dxa"/>
            <w:tcBorders>
              <w:right w:val="single" w:sz="4" w:space="0" w:color="000000"/>
            </w:tcBorders>
            <w:shd w:val="clear" w:color="auto" w:fill="auto"/>
            <w:noWrap/>
            <w:tcMar>
              <w:top w:w="0" w:type="dxa"/>
              <w:left w:w="28" w:type="dxa"/>
              <w:bottom w:w="0" w:type="dxa"/>
              <w:right w:w="28" w:type="dxa"/>
            </w:tcMar>
          </w:tcPr>
          <w:p w14:paraId="611E8D89" w14:textId="77777777" w:rsidR="00052596" w:rsidRDefault="00052596">
            <w:pPr>
              <w:widowControl/>
              <w:overflowPunct w:val="0"/>
              <w:autoSpaceDE w:val="0"/>
              <w:spacing w:line="320" w:lineRule="exact"/>
              <w:jc w:val="right"/>
              <w:rPr>
                <w:rFonts w:eastAsia="標楷體"/>
                <w:kern w:val="0"/>
                <w:szCs w:val="24"/>
              </w:rPr>
            </w:pPr>
          </w:p>
        </w:tc>
        <w:tc>
          <w:tcPr>
            <w:tcW w:w="1134" w:type="dxa"/>
            <w:tcBorders>
              <w:right w:val="single" w:sz="4" w:space="0" w:color="000000"/>
            </w:tcBorders>
            <w:shd w:val="clear" w:color="auto" w:fill="auto"/>
            <w:noWrap/>
            <w:tcMar>
              <w:top w:w="0" w:type="dxa"/>
              <w:left w:w="28" w:type="dxa"/>
              <w:bottom w:w="0" w:type="dxa"/>
              <w:right w:w="28" w:type="dxa"/>
            </w:tcMar>
          </w:tcPr>
          <w:p w14:paraId="6C28B01C" w14:textId="77777777" w:rsidR="00052596" w:rsidRDefault="00052596">
            <w:pPr>
              <w:widowControl/>
              <w:overflowPunct w:val="0"/>
              <w:autoSpaceDE w:val="0"/>
              <w:spacing w:line="320" w:lineRule="exact"/>
              <w:ind w:right="48"/>
              <w:jc w:val="right"/>
              <w:rPr>
                <w:rFonts w:eastAsia="標楷體"/>
                <w:kern w:val="0"/>
                <w:szCs w:val="24"/>
              </w:rPr>
            </w:pPr>
          </w:p>
        </w:tc>
        <w:tc>
          <w:tcPr>
            <w:tcW w:w="1180" w:type="dxa"/>
            <w:shd w:val="clear" w:color="auto" w:fill="auto"/>
            <w:noWrap/>
            <w:tcMar>
              <w:top w:w="0" w:type="dxa"/>
              <w:left w:w="28" w:type="dxa"/>
              <w:bottom w:w="0" w:type="dxa"/>
              <w:right w:w="28" w:type="dxa"/>
            </w:tcMar>
          </w:tcPr>
          <w:p w14:paraId="6FF91F39" w14:textId="77777777" w:rsidR="00052596" w:rsidRDefault="00052596">
            <w:pPr>
              <w:widowControl/>
              <w:overflowPunct w:val="0"/>
              <w:autoSpaceDE w:val="0"/>
              <w:spacing w:line="320" w:lineRule="exact"/>
              <w:ind w:right="48"/>
              <w:jc w:val="right"/>
              <w:rPr>
                <w:rFonts w:eastAsia="標楷體"/>
                <w:kern w:val="0"/>
                <w:szCs w:val="24"/>
              </w:rPr>
            </w:pPr>
          </w:p>
        </w:tc>
      </w:tr>
      <w:tr w:rsidR="00052596" w14:paraId="69011C5E" w14:textId="77777777">
        <w:tblPrEx>
          <w:tblCellMar>
            <w:top w:w="0" w:type="dxa"/>
            <w:bottom w:w="0" w:type="dxa"/>
          </w:tblCellMar>
        </w:tblPrEx>
        <w:trPr>
          <w:trHeight w:val="382"/>
          <w:jc w:val="center"/>
        </w:trPr>
        <w:tc>
          <w:tcPr>
            <w:tcW w:w="4265" w:type="dxa"/>
            <w:tcBorders>
              <w:right w:val="single" w:sz="4" w:space="0" w:color="000000"/>
            </w:tcBorders>
            <w:shd w:val="clear" w:color="auto" w:fill="auto"/>
            <w:noWrap/>
            <w:tcMar>
              <w:top w:w="0" w:type="dxa"/>
              <w:left w:w="28" w:type="dxa"/>
              <w:bottom w:w="0" w:type="dxa"/>
              <w:right w:w="28" w:type="dxa"/>
            </w:tcMar>
          </w:tcPr>
          <w:p w14:paraId="1CE6EACA"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1.</w:t>
            </w:r>
            <w:r>
              <w:rPr>
                <w:rFonts w:eastAsia="標楷體"/>
                <w:kern w:val="0"/>
                <w:szCs w:val="24"/>
              </w:rPr>
              <w:t>大專校院研發經費來自企業比率</w:t>
            </w:r>
          </w:p>
        </w:tc>
        <w:tc>
          <w:tcPr>
            <w:tcW w:w="855" w:type="dxa"/>
            <w:tcBorders>
              <w:right w:val="single" w:sz="4" w:space="0" w:color="000000"/>
            </w:tcBorders>
            <w:shd w:val="clear" w:color="auto" w:fill="auto"/>
            <w:noWrap/>
            <w:tcMar>
              <w:top w:w="0" w:type="dxa"/>
              <w:left w:w="28" w:type="dxa"/>
              <w:bottom w:w="0" w:type="dxa"/>
              <w:right w:w="28" w:type="dxa"/>
            </w:tcMar>
          </w:tcPr>
          <w:p w14:paraId="61CA08B8"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278" w:type="dxa"/>
            <w:tcBorders>
              <w:right w:val="single" w:sz="4" w:space="0" w:color="000000"/>
            </w:tcBorders>
            <w:shd w:val="clear" w:color="auto" w:fill="auto"/>
            <w:noWrap/>
            <w:tcMar>
              <w:top w:w="0" w:type="dxa"/>
              <w:left w:w="28" w:type="dxa"/>
              <w:bottom w:w="0" w:type="dxa"/>
              <w:right w:w="28" w:type="dxa"/>
            </w:tcMar>
          </w:tcPr>
          <w:p w14:paraId="1EBD63AC" w14:textId="77777777" w:rsidR="00052596" w:rsidRDefault="00000000">
            <w:pPr>
              <w:widowControl/>
              <w:overflowPunct w:val="0"/>
              <w:autoSpaceDE w:val="0"/>
              <w:spacing w:line="320" w:lineRule="exact"/>
              <w:ind w:right="48"/>
              <w:jc w:val="right"/>
            </w:pPr>
            <w:r>
              <w:rPr>
                <w:rFonts w:eastAsia="標楷體"/>
                <w:kern w:val="0"/>
                <w:szCs w:val="24"/>
              </w:rPr>
              <w:t>6.7</w:t>
            </w:r>
          </w:p>
          <w:p w14:paraId="62A57561"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(99</w:t>
            </w:r>
            <w:r>
              <w:rPr>
                <w:rFonts w:eastAsia="標楷體"/>
                <w:kern w:val="0"/>
                <w:szCs w:val="24"/>
              </w:rPr>
              <w:t>年</w:t>
            </w:r>
            <w:r>
              <w:rPr>
                <w:rFonts w:eastAsia="標楷體"/>
                <w:kern w:val="0"/>
                <w:szCs w:val="24"/>
              </w:rPr>
              <w:t>)</w:t>
            </w:r>
          </w:p>
        </w:tc>
        <w:tc>
          <w:tcPr>
            <w:tcW w:w="1134" w:type="dxa"/>
            <w:tcBorders>
              <w:right w:val="single" w:sz="4" w:space="0" w:color="000000"/>
            </w:tcBorders>
            <w:shd w:val="clear" w:color="auto" w:fill="auto"/>
            <w:noWrap/>
            <w:tcMar>
              <w:top w:w="0" w:type="dxa"/>
              <w:left w:w="28" w:type="dxa"/>
              <w:bottom w:w="0" w:type="dxa"/>
              <w:right w:w="28" w:type="dxa"/>
            </w:tcMar>
          </w:tcPr>
          <w:p w14:paraId="0094F76A"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6.9</w:t>
            </w:r>
          </w:p>
        </w:tc>
        <w:tc>
          <w:tcPr>
            <w:tcW w:w="1180" w:type="dxa"/>
            <w:shd w:val="clear" w:color="auto" w:fill="auto"/>
            <w:noWrap/>
            <w:tcMar>
              <w:top w:w="0" w:type="dxa"/>
              <w:left w:w="28" w:type="dxa"/>
              <w:bottom w:w="0" w:type="dxa"/>
              <w:right w:w="28" w:type="dxa"/>
            </w:tcMar>
          </w:tcPr>
          <w:p w14:paraId="6DE44392"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8.5</w:t>
            </w:r>
          </w:p>
        </w:tc>
      </w:tr>
      <w:tr w:rsidR="00052596" w14:paraId="572DFD09" w14:textId="77777777">
        <w:tblPrEx>
          <w:tblCellMar>
            <w:top w:w="0" w:type="dxa"/>
            <w:bottom w:w="0" w:type="dxa"/>
          </w:tblCellMar>
        </w:tblPrEx>
        <w:trPr>
          <w:cantSplit/>
          <w:trHeight w:val="681"/>
          <w:jc w:val="center"/>
        </w:trPr>
        <w:tc>
          <w:tcPr>
            <w:tcW w:w="4265" w:type="dxa"/>
            <w:tcBorders>
              <w:right w:val="single" w:sz="4" w:space="0" w:color="000000"/>
            </w:tcBorders>
            <w:shd w:val="clear" w:color="auto" w:fill="auto"/>
            <w:noWrap/>
            <w:tcMar>
              <w:top w:w="0" w:type="dxa"/>
              <w:left w:w="28" w:type="dxa"/>
              <w:bottom w:w="0" w:type="dxa"/>
              <w:right w:w="28" w:type="dxa"/>
            </w:tcMar>
          </w:tcPr>
          <w:p w14:paraId="6AAA2FEB"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2.</w:t>
            </w:r>
            <w:r>
              <w:rPr>
                <w:rFonts w:eastAsia="標楷體"/>
                <w:kern w:val="0"/>
                <w:szCs w:val="24"/>
              </w:rPr>
              <w:t>大專校院智財收入占政府直接投入研發經費比率</w:t>
            </w:r>
          </w:p>
        </w:tc>
        <w:tc>
          <w:tcPr>
            <w:tcW w:w="855" w:type="dxa"/>
            <w:tcBorders>
              <w:right w:val="single" w:sz="4" w:space="0" w:color="000000"/>
            </w:tcBorders>
            <w:shd w:val="clear" w:color="auto" w:fill="auto"/>
            <w:noWrap/>
            <w:tcMar>
              <w:top w:w="0" w:type="dxa"/>
              <w:left w:w="28" w:type="dxa"/>
              <w:bottom w:w="0" w:type="dxa"/>
              <w:right w:w="28" w:type="dxa"/>
            </w:tcMar>
          </w:tcPr>
          <w:p w14:paraId="1DFD282F"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278" w:type="dxa"/>
            <w:tcBorders>
              <w:right w:val="single" w:sz="4" w:space="0" w:color="000000"/>
            </w:tcBorders>
            <w:shd w:val="clear" w:color="auto" w:fill="auto"/>
            <w:noWrap/>
            <w:tcMar>
              <w:top w:w="0" w:type="dxa"/>
              <w:left w:w="28" w:type="dxa"/>
              <w:bottom w:w="0" w:type="dxa"/>
              <w:right w:w="28" w:type="dxa"/>
            </w:tcMar>
          </w:tcPr>
          <w:p w14:paraId="13FB5670" w14:textId="77777777" w:rsidR="00052596" w:rsidRDefault="00000000">
            <w:pPr>
              <w:widowControl/>
              <w:overflowPunct w:val="0"/>
              <w:autoSpaceDE w:val="0"/>
              <w:spacing w:line="320" w:lineRule="exact"/>
              <w:ind w:right="48"/>
              <w:jc w:val="right"/>
            </w:pPr>
            <w:r>
              <w:rPr>
                <w:rFonts w:eastAsia="標楷體"/>
                <w:kern w:val="0"/>
                <w:szCs w:val="24"/>
              </w:rPr>
              <w:t>0.995</w:t>
            </w:r>
          </w:p>
          <w:p w14:paraId="2C2FC57B"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(99</w:t>
            </w:r>
            <w:r>
              <w:rPr>
                <w:rFonts w:eastAsia="標楷體"/>
                <w:kern w:val="0"/>
                <w:szCs w:val="24"/>
              </w:rPr>
              <w:t>年</w:t>
            </w:r>
            <w:r>
              <w:rPr>
                <w:rFonts w:eastAsia="標楷體"/>
                <w:kern w:val="0"/>
                <w:szCs w:val="24"/>
              </w:rPr>
              <w:t>)</w:t>
            </w:r>
          </w:p>
        </w:tc>
        <w:tc>
          <w:tcPr>
            <w:tcW w:w="1134" w:type="dxa"/>
            <w:tcBorders>
              <w:right w:val="single" w:sz="4" w:space="0" w:color="000000"/>
            </w:tcBorders>
            <w:shd w:val="clear" w:color="auto" w:fill="auto"/>
            <w:noWrap/>
            <w:tcMar>
              <w:top w:w="0" w:type="dxa"/>
              <w:left w:w="28" w:type="dxa"/>
              <w:bottom w:w="0" w:type="dxa"/>
              <w:right w:w="28" w:type="dxa"/>
            </w:tcMar>
          </w:tcPr>
          <w:p w14:paraId="3FB7BB67"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1.5</w:t>
            </w:r>
          </w:p>
        </w:tc>
        <w:tc>
          <w:tcPr>
            <w:tcW w:w="1180" w:type="dxa"/>
            <w:shd w:val="clear" w:color="auto" w:fill="auto"/>
            <w:noWrap/>
            <w:tcMar>
              <w:top w:w="0" w:type="dxa"/>
              <w:left w:w="28" w:type="dxa"/>
              <w:bottom w:w="0" w:type="dxa"/>
              <w:right w:w="28" w:type="dxa"/>
            </w:tcMar>
          </w:tcPr>
          <w:p w14:paraId="069D2F58"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4.0</w:t>
            </w:r>
          </w:p>
        </w:tc>
      </w:tr>
      <w:tr w:rsidR="00052596" w14:paraId="782603FD" w14:textId="77777777">
        <w:tblPrEx>
          <w:tblCellMar>
            <w:top w:w="0" w:type="dxa"/>
            <w:bottom w:w="0" w:type="dxa"/>
          </w:tblCellMar>
        </w:tblPrEx>
        <w:trPr>
          <w:cantSplit/>
          <w:trHeight w:val="291"/>
          <w:jc w:val="center"/>
        </w:trPr>
        <w:tc>
          <w:tcPr>
            <w:tcW w:w="4265" w:type="dxa"/>
            <w:tcBorders>
              <w:right w:val="single" w:sz="4" w:space="0" w:color="000000"/>
            </w:tcBorders>
            <w:shd w:val="clear" w:color="auto" w:fill="auto"/>
            <w:noWrap/>
            <w:tcMar>
              <w:top w:w="0" w:type="dxa"/>
              <w:left w:w="28" w:type="dxa"/>
              <w:bottom w:w="0" w:type="dxa"/>
              <w:right w:w="28" w:type="dxa"/>
            </w:tcMar>
          </w:tcPr>
          <w:p w14:paraId="1A5139B5"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3.</w:t>
            </w:r>
            <w:r>
              <w:rPr>
                <w:rFonts w:eastAsia="標楷體"/>
                <w:kern w:val="0"/>
                <w:szCs w:val="24"/>
              </w:rPr>
              <w:t>每年大專校院孕育新創企業家數</w:t>
            </w:r>
          </w:p>
        </w:tc>
        <w:tc>
          <w:tcPr>
            <w:tcW w:w="855" w:type="dxa"/>
            <w:tcBorders>
              <w:right w:val="single" w:sz="4" w:space="0" w:color="000000"/>
            </w:tcBorders>
            <w:shd w:val="clear" w:color="auto" w:fill="auto"/>
            <w:noWrap/>
            <w:tcMar>
              <w:top w:w="0" w:type="dxa"/>
              <w:left w:w="28" w:type="dxa"/>
              <w:bottom w:w="0" w:type="dxa"/>
              <w:right w:w="28" w:type="dxa"/>
            </w:tcMar>
          </w:tcPr>
          <w:p w14:paraId="391F9CC3"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家</w:t>
            </w:r>
          </w:p>
        </w:tc>
        <w:tc>
          <w:tcPr>
            <w:tcW w:w="1278" w:type="dxa"/>
            <w:tcBorders>
              <w:right w:val="single" w:sz="4" w:space="0" w:color="000000"/>
            </w:tcBorders>
            <w:shd w:val="clear" w:color="auto" w:fill="auto"/>
            <w:noWrap/>
            <w:tcMar>
              <w:top w:w="0" w:type="dxa"/>
              <w:left w:w="28" w:type="dxa"/>
              <w:bottom w:w="0" w:type="dxa"/>
              <w:right w:w="28" w:type="dxa"/>
            </w:tcMar>
          </w:tcPr>
          <w:p w14:paraId="0CCDADA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106</w:t>
            </w:r>
          </w:p>
          <w:p w14:paraId="498C683D"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(100</w:t>
            </w:r>
            <w:r>
              <w:rPr>
                <w:rFonts w:eastAsia="標楷體"/>
                <w:kern w:val="0"/>
                <w:szCs w:val="24"/>
              </w:rPr>
              <w:t>年</w:t>
            </w:r>
            <w:r>
              <w:rPr>
                <w:rFonts w:eastAsia="標楷體"/>
                <w:kern w:val="0"/>
                <w:szCs w:val="24"/>
              </w:rPr>
              <w:t>)</w:t>
            </w:r>
          </w:p>
        </w:tc>
        <w:tc>
          <w:tcPr>
            <w:tcW w:w="1134" w:type="dxa"/>
            <w:tcBorders>
              <w:right w:val="single" w:sz="4" w:space="0" w:color="000000"/>
            </w:tcBorders>
            <w:shd w:val="clear" w:color="auto" w:fill="auto"/>
            <w:noWrap/>
            <w:tcMar>
              <w:top w:w="0" w:type="dxa"/>
              <w:left w:w="28" w:type="dxa"/>
              <w:bottom w:w="0" w:type="dxa"/>
              <w:right w:w="28" w:type="dxa"/>
            </w:tcMar>
          </w:tcPr>
          <w:p w14:paraId="2A87D450"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200</w:t>
            </w:r>
          </w:p>
        </w:tc>
        <w:tc>
          <w:tcPr>
            <w:tcW w:w="1180" w:type="dxa"/>
            <w:shd w:val="clear" w:color="auto" w:fill="auto"/>
            <w:noWrap/>
            <w:tcMar>
              <w:top w:w="0" w:type="dxa"/>
              <w:left w:w="28" w:type="dxa"/>
              <w:bottom w:w="0" w:type="dxa"/>
              <w:right w:w="28" w:type="dxa"/>
            </w:tcMar>
          </w:tcPr>
          <w:p w14:paraId="37E8C6F9"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400</w:t>
            </w:r>
          </w:p>
        </w:tc>
      </w:tr>
      <w:tr w:rsidR="00052596" w14:paraId="466E952E" w14:textId="77777777">
        <w:tblPrEx>
          <w:tblCellMar>
            <w:top w:w="0" w:type="dxa"/>
            <w:bottom w:w="0" w:type="dxa"/>
          </w:tblCellMar>
        </w:tblPrEx>
        <w:trPr>
          <w:trHeight w:val="262"/>
          <w:jc w:val="center"/>
        </w:trPr>
        <w:tc>
          <w:tcPr>
            <w:tcW w:w="4265" w:type="dxa"/>
            <w:tcBorders>
              <w:right w:val="single" w:sz="4" w:space="0" w:color="000000"/>
            </w:tcBorders>
            <w:shd w:val="clear" w:color="auto" w:fill="auto"/>
            <w:noWrap/>
            <w:tcMar>
              <w:top w:w="0" w:type="dxa"/>
              <w:left w:w="28" w:type="dxa"/>
              <w:bottom w:w="0" w:type="dxa"/>
              <w:right w:w="28" w:type="dxa"/>
            </w:tcMar>
          </w:tcPr>
          <w:p w14:paraId="6573F054" w14:textId="77777777" w:rsidR="00052596" w:rsidRDefault="00000000">
            <w:pPr>
              <w:widowControl/>
              <w:overflowPunct w:val="0"/>
              <w:autoSpaceDE w:val="0"/>
              <w:spacing w:before="120" w:line="320" w:lineRule="exact"/>
              <w:ind w:left="168" w:hanging="168"/>
              <w:jc w:val="both"/>
              <w:rPr>
                <w:rFonts w:eastAsia="標楷體"/>
                <w:b/>
                <w:color w:val="800000"/>
                <w:kern w:val="0"/>
                <w:szCs w:val="24"/>
              </w:rPr>
            </w:pPr>
            <w:r>
              <w:rPr>
                <w:rFonts w:eastAsia="標楷體"/>
                <w:b/>
                <w:color w:val="800000"/>
                <w:kern w:val="0"/>
                <w:szCs w:val="24"/>
              </w:rPr>
              <w:t>結構調整</w:t>
            </w:r>
          </w:p>
        </w:tc>
        <w:tc>
          <w:tcPr>
            <w:tcW w:w="855" w:type="dxa"/>
            <w:tcBorders>
              <w:right w:val="single" w:sz="4" w:space="0" w:color="000000"/>
            </w:tcBorders>
            <w:shd w:val="clear" w:color="auto" w:fill="auto"/>
            <w:noWrap/>
            <w:tcMar>
              <w:top w:w="0" w:type="dxa"/>
              <w:left w:w="28" w:type="dxa"/>
              <w:bottom w:w="0" w:type="dxa"/>
              <w:right w:w="28" w:type="dxa"/>
            </w:tcMar>
          </w:tcPr>
          <w:p w14:paraId="2BD7A441" w14:textId="77777777" w:rsidR="00052596" w:rsidRDefault="00052596">
            <w:pPr>
              <w:widowControl/>
              <w:overflowPunct w:val="0"/>
              <w:autoSpaceDE w:val="0"/>
              <w:spacing w:line="320" w:lineRule="exact"/>
              <w:jc w:val="center"/>
              <w:rPr>
                <w:rFonts w:eastAsia="標楷體"/>
                <w:kern w:val="0"/>
                <w:szCs w:val="24"/>
              </w:rPr>
            </w:pPr>
          </w:p>
        </w:tc>
        <w:tc>
          <w:tcPr>
            <w:tcW w:w="1278" w:type="dxa"/>
            <w:tcBorders>
              <w:right w:val="single" w:sz="4" w:space="0" w:color="000000"/>
            </w:tcBorders>
            <w:shd w:val="clear" w:color="auto" w:fill="auto"/>
            <w:noWrap/>
            <w:tcMar>
              <w:top w:w="0" w:type="dxa"/>
              <w:left w:w="28" w:type="dxa"/>
              <w:bottom w:w="0" w:type="dxa"/>
              <w:right w:w="28" w:type="dxa"/>
            </w:tcMar>
          </w:tcPr>
          <w:p w14:paraId="0AC50E02" w14:textId="77777777" w:rsidR="00052596" w:rsidRDefault="00052596">
            <w:pPr>
              <w:widowControl/>
              <w:overflowPunct w:val="0"/>
              <w:autoSpaceDE w:val="0"/>
              <w:spacing w:line="320" w:lineRule="exact"/>
              <w:ind w:right="48"/>
              <w:jc w:val="right"/>
              <w:rPr>
                <w:rFonts w:eastAsia="標楷體"/>
                <w:kern w:val="0"/>
                <w:szCs w:val="24"/>
              </w:rPr>
            </w:pPr>
          </w:p>
        </w:tc>
        <w:tc>
          <w:tcPr>
            <w:tcW w:w="1134" w:type="dxa"/>
            <w:tcBorders>
              <w:right w:val="single" w:sz="4" w:space="0" w:color="000000"/>
            </w:tcBorders>
            <w:shd w:val="clear" w:color="auto" w:fill="auto"/>
            <w:noWrap/>
            <w:tcMar>
              <w:top w:w="0" w:type="dxa"/>
              <w:left w:w="28" w:type="dxa"/>
              <w:bottom w:w="0" w:type="dxa"/>
              <w:right w:w="28" w:type="dxa"/>
            </w:tcMar>
          </w:tcPr>
          <w:p w14:paraId="44B725A3" w14:textId="77777777" w:rsidR="00052596" w:rsidRDefault="00052596">
            <w:pPr>
              <w:widowControl/>
              <w:overflowPunct w:val="0"/>
              <w:autoSpaceDE w:val="0"/>
              <w:spacing w:line="320" w:lineRule="exact"/>
              <w:ind w:right="48"/>
              <w:jc w:val="right"/>
              <w:rPr>
                <w:rFonts w:eastAsia="標楷體"/>
                <w:kern w:val="0"/>
                <w:szCs w:val="24"/>
              </w:rPr>
            </w:pPr>
          </w:p>
        </w:tc>
        <w:tc>
          <w:tcPr>
            <w:tcW w:w="1180" w:type="dxa"/>
            <w:shd w:val="clear" w:color="auto" w:fill="auto"/>
            <w:noWrap/>
            <w:tcMar>
              <w:top w:w="0" w:type="dxa"/>
              <w:left w:w="28" w:type="dxa"/>
              <w:bottom w:w="0" w:type="dxa"/>
              <w:right w:w="28" w:type="dxa"/>
            </w:tcMar>
          </w:tcPr>
          <w:p w14:paraId="412BBFEC" w14:textId="77777777" w:rsidR="00052596" w:rsidRDefault="00052596">
            <w:pPr>
              <w:widowControl/>
              <w:overflowPunct w:val="0"/>
              <w:autoSpaceDE w:val="0"/>
              <w:spacing w:line="320" w:lineRule="exact"/>
              <w:ind w:right="48"/>
              <w:jc w:val="right"/>
              <w:rPr>
                <w:rFonts w:eastAsia="標楷體"/>
                <w:kern w:val="0"/>
                <w:szCs w:val="24"/>
              </w:rPr>
            </w:pPr>
          </w:p>
        </w:tc>
      </w:tr>
      <w:tr w:rsidR="00052596" w14:paraId="6913FFE4" w14:textId="77777777">
        <w:tblPrEx>
          <w:tblCellMar>
            <w:top w:w="0" w:type="dxa"/>
            <w:bottom w:w="0" w:type="dxa"/>
          </w:tblCellMar>
        </w:tblPrEx>
        <w:trPr>
          <w:cantSplit/>
          <w:trHeight w:val="1204"/>
          <w:jc w:val="center"/>
        </w:trPr>
        <w:tc>
          <w:tcPr>
            <w:tcW w:w="4265" w:type="dxa"/>
            <w:tcBorders>
              <w:right w:val="single" w:sz="4" w:space="0" w:color="000000"/>
            </w:tcBorders>
            <w:shd w:val="clear" w:color="auto" w:fill="auto"/>
            <w:noWrap/>
            <w:tcMar>
              <w:top w:w="0" w:type="dxa"/>
              <w:left w:w="28" w:type="dxa"/>
              <w:bottom w:w="0" w:type="dxa"/>
              <w:right w:w="28" w:type="dxa"/>
            </w:tcMar>
          </w:tcPr>
          <w:p w14:paraId="1B5DD463" w14:textId="77777777" w:rsidR="00052596" w:rsidRDefault="00000000">
            <w:pPr>
              <w:widowControl/>
              <w:overflowPunct w:val="0"/>
              <w:autoSpaceDE w:val="0"/>
              <w:spacing w:line="320" w:lineRule="exact"/>
              <w:ind w:left="312"/>
              <w:jc w:val="both"/>
            </w:pPr>
            <w:r>
              <w:rPr>
                <w:rFonts w:eastAsia="標楷體"/>
                <w:kern w:val="0"/>
                <w:szCs w:val="24"/>
                <w:lang w:bidi="hi-IN"/>
              </w:rPr>
              <w:t>新興產業</w:t>
            </w:r>
            <w:r>
              <w:rPr>
                <w:rFonts w:ascii="標楷體" w:eastAsia="標楷體" w:hAnsi="標楷體"/>
                <w:kern w:val="0"/>
                <w:szCs w:val="24"/>
                <w:lang w:bidi="hi-IN"/>
              </w:rPr>
              <w:t>(包括</w:t>
            </w:r>
            <w:r>
              <w:rPr>
                <w:rFonts w:ascii="標楷體" w:eastAsia="標楷體" w:hAnsi="標楷體"/>
                <w:kern w:val="0"/>
                <w:szCs w:val="24"/>
              </w:rPr>
              <w:t>智慧生活、綠能、生技、智慧電動車、車輛電子及寬頻通訊業等)</w:t>
            </w:r>
            <w:r>
              <w:rPr>
                <w:rFonts w:ascii="標楷體" w:eastAsia="標楷體" w:hAnsi="標楷體"/>
                <w:kern w:val="0"/>
                <w:szCs w:val="24"/>
                <w:lang w:bidi="hi-IN"/>
              </w:rPr>
              <w:t>占</w:t>
            </w:r>
            <w:r>
              <w:rPr>
                <w:rFonts w:eastAsia="標楷體"/>
                <w:kern w:val="0"/>
                <w:szCs w:val="24"/>
                <w:lang w:bidi="hi-IN"/>
              </w:rPr>
              <w:t>整體製造業實質產值比率</w:t>
            </w:r>
          </w:p>
        </w:tc>
        <w:tc>
          <w:tcPr>
            <w:tcW w:w="855" w:type="dxa"/>
            <w:tcBorders>
              <w:right w:val="single" w:sz="4" w:space="0" w:color="000000"/>
            </w:tcBorders>
            <w:shd w:val="clear" w:color="auto" w:fill="auto"/>
            <w:noWrap/>
            <w:tcMar>
              <w:top w:w="0" w:type="dxa"/>
              <w:left w:w="28" w:type="dxa"/>
              <w:bottom w:w="0" w:type="dxa"/>
              <w:right w:w="28" w:type="dxa"/>
            </w:tcMar>
          </w:tcPr>
          <w:p w14:paraId="79A9A929"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278" w:type="dxa"/>
            <w:tcBorders>
              <w:right w:val="single" w:sz="4" w:space="0" w:color="000000"/>
            </w:tcBorders>
            <w:shd w:val="clear" w:color="auto" w:fill="auto"/>
            <w:noWrap/>
            <w:tcMar>
              <w:top w:w="0" w:type="dxa"/>
              <w:left w:w="28" w:type="dxa"/>
              <w:bottom w:w="0" w:type="dxa"/>
              <w:right w:w="28" w:type="dxa"/>
            </w:tcMar>
          </w:tcPr>
          <w:p w14:paraId="7CCB89DE"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8.4</w:t>
            </w:r>
          </w:p>
          <w:p w14:paraId="27751325"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(100</w:t>
            </w:r>
            <w:r>
              <w:rPr>
                <w:rFonts w:eastAsia="標楷體"/>
                <w:kern w:val="0"/>
                <w:szCs w:val="24"/>
              </w:rPr>
              <w:t>年</w:t>
            </w:r>
            <w:r>
              <w:rPr>
                <w:rFonts w:eastAsia="標楷體"/>
                <w:kern w:val="0"/>
                <w:szCs w:val="24"/>
              </w:rPr>
              <w:t>)</w:t>
            </w:r>
          </w:p>
        </w:tc>
        <w:tc>
          <w:tcPr>
            <w:tcW w:w="1134" w:type="dxa"/>
            <w:tcBorders>
              <w:right w:val="single" w:sz="4" w:space="0" w:color="000000"/>
            </w:tcBorders>
            <w:shd w:val="clear" w:color="auto" w:fill="auto"/>
            <w:noWrap/>
            <w:tcMar>
              <w:top w:w="0" w:type="dxa"/>
              <w:left w:w="28" w:type="dxa"/>
              <w:bottom w:w="0" w:type="dxa"/>
              <w:right w:w="28" w:type="dxa"/>
            </w:tcMar>
          </w:tcPr>
          <w:p w14:paraId="516C31E8"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w:t>
            </w:r>
          </w:p>
        </w:tc>
        <w:tc>
          <w:tcPr>
            <w:tcW w:w="1180" w:type="dxa"/>
            <w:shd w:val="clear" w:color="auto" w:fill="auto"/>
            <w:noWrap/>
            <w:tcMar>
              <w:top w:w="0" w:type="dxa"/>
              <w:left w:w="28" w:type="dxa"/>
              <w:bottom w:w="0" w:type="dxa"/>
              <w:right w:w="28" w:type="dxa"/>
            </w:tcMar>
          </w:tcPr>
          <w:p w14:paraId="3EC3655A"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17</w:t>
            </w:r>
          </w:p>
        </w:tc>
      </w:tr>
      <w:tr w:rsidR="00052596" w14:paraId="1D5C58A7" w14:textId="77777777">
        <w:tblPrEx>
          <w:tblCellMar>
            <w:top w:w="0" w:type="dxa"/>
            <w:bottom w:w="0" w:type="dxa"/>
          </w:tblCellMar>
        </w:tblPrEx>
        <w:trPr>
          <w:trHeight w:val="195"/>
          <w:jc w:val="center"/>
        </w:trPr>
        <w:tc>
          <w:tcPr>
            <w:tcW w:w="4265" w:type="dxa"/>
            <w:tcBorders>
              <w:right w:val="single" w:sz="4" w:space="0" w:color="000000"/>
            </w:tcBorders>
            <w:shd w:val="clear" w:color="auto" w:fill="auto"/>
            <w:noWrap/>
            <w:tcMar>
              <w:top w:w="0" w:type="dxa"/>
              <w:left w:w="28" w:type="dxa"/>
              <w:bottom w:w="0" w:type="dxa"/>
              <w:right w:w="28" w:type="dxa"/>
            </w:tcMar>
          </w:tcPr>
          <w:p w14:paraId="3F4CB1A2" w14:textId="77777777" w:rsidR="00052596" w:rsidRDefault="00000000">
            <w:pPr>
              <w:widowControl/>
              <w:overflowPunct w:val="0"/>
              <w:autoSpaceDE w:val="0"/>
              <w:spacing w:before="120" w:line="300" w:lineRule="exact"/>
              <w:ind w:left="168" w:hanging="168"/>
              <w:jc w:val="both"/>
              <w:rPr>
                <w:rFonts w:eastAsia="標楷體"/>
                <w:b/>
                <w:color w:val="800000"/>
                <w:kern w:val="0"/>
                <w:szCs w:val="24"/>
              </w:rPr>
            </w:pPr>
            <w:r>
              <w:rPr>
                <w:rFonts w:eastAsia="標楷體"/>
                <w:b/>
                <w:color w:val="800000"/>
                <w:kern w:val="0"/>
                <w:szCs w:val="24"/>
              </w:rPr>
              <w:t>樂活農業</w:t>
            </w:r>
          </w:p>
        </w:tc>
        <w:tc>
          <w:tcPr>
            <w:tcW w:w="855" w:type="dxa"/>
            <w:tcBorders>
              <w:right w:val="single" w:sz="4" w:space="0" w:color="000000"/>
            </w:tcBorders>
            <w:shd w:val="clear" w:color="auto" w:fill="auto"/>
            <w:noWrap/>
            <w:tcMar>
              <w:top w:w="0" w:type="dxa"/>
              <w:left w:w="28" w:type="dxa"/>
              <w:bottom w:w="0" w:type="dxa"/>
              <w:right w:w="28" w:type="dxa"/>
            </w:tcMar>
          </w:tcPr>
          <w:p w14:paraId="7C476B97" w14:textId="77777777" w:rsidR="00052596" w:rsidRDefault="00052596">
            <w:pPr>
              <w:widowControl/>
              <w:overflowPunct w:val="0"/>
              <w:autoSpaceDE w:val="0"/>
              <w:spacing w:line="300" w:lineRule="exact"/>
              <w:jc w:val="center"/>
              <w:rPr>
                <w:rFonts w:eastAsia="標楷體"/>
                <w:color w:val="000000"/>
                <w:kern w:val="0"/>
                <w:szCs w:val="24"/>
              </w:rPr>
            </w:pPr>
          </w:p>
        </w:tc>
        <w:tc>
          <w:tcPr>
            <w:tcW w:w="1278" w:type="dxa"/>
            <w:tcBorders>
              <w:right w:val="single" w:sz="4" w:space="0" w:color="000000"/>
            </w:tcBorders>
            <w:shd w:val="clear" w:color="auto" w:fill="auto"/>
            <w:noWrap/>
            <w:tcMar>
              <w:top w:w="0" w:type="dxa"/>
              <w:left w:w="28" w:type="dxa"/>
              <w:bottom w:w="0" w:type="dxa"/>
              <w:right w:w="28" w:type="dxa"/>
            </w:tcMar>
          </w:tcPr>
          <w:p w14:paraId="5AF77498" w14:textId="77777777" w:rsidR="00052596" w:rsidRDefault="00052596">
            <w:pPr>
              <w:widowControl/>
              <w:overflowPunct w:val="0"/>
              <w:autoSpaceDE w:val="0"/>
              <w:spacing w:line="300" w:lineRule="exact"/>
              <w:jc w:val="right"/>
              <w:rPr>
                <w:rFonts w:eastAsia="標楷體"/>
                <w:color w:val="000000"/>
                <w:kern w:val="0"/>
                <w:szCs w:val="24"/>
              </w:rPr>
            </w:pPr>
          </w:p>
        </w:tc>
        <w:tc>
          <w:tcPr>
            <w:tcW w:w="1134" w:type="dxa"/>
            <w:tcBorders>
              <w:right w:val="single" w:sz="4" w:space="0" w:color="000000"/>
            </w:tcBorders>
            <w:shd w:val="clear" w:color="auto" w:fill="auto"/>
            <w:noWrap/>
            <w:tcMar>
              <w:top w:w="0" w:type="dxa"/>
              <w:left w:w="28" w:type="dxa"/>
              <w:bottom w:w="0" w:type="dxa"/>
              <w:right w:w="28" w:type="dxa"/>
            </w:tcMar>
          </w:tcPr>
          <w:p w14:paraId="6240C50E" w14:textId="77777777" w:rsidR="00052596" w:rsidRDefault="00052596">
            <w:pPr>
              <w:widowControl/>
              <w:overflowPunct w:val="0"/>
              <w:autoSpaceDE w:val="0"/>
              <w:spacing w:line="300" w:lineRule="exact"/>
              <w:ind w:right="48"/>
              <w:jc w:val="right"/>
              <w:rPr>
                <w:rFonts w:eastAsia="標楷體"/>
                <w:color w:val="000000"/>
                <w:kern w:val="0"/>
                <w:szCs w:val="24"/>
              </w:rPr>
            </w:pPr>
          </w:p>
        </w:tc>
        <w:tc>
          <w:tcPr>
            <w:tcW w:w="1180" w:type="dxa"/>
            <w:shd w:val="clear" w:color="auto" w:fill="auto"/>
            <w:noWrap/>
            <w:tcMar>
              <w:top w:w="0" w:type="dxa"/>
              <w:left w:w="28" w:type="dxa"/>
              <w:bottom w:w="0" w:type="dxa"/>
              <w:right w:w="28" w:type="dxa"/>
            </w:tcMar>
          </w:tcPr>
          <w:p w14:paraId="69D4A21E" w14:textId="77777777" w:rsidR="00052596" w:rsidRDefault="00052596">
            <w:pPr>
              <w:widowControl/>
              <w:overflowPunct w:val="0"/>
              <w:autoSpaceDE w:val="0"/>
              <w:spacing w:line="300" w:lineRule="exact"/>
              <w:ind w:right="48"/>
              <w:jc w:val="right"/>
              <w:rPr>
                <w:rFonts w:eastAsia="標楷體"/>
                <w:color w:val="000000"/>
                <w:kern w:val="0"/>
                <w:szCs w:val="24"/>
              </w:rPr>
            </w:pPr>
          </w:p>
        </w:tc>
      </w:tr>
      <w:tr w:rsidR="00052596" w14:paraId="40919C92" w14:textId="77777777">
        <w:tblPrEx>
          <w:tblCellMar>
            <w:top w:w="0" w:type="dxa"/>
            <w:bottom w:w="0" w:type="dxa"/>
          </w:tblCellMar>
        </w:tblPrEx>
        <w:trPr>
          <w:cantSplit/>
          <w:trHeight w:val="330"/>
          <w:jc w:val="center"/>
        </w:trPr>
        <w:tc>
          <w:tcPr>
            <w:tcW w:w="4265" w:type="dxa"/>
            <w:tcBorders>
              <w:right w:val="single" w:sz="4" w:space="0" w:color="000000"/>
            </w:tcBorders>
            <w:shd w:val="clear" w:color="auto" w:fill="auto"/>
            <w:noWrap/>
            <w:tcMar>
              <w:top w:w="0" w:type="dxa"/>
              <w:left w:w="28" w:type="dxa"/>
              <w:bottom w:w="0" w:type="dxa"/>
              <w:right w:w="28" w:type="dxa"/>
            </w:tcMar>
          </w:tcPr>
          <w:p w14:paraId="7AC1CCE4" w14:textId="77777777" w:rsidR="00052596" w:rsidRDefault="00000000">
            <w:pPr>
              <w:widowControl/>
              <w:overflowPunct w:val="0"/>
              <w:autoSpaceDE w:val="0"/>
              <w:spacing w:line="300" w:lineRule="exact"/>
              <w:ind w:left="480" w:hanging="168"/>
              <w:jc w:val="both"/>
              <w:rPr>
                <w:rFonts w:eastAsia="標楷體"/>
                <w:color w:val="000000"/>
                <w:kern w:val="0"/>
                <w:szCs w:val="24"/>
              </w:rPr>
            </w:pPr>
            <w:r>
              <w:rPr>
                <w:rFonts w:eastAsia="標楷體"/>
                <w:color w:val="000000"/>
                <w:kern w:val="0"/>
                <w:szCs w:val="24"/>
              </w:rPr>
              <w:t>1.</w:t>
            </w:r>
            <w:r>
              <w:rPr>
                <w:rFonts w:eastAsia="標楷體"/>
                <w:color w:val="000000"/>
                <w:kern w:val="0"/>
                <w:szCs w:val="24"/>
              </w:rPr>
              <w:t>作物生產專區經營面積</w:t>
            </w:r>
          </w:p>
        </w:tc>
        <w:tc>
          <w:tcPr>
            <w:tcW w:w="855" w:type="dxa"/>
            <w:tcBorders>
              <w:right w:val="single" w:sz="4" w:space="0" w:color="000000"/>
            </w:tcBorders>
            <w:shd w:val="clear" w:color="auto" w:fill="auto"/>
            <w:noWrap/>
            <w:tcMar>
              <w:top w:w="0" w:type="dxa"/>
              <w:left w:w="28" w:type="dxa"/>
              <w:bottom w:w="0" w:type="dxa"/>
              <w:right w:w="28" w:type="dxa"/>
            </w:tcMar>
          </w:tcPr>
          <w:p w14:paraId="77DE38F1" w14:textId="77777777" w:rsidR="00052596" w:rsidRDefault="00000000">
            <w:pPr>
              <w:widowControl/>
              <w:overflowPunct w:val="0"/>
              <w:autoSpaceDE w:val="0"/>
              <w:spacing w:line="300" w:lineRule="exact"/>
              <w:jc w:val="center"/>
              <w:rPr>
                <w:rFonts w:eastAsia="標楷體"/>
                <w:color w:val="000000"/>
                <w:kern w:val="0"/>
                <w:szCs w:val="24"/>
              </w:rPr>
            </w:pPr>
            <w:r>
              <w:rPr>
                <w:rFonts w:eastAsia="標楷體"/>
                <w:color w:val="000000"/>
                <w:kern w:val="0"/>
                <w:szCs w:val="24"/>
              </w:rPr>
              <w:t>公頃</w:t>
            </w:r>
          </w:p>
        </w:tc>
        <w:tc>
          <w:tcPr>
            <w:tcW w:w="1278" w:type="dxa"/>
            <w:tcBorders>
              <w:right w:val="single" w:sz="4" w:space="0" w:color="000000"/>
            </w:tcBorders>
            <w:shd w:val="clear" w:color="auto" w:fill="auto"/>
            <w:noWrap/>
            <w:tcMar>
              <w:top w:w="0" w:type="dxa"/>
              <w:left w:w="28" w:type="dxa"/>
              <w:bottom w:w="0" w:type="dxa"/>
              <w:right w:w="28" w:type="dxa"/>
            </w:tcMar>
          </w:tcPr>
          <w:p w14:paraId="233B67F8" w14:textId="77777777" w:rsidR="00052596" w:rsidRDefault="00000000">
            <w:pPr>
              <w:widowControl/>
              <w:overflowPunct w:val="0"/>
              <w:autoSpaceDE w:val="0"/>
              <w:spacing w:line="320" w:lineRule="exact"/>
              <w:ind w:right="48"/>
              <w:jc w:val="right"/>
              <w:rPr>
                <w:color w:val="000000"/>
                <w:kern w:val="0"/>
                <w:szCs w:val="24"/>
              </w:rPr>
            </w:pPr>
            <w:r>
              <w:rPr>
                <w:color w:val="000000"/>
                <w:kern w:val="0"/>
                <w:szCs w:val="24"/>
              </w:rPr>
              <w:t>17,505</w:t>
            </w:r>
          </w:p>
          <w:p w14:paraId="391056A8" w14:textId="77777777" w:rsidR="00052596" w:rsidRDefault="00000000">
            <w:pPr>
              <w:widowControl/>
              <w:overflowPunct w:val="0"/>
              <w:autoSpaceDE w:val="0"/>
              <w:spacing w:line="320" w:lineRule="exact"/>
              <w:ind w:right="48"/>
              <w:jc w:val="right"/>
            </w:pPr>
            <w:r>
              <w:rPr>
                <w:rFonts w:eastAsia="標楷體"/>
                <w:color w:val="000000"/>
                <w:kern w:val="0"/>
                <w:szCs w:val="24"/>
              </w:rPr>
              <w:t>(100</w:t>
            </w:r>
            <w:r>
              <w:rPr>
                <w:rFonts w:eastAsia="標楷體"/>
                <w:color w:val="000000"/>
                <w:kern w:val="0"/>
                <w:szCs w:val="24"/>
              </w:rPr>
              <w:t>年</w:t>
            </w:r>
            <w:r>
              <w:rPr>
                <w:rFonts w:eastAsia="標楷體"/>
                <w:color w:val="000000"/>
                <w:kern w:val="0"/>
                <w:szCs w:val="24"/>
              </w:rPr>
              <w:t>)</w:t>
            </w:r>
          </w:p>
        </w:tc>
        <w:tc>
          <w:tcPr>
            <w:tcW w:w="1134" w:type="dxa"/>
            <w:tcBorders>
              <w:right w:val="single" w:sz="4" w:space="0" w:color="000000"/>
            </w:tcBorders>
            <w:shd w:val="clear" w:color="auto" w:fill="auto"/>
            <w:noWrap/>
            <w:tcMar>
              <w:top w:w="0" w:type="dxa"/>
              <w:left w:w="28" w:type="dxa"/>
              <w:bottom w:w="0" w:type="dxa"/>
              <w:right w:w="28" w:type="dxa"/>
            </w:tcMar>
          </w:tcPr>
          <w:p w14:paraId="42D94266" w14:textId="77777777" w:rsidR="00052596" w:rsidRDefault="00000000">
            <w:pPr>
              <w:widowControl/>
              <w:overflowPunct w:val="0"/>
              <w:autoSpaceDE w:val="0"/>
              <w:spacing w:line="300" w:lineRule="exact"/>
              <w:ind w:right="48"/>
              <w:jc w:val="right"/>
              <w:rPr>
                <w:rFonts w:eastAsia="標楷體"/>
                <w:color w:val="000000"/>
                <w:kern w:val="0"/>
                <w:szCs w:val="24"/>
              </w:rPr>
            </w:pPr>
            <w:r>
              <w:rPr>
                <w:rFonts w:eastAsia="標楷體"/>
                <w:color w:val="000000"/>
                <w:kern w:val="0"/>
                <w:szCs w:val="24"/>
              </w:rPr>
              <w:t>21,737</w:t>
            </w:r>
          </w:p>
        </w:tc>
        <w:tc>
          <w:tcPr>
            <w:tcW w:w="1180" w:type="dxa"/>
            <w:shd w:val="clear" w:color="auto" w:fill="auto"/>
            <w:noWrap/>
            <w:tcMar>
              <w:top w:w="0" w:type="dxa"/>
              <w:left w:w="28" w:type="dxa"/>
              <w:bottom w:w="0" w:type="dxa"/>
              <w:right w:w="28" w:type="dxa"/>
            </w:tcMar>
          </w:tcPr>
          <w:p w14:paraId="23D514F4" w14:textId="77777777" w:rsidR="00052596" w:rsidRDefault="00000000">
            <w:pPr>
              <w:widowControl/>
              <w:overflowPunct w:val="0"/>
              <w:autoSpaceDE w:val="0"/>
              <w:spacing w:line="300" w:lineRule="exact"/>
              <w:ind w:right="48"/>
              <w:jc w:val="right"/>
              <w:rPr>
                <w:rFonts w:eastAsia="標楷體"/>
                <w:color w:val="000000"/>
                <w:kern w:val="0"/>
                <w:szCs w:val="24"/>
              </w:rPr>
            </w:pPr>
            <w:r>
              <w:rPr>
                <w:rFonts w:eastAsia="標楷體"/>
                <w:color w:val="000000"/>
                <w:kern w:val="0"/>
                <w:szCs w:val="24"/>
              </w:rPr>
              <w:t>30,600</w:t>
            </w:r>
          </w:p>
        </w:tc>
      </w:tr>
      <w:tr w:rsidR="00052596" w14:paraId="779901DF" w14:textId="77777777">
        <w:tblPrEx>
          <w:tblCellMar>
            <w:top w:w="0" w:type="dxa"/>
            <w:bottom w:w="0" w:type="dxa"/>
          </w:tblCellMar>
        </w:tblPrEx>
        <w:trPr>
          <w:trHeight w:val="409"/>
          <w:jc w:val="center"/>
        </w:trPr>
        <w:tc>
          <w:tcPr>
            <w:tcW w:w="4265" w:type="dxa"/>
            <w:tcBorders>
              <w:right w:val="single" w:sz="4" w:space="0" w:color="000000"/>
            </w:tcBorders>
            <w:shd w:val="clear" w:color="auto" w:fill="auto"/>
            <w:noWrap/>
            <w:tcMar>
              <w:top w:w="0" w:type="dxa"/>
              <w:left w:w="28" w:type="dxa"/>
              <w:bottom w:w="0" w:type="dxa"/>
              <w:right w:w="28" w:type="dxa"/>
            </w:tcMar>
          </w:tcPr>
          <w:p w14:paraId="2D307544" w14:textId="77777777" w:rsidR="00052596" w:rsidRDefault="00000000">
            <w:pPr>
              <w:widowControl/>
              <w:overflowPunct w:val="0"/>
              <w:autoSpaceDE w:val="0"/>
              <w:spacing w:line="300" w:lineRule="exact"/>
              <w:ind w:left="480" w:hanging="168"/>
              <w:jc w:val="both"/>
              <w:rPr>
                <w:rFonts w:eastAsia="標楷體"/>
                <w:color w:val="000000"/>
                <w:kern w:val="0"/>
                <w:szCs w:val="24"/>
              </w:rPr>
            </w:pPr>
            <w:r>
              <w:rPr>
                <w:rFonts w:eastAsia="標楷體"/>
                <w:color w:val="000000"/>
                <w:kern w:val="0"/>
                <w:szCs w:val="24"/>
              </w:rPr>
              <w:t>2.</w:t>
            </w:r>
            <w:r>
              <w:rPr>
                <w:rFonts w:eastAsia="標楷體"/>
                <w:color w:val="000000"/>
                <w:kern w:val="0"/>
                <w:szCs w:val="24"/>
              </w:rPr>
              <w:t>安全農業推廣面積</w:t>
            </w:r>
          </w:p>
        </w:tc>
        <w:tc>
          <w:tcPr>
            <w:tcW w:w="855" w:type="dxa"/>
            <w:tcBorders>
              <w:right w:val="single" w:sz="4" w:space="0" w:color="000000"/>
            </w:tcBorders>
            <w:shd w:val="clear" w:color="auto" w:fill="auto"/>
            <w:noWrap/>
            <w:tcMar>
              <w:top w:w="0" w:type="dxa"/>
              <w:left w:w="28" w:type="dxa"/>
              <w:bottom w:w="0" w:type="dxa"/>
              <w:right w:w="28" w:type="dxa"/>
            </w:tcMar>
          </w:tcPr>
          <w:p w14:paraId="370F7E95" w14:textId="77777777" w:rsidR="00052596" w:rsidRDefault="00000000">
            <w:pPr>
              <w:widowControl/>
              <w:overflowPunct w:val="0"/>
              <w:autoSpaceDE w:val="0"/>
              <w:spacing w:line="300" w:lineRule="exact"/>
              <w:jc w:val="center"/>
              <w:rPr>
                <w:rFonts w:eastAsia="標楷體"/>
                <w:color w:val="000000"/>
                <w:kern w:val="0"/>
                <w:szCs w:val="24"/>
              </w:rPr>
            </w:pPr>
            <w:r>
              <w:rPr>
                <w:rFonts w:eastAsia="標楷體"/>
                <w:color w:val="000000"/>
                <w:kern w:val="0"/>
                <w:szCs w:val="24"/>
              </w:rPr>
              <w:t>公頃</w:t>
            </w:r>
          </w:p>
        </w:tc>
        <w:tc>
          <w:tcPr>
            <w:tcW w:w="1278" w:type="dxa"/>
            <w:tcBorders>
              <w:right w:val="single" w:sz="4" w:space="0" w:color="000000"/>
            </w:tcBorders>
            <w:shd w:val="clear" w:color="auto" w:fill="auto"/>
            <w:noWrap/>
            <w:tcMar>
              <w:top w:w="0" w:type="dxa"/>
              <w:left w:w="28" w:type="dxa"/>
              <w:bottom w:w="0" w:type="dxa"/>
              <w:right w:w="28" w:type="dxa"/>
            </w:tcMar>
          </w:tcPr>
          <w:p w14:paraId="6877DB8A" w14:textId="77777777" w:rsidR="00052596" w:rsidRDefault="00000000">
            <w:pPr>
              <w:widowControl/>
              <w:overflowPunct w:val="0"/>
              <w:autoSpaceDE w:val="0"/>
              <w:spacing w:line="320" w:lineRule="exact"/>
              <w:ind w:right="48"/>
              <w:jc w:val="right"/>
            </w:pPr>
            <w:r>
              <w:rPr>
                <w:color w:val="000000"/>
                <w:kern w:val="0"/>
                <w:szCs w:val="24"/>
              </w:rPr>
              <w:t>38,347</w:t>
            </w:r>
          </w:p>
          <w:p w14:paraId="592E2CED" w14:textId="77777777" w:rsidR="00052596" w:rsidRDefault="00000000">
            <w:pPr>
              <w:widowControl/>
              <w:overflowPunct w:val="0"/>
              <w:autoSpaceDE w:val="0"/>
              <w:spacing w:line="320" w:lineRule="exact"/>
              <w:ind w:right="48"/>
              <w:jc w:val="right"/>
            </w:pPr>
            <w:r>
              <w:rPr>
                <w:rFonts w:eastAsia="標楷體"/>
                <w:color w:val="000000"/>
                <w:kern w:val="0"/>
                <w:szCs w:val="24"/>
              </w:rPr>
              <w:t>(100</w:t>
            </w:r>
            <w:r>
              <w:rPr>
                <w:rFonts w:eastAsia="標楷體"/>
                <w:color w:val="000000"/>
                <w:kern w:val="0"/>
                <w:szCs w:val="24"/>
              </w:rPr>
              <w:t>年</w:t>
            </w:r>
            <w:r>
              <w:rPr>
                <w:rFonts w:eastAsia="標楷體"/>
                <w:color w:val="000000"/>
                <w:kern w:val="0"/>
                <w:szCs w:val="24"/>
              </w:rPr>
              <w:t>)</w:t>
            </w:r>
          </w:p>
        </w:tc>
        <w:tc>
          <w:tcPr>
            <w:tcW w:w="1134" w:type="dxa"/>
            <w:tcBorders>
              <w:right w:val="single" w:sz="4" w:space="0" w:color="000000"/>
            </w:tcBorders>
            <w:shd w:val="clear" w:color="auto" w:fill="auto"/>
            <w:noWrap/>
            <w:tcMar>
              <w:top w:w="0" w:type="dxa"/>
              <w:left w:w="28" w:type="dxa"/>
              <w:bottom w:w="0" w:type="dxa"/>
              <w:right w:w="28" w:type="dxa"/>
            </w:tcMar>
          </w:tcPr>
          <w:p w14:paraId="5B7E5A3C" w14:textId="77777777" w:rsidR="00052596" w:rsidRDefault="00000000">
            <w:pPr>
              <w:widowControl/>
              <w:overflowPunct w:val="0"/>
              <w:autoSpaceDE w:val="0"/>
              <w:spacing w:line="300" w:lineRule="exact"/>
              <w:ind w:right="48"/>
              <w:jc w:val="right"/>
              <w:rPr>
                <w:rFonts w:eastAsia="標楷體"/>
                <w:color w:val="000000"/>
                <w:kern w:val="0"/>
                <w:szCs w:val="24"/>
              </w:rPr>
            </w:pPr>
            <w:r>
              <w:rPr>
                <w:rFonts w:eastAsia="標楷體"/>
                <w:color w:val="000000"/>
                <w:kern w:val="0"/>
                <w:szCs w:val="24"/>
              </w:rPr>
              <w:t>44,405</w:t>
            </w:r>
          </w:p>
        </w:tc>
        <w:tc>
          <w:tcPr>
            <w:tcW w:w="1180" w:type="dxa"/>
            <w:shd w:val="clear" w:color="auto" w:fill="auto"/>
            <w:noWrap/>
            <w:tcMar>
              <w:top w:w="0" w:type="dxa"/>
              <w:left w:w="28" w:type="dxa"/>
              <w:bottom w:w="0" w:type="dxa"/>
              <w:right w:w="28" w:type="dxa"/>
            </w:tcMar>
          </w:tcPr>
          <w:p w14:paraId="19589D58" w14:textId="77777777" w:rsidR="00052596" w:rsidRDefault="00000000">
            <w:pPr>
              <w:widowControl/>
              <w:overflowPunct w:val="0"/>
              <w:autoSpaceDE w:val="0"/>
              <w:spacing w:line="300" w:lineRule="exact"/>
              <w:ind w:right="48"/>
              <w:jc w:val="right"/>
              <w:rPr>
                <w:rFonts w:eastAsia="標楷體"/>
                <w:color w:val="000000"/>
                <w:kern w:val="0"/>
                <w:szCs w:val="24"/>
              </w:rPr>
            </w:pPr>
            <w:r>
              <w:rPr>
                <w:rFonts w:eastAsia="標楷體"/>
                <w:color w:val="000000"/>
                <w:kern w:val="0"/>
                <w:szCs w:val="24"/>
              </w:rPr>
              <w:t>54,460</w:t>
            </w:r>
          </w:p>
        </w:tc>
      </w:tr>
      <w:tr w:rsidR="00052596" w14:paraId="378E913F" w14:textId="77777777">
        <w:tblPrEx>
          <w:tblCellMar>
            <w:top w:w="0" w:type="dxa"/>
            <w:bottom w:w="0" w:type="dxa"/>
          </w:tblCellMar>
        </w:tblPrEx>
        <w:trPr>
          <w:cantSplit/>
          <w:trHeight w:val="275"/>
          <w:jc w:val="center"/>
        </w:trPr>
        <w:tc>
          <w:tcPr>
            <w:tcW w:w="4265" w:type="dxa"/>
            <w:tcBorders>
              <w:right w:val="single" w:sz="4" w:space="0" w:color="000000"/>
            </w:tcBorders>
            <w:shd w:val="clear" w:color="auto" w:fill="auto"/>
            <w:noWrap/>
            <w:tcMar>
              <w:top w:w="0" w:type="dxa"/>
              <w:left w:w="28" w:type="dxa"/>
              <w:bottom w:w="0" w:type="dxa"/>
              <w:right w:w="28" w:type="dxa"/>
            </w:tcMar>
          </w:tcPr>
          <w:p w14:paraId="43E9BE19" w14:textId="77777777" w:rsidR="00052596" w:rsidRDefault="00000000">
            <w:pPr>
              <w:widowControl/>
              <w:overflowPunct w:val="0"/>
              <w:autoSpaceDE w:val="0"/>
              <w:spacing w:line="300" w:lineRule="exact"/>
              <w:ind w:left="504" w:hanging="192"/>
              <w:jc w:val="both"/>
              <w:rPr>
                <w:rFonts w:eastAsia="標楷體"/>
                <w:color w:val="000000"/>
                <w:kern w:val="0"/>
                <w:szCs w:val="24"/>
              </w:rPr>
            </w:pPr>
            <w:r>
              <w:rPr>
                <w:rFonts w:eastAsia="標楷體"/>
                <w:color w:val="000000"/>
                <w:kern w:val="0"/>
                <w:szCs w:val="24"/>
              </w:rPr>
              <w:t>3.</w:t>
            </w:r>
            <w:r>
              <w:rPr>
                <w:rFonts w:eastAsia="標楷體"/>
                <w:color w:val="000000"/>
                <w:kern w:val="0"/>
                <w:szCs w:val="24"/>
              </w:rPr>
              <w:t>實施農村再生社區數占全國社區數比率</w:t>
            </w:r>
          </w:p>
        </w:tc>
        <w:tc>
          <w:tcPr>
            <w:tcW w:w="855" w:type="dxa"/>
            <w:tcBorders>
              <w:right w:val="single" w:sz="4" w:space="0" w:color="000000"/>
            </w:tcBorders>
            <w:shd w:val="clear" w:color="auto" w:fill="auto"/>
            <w:noWrap/>
            <w:tcMar>
              <w:top w:w="0" w:type="dxa"/>
              <w:left w:w="28" w:type="dxa"/>
              <w:bottom w:w="0" w:type="dxa"/>
              <w:right w:w="28" w:type="dxa"/>
            </w:tcMar>
          </w:tcPr>
          <w:p w14:paraId="792EA91C" w14:textId="77777777" w:rsidR="00052596" w:rsidRDefault="00000000">
            <w:pPr>
              <w:widowControl/>
              <w:overflowPunct w:val="0"/>
              <w:autoSpaceDE w:val="0"/>
              <w:spacing w:line="300" w:lineRule="exact"/>
              <w:jc w:val="center"/>
              <w:rPr>
                <w:rFonts w:eastAsia="標楷體"/>
                <w:color w:val="000000"/>
                <w:kern w:val="0"/>
                <w:szCs w:val="24"/>
              </w:rPr>
            </w:pPr>
            <w:r>
              <w:rPr>
                <w:rFonts w:eastAsia="標楷體"/>
                <w:color w:val="000000"/>
                <w:kern w:val="0"/>
                <w:szCs w:val="24"/>
              </w:rPr>
              <w:t>%</w:t>
            </w:r>
          </w:p>
        </w:tc>
        <w:tc>
          <w:tcPr>
            <w:tcW w:w="1278" w:type="dxa"/>
            <w:tcBorders>
              <w:right w:val="single" w:sz="4" w:space="0" w:color="000000"/>
            </w:tcBorders>
            <w:shd w:val="clear" w:color="auto" w:fill="auto"/>
            <w:noWrap/>
            <w:tcMar>
              <w:top w:w="0" w:type="dxa"/>
              <w:left w:w="28" w:type="dxa"/>
              <w:bottom w:w="0" w:type="dxa"/>
              <w:right w:w="28" w:type="dxa"/>
            </w:tcMar>
          </w:tcPr>
          <w:p w14:paraId="0E1A83D2" w14:textId="77777777" w:rsidR="00052596" w:rsidRDefault="00000000">
            <w:pPr>
              <w:widowControl/>
              <w:overflowPunct w:val="0"/>
              <w:autoSpaceDE w:val="0"/>
              <w:spacing w:line="320" w:lineRule="exact"/>
              <w:ind w:right="48"/>
              <w:jc w:val="right"/>
              <w:rPr>
                <w:rFonts w:eastAsia="標楷體"/>
                <w:color w:val="000000"/>
                <w:kern w:val="0"/>
                <w:szCs w:val="24"/>
              </w:rPr>
            </w:pPr>
            <w:r>
              <w:rPr>
                <w:rFonts w:eastAsia="標楷體"/>
                <w:color w:val="000000"/>
                <w:kern w:val="0"/>
                <w:szCs w:val="24"/>
              </w:rPr>
              <w:t>2</w:t>
            </w:r>
          </w:p>
          <w:p w14:paraId="2A3FD174" w14:textId="77777777" w:rsidR="00052596" w:rsidRDefault="00000000">
            <w:pPr>
              <w:widowControl/>
              <w:overflowPunct w:val="0"/>
              <w:autoSpaceDE w:val="0"/>
              <w:spacing w:line="320" w:lineRule="exact"/>
              <w:ind w:right="48"/>
              <w:jc w:val="right"/>
              <w:rPr>
                <w:rFonts w:eastAsia="標楷體"/>
                <w:color w:val="000000"/>
                <w:kern w:val="0"/>
                <w:szCs w:val="24"/>
              </w:rPr>
            </w:pPr>
            <w:r>
              <w:rPr>
                <w:rFonts w:eastAsia="標楷體"/>
                <w:color w:val="000000"/>
                <w:kern w:val="0"/>
                <w:szCs w:val="24"/>
              </w:rPr>
              <w:t>(100</w:t>
            </w:r>
            <w:r>
              <w:rPr>
                <w:rFonts w:eastAsia="標楷體"/>
                <w:color w:val="000000"/>
                <w:kern w:val="0"/>
                <w:szCs w:val="24"/>
              </w:rPr>
              <w:t>年</w:t>
            </w:r>
            <w:r>
              <w:rPr>
                <w:rFonts w:eastAsia="標楷體"/>
                <w:color w:val="000000"/>
                <w:kern w:val="0"/>
                <w:szCs w:val="24"/>
              </w:rPr>
              <w:t>)</w:t>
            </w:r>
          </w:p>
        </w:tc>
        <w:tc>
          <w:tcPr>
            <w:tcW w:w="1134" w:type="dxa"/>
            <w:tcBorders>
              <w:right w:val="single" w:sz="4" w:space="0" w:color="000000"/>
            </w:tcBorders>
            <w:shd w:val="clear" w:color="auto" w:fill="auto"/>
            <w:noWrap/>
            <w:tcMar>
              <w:top w:w="0" w:type="dxa"/>
              <w:left w:w="28" w:type="dxa"/>
              <w:bottom w:w="0" w:type="dxa"/>
              <w:right w:w="28" w:type="dxa"/>
            </w:tcMar>
          </w:tcPr>
          <w:p w14:paraId="6D531186" w14:textId="77777777" w:rsidR="00052596" w:rsidRDefault="00000000">
            <w:pPr>
              <w:widowControl/>
              <w:overflowPunct w:val="0"/>
              <w:autoSpaceDE w:val="0"/>
              <w:spacing w:line="300" w:lineRule="exact"/>
              <w:ind w:right="48"/>
              <w:jc w:val="right"/>
              <w:rPr>
                <w:rFonts w:eastAsia="標楷體"/>
                <w:color w:val="000000"/>
                <w:kern w:val="0"/>
                <w:szCs w:val="24"/>
              </w:rPr>
            </w:pPr>
            <w:r>
              <w:rPr>
                <w:rFonts w:eastAsia="標楷體"/>
                <w:color w:val="000000"/>
                <w:kern w:val="0"/>
                <w:szCs w:val="24"/>
              </w:rPr>
              <w:t>14</w:t>
            </w:r>
          </w:p>
        </w:tc>
        <w:tc>
          <w:tcPr>
            <w:tcW w:w="1180" w:type="dxa"/>
            <w:shd w:val="clear" w:color="auto" w:fill="auto"/>
            <w:noWrap/>
            <w:tcMar>
              <w:top w:w="0" w:type="dxa"/>
              <w:left w:w="28" w:type="dxa"/>
              <w:bottom w:w="0" w:type="dxa"/>
              <w:right w:w="28" w:type="dxa"/>
            </w:tcMar>
          </w:tcPr>
          <w:p w14:paraId="26D43F56" w14:textId="77777777" w:rsidR="00052596" w:rsidRDefault="00000000">
            <w:pPr>
              <w:widowControl/>
              <w:overflowPunct w:val="0"/>
              <w:autoSpaceDE w:val="0"/>
              <w:spacing w:line="300" w:lineRule="exact"/>
              <w:ind w:right="48"/>
              <w:jc w:val="right"/>
              <w:rPr>
                <w:rFonts w:eastAsia="標楷體"/>
                <w:color w:val="000000"/>
                <w:kern w:val="0"/>
                <w:szCs w:val="24"/>
              </w:rPr>
            </w:pPr>
            <w:r>
              <w:rPr>
                <w:rFonts w:eastAsia="標楷體"/>
                <w:color w:val="000000"/>
                <w:kern w:val="0"/>
                <w:szCs w:val="24"/>
              </w:rPr>
              <w:t>30</w:t>
            </w:r>
          </w:p>
        </w:tc>
      </w:tr>
      <w:tr w:rsidR="00052596" w14:paraId="32FA6BEB" w14:textId="77777777">
        <w:tblPrEx>
          <w:tblCellMar>
            <w:top w:w="0" w:type="dxa"/>
            <w:bottom w:w="0" w:type="dxa"/>
          </w:tblCellMar>
        </w:tblPrEx>
        <w:trPr>
          <w:cantSplit/>
          <w:trHeight w:val="417"/>
          <w:jc w:val="center"/>
        </w:trPr>
        <w:tc>
          <w:tcPr>
            <w:tcW w:w="4265" w:type="dxa"/>
            <w:tcBorders>
              <w:right w:val="single" w:sz="4" w:space="0" w:color="000000"/>
            </w:tcBorders>
            <w:shd w:val="clear" w:color="auto" w:fill="auto"/>
            <w:noWrap/>
            <w:tcMar>
              <w:top w:w="0" w:type="dxa"/>
              <w:left w:w="28" w:type="dxa"/>
              <w:bottom w:w="0" w:type="dxa"/>
              <w:right w:w="28" w:type="dxa"/>
            </w:tcMar>
          </w:tcPr>
          <w:p w14:paraId="7366F0E8" w14:textId="77777777" w:rsidR="00052596" w:rsidRDefault="00000000">
            <w:pPr>
              <w:widowControl/>
              <w:overflowPunct w:val="0"/>
              <w:autoSpaceDE w:val="0"/>
              <w:spacing w:before="120" w:line="300" w:lineRule="exact"/>
              <w:ind w:left="168" w:hanging="168"/>
              <w:jc w:val="both"/>
            </w:pPr>
            <w:r>
              <w:rPr>
                <w:rFonts w:eastAsia="標楷體"/>
                <w:b/>
                <w:color w:val="800000"/>
                <w:kern w:val="0"/>
                <w:szCs w:val="24"/>
              </w:rPr>
              <w:t>觀光升級</w:t>
            </w:r>
          </w:p>
        </w:tc>
        <w:tc>
          <w:tcPr>
            <w:tcW w:w="855" w:type="dxa"/>
            <w:tcBorders>
              <w:right w:val="single" w:sz="4" w:space="0" w:color="000000"/>
            </w:tcBorders>
            <w:shd w:val="clear" w:color="auto" w:fill="auto"/>
            <w:noWrap/>
            <w:tcMar>
              <w:top w:w="0" w:type="dxa"/>
              <w:left w:w="28" w:type="dxa"/>
              <w:bottom w:w="0" w:type="dxa"/>
              <w:right w:w="28" w:type="dxa"/>
            </w:tcMar>
          </w:tcPr>
          <w:p w14:paraId="4F34D803" w14:textId="77777777" w:rsidR="00052596" w:rsidRDefault="00052596">
            <w:pPr>
              <w:widowControl/>
              <w:overflowPunct w:val="0"/>
              <w:autoSpaceDE w:val="0"/>
              <w:spacing w:line="300" w:lineRule="exact"/>
              <w:jc w:val="center"/>
              <w:rPr>
                <w:rFonts w:eastAsia="標楷體"/>
                <w:color w:val="000000"/>
                <w:kern w:val="0"/>
                <w:szCs w:val="24"/>
              </w:rPr>
            </w:pPr>
          </w:p>
        </w:tc>
        <w:tc>
          <w:tcPr>
            <w:tcW w:w="1278" w:type="dxa"/>
            <w:tcBorders>
              <w:right w:val="single" w:sz="4" w:space="0" w:color="000000"/>
            </w:tcBorders>
            <w:shd w:val="clear" w:color="auto" w:fill="auto"/>
            <w:noWrap/>
            <w:tcMar>
              <w:top w:w="0" w:type="dxa"/>
              <w:left w:w="28" w:type="dxa"/>
              <w:bottom w:w="0" w:type="dxa"/>
              <w:right w:w="28" w:type="dxa"/>
            </w:tcMar>
          </w:tcPr>
          <w:p w14:paraId="394FBBF0" w14:textId="77777777" w:rsidR="00052596" w:rsidRDefault="00052596">
            <w:pPr>
              <w:widowControl/>
              <w:overflowPunct w:val="0"/>
              <w:autoSpaceDE w:val="0"/>
              <w:spacing w:line="320" w:lineRule="exact"/>
              <w:ind w:right="48"/>
              <w:jc w:val="right"/>
              <w:rPr>
                <w:rFonts w:eastAsia="標楷體"/>
                <w:color w:val="000000"/>
                <w:kern w:val="0"/>
                <w:szCs w:val="24"/>
              </w:rPr>
            </w:pPr>
          </w:p>
        </w:tc>
        <w:tc>
          <w:tcPr>
            <w:tcW w:w="1134" w:type="dxa"/>
            <w:tcBorders>
              <w:right w:val="single" w:sz="4" w:space="0" w:color="000000"/>
            </w:tcBorders>
            <w:shd w:val="clear" w:color="auto" w:fill="auto"/>
            <w:noWrap/>
            <w:tcMar>
              <w:top w:w="0" w:type="dxa"/>
              <w:left w:w="28" w:type="dxa"/>
              <w:bottom w:w="0" w:type="dxa"/>
              <w:right w:w="28" w:type="dxa"/>
            </w:tcMar>
          </w:tcPr>
          <w:p w14:paraId="42E9BFA7" w14:textId="77777777" w:rsidR="00052596" w:rsidRDefault="00052596">
            <w:pPr>
              <w:widowControl/>
              <w:overflowPunct w:val="0"/>
              <w:autoSpaceDE w:val="0"/>
              <w:spacing w:line="300" w:lineRule="exact"/>
              <w:ind w:right="48"/>
              <w:jc w:val="right"/>
              <w:rPr>
                <w:rFonts w:eastAsia="標楷體"/>
                <w:color w:val="000000"/>
                <w:kern w:val="0"/>
                <w:szCs w:val="24"/>
              </w:rPr>
            </w:pPr>
          </w:p>
        </w:tc>
        <w:tc>
          <w:tcPr>
            <w:tcW w:w="1180" w:type="dxa"/>
            <w:shd w:val="clear" w:color="auto" w:fill="auto"/>
            <w:noWrap/>
            <w:tcMar>
              <w:top w:w="0" w:type="dxa"/>
              <w:left w:w="28" w:type="dxa"/>
              <w:bottom w:w="0" w:type="dxa"/>
              <w:right w:w="28" w:type="dxa"/>
            </w:tcMar>
          </w:tcPr>
          <w:p w14:paraId="1C6A3EDD" w14:textId="77777777" w:rsidR="00052596" w:rsidRDefault="00052596">
            <w:pPr>
              <w:widowControl/>
              <w:overflowPunct w:val="0"/>
              <w:autoSpaceDE w:val="0"/>
              <w:spacing w:line="300" w:lineRule="exact"/>
              <w:ind w:right="48"/>
              <w:jc w:val="right"/>
              <w:rPr>
                <w:rFonts w:eastAsia="標楷體"/>
                <w:color w:val="000000"/>
                <w:kern w:val="0"/>
                <w:szCs w:val="24"/>
              </w:rPr>
            </w:pPr>
          </w:p>
        </w:tc>
      </w:tr>
      <w:tr w:rsidR="00052596" w14:paraId="458741B7" w14:textId="77777777">
        <w:tblPrEx>
          <w:tblCellMar>
            <w:top w:w="0" w:type="dxa"/>
            <w:bottom w:w="0" w:type="dxa"/>
          </w:tblCellMar>
        </w:tblPrEx>
        <w:trPr>
          <w:cantSplit/>
          <w:trHeight w:val="708"/>
          <w:jc w:val="center"/>
        </w:trPr>
        <w:tc>
          <w:tcPr>
            <w:tcW w:w="4265" w:type="dxa"/>
            <w:tcBorders>
              <w:bottom w:val="single" w:sz="4" w:space="0" w:color="000000"/>
              <w:right w:val="single" w:sz="4" w:space="0" w:color="000000"/>
            </w:tcBorders>
            <w:shd w:val="clear" w:color="auto" w:fill="auto"/>
            <w:noWrap/>
            <w:tcMar>
              <w:top w:w="0" w:type="dxa"/>
              <w:left w:w="28" w:type="dxa"/>
              <w:bottom w:w="0" w:type="dxa"/>
              <w:right w:w="28" w:type="dxa"/>
            </w:tcMar>
          </w:tcPr>
          <w:p w14:paraId="4C0AE2B9" w14:textId="77777777" w:rsidR="00052596" w:rsidRDefault="00000000">
            <w:pPr>
              <w:widowControl/>
              <w:overflowPunct w:val="0"/>
              <w:autoSpaceDE w:val="0"/>
              <w:spacing w:line="300" w:lineRule="exact"/>
              <w:ind w:left="504" w:hanging="192"/>
              <w:jc w:val="both"/>
              <w:rPr>
                <w:rFonts w:eastAsia="標楷體"/>
                <w:color w:val="000000"/>
                <w:kern w:val="0"/>
                <w:szCs w:val="24"/>
              </w:rPr>
            </w:pPr>
            <w:r>
              <w:rPr>
                <w:rFonts w:eastAsia="標楷體"/>
                <w:color w:val="000000"/>
                <w:kern w:val="0"/>
                <w:szCs w:val="24"/>
              </w:rPr>
              <w:t>國際旅客來臺人次</w:t>
            </w:r>
          </w:p>
        </w:tc>
        <w:tc>
          <w:tcPr>
            <w:tcW w:w="855" w:type="dxa"/>
            <w:tcBorders>
              <w:bottom w:val="single" w:sz="4" w:space="0" w:color="000000"/>
              <w:right w:val="single" w:sz="4" w:space="0" w:color="000000"/>
            </w:tcBorders>
            <w:shd w:val="clear" w:color="auto" w:fill="auto"/>
            <w:noWrap/>
            <w:tcMar>
              <w:top w:w="0" w:type="dxa"/>
              <w:left w:w="28" w:type="dxa"/>
              <w:bottom w:w="0" w:type="dxa"/>
              <w:right w:w="28" w:type="dxa"/>
            </w:tcMar>
          </w:tcPr>
          <w:p w14:paraId="58A8B091" w14:textId="77777777" w:rsidR="00052596" w:rsidRDefault="00000000">
            <w:pPr>
              <w:widowControl/>
              <w:overflowPunct w:val="0"/>
              <w:autoSpaceDE w:val="0"/>
              <w:spacing w:line="300" w:lineRule="exact"/>
              <w:jc w:val="center"/>
              <w:rPr>
                <w:rFonts w:eastAsia="標楷體"/>
                <w:color w:val="000000"/>
                <w:kern w:val="0"/>
                <w:szCs w:val="24"/>
              </w:rPr>
            </w:pPr>
            <w:r>
              <w:rPr>
                <w:rFonts w:eastAsia="標楷體"/>
                <w:color w:val="000000"/>
                <w:kern w:val="0"/>
                <w:szCs w:val="24"/>
              </w:rPr>
              <w:t>萬人次</w:t>
            </w:r>
          </w:p>
        </w:tc>
        <w:tc>
          <w:tcPr>
            <w:tcW w:w="1278" w:type="dxa"/>
            <w:tcBorders>
              <w:bottom w:val="single" w:sz="4" w:space="0" w:color="000000"/>
              <w:right w:val="single" w:sz="4" w:space="0" w:color="000000"/>
            </w:tcBorders>
            <w:shd w:val="clear" w:color="auto" w:fill="auto"/>
            <w:noWrap/>
            <w:tcMar>
              <w:top w:w="0" w:type="dxa"/>
              <w:left w:w="28" w:type="dxa"/>
              <w:bottom w:w="0" w:type="dxa"/>
              <w:right w:w="28" w:type="dxa"/>
            </w:tcMar>
          </w:tcPr>
          <w:p w14:paraId="5A8A90F4" w14:textId="77777777" w:rsidR="00052596" w:rsidRDefault="00000000">
            <w:pPr>
              <w:widowControl/>
              <w:overflowPunct w:val="0"/>
              <w:autoSpaceDE w:val="0"/>
              <w:spacing w:line="320" w:lineRule="exact"/>
              <w:ind w:right="48"/>
              <w:jc w:val="right"/>
              <w:rPr>
                <w:rFonts w:eastAsia="標楷體"/>
                <w:color w:val="000000"/>
                <w:kern w:val="0"/>
                <w:szCs w:val="24"/>
              </w:rPr>
            </w:pPr>
            <w:r>
              <w:rPr>
                <w:rFonts w:eastAsia="標楷體"/>
                <w:color w:val="000000"/>
                <w:kern w:val="0"/>
                <w:szCs w:val="24"/>
              </w:rPr>
              <w:t>660.9</w:t>
            </w:r>
          </w:p>
          <w:p w14:paraId="10E7B829" w14:textId="77777777" w:rsidR="00052596" w:rsidRDefault="00000000">
            <w:pPr>
              <w:widowControl/>
              <w:overflowPunct w:val="0"/>
              <w:autoSpaceDE w:val="0"/>
              <w:spacing w:line="320" w:lineRule="exact"/>
              <w:ind w:right="48"/>
              <w:jc w:val="right"/>
              <w:rPr>
                <w:rFonts w:eastAsia="標楷體"/>
                <w:color w:val="000000"/>
                <w:kern w:val="0"/>
                <w:szCs w:val="24"/>
              </w:rPr>
            </w:pPr>
            <w:r>
              <w:rPr>
                <w:rFonts w:eastAsia="標楷體"/>
                <w:color w:val="000000"/>
                <w:kern w:val="0"/>
                <w:szCs w:val="24"/>
              </w:rPr>
              <w:t>(1-11</w:t>
            </w:r>
            <w:r>
              <w:rPr>
                <w:rFonts w:eastAsia="標楷體"/>
                <w:color w:val="000000"/>
                <w:kern w:val="0"/>
                <w:szCs w:val="24"/>
              </w:rPr>
              <w:t>月</w:t>
            </w:r>
            <w:r>
              <w:rPr>
                <w:rFonts w:eastAsia="標楷體"/>
                <w:color w:val="000000"/>
                <w:kern w:val="0"/>
                <w:szCs w:val="24"/>
              </w:rPr>
              <w:t>)</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tcPr>
          <w:p w14:paraId="2490B65E" w14:textId="77777777" w:rsidR="00052596" w:rsidRDefault="00000000">
            <w:pPr>
              <w:widowControl/>
              <w:overflowPunct w:val="0"/>
              <w:autoSpaceDE w:val="0"/>
              <w:spacing w:line="300" w:lineRule="exact"/>
              <w:ind w:right="48"/>
              <w:jc w:val="right"/>
              <w:rPr>
                <w:rFonts w:eastAsia="標楷體"/>
                <w:color w:val="000000"/>
                <w:kern w:val="0"/>
                <w:szCs w:val="24"/>
              </w:rPr>
            </w:pPr>
            <w:r>
              <w:rPr>
                <w:rFonts w:eastAsia="標楷體"/>
                <w:color w:val="000000"/>
                <w:kern w:val="0"/>
                <w:szCs w:val="24"/>
              </w:rPr>
              <w:t>750</w:t>
            </w:r>
          </w:p>
        </w:tc>
        <w:tc>
          <w:tcPr>
            <w:tcW w:w="1180" w:type="dxa"/>
            <w:tcBorders>
              <w:bottom w:val="single" w:sz="4" w:space="0" w:color="000000"/>
            </w:tcBorders>
            <w:shd w:val="clear" w:color="auto" w:fill="auto"/>
            <w:noWrap/>
            <w:tcMar>
              <w:top w:w="0" w:type="dxa"/>
              <w:left w:w="28" w:type="dxa"/>
              <w:bottom w:w="0" w:type="dxa"/>
              <w:right w:w="28" w:type="dxa"/>
            </w:tcMar>
          </w:tcPr>
          <w:p w14:paraId="5EB0F3D6" w14:textId="77777777" w:rsidR="00052596" w:rsidRDefault="00000000">
            <w:pPr>
              <w:widowControl/>
              <w:overflowPunct w:val="0"/>
              <w:autoSpaceDE w:val="0"/>
              <w:spacing w:line="300" w:lineRule="exact"/>
              <w:ind w:right="48"/>
              <w:jc w:val="right"/>
              <w:rPr>
                <w:rFonts w:eastAsia="標楷體"/>
                <w:color w:val="000000"/>
                <w:kern w:val="0"/>
                <w:szCs w:val="24"/>
              </w:rPr>
            </w:pPr>
            <w:r>
              <w:rPr>
                <w:rFonts w:eastAsia="標楷體"/>
                <w:color w:val="000000"/>
                <w:kern w:val="0"/>
                <w:szCs w:val="24"/>
              </w:rPr>
              <w:t xml:space="preserve">1,000 </w:t>
            </w:r>
          </w:p>
        </w:tc>
      </w:tr>
    </w:tbl>
    <w:p w14:paraId="70F0F5AD" w14:textId="77777777" w:rsidR="00052596" w:rsidRDefault="00000000">
      <w:pPr>
        <w:pageBreakBefore/>
        <w:overflowPunct w:val="0"/>
        <w:autoSpaceDE w:val="0"/>
        <w:spacing w:before="120" w:after="240" w:line="360" w:lineRule="exact"/>
        <w:jc w:val="center"/>
        <w:textAlignment w:val="center"/>
      </w:pPr>
      <w:r>
        <w:rPr>
          <w:rFonts w:eastAsia="標楷體"/>
          <w:b/>
          <w:color w:val="0000FF"/>
          <w:spacing w:val="10"/>
          <w:kern w:val="0"/>
          <w:sz w:val="26"/>
          <w:szCs w:val="26"/>
        </w:rPr>
        <w:lastRenderedPageBreak/>
        <w:t>經濟面</w:t>
      </w:r>
      <w:r>
        <w:rPr>
          <w:rFonts w:eastAsia="標楷體"/>
          <w:b/>
          <w:color w:val="0000FF"/>
          <w:spacing w:val="10"/>
          <w:kern w:val="0"/>
          <w:sz w:val="26"/>
          <w:szCs w:val="26"/>
        </w:rPr>
        <w:t>(</w:t>
      </w:r>
      <w:r>
        <w:rPr>
          <w:rFonts w:eastAsia="標楷體"/>
          <w:b/>
          <w:color w:val="0000FF"/>
          <w:spacing w:val="10"/>
          <w:kern w:val="0"/>
          <w:sz w:val="26"/>
          <w:szCs w:val="26"/>
        </w:rPr>
        <w:t>續</w:t>
      </w:r>
      <w:r>
        <w:rPr>
          <w:rFonts w:eastAsia="標楷體"/>
          <w:b/>
          <w:color w:val="0000FF"/>
          <w:spacing w:val="10"/>
          <w:kern w:val="0"/>
          <w:sz w:val="26"/>
          <w:szCs w:val="26"/>
        </w:rPr>
        <w:t>)</w:t>
      </w:r>
    </w:p>
    <w:tbl>
      <w:tblPr>
        <w:tblW w:w="8768" w:type="dxa"/>
        <w:jc w:val="center"/>
        <w:tblLayout w:type="fixed"/>
        <w:tblCellMar>
          <w:left w:w="10" w:type="dxa"/>
          <w:right w:w="10" w:type="dxa"/>
        </w:tblCellMar>
        <w:tblLook w:val="04A0" w:firstRow="1" w:lastRow="0" w:firstColumn="1" w:lastColumn="0" w:noHBand="0" w:noVBand="1"/>
      </w:tblPr>
      <w:tblGrid>
        <w:gridCol w:w="4267"/>
        <w:gridCol w:w="765"/>
        <w:gridCol w:w="1243"/>
        <w:gridCol w:w="1249"/>
        <w:gridCol w:w="1244"/>
      </w:tblGrid>
      <w:tr w:rsidR="00052596" w14:paraId="2F229877" w14:textId="77777777">
        <w:tblPrEx>
          <w:tblCellMar>
            <w:top w:w="0" w:type="dxa"/>
            <w:bottom w:w="0" w:type="dxa"/>
          </w:tblCellMar>
        </w:tblPrEx>
        <w:trPr>
          <w:trHeight w:val="220"/>
          <w:tblHeader/>
          <w:jc w:val="center"/>
        </w:trPr>
        <w:tc>
          <w:tcPr>
            <w:tcW w:w="4267" w:type="dxa"/>
            <w:vMerge w:val="restart"/>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70DD2C6" w14:textId="77777777" w:rsidR="00052596" w:rsidRDefault="00000000">
            <w:pPr>
              <w:widowControl/>
              <w:overflowPunct w:val="0"/>
              <w:autoSpaceDE w:val="0"/>
              <w:spacing w:before="192" w:line="240" w:lineRule="atLeast"/>
              <w:jc w:val="center"/>
            </w:pPr>
            <w:r>
              <w:rPr>
                <w:noProof/>
              </w:rPr>
              <mc:AlternateContent>
                <mc:Choice Requires="wps">
                  <w:drawing>
                    <wp:anchor distT="0" distB="0" distL="114300" distR="114300" simplePos="0" relativeHeight="251695616" behindDoc="1" locked="0" layoutInCell="1" allowOverlap="1" wp14:anchorId="7BE0D3AE" wp14:editId="7B25C460">
                      <wp:simplePos x="0" y="0"/>
                      <wp:positionH relativeFrom="column">
                        <wp:posOffset>-106042</wp:posOffset>
                      </wp:positionH>
                      <wp:positionV relativeFrom="paragraph">
                        <wp:posOffset>-452115</wp:posOffset>
                      </wp:positionV>
                      <wp:extent cx="5718813" cy="8143875"/>
                      <wp:effectExtent l="0" t="0" r="0" b="9525"/>
                      <wp:wrapNone/>
                      <wp:docPr id="199" name="矩形 46"/>
                      <wp:cNvGraphicFramePr/>
                      <a:graphic xmlns:a="http://schemas.openxmlformats.org/drawingml/2006/main">
                        <a:graphicData uri="http://schemas.microsoft.com/office/word/2010/wordprocessingShape">
                          <wps:wsp>
                            <wps:cNvSpPr/>
                            <wps:spPr>
                              <a:xfrm>
                                <a:off x="0" y="0"/>
                                <a:ext cx="5718813" cy="8143875"/>
                              </a:xfrm>
                              <a:prstGeom prst="rect">
                                <a:avLst/>
                              </a:prstGeom>
                              <a:gradFill>
                                <a:gsLst>
                                  <a:gs pos="0">
                                    <a:srgbClr val="FFFFFF"/>
                                  </a:gs>
                                  <a:gs pos="100000">
                                    <a:srgbClr val="EDFAFF"/>
                                  </a:gs>
                                </a:gsLst>
                                <a:path path="circle">
                                  <a:fillToRect l="50000" t="50000" r="50000" b="50000"/>
                                </a:path>
                              </a:gradFill>
                              <a:ln>
                                <a:noFill/>
                                <a:prstDash val="solid"/>
                              </a:ln>
                            </wps:spPr>
                            <wps:bodyPr lIns="0" tIns="0" rIns="0" bIns="0"/>
                          </wps:wsp>
                        </a:graphicData>
                      </a:graphic>
                    </wp:anchor>
                  </w:drawing>
                </mc:Choice>
                <mc:Fallback>
                  <w:pict>
                    <v:rect w14:anchorId="1E80D4F4" id="矩形 46" o:spid="_x0000_s1026" style="position:absolute;margin-left:-8.35pt;margin-top:-35.6pt;width:450.3pt;height:641.2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" stroked="f">
                      <v:fill color2="#edfaff" focusposition=".5,.5" focussize="" focus="100%" type="gradientRadial"/>
                      <v:textbox inset="0,0,0,0"/>
                    </v:rect>
                  </w:pict>
                </mc:Fallback>
              </mc:AlternateContent>
            </w:r>
            <w:r>
              <w:rPr>
                <w:rFonts w:eastAsia="標楷體"/>
                <w:b/>
                <w:color w:val="0000FF"/>
                <w:kern w:val="0"/>
                <w:szCs w:val="24"/>
              </w:rPr>
              <w:t>項</w:t>
            </w:r>
            <w:r>
              <w:rPr>
                <w:rFonts w:eastAsia="標楷體"/>
                <w:b/>
                <w:color w:val="0000FF"/>
                <w:kern w:val="0"/>
                <w:szCs w:val="24"/>
              </w:rPr>
              <w:t xml:space="preserve"> </w:t>
            </w:r>
            <w:r>
              <w:rPr>
                <w:rFonts w:eastAsia="標楷體"/>
                <w:b/>
                <w:color w:val="0000FF"/>
                <w:kern w:val="0"/>
                <w:szCs w:val="24"/>
              </w:rPr>
              <w:t>目</w:t>
            </w:r>
          </w:p>
        </w:tc>
        <w:tc>
          <w:tcPr>
            <w:tcW w:w="76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85BE98C" w14:textId="77777777" w:rsidR="00052596" w:rsidRDefault="00000000">
            <w:pPr>
              <w:widowControl/>
              <w:overflowPunct w:val="0"/>
              <w:autoSpaceDE w:val="0"/>
              <w:spacing w:line="240" w:lineRule="atLeast"/>
              <w:jc w:val="center"/>
            </w:pPr>
            <w:r>
              <w:rPr>
                <w:rFonts w:eastAsia="標楷體"/>
                <w:b/>
                <w:color w:val="0000FF"/>
                <w:kern w:val="0"/>
                <w:szCs w:val="24"/>
              </w:rPr>
              <w:t>單</w:t>
            </w:r>
            <w:r>
              <w:rPr>
                <w:rFonts w:eastAsia="標楷體"/>
                <w:b/>
                <w:color w:val="0000FF"/>
                <w:kern w:val="0"/>
                <w:szCs w:val="24"/>
              </w:rPr>
              <w:t xml:space="preserve"> </w:t>
            </w:r>
            <w:r>
              <w:rPr>
                <w:rFonts w:eastAsia="標楷體"/>
                <w:b/>
                <w:color w:val="0000FF"/>
                <w:kern w:val="0"/>
                <w:szCs w:val="24"/>
              </w:rPr>
              <w:t>位</w:t>
            </w:r>
          </w:p>
        </w:tc>
        <w:tc>
          <w:tcPr>
            <w:tcW w:w="124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91B5DC1"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現況值</w:t>
            </w:r>
          </w:p>
          <w:p w14:paraId="49E869F0" w14:textId="77777777" w:rsidR="00052596" w:rsidRDefault="00000000">
            <w:pPr>
              <w:widowControl/>
              <w:overflowPunct w:val="0"/>
              <w:autoSpaceDE w:val="0"/>
              <w:spacing w:line="240" w:lineRule="atLeast"/>
              <w:jc w:val="center"/>
            </w:pPr>
            <w:r>
              <w:rPr>
                <w:rFonts w:ascii="標楷體" w:eastAsia="標楷體" w:hAnsi="標楷體"/>
                <w:b/>
                <w:color w:val="0000FF"/>
                <w:kern w:val="0"/>
                <w:szCs w:val="24"/>
              </w:rPr>
              <w:t>(</w:t>
            </w:r>
            <w:r>
              <w:rPr>
                <w:rFonts w:eastAsia="標楷體"/>
                <w:b/>
                <w:color w:val="0000FF"/>
                <w:kern w:val="0"/>
                <w:szCs w:val="24"/>
              </w:rPr>
              <w:t>101</w:t>
            </w:r>
            <w:r>
              <w:rPr>
                <w:rFonts w:eastAsia="標楷體"/>
                <w:b/>
                <w:color w:val="0000FF"/>
                <w:kern w:val="0"/>
                <w:szCs w:val="24"/>
              </w:rPr>
              <w:t>年</w:t>
            </w:r>
            <w:r>
              <w:rPr>
                <w:rFonts w:ascii="標楷體" w:eastAsia="標楷體" w:hAnsi="標楷體"/>
                <w:b/>
                <w:color w:val="0000FF"/>
                <w:kern w:val="0"/>
                <w:szCs w:val="24"/>
              </w:rPr>
              <w:t>)</w:t>
            </w:r>
          </w:p>
        </w:tc>
        <w:tc>
          <w:tcPr>
            <w:tcW w:w="2493" w:type="dxa"/>
            <w:gridSpan w:val="2"/>
            <w:tcBorders>
              <w:top w:val="single" w:sz="4" w:space="0" w:color="000000"/>
              <w:bottom w:val="single" w:sz="4" w:space="0" w:color="000000"/>
            </w:tcBorders>
            <w:shd w:val="clear" w:color="auto" w:fill="auto"/>
            <w:noWrap/>
            <w:tcMar>
              <w:top w:w="0" w:type="dxa"/>
              <w:left w:w="28" w:type="dxa"/>
              <w:bottom w:w="0" w:type="dxa"/>
              <w:right w:w="28" w:type="dxa"/>
            </w:tcMar>
            <w:vAlign w:val="center"/>
          </w:tcPr>
          <w:p w14:paraId="7434F832"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目標值</w:t>
            </w:r>
          </w:p>
        </w:tc>
      </w:tr>
      <w:tr w:rsidR="00052596" w14:paraId="1427C88D" w14:textId="77777777">
        <w:tblPrEx>
          <w:tblCellMar>
            <w:top w:w="0" w:type="dxa"/>
            <w:bottom w:w="0" w:type="dxa"/>
          </w:tblCellMar>
        </w:tblPrEx>
        <w:trPr>
          <w:trHeight w:val="378"/>
          <w:tblHeader/>
          <w:jc w:val="center"/>
        </w:trPr>
        <w:tc>
          <w:tcPr>
            <w:tcW w:w="4267" w:type="dxa"/>
            <w:vMerge/>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3FE246" w14:textId="77777777" w:rsidR="00052596" w:rsidRDefault="00052596">
            <w:pPr>
              <w:widowControl/>
              <w:overflowPunct w:val="0"/>
              <w:autoSpaceDE w:val="0"/>
              <w:spacing w:line="320" w:lineRule="exact"/>
              <w:ind w:left="168" w:hanging="168"/>
              <w:jc w:val="center"/>
              <w:rPr>
                <w:rFonts w:eastAsia="標楷體"/>
                <w:b/>
                <w:color w:val="000000"/>
                <w:kern w:val="0"/>
                <w:szCs w:val="24"/>
              </w:rPr>
            </w:pPr>
          </w:p>
        </w:tc>
        <w:tc>
          <w:tcPr>
            <w:tcW w:w="76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6D8777C" w14:textId="77777777" w:rsidR="00052596" w:rsidRDefault="00052596">
            <w:pPr>
              <w:widowControl/>
              <w:overflowPunct w:val="0"/>
              <w:autoSpaceDE w:val="0"/>
              <w:spacing w:line="320" w:lineRule="exact"/>
              <w:jc w:val="center"/>
              <w:rPr>
                <w:rFonts w:eastAsia="標楷體"/>
                <w:b/>
                <w:color w:val="000000"/>
                <w:kern w:val="0"/>
                <w:szCs w:val="24"/>
              </w:rPr>
            </w:pP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96CCB01" w14:textId="77777777" w:rsidR="00052596" w:rsidRDefault="00052596">
            <w:pPr>
              <w:widowControl/>
              <w:overflowPunct w:val="0"/>
              <w:autoSpaceDE w:val="0"/>
              <w:spacing w:line="240" w:lineRule="atLeast"/>
              <w:jc w:val="center"/>
              <w:rPr>
                <w:rFonts w:eastAsia="標楷體"/>
                <w:b/>
                <w:color w:val="0000FF"/>
                <w:kern w:val="0"/>
                <w:szCs w:val="24"/>
              </w:rPr>
            </w:pPr>
          </w:p>
        </w:tc>
        <w:tc>
          <w:tcPr>
            <w:tcW w:w="124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DB4C20E"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102</w:t>
            </w:r>
            <w:r>
              <w:rPr>
                <w:rFonts w:eastAsia="標楷體"/>
                <w:b/>
                <w:color w:val="0000FF"/>
                <w:kern w:val="0"/>
                <w:szCs w:val="24"/>
              </w:rPr>
              <w:t>年</w:t>
            </w:r>
          </w:p>
        </w:tc>
        <w:tc>
          <w:tcPr>
            <w:tcW w:w="1244"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A853AA5"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105</w:t>
            </w:r>
            <w:r>
              <w:rPr>
                <w:rFonts w:eastAsia="標楷體"/>
                <w:b/>
                <w:color w:val="0000FF"/>
                <w:kern w:val="0"/>
                <w:szCs w:val="24"/>
              </w:rPr>
              <w:t>年</w:t>
            </w:r>
          </w:p>
        </w:tc>
      </w:tr>
      <w:tr w:rsidR="00052596" w14:paraId="70E90071" w14:textId="77777777">
        <w:tblPrEx>
          <w:tblCellMar>
            <w:top w:w="0" w:type="dxa"/>
            <w:bottom w:w="0" w:type="dxa"/>
          </w:tblCellMar>
        </w:tblPrEx>
        <w:trPr>
          <w:trHeight w:val="149"/>
          <w:jc w:val="center"/>
        </w:trPr>
        <w:tc>
          <w:tcPr>
            <w:tcW w:w="4267" w:type="dxa"/>
            <w:tcBorders>
              <w:right w:val="single" w:sz="4" w:space="0" w:color="000000"/>
            </w:tcBorders>
            <w:shd w:val="clear" w:color="auto" w:fill="auto"/>
            <w:noWrap/>
            <w:tcMar>
              <w:top w:w="0" w:type="dxa"/>
              <w:left w:w="28" w:type="dxa"/>
              <w:bottom w:w="0" w:type="dxa"/>
              <w:right w:w="28" w:type="dxa"/>
            </w:tcMar>
          </w:tcPr>
          <w:p w14:paraId="55457F52" w14:textId="77777777" w:rsidR="00052596" w:rsidRDefault="00000000">
            <w:pPr>
              <w:widowControl/>
              <w:overflowPunct w:val="0"/>
              <w:autoSpaceDE w:val="0"/>
              <w:spacing w:before="72" w:after="48" w:line="320" w:lineRule="exact"/>
              <w:ind w:left="168" w:hanging="168"/>
              <w:jc w:val="both"/>
              <w:rPr>
                <w:rFonts w:eastAsia="標楷體"/>
                <w:b/>
                <w:color w:val="800000"/>
                <w:kern w:val="0"/>
                <w:szCs w:val="24"/>
              </w:rPr>
            </w:pPr>
            <w:r>
              <w:rPr>
                <w:rFonts w:eastAsia="標楷體"/>
                <w:b/>
                <w:color w:val="800000"/>
                <w:kern w:val="0"/>
                <w:szCs w:val="24"/>
              </w:rPr>
              <w:t>促進就業</w:t>
            </w:r>
          </w:p>
        </w:tc>
        <w:tc>
          <w:tcPr>
            <w:tcW w:w="765" w:type="dxa"/>
            <w:tcBorders>
              <w:right w:val="single" w:sz="4" w:space="0" w:color="000000"/>
            </w:tcBorders>
            <w:shd w:val="clear" w:color="auto" w:fill="auto"/>
            <w:noWrap/>
            <w:tcMar>
              <w:top w:w="0" w:type="dxa"/>
              <w:left w:w="28" w:type="dxa"/>
              <w:bottom w:w="0" w:type="dxa"/>
              <w:right w:w="28" w:type="dxa"/>
            </w:tcMar>
          </w:tcPr>
          <w:p w14:paraId="66324C2C" w14:textId="77777777" w:rsidR="00052596" w:rsidRDefault="00052596">
            <w:pPr>
              <w:widowControl/>
              <w:overflowPunct w:val="0"/>
              <w:autoSpaceDE w:val="0"/>
              <w:spacing w:before="72" w:after="48" w:line="320" w:lineRule="exact"/>
              <w:jc w:val="center"/>
              <w:rPr>
                <w:rFonts w:eastAsia="標楷體"/>
                <w:color w:val="000000"/>
                <w:kern w:val="0"/>
                <w:szCs w:val="24"/>
              </w:rPr>
            </w:pPr>
          </w:p>
        </w:tc>
        <w:tc>
          <w:tcPr>
            <w:tcW w:w="1243" w:type="dxa"/>
            <w:tcBorders>
              <w:right w:val="single" w:sz="4" w:space="0" w:color="000000"/>
            </w:tcBorders>
            <w:shd w:val="clear" w:color="auto" w:fill="auto"/>
            <w:noWrap/>
            <w:tcMar>
              <w:top w:w="0" w:type="dxa"/>
              <w:left w:w="28" w:type="dxa"/>
              <w:bottom w:w="0" w:type="dxa"/>
              <w:right w:w="28" w:type="dxa"/>
            </w:tcMar>
          </w:tcPr>
          <w:p w14:paraId="32A11697" w14:textId="77777777" w:rsidR="00052596" w:rsidRDefault="00052596">
            <w:pPr>
              <w:widowControl/>
              <w:overflowPunct w:val="0"/>
              <w:autoSpaceDE w:val="0"/>
              <w:spacing w:before="72" w:after="48" w:line="320" w:lineRule="exact"/>
              <w:jc w:val="right"/>
              <w:rPr>
                <w:rFonts w:eastAsia="標楷體"/>
                <w:color w:val="000000"/>
                <w:kern w:val="0"/>
                <w:szCs w:val="24"/>
              </w:rPr>
            </w:pPr>
          </w:p>
        </w:tc>
        <w:tc>
          <w:tcPr>
            <w:tcW w:w="1249" w:type="dxa"/>
            <w:tcBorders>
              <w:right w:val="single" w:sz="4" w:space="0" w:color="000000"/>
            </w:tcBorders>
            <w:shd w:val="clear" w:color="auto" w:fill="auto"/>
            <w:noWrap/>
            <w:tcMar>
              <w:top w:w="0" w:type="dxa"/>
              <w:left w:w="28" w:type="dxa"/>
              <w:bottom w:w="0" w:type="dxa"/>
              <w:right w:w="28" w:type="dxa"/>
            </w:tcMar>
          </w:tcPr>
          <w:p w14:paraId="68EC7A31" w14:textId="77777777" w:rsidR="00052596" w:rsidRDefault="00052596">
            <w:pPr>
              <w:widowControl/>
              <w:overflowPunct w:val="0"/>
              <w:autoSpaceDE w:val="0"/>
              <w:spacing w:before="72" w:after="48" w:line="320" w:lineRule="exact"/>
              <w:jc w:val="right"/>
              <w:rPr>
                <w:rFonts w:eastAsia="標楷體"/>
                <w:color w:val="000000"/>
                <w:kern w:val="0"/>
                <w:szCs w:val="24"/>
              </w:rPr>
            </w:pPr>
          </w:p>
        </w:tc>
        <w:tc>
          <w:tcPr>
            <w:tcW w:w="1244" w:type="dxa"/>
            <w:shd w:val="clear" w:color="auto" w:fill="auto"/>
            <w:noWrap/>
            <w:tcMar>
              <w:top w:w="0" w:type="dxa"/>
              <w:left w:w="28" w:type="dxa"/>
              <w:bottom w:w="0" w:type="dxa"/>
              <w:right w:w="28" w:type="dxa"/>
            </w:tcMar>
          </w:tcPr>
          <w:p w14:paraId="531893C0" w14:textId="77777777" w:rsidR="00052596" w:rsidRDefault="00052596">
            <w:pPr>
              <w:widowControl/>
              <w:overflowPunct w:val="0"/>
              <w:autoSpaceDE w:val="0"/>
              <w:spacing w:before="72" w:after="48" w:line="320" w:lineRule="exact"/>
              <w:jc w:val="right"/>
              <w:rPr>
                <w:rFonts w:eastAsia="標楷體"/>
                <w:color w:val="000000"/>
                <w:kern w:val="0"/>
                <w:szCs w:val="24"/>
              </w:rPr>
            </w:pPr>
          </w:p>
        </w:tc>
      </w:tr>
      <w:tr w:rsidR="00052596" w14:paraId="5BBCD053" w14:textId="77777777">
        <w:tblPrEx>
          <w:tblCellMar>
            <w:top w:w="0" w:type="dxa"/>
            <w:bottom w:w="0" w:type="dxa"/>
          </w:tblCellMar>
        </w:tblPrEx>
        <w:trPr>
          <w:cantSplit/>
          <w:trHeight w:val="248"/>
          <w:jc w:val="center"/>
        </w:trPr>
        <w:tc>
          <w:tcPr>
            <w:tcW w:w="4267" w:type="dxa"/>
            <w:tcBorders>
              <w:right w:val="single" w:sz="4" w:space="0" w:color="000000"/>
            </w:tcBorders>
            <w:shd w:val="clear" w:color="auto" w:fill="auto"/>
            <w:noWrap/>
            <w:tcMar>
              <w:top w:w="0" w:type="dxa"/>
              <w:left w:w="28" w:type="dxa"/>
              <w:bottom w:w="0" w:type="dxa"/>
              <w:right w:w="28" w:type="dxa"/>
            </w:tcMar>
          </w:tcPr>
          <w:p w14:paraId="35C2EB22" w14:textId="77777777" w:rsidR="00052596" w:rsidRDefault="00000000">
            <w:pPr>
              <w:widowControl/>
              <w:overflowPunct w:val="0"/>
              <w:autoSpaceDE w:val="0"/>
              <w:spacing w:before="120" w:line="240" w:lineRule="atLeast"/>
              <w:ind w:left="480" w:hanging="168"/>
              <w:jc w:val="both"/>
              <w:rPr>
                <w:rFonts w:eastAsia="標楷體"/>
                <w:color w:val="000000"/>
                <w:kern w:val="0"/>
                <w:szCs w:val="24"/>
              </w:rPr>
            </w:pPr>
            <w:r>
              <w:rPr>
                <w:rFonts w:eastAsia="標楷體"/>
                <w:color w:val="000000"/>
                <w:kern w:val="0"/>
                <w:szCs w:val="24"/>
              </w:rPr>
              <w:t>1.</w:t>
            </w:r>
            <w:r>
              <w:rPr>
                <w:rFonts w:eastAsia="標楷體"/>
                <w:color w:val="000000"/>
                <w:kern w:val="0"/>
                <w:szCs w:val="24"/>
              </w:rPr>
              <w:t>協助新成立工會家數</w:t>
            </w:r>
          </w:p>
        </w:tc>
        <w:tc>
          <w:tcPr>
            <w:tcW w:w="765" w:type="dxa"/>
            <w:tcBorders>
              <w:right w:val="single" w:sz="4" w:space="0" w:color="000000"/>
            </w:tcBorders>
            <w:shd w:val="clear" w:color="auto" w:fill="auto"/>
            <w:noWrap/>
            <w:tcMar>
              <w:top w:w="0" w:type="dxa"/>
              <w:left w:w="28" w:type="dxa"/>
              <w:bottom w:w="0" w:type="dxa"/>
              <w:right w:w="28" w:type="dxa"/>
            </w:tcMar>
          </w:tcPr>
          <w:p w14:paraId="11C34967" w14:textId="77777777" w:rsidR="00052596" w:rsidRDefault="00000000">
            <w:pPr>
              <w:widowControl/>
              <w:overflowPunct w:val="0"/>
              <w:autoSpaceDE w:val="0"/>
              <w:spacing w:before="120" w:line="240" w:lineRule="atLeast"/>
              <w:jc w:val="center"/>
              <w:rPr>
                <w:rFonts w:eastAsia="標楷體"/>
                <w:color w:val="000000"/>
                <w:kern w:val="0"/>
                <w:szCs w:val="24"/>
              </w:rPr>
            </w:pPr>
            <w:r>
              <w:rPr>
                <w:rFonts w:eastAsia="標楷體"/>
                <w:color w:val="000000"/>
                <w:kern w:val="0"/>
                <w:szCs w:val="24"/>
              </w:rPr>
              <w:t>家</w:t>
            </w:r>
          </w:p>
        </w:tc>
        <w:tc>
          <w:tcPr>
            <w:tcW w:w="1243" w:type="dxa"/>
            <w:tcBorders>
              <w:right w:val="single" w:sz="4" w:space="0" w:color="000000"/>
            </w:tcBorders>
            <w:shd w:val="clear" w:color="auto" w:fill="auto"/>
            <w:noWrap/>
            <w:tcMar>
              <w:top w:w="0" w:type="dxa"/>
              <w:left w:w="28" w:type="dxa"/>
              <w:bottom w:w="0" w:type="dxa"/>
              <w:right w:w="28" w:type="dxa"/>
            </w:tcMar>
          </w:tcPr>
          <w:p w14:paraId="0BE3A3ED" w14:textId="77777777" w:rsidR="00052596" w:rsidRDefault="00000000">
            <w:pPr>
              <w:widowControl/>
              <w:overflowPunct w:val="0"/>
              <w:autoSpaceDE w:val="0"/>
              <w:spacing w:before="120" w:line="240" w:lineRule="atLeast"/>
              <w:ind w:right="48"/>
              <w:jc w:val="right"/>
              <w:rPr>
                <w:rFonts w:eastAsia="標楷體"/>
                <w:color w:val="000000"/>
                <w:kern w:val="0"/>
                <w:szCs w:val="24"/>
              </w:rPr>
            </w:pPr>
            <w:r>
              <w:rPr>
                <w:rFonts w:eastAsia="標楷體"/>
                <w:color w:val="000000"/>
                <w:kern w:val="0"/>
                <w:szCs w:val="24"/>
              </w:rPr>
              <w:t>100</w:t>
            </w:r>
          </w:p>
        </w:tc>
        <w:tc>
          <w:tcPr>
            <w:tcW w:w="1249" w:type="dxa"/>
            <w:tcBorders>
              <w:right w:val="single" w:sz="4" w:space="0" w:color="000000"/>
            </w:tcBorders>
            <w:shd w:val="clear" w:color="auto" w:fill="auto"/>
            <w:noWrap/>
            <w:tcMar>
              <w:top w:w="0" w:type="dxa"/>
              <w:left w:w="28" w:type="dxa"/>
              <w:bottom w:w="0" w:type="dxa"/>
              <w:right w:w="28" w:type="dxa"/>
            </w:tcMar>
          </w:tcPr>
          <w:p w14:paraId="371474B8" w14:textId="77777777" w:rsidR="00052596" w:rsidRDefault="00000000">
            <w:pPr>
              <w:widowControl/>
              <w:overflowPunct w:val="0"/>
              <w:autoSpaceDE w:val="0"/>
              <w:spacing w:before="120" w:line="240" w:lineRule="atLeast"/>
              <w:ind w:right="48"/>
              <w:jc w:val="right"/>
              <w:rPr>
                <w:rFonts w:eastAsia="標楷體"/>
                <w:color w:val="000000"/>
                <w:kern w:val="0"/>
                <w:szCs w:val="24"/>
              </w:rPr>
            </w:pPr>
            <w:r>
              <w:rPr>
                <w:rFonts w:eastAsia="標楷體"/>
                <w:color w:val="000000"/>
                <w:kern w:val="0"/>
                <w:szCs w:val="24"/>
              </w:rPr>
              <w:t>50</w:t>
            </w:r>
          </w:p>
        </w:tc>
        <w:tc>
          <w:tcPr>
            <w:tcW w:w="1244" w:type="dxa"/>
            <w:shd w:val="clear" w:color="auto" w:fill="auto"/>
            <w:noWrap/>
            <w:tcMar>
              <w:top w:w="0" w:type="dxa"/>
              <w:left w:w="28" w:type="dxa"/>
              <w:bottom w:w="0" w:type="dxa"/>
              <w:right w:w="28" w:type="dxa"/>
            </w:tcMar>
          </w:tcPr>
          <w:p w14:paraId="26CE8479" w14:textId="77777777" w:rsidR="00052596" w:rsidRDefault="00000000">
            <w:pPr>
              <w:widowControl/>
              <w:overflowPunct w:val="0"/>
              <w:autoSpaceDE w:val="0"/>
              <w:spacing w:before="120" w:line="240" w:lineRule="atLeast"/>
              <w:ind w:right="48"/>
              <w:jc w:val="right"/>
            </w:pPr>
            <w:r>
              <w:rPr>
                <w:rFonts w:eastAsia="標楷體"/>
                <w:color w:val="000000"/>
                <w:kern w:val="0"/>
                <w:szCs w:val="24"/>
              </w:rPr>
              <w:t>200</w:t>
            </w:r>
            <w:r>
              <w:rPr>
                <w:rFonts w:eastAsia="標楷體"/>
                <w:color w:val="000000"/>
                <w:kern w:val="0"/>
                <w:szCs w:val="24"/>
                <w:vertAlign w:val="superscript"/>
              </w:rPr>
              <w:t>1</w:t>
            </w:r>
          </w:p>
        </w:tc>
      </w:tr>
      <w:tr w:rsidR="00052596" w14:paraId="5E59427F" w14:textId="77777777">
        <w:tblPrEx>
          <w:tblCellMar>
            <w:top w:w="0" w:type="dxa"/>
            <w:bottom w:w="0" w:type="dxa"/>
          </w:tblCellMar>
        </w:tblPrEx>
        <w:trPr>
          <w:trHeight w:val="193"/>
          <w:jc w:val="center"/>
        </w:trPr>
        <w:tc>
          <w:tcPr>
            <w:tcW w:w="4267" w:type="dxa"/>
            <w:tcBorders>
              <w:right w:val="single" w:sz="4" w:space="0" w:color="000000"/>
            </w:tcBorders>
            <w:shd w:val="clear" w:color="auto" w:fill="auto"/>
            <w:noWrap/>
            <w:tcMar>
              <w:top w:w="0" w:type="dxa"/>
              <w:left w:w="28" w:type="dxa"/>
              <w:bottom w:w="0" w:type="dxa"/>
              <w:right w:w="28" w:type="dxa"/>
            </w:tcMar>
          </w:tcPr>
          <w:p w14:paraId="7590ED18" w14:textId="77777777" w:rsidR="00052596" w:rsidRDefault="00000000">
            <w:pPr>
              <w:widowControl/>
              <w:overflowPunct w:val="0"/>
              <w:autoSpaceDE w:val="0"/>
              <w:spacing w:before="96" w:line="240" w:lineRule="atLeast"/>
              <w:ind w:left="480" w:hanging="168"/>
              <w:jc w:val="both"/>
              <w:rPr>
                <w:rFonts w:eastAsia="標楷體"/>
                <w:color w:val="000000"/>
                <w:kern w:val="0"/>
                <w:szCs w:val="24"/>
              </w:rPr>
            </w:pPr>
            <w:r>
              <w:rPr>
                <w:rFonts w:eastAsia="標楷體"/>
                <w:color w:val="000000"/>
                <w:kern w:val="0"/>
                <w:szCs w:val="24"/>
              </w:rPr>
              <w:t>2.</w:t>
            </w:r>
            <w:r>
              <w:rPr>
                <w:rFonts w:eastAsia="標楷體"/>
                <w:color w:val="000000"/>
                <w:kern w:val="0"/>
                <w:szCs w:val="24"/>
              </w:rPr>
              <w:t>協助新締結團體協約家數</w:t>
            </w:r>
          </w:p>
        </w:tc>
        <w:tc>
          <w:tcPr>
            <w:tcW w:w="765" w:type="dxa"/>
            <w:tcBorders>
              <w:right w:val="single" w:sz="4" w:space="0" w:color="000000"/>
            </w:tcBorders>
            <w:shd w:val="clear" w:color="auto" w:fill="auto"/>
            <w:noWrap/>
            <w:tcMar>
              <w:top w:w="0" w:type="dxa"/>
              <w:left w:w="28" w:type="dxa"/>
              <w:bottom w:w="0" w:type="dxa"/>
              <w:right w:w="28" w:type="dxa"/>
            </w:tcMar>
          </w:tcPr>
          <w:p w14:paraId="53E4B5F7" w14:textId="77777777" w:rsidR="00052596" w:rsidRDefault="00000000">
            <w:pPr>
              <w:widowControl/>
              <w:overflowPunct w:val="0"/>
              <w:autoSpaceDE w:val="0"/>
              <w:spacing w:before="96" w:line="240" w:lineRule="atLeast"/>
              <w:jc w:val="center"/>
              <w:rPr>
                <w:rFonts w:eastAsia="標楷體"/>
                <w:color w:val="000000"/>
                <w:kern w:val="0"/>
                <w:szCs w:val="24"/>
              </w:rPr>
            </w:pPr>
            <w:r>
              <w:rPr>
                <w:rFonts w:eastAsia="標楷體"/>
                <w:color w:val="000000"/>
                <w:kern w:val="0"/>
                <w:szCs w:val="24"/>
              </w:rPr>
              <w:t>家</w:t>
            </w:r>
          </w:p>
        </w:tc>
        <w:tc>
          <w:tcPr>
            <w:tcW w:w="1243" w:type="dxa"/>
            <w:tcBorders>
              <w:right w:val="single" w:sz="4" w:space="0" w:color="000000"/>
            </w:tcBorders>
            <w:shd w:val="clear" w:color="auto" w:fill="auto"/>
            <w:noWrap/>
            <w:tcMar>
              <w:top w:w="0" w:type="dxa"/>
              <w:left w:w="28" w:type="dxa"/>
              <w:bottom w:w="0" w:type="dxa"/>
              <w:right w:w="28" w:type="dxa"/>
            </w:tcMar>
          </w:tcPr>
          <w:p w14:paraId="0825B580"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72</w:t>
            </w:r>
          </w:p>
        </w:tc>
        <w:tc>
          <w:tcPr>
            <w:tcW w:w="1249" w:type="dxa"/>
            <w:tcBorders>
              <w:right w:val="single" w:sz="4" w:space="0" w:color="000000"/>
            </w:tcBorders>
            <w:shd w:val="clear" w:color="auto" w:fill="auto"/>
            <w:noWrap/>
            <w:tcMar>
              <w:top w:w="0" w:type="dxa"/>
              <w:left w:w="28" w:type="dxa"/>
              <w:bottom w:w="0" w:type="dxa"/>
              <w:right w:w="28" w:type="dxa"/>
            </w:tcMar>
          </w:tcPr>
          <w:p w14:paraId="29B0B124"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10</w:t>
            </w:r>
          </w:p>
        </w:tc>
        <w:tc>
          <w:tcPr>
            <w:tcW w:w="1244" w:type="dxa"/>
            <w:shd w:val="clear" w:color="auto" w:fill="auto"/>
            <w:noWrap/>
            <w:tcMar>
              <w:top w:w="0" w:type="dxa"/>
              <w:left w:w="28" w:type="dxa"/>
              <w:bottom w:w="0" w:type="dxa"/>
              <w:right w:w="28" w:type="dxa"/>
            </w:tcMar>
          </w:tcPr>
          <w:p w14:paraId="7A886A0C" w14:textId="77777777" w:rsidR="00052596" w:rsidRDefault="00000000">
            <w:pPr>
              <w:widowControl/>
              <w:overflowPunct w:val="0"/>
              <w:autoSpaceDE w:val="0"/>
              <w:spacing w:before="96" w:line="240" w:lineRule="atLeast"/>
              <w:ind w:right="48"/>
              <w:jc w:val="right"/>
            </w:pPr>
            <w:r>
              <w:rPr>
                <w:rFonts w:eastAsia="標楷體"/>
                <w:color w:val="000000"/>
                <w:kern w:val="0"/>
                <w:szCs w:val="24"/>
              </w:rPr>
              <w:t>40</w:t>
            </w:r>
            <w:r>
              <w:rPr>
                <w:rFonts w:eastAsia="標楷體"/>
                <w:color w:val="000000"/>
                <w:kern w:val="0"/>
                <w:szCs w:val="24"/>
                <w:vertAlign w:val="superscript"/>
              </w:rPr>
              <w:t>1</w:t>
            </w:r>
          </w:p>
        </w:tc>
      </w:tr>
      <w:tr w:rsidR="00052596" w14:paraId="1A36CB26" w14:textId="77777777">
        <w:tblPrEx>
          <w:tblCellMar>
            <w:top w:w="0" w:type="dxa"/>
            <w:bottom w:w="0" w:type="dxa"/>
          </w:tblCellMar>
        </w:tblPrEx>
        <w:trPr>
          <w:cantSplit/>
          <w:trHeight w:val="295"/>
          <w:jc w:val="center"/>
        </w:trPr>
        <w:tc>
          <w:tcPr>
            <w:tcW w:w="4267" w:type="dxa"/>
            <w:tcBorders>
              <w:right w:val="single" w:sz="4" w:space="0" w:color="000000"/>
            </w:tcBorders>
            <w:shd w:val="clear" w:color="auto" w:fill="auto"/>
            <w:noWrap/>
            <w:tcMar>
              <w:top w:w="0" w:type="dxa"/>
              <w:left w:w="28" w:type="dxa"/>
              <w:bottom w:w="0" w:type="dxa"/>
              <w:right w:w="28" w:type="dxa"/>
            </w:tcMar>
          </w:tcPr>
          <w:p w14:paraId="2158F0F5" w14:textId="77777777" w:rsidR="00052596" w:rsidRDefault="00000000">
            <w:pPr>
              <w:widowControl/>
              <w:overflowPunct w:val="0"/>
              <w:autoSpaceDE w:val="0"/>
              <w:spacing w:before="96" w:line="240" w:lineRule="atLeast"/>
              <w:ind w:left="480" w:hanging="168"/>
              <w:jc w:val="both"/>
              <w:rPr>
                <w:rFonts w:eastAsia="標楷體"/>
                <w:color w:val="000000"/>
                <w:kern w:val="0"/>
                <w:szCs w:val="24"/>
              </w:rPr>
            </w:pPr>
            <w:r>
              <w:rPr>
                <w:rFonts w:eastAsia="標楷體"/>
                <w:color w:val="000000"/>
                <w:kern w:val="0"/>
                <w:szCs w:val="24"/>
              </w:rPr>
              <w:t>3.</w:t>
            </w:r>
            <w:r>
              <w:rPr>
                <w:rFonts w:eastAsia="標楷體"/>
                <w:color w:val="000000"/>
                <w:kern w:val="0"/>
                <w:szCs w:val="24"/>
              </w:rPr>
              <w:t>多元職訓人次</w:t>
            </w:r>
          </w:p>
        </w:tc>
        <w:tc>
          <w:tcPr>
            <w:tcW w:w="765" w:type="dxa"/>
            <w:tcBorders>
              <w:right w:val="single" w:sz="4" w:space="0" w:color="000000"/>
            </w:tcBorders>
            <w:shd w:val="clear" w:color="auto" w:fill="auto"/>
            <w:noWrap/>
            <w:tcMar>
              <w:top w:w="0" w:type="dxa"/>
              <w:left w:w="28" w:type="dxa"/>
              <w:bottom w:w="0" w:type="dxa"/>
              <w:right w:w="28" w:type="dxa"/>
            </w:tcMar>
          </w:tcPr>
          <w:p w14:paraId="6C20B347" w14:textId="77777777" w:rsidR="00052596" w:rsidRDefault="00052596">
            <w:pPr>
              <w:widowControl/>
              <w:overflowPunct w:val="0"/>
              <w:autoSpaceDE w:val="0"/>
              <w:spacing w:before="96" w:line="240" w:lineRule="atLeast"/>
              <w:jc w:val="center"/>
              <w:rPr>
                <w:rFonts w:eastAsia="標楷體"/>
                <w:color w:val="000000"/>
                <w:kern w:val="0"/>
                <w:szCs w:val="24"/>
              </w:rPr>
            </w:pPr>
          </w:p>
        </w:tc>
        <w:tc>
          <w:tcPr>
            <w:tcW w:w="1243" w:type="dxa"/>
            <w:tcBorders>
              <w:right w:val="single" w:sz="4" w:space="0" w:color="000000"/>
            </w:tcBorders>
            <w:shd w:val="clear" w:color="auto" w:fill="auto"/>
            <w:noWrap/>
            <w:tcMar>
              <w:top w:w="0" w:type="dxa"/>
              <w:left w:w="28" w:type="dxa"/>
              <w:bottom w:w="0" w:type="dxa"/>
              <w:right w:w="28" w:type="dxa"/>
            </w:tcMar>
          </w:tcPr>
          <w:p w14:paraId="3D8AA78D" w14:textId="77777777" w:rsidR="00052596" w:rsidRDefault="00052596">
            <w:pPr>
              <w:widowControl/>
              <w:overflowPunct w:val="0"/>
              <w:autoSpaceDE w:val="0"/>
              <w:spacing w:before="96" w:line="240" w:lineRule="atLeast"/>
              <w:ind w:right="48"/>
              <w:jc w:val="right"/>
              <w:rPr>
                <w:rFonts w:eastAsia="標楷體"/>
                <w:color w:val="000000"/>
                <w:kern w:val="0"/>
                <w:szCs w:val="24"/>
              </w:rPr>
            </w:pPr>
          </w:p>
        </w:tc>
        <w:tc>
          <w:tcPr>
            <w:tcW w:w="1249" w:type="dxa"/>
            <w:tcBorders>
              <w:right w:val="single" w:sz="4" w:space="0" w:color="000000"/>
            </w:tcBorders>
            <w:shd w:val="clear" w:color="auto" w:fill="auto"/>
            <w:noWrap/>
            <w:tcMar>
              <w:top w:w="0" w:type="dxa"/>
              <w:left w:w="28" w:type="dxa"/>
              <w:bottom w:w="0" w:type="dxa"/>
              <w:right w:w="28" w:type="dxa"/>
            </w:tcMar>
          </w:tcPr>
          <w:p w14:paraId="0B4A9056" w14:textId="77777777" w:rsidR="00052596" w:rsidRDefault="00052596">
            <w:pPr>
              <w:widowControl/>
              <w:overflowPunct w:val="0"/>
              <w:autoSpaceDE w:val="0"/>
              <w:spacing w:before="96" w:line="240" w:lineRule="atLeast"/>
              <w:ind w:right="48"/>
              <w:jc w:val="right"/>
              <w:rPr>
                <w:rFonts w:eastAsia="標楷體"/>
                <w:color w:val="000000"/>
                <w:kern w:val="0"/>
                <w:szCs w:val="24"/>
              </w:rPr>
            </w:pPr>
          </w:p>
        </w:tc>
        <w:tc>
          <w:tcPr>
            <w:tcW w:w="1244" w:type="dxa"/>
            <w:shd w:val="clear" w:color="auto" w:fill="auto"/>
            <w:noWrap/>
            <w:tcMar>
              <w:top w:w="0" w:type="dxa"/>
              <w:left w:w="28" w:type="dxa"/>
              <w:bottom w:w="0" w:type="dxa"/>
              <w:right w:w="28" w:type="dxa"/>
            </w:tcMar>
          </w:tcPr>
          <w:p w14:paraId="468FEAFD" w14:textId="77777777" w:rsidR="00052596" w:rsidRDefault="00052596">
            <w:pPr>
              <w:widowControl/>
              <w:overflowPunct w:val="0"/>
              <w:autoSpaceDE w:val="0"/>
              <w:spacing w:before="96" w:line="240" w:lineRule="atLeast"/>
              <w:ind w:right="48"/>
              <w:jc w:val="right"/>
              <w:rPr>
                <w:rFonts w:eastAsia="標楷體"/>
                <w:color w:val="000000"/>
                <w:kern w:val="0"/>
                <w:szCs w:val="24"/>
              </w:rPr>
            </w:pPr>
          </w:p>
        </w:tc>
      </w:tr>
      <w:tr w:rsidR="00052596" w14:paraId="166E631F" w14:textId="77777777">
        <w:tblPrEx>
          <w:tblCellMar>
            <w:top w:w="0" w:type="dxa"/>
            <w:bottom w:w="0" w:type="dxa"/>
          </w:tblCellMar>
        </w:tblPrEx>
        <w:trPr>
          <w:trHeight w:val="188"/>
          <w:jc w:val="center"/>
        </w:trPr>
        <w:tc>
          <w:tcPr>
            <w:tcW w:w="4267" w:type="dxa"/>
            <w:tcBorders>
              <w:right w:val="single" w:sz="4" w:space="0" w:color="000000"/>
            </w:tcBorders>
            <w:shd w:val="clear" w:color="auto" w:fill="auto"/>
            <w:noWrap/>
            <w:tcMar>
              <w:top w:w="0" w:type="dxa"/>
              <w:left w:w="28" w:type="dxa"/>
              <w:bottom w:w="0" w:type="dxa"/>
              <w:right w:w="28" w:type="dxa"/>
            </w:tcMar>
          </w:tcPr>
          <w:p w14:paraId="431C1F1C"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－職前訓練</w:t>
            </w:r>
          </w:p>
        </w:tc>
        <w:tc>
          <w:tcPr>
            <w:tcW w:w="765" w:type="dxa"/>
            <w:tcBorders>
              <w:right w:val="single" w:sz="4" w:space="0" w:color="000000"/>
            </w:tcBorders>
            <w:shd w:val="clear" w:color="auto" w:fill="auto"/>
            <w:noWrap/>
            <w:tcMar>
              <w:top w:w="0" w:type="dxa"/>
              <w:left w:w="28" w:type="dxa"/>
              <w:bottom w:w="0" w:type="dxa"/>
              <w:right w:w="28" w:type="dxa"/>
            </w:tcMar>
          </w:tcPr>
          <w:p w14:paraId="28E258C1"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人次</w:t>
            </w:r>
          </w:p>
        </w:tc>
        <w:tc>
          <w:tcPr>
            <w:tcW w:w="1243" w:type="dxa"/>
            <w:tcBorders>
              <w:right w:val="single" w:sz="4" w:space="0" w:color="000000"/>
            </w:tcBorders>
            <w:shd w:val="clear" w:color="auto" w:fill="auto"/>
            <w:noWrap/>
            <w:tcMar>
              <w:top w:w="0" w:type="dxa"/>
              <w:left w:w="28" w:type="dxa"/>
              <w:bottom w:w="0" w:type="dxa"/>
              <w:right w:w="28" w:type="dxa"/>
            </w:tcMar>
          </w:tcPr>
          <w:p w14:paraId="0E73A6F4"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51,949</w:t>
            </w:r>
          </w:p>
        </w:tc>
        <w:tc>
          <w:tcPr>
            <w:tcW w:w="1249" w:type="dxa"/>
            <w:tcBorders>
              <w:right w:val="single" w:sz="4" w:space="0" w:color="000000"/>
            </w:tcBorders>
            <w:shd w:val="clear" w:color="auto" w:fill="auto"/>
            <w:noWrap/>
            <w:tcMar>
              <w:top w:w="0" w:type="dxa"/>
              <w:left w:w="28" w:type="dxa"/>
              <w:bottom w:w="0" w:type="dxa"/>
              <w:right w:w="28" w:type="dxa"/>
            </w:tcMar>
          </w:tcPr>
          <w:p w14:paraId="05D89305"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50,000</w:t>
            </w:r>
          </w:p>
        </w:tc>
        <w:tc>
          <w:tcPr>
            <w:tcW w:w="1244" w:type="dxa"/>
            <w:shd w:val="clear" w:color="auto" w:fill="auto"/>
            <w:noWrap/>
            <w:tcMar>
              <w:top w:w="0" w:type="dxa"/>
              <w:left w:w="28" w:type="dxa"/>
              <w:bottom w:w="0" w:type="dxa"/>
              <w:right w:w="28" w:type="dxa"/>
            </w:tcMar>
          </w:tcPr>
          <w:p w14:paraId="608CD904" w14:textId="77777777" w:rsidR="00052596" w:rsidRDefault="00000000">
            <w:pPr>
              <w:widowControl/>
              <w:overflowPunct w:val="0"/>
              <w:autoSpaceDE w:val="0"/>
              <w:spacing w:before="48" w:line="240" w:lineRule="atLeast"/>
              <w:ind w:right="48"/>
              <w:jc w:val="right"/>
            </w:pPr>
            <w:r>
              <w:rPr>
                <w:rFonts w:eastAsia="標楷體"/>
                <w:color w:val="000000"/>
                <w:kern w:val="0"/>
                <w:szCs w:val="24"/>
              </w:rPr>
              <w:t>200,000</w:t>
            </w:r>
            <w:r>
              <w:rPr>
                <w:rFonts w:eastAsia="標楷體"/>
                <w:color w:val="000000"/>
                <w:kern w:val="0"/>
                <w:szCs w:val="24"/>
                <w:vertAlign w:val="superscript"/>
              </w:rPr>
              <w:t>1</w:t>
            </w:r>
            <w:r>
              <w:rPr>
                <w:rFonts w:eastAsia="標楷體"/>
                <w:color w:val="000000"/>
                <w:kern w:val="0"/>
                <w:szCs w:val="24"/>
              </w:rPr>
              <w:t xml:space="preserve"> </w:t>
            </w:r>
          </w:p>
        </w:tc>
      </w:tr>
      <w:tr w:rsidR="00052596" w14:paraId="45DD92A6" w14:textId="77777777">
        <w:tblPrEx>
          <w:tblCellMar>
            <w:top w:w="0" w:type="dxa"/>
            <w:bottom w:w="0" w:type="dxa"/>
          </w:tblCellMar>
        </w:tblPrEx>
        <w:trPr>
          <w:trHeight w:val="149"/>
          <w:jc w:val="center"/>
        </w:trPr>
        <w:tc>
          <w:tcPr>
            <w:tcW w:w="4267" w:type="dxa"/>
            <w:tcBorders>
              <w:right w:val="single" w:sz="4" w:space="0" w:color="000000"/>
            </w:tcBorders>
            <w:shd w:val="clear" w:color="auto" w:fill="auto"/>
            <w:noWrap/>
            <w:tcMar>
              <w:top w:w="0" w:type="dxa"/>
              <w:left w:w="28" w:type="dxa"/>
              <w:bottom w:w="0" w:type="dxa"/>
              <w:right w:w="28" w:type="dxa"/>
            </w:tcMar>
          </w:tcPr>
          <w:p w14:paraId="23DD489F"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－青年職訓</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7B37C39D"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人次</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255865A8"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20,884</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4B40AF2E"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20,000</w:t>
            </w:r>
          </w:p>
        </w:tc>
        <w:tc>
          <w:tcPr>
            <w:tcW w:w="1244" w:type="dxa"/>
            <w:tcBorders>
              <w:left w:val="single" w:sz="4" w:space="0" w:color="000000"/>
            </w:tcBorders>
            <w:shd w:val="clear" w:color="auto" w:fill="auto"/>
            <w:noWrap/>
            <w:tcMar>
              <w:top w:w="0" w:type="dxa"/>
              <w:left w:w="28" w:type="dxa"/>
              <w:bottom w:w="0" w:type="dxa"/>
              <w:right w:w="28" w:type="dxa"/>
            </w:tcMar>
          </w:tcPr>
          <w:p w14:paraId="0B8D46B0" w14:textId="77777777" w:rsidR="00052596" w:rsidRDefault="00000000">
            <w:pPr>
              <w:widowControl/>
              <w:overflowPunct w:val="0"/>
              <w:autoSpaceDE w:val="0"/>
              <w:spacing w:before="48" w:line="240" w:lineRule="atLeast"/>
              <w:ind w:right="48"/>
              <w:jc w:val="right"/>
            </w:pPr>
            <w:r>
              <w:rPr>
                <w:rFonts w:eastAsia="標楷體"/>
                <w:color w:val="000000"/>
                <w:kern w:val="0"/>
                <w:szCs w:val="24"/>
              </w:rPr>
              <w:t>80,000</w:t>
            </w:r>
            <w:r>
              <w:rPr>
                <w:rFonts w:eastAsia="標楷體"/>
                <w:color w:val="000000"/>
                <w:kern w:val="0"/>
                <w:szCs w:val="24"/>
                <w:vertAlign w:val="superscript"/>
              </w:rPr>
              <w:t>1</w:t>
            </w:r>
          </w:p>
        </w:tc>
      </w:tr>
      <w:tr w:rsidR="00052596" w14:paraId="1CDE42E8" w14:textId="77777777">
        <w:tblPrEx>
          <w:tblCellMar>
            <w:top w:w="0" w:type="dxa"/>
            <w:bottom w:w="0" w:type="dxa"/>
          </w:tblCellMar>
        </w:tblPrEx>
        <w:trPr>
          <w:trHeight w:val="254"/>
          <w:jc w:val="center"/>
        </w:trPr>
        <w:tc>
          <w:tcPr>
            <w:tcW w:w="4267" w:type="dxa"/>
            <w:tcBorders>
              <w:right w:val="single" w:sz="4" w:space="0" w:color="000000"/>
            </w:tcBorders>
            <w:shd w:val="clear" w:color="auto" w:fill="auto"/>
            <w:noWrap/>
            <w:tcMar>
              <w:top w:w="0" w:type="dxa"/>
              <w:left w:w="28" w:type="dxa"/>
              <w:bottom w:w="0" w:type="dxa"/>
              <w:right w:w="28" w:type="dxa"/>
            </w:tcMar>
          </w:tcPr>
          <w:p w14:paraId="604FB36F"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－在職訓練</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6CA38DF3"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人次</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5989A14E"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70,072</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0FFE1B42"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65,500</w:t>
            </w:r>
          </w:p>
        </w:tc>
        <w:tc>
          <w:tcPr>
            <w:tcW w:w="1244" w:type="dxa"/>
            <w:tcBorders>
              <w:left w:val="single" w:sz="4" w:space="0" w:color="000000"/>
            </w:tcBorders>
            <w:shd w:val="clear" w:color="auto" w:fill="auto"/>
            <w:noWrap/>
            <w:tcMar>
              <w:top w:w="0" w:type="dxa"/>
              <w:left w:w="28" w:type="dxa"/>
              <w:bottom w:w="0" w:type="dxa"/>
              <w:right w:w="28" w:type="dxa"/>
            </w:tcMar>
          </w:tcPr>
          <w:p w14:paraId="2268785D" w14:textId="77777777" w:rsidR="00052596" w:rsidRDefault="00000000">
            <w:pPr>
              <w:widowControl/>
              <w:overflowPunct w:val="0"/>
              <w:autoSpaceDE w:val="0"/>
              <w:spacing w:before="48" w:line="240" w:lineRule="atLeast"/>
              <w:ind w:right="48"/>
              <w:jc w:val="right"/>
            </w:pPr>
            <w:r>
              <w:rPr>
                <w:rFonts w:eastAsia="標楷體"/>
                <w:color w:val="000000"/>
                <w:kern w:val="0"/>
                <w:szCs w:val="24"/>
              </w:rPr>
              <w:t>262,000</w:t>
            </w:r>
            <w:r>
              <w:rPr>
                <w:rFonts w:eastAsia="標楷體"/>
                <w:color w:val="000000"/>
                <w:kern w:val="0"/>
                <w:szCs w:val="24"/>
                <w:vertAlign w:val="superscript"/>
              </w:rPr>
              <w:t>1</w:t>
            </w:r>
          </w:p>
        </w:tc>
      </w:tr>
      <w:tr w:rsidR="00052596" w14:paraId="45C0D18B" w14:textId="77777777">
        <w:tblPrEx>
          <w:tblCellMar>
            <w:top w:w="0" w:type="dxa"/>
            <w:bottom w:w="0" w:type="dxa"/>
          </w:tblCellMar>
        </w:tblPrEx>
        <w:trPr>
          <w:trHeight w:val="118"/>
          <w:jc w:val="center"/>
        </w:trPr>
        <w:tc>
          <w:tcPr>
            <w:tcW w:w="4267" w:type="dxa"/>
            <w:tcBorders>
              <w:right w:val="single" w:sz="4" w:space="0" w:color="000000"/>
            </w:tcBorders>
            <w:shd w:val="clear" w:color="auto" w:fill="auto"/>
            <w:noWrap/>
            <w:tcMar>
              <w:top w:w="0" w:type="dxa"/>
              <w:left w:w="28" w:type="dxa"/>
              <w:bottom w:w="0" w:type="dxa"/>
              <w:right w:w="28" w:type="dxa"/>
            </w:tcMar>
          </w:tcPr>
          <w:p w14:paraId="15B97DD3" w14:textId="77777777" w:rsidR="00052596" w:rsidRDefault="00000000">
            <w:pPr>
              <w:widowControl/>
              <w:overflowPunct w:val="0"/>
              <w:autoSpaceDE w:val="0"/>
              <w:spacing w:before="120" w:line="240" w:lineRule="atLeast"/>
              <w:ind w:left="480" w:hanging="168"/>
              <w:jc w:val="both"/>
              <w:rPr>
                <w:rFonts w:eastAsia="標楷體"/>
                <w:color w:val="000000"/>
                <w:kern w:val="0"/>
                <w:szCs w:val="24"/>
              </w:rPr>
            </w:pPr>
            <w:r>
              <w:rPr>
                <w:rFonts w:eastAsia="標楷體"/>
                <w:color w:val="000000"/>
                <w:kern w:val="0"/>
                <w:szCs w:val="24"/>
              </w:rPr>
              <w:t>4.</w:t>
            </w:r>
            <w:r>
              <w:rPr>
                <w:rFonts w:eastAsia="標楷體"/>
                <w:color w:val="000000"/>
                <w:kern w:val="0"/>
                <w:szCs w:val="24"/>
              </w:rPr>
              <w:t>協助身心障礙者</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081CBC55" w14:textId="77777777" w:rsidR="00052596" w:rsidRDefault="00052596">
            <w:pPr>
              <w:widowControl/>
              <w:overflowPunct w:val="0"/>
              <w:autoSpaceDE w:val="0"/>
              <w:spacing w:before="120" w:line="240" w:lineRule="atLeast"/>
              <w:jc w:val="center"/>
              <w:rPr>
                <w:rFonts w:eastAsia="標楷體"/>
                <w:color w:val="000000"/>
                <w:kern w:val="0"/>
                <w:szCs w:val="24"/>
              </w:rPr>
            </w:pP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5171B097"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1190750A"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c>
          <w:tcPr>
            <w:tcW w:w="1244" w:type="dxa"/>
            <w:tcBorders>
              <w:left w:val="single" w:sz="4" w:space="0" w:color="000000"/>
            </w:tcBorders>
            <w:shd w:val="clear" w:color="auto" w:fill="auto"/>
            <w:noWrap/>
            <w:tcMar>
              <w:top w:w="0" w:type="dxa"/>
              <w:left w:w="28" w:type="dxa"/>
              <w:bottom w:w="0" w:type="dxa"/>
              <w:right w:w="28" w:type="dxa"/>
            </w:tcMar>
          </w:tcPr>
          <w:p w14:paraId="6DE6AE7D"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r>
      <w:tr w:rsidR="00052596" w14:paraId="64403160" w14:textId="77777777">
        <w:tblPrEx>
          <w:tblCellMar>
            <w:top w:w="0" w:type="dxa"/>
            <w:bottom w:w="0" w:type="dxa"/>
          </w:tblCellMar>
        </w:tblPrEx>
        <w:trPr>
          <w:trHeight w:val="181"/>
          <w:jc w:val="center"/>
        </w:trPr>
        <w:tc>
          <w:tcPr>
            <w:tcW w:w="4267" w:type="dxa"/>
            <w:tcBorders>
              <w:right w:val="single" w:sz="4" w:space="0" w:color="000000"/>
            </w:tcBorders>
            <w:shd w:val="clear" w:color="auto" w:fill="auto"/>
            <w:noWrap/>
            <w:tcMar>
              <w:top w:w="0" w:type="dxa"/>
              <w:left w:w="28" w:type="dxa"/>
              <w:bottom w:w="0" w:type="dxa"/>
              <w:right w:w="28" w:type="dxa"/>
            </w:tcMar>
          </w:tcPr>
          <w:p w14:paraId="11339D23"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－職能提升</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042000D0"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人次</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5ACBEEC6"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1,193</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5C93F925"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2,100</w:t>
            </w:r>
          </w:p>
        </w:tc>
        <w:tc>
          <w:tcPr>
            <w:tcW w:w="1244" w:type="dxa"/>
            <w:tcBorders>
              <w:left w:val="single" w:sz="4" w:space="0" w:color="000000"/>
            </w:tcBorders>
            <w:shd w:val="clear" w:color="auto" w:fill="auto"/>
            <w:noWrap/>
            <w:tcMar>
              <w:top w:w="0" w:type="dxa"/>
              <w:left w:w="28" w:type="dxa"/>
              <w:bottom w:w="0" w:type="dxa"/>
              <w:right w:w="28" w:type="dxa"/>
            </w:tcMar>
          </w:tcPr>
          <w:p w14:paraId="33C9EAC4"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2,100</w:t>
            </w:r>
          </w:p>
        </w:tc>
      </w:tr>
      <w:tr w:rsidR="00052596" w14:paraId="1159A824" w14:textId="77777777">
        <w:tblPrEx>
          <w:tblCellMar>
            <w:top w:w="0" w:type="dxa"/>
            <w:bottom w:w="0" w:type="dxa"/>
          </w:tblCellMar>
        </w:tblPrEx>
        <w:trPr>
          <w:trHeight w:val="100"/>
          <w:jc w:val="center"/>
        </w:trPr>
        <w:tc>
          <w:tcPr>
            <w:tcW w:w="4267" w:type="dxa"/>
            <w:tcBorders>
              <w:right w:val="single" w:sz="4" w:space="0" w:color="000000"/>
            </w:tcBorders>
            <w:shd w:val="clear" w:color="auto" w:fill="auto"/>
            <w:noWrap/>
            <w:tcMar>
              <w:top w:w="0" w:type="dxa"/>
              <w:left w:w="28" w:type="dxa"/>
              <w:bottom w:w="0" w:type="dxa"/>
              <w:right w:w="28" w:type="dxa"/>
            </w:tcMar>
          </w:tcPr>
          <w:p w14:paraId="0DB3175B"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－適性就業</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2A93AB9E"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人次</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7E2B90A8"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23,275</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68596913"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21,000</w:t>
            </w:r>
          </w:p>
        </w:tc>
        <w:tc>
          <w:tcPr>
            <w:tcW w:w="1244" w:type="dxa"/>
            <w:tcBorders>
              <w:left w:val="single" w:sz="4" w:space="0" w:color="000000"/>
            </w:tcBorders>
            <w:shd w:val="clear" w:color="auto" w:fill="auto"/>
            <w:noWrap/>
            <w:tcMar>
              <w:top w:w="0" w:type="dxa"/>
              <w:left w:w="28" w:type="dxa"/>
              <w:bottom w:w="0" w:type="dxa"/>
              <w:right w:w="28" w:type="dxa"/>
            </w:tcMar>
          </w:tcPr>
          <w:p w14:paraId="4920FB68"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21,000</w:t>
            </w:r>
          </w:p>
        </w:tc>
      </w:tr>
      <w:tr w:rsidR="00052596" w14:paraId="5A5B0963" w14:textId="77777777">
        <w:tblPrEx>
          <w:tblCellMar>
            <w:top w:w="0" w:type="dxa"/>
            <w:bottom w:w="0" w:type="dxa"/>
          </w:tblCellMar>
        </w:tblPrEx>
        <w:trPr>
          <w:trHeight w:val="320"/>
          <w:jc w:val="center"/>
        </w:trPr>
        <w:tc>
          <w:tcPr>
            <w:tcW w:w="4267" w:type="dxa"/>
            <w:tcBorders>
              <w:right w:val="single" w:sz="4" w:space="0" w:color="000000"/>
            </w:tcBorders>
            <w:shd w:val="clear" w:color="auto" w:fill="auto"/>
            <w:noWrap/>
            <w:tcMar>
              <w:top w:w="0" w:type="dxa"/>
              <w:left w:w="28" w:type="dxa"/>
              <w:bottom w:w="0" w:type="dxa"/>
              <w:right w:w="28" w:type="dxa"/>
            </w:tcMar>
          </w:tcPr>
          <w:p w14:paraId="37941B03" w14:textId="77777777" w:rsidR="00052596" w:rsidRDefault="00000000">
            <w:pPr>
              <w:widowControl/>
              <w:overflowPunct w:val="0"/>
              <w:autoSpaceDE w:val="0"/>
              <w:spacing w:before="96" w:line="240" w:lineRule="atLeast"/>
              <w:ind w:left="504" w:hanging="192"/>
              <w:jc w:val="both"/>
              <w:rPr>
                <w:rFonts w:eastAsia="標楷體"/>
                <w:color w:val="000000"/>
                <w:kern w:val="0"/>
                <w:szCs w:val="24"/>
              </w:rPr>
            </w:pPr>
            <w:r>
              <w:rPr>
                <w:rFonts w:eastAsia="標楷體"/>
                <w:color w:val="000000"/>
                <w:kern w:val="0"/>
                <w:szCs w:val="24"/>
              </w:rPr>
              <w:t>5.</w:t>
            </w:r>
            <w:r>
              <w:rPr>
                <w:rFonts w:eastAsia="標楷體"/>
                <w:color w:val="000000"/>
                <w:kern w:val="0"/>
                <w:szCs w:val="24"/>
              </w:rPr>
              <w:t>促進特定對象及就業弱勢者就業</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47DD02D4" w14:textId="77777777" w:rsidR="00052596" w:rsidRDefault="00000000">
            <w:pPr>
              <w:widowControl/>
              <w:overflowPunct w:val="0"/>
              <w:autoSpaceDE w:val="0"/>
              <w:spacing w:before="96" w:line="240" w:lineRule="atLeast"/>
              <w:jc w:val="center"/>
              <w:rPr>
                <w:rFonts w:eastAsia="標楷體"/>
                <w:color w:val="000000"/>
                <w:kern w:val="0"/>
                <w:szCs w:val="24"/>
              </w:rPr>
            </w:pPr>
            <w:r>
              <w:rPr>
                <w:rFonts w:eastAsia="標楷體"/>
                <w:color w:val="000000"/>
                <w:kern w:val="0"/>
                <w:szCs w:val="24"/>
              </w:rPr>
              <w:t>人次</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04C25676"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134,486</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2E7B9F5F"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136,500</w:t>
            </w:r>
          </w:p>
        </w:tc>
        <w:tc>
          <w:tcPr>
            <w:tcW w:w="1244" w:type="dxa"/>
            <w:tcBorders>
              <w:left w:val="single" w:sz="4" w:space="0" w:color="000000"/>
            </w:tcBorders>
            <w:shd w:val="clear" w:color="auto" w:fill="auto"/>
            <w:noWrap/>
            <w:tcMar>
              <w:top w:w="0" w:type="dxa"/>
              <w:left w:w="28" w:type="dxa"/>
              <w:bottom w:w="0" w:type="dxa"/>
              <w:right w:w="28" w:type="dxa"/>
            </w:tcMar>
          </w:tcPr>
          <w:p w14:paraId="579DC352"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150,000</w:t>
            </w:r>
          </w:p>
        </w:tc>
      </w:tr>
      <w:tr w:rsidR="00052596" w14:paraId="17D43AB2" w14:textId="77777777">
        <w:tblPrEx>
          <w:tblCellMar>
            <w:top w:w="0" w:type="dxa"/>
            <w:bottom w:w="0" w:type="dxa"/>
          </w:tblCellMar>
        </w:tblPrEx>
        <w:trPr>
          <w:trHeight w:val="340"/>
          <w:jc w:val="center"/>
        </w:trPr>
        <w:tc>
          <w:tcPr>
            <w:tcW w:w="4267" w:type="dxa"/>
            <w:tcBorders>
              <w:right w:val="single" w:sz="4" w:space="0" w:color="000000"/>
            </w:tcBorders>
            <w:shd w:val="clear" w:color="auto" w:fill="auto"/>
            <w:noWrap/>
            <w:tcMar>
              <w:top w:w="0" w:type="dxa"/>
              <w:left w:w="28" w:type="dxa"/>
              <w:bottom w:w="0" w:type="dxa"/>
              <w:right w:w="28" w:type="dxa"/>
            </w:tcMar>
          </w:tcPr>
          <w:p w14:paraId="71840AAE" w14:textId="77777777" w:rsidR="00052596" w:rsidRDefault="00000000">
            <w:pPr>
              <w:widowControl/>
              <w:overflowPunct w:val="0"/>
              <w:autoSpaceDE w:val="0"/>
              <w:spacing w:before="96" w:line="240" w:lineRule="atLeast"/>
              <w:ind w:left="480" w:hanging="168"/>
              <w:jc w:val="both"/>
              <w:rPr>
                <w:rFonts w:eastAsia="標楷體"/>
                <w:color w:val="000000"/>
                <w:kern w:val="0"/>
                <w:szCs w:val="24"/>
              </w:rPr>
            </w:pPr>
            <w:r>
              <w:rPr>
                <w:rFonts w:eastAsia="標楷體"/>
                <w:color w:val="000000"/>
                <w:kern w:val="0"/>
                <w:szCs w:val="24"/>
              </w:rPr>
              <w:t>6.</w:t>
            </w:r>
            <w:r>
              <w:rPr>
                <w:rFonts w:eastAsia="標楷體"/>
                <w:color w:val="000000"/>
                <w:kern w:val="0"/>
                <w:szCs w:val="24"/>
              </w:rPr>
              <w:t>奬勵原住民取得技術士證照</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719AAEBE" w14:textId="77777777" w:rsidR="00052596" w:rsidRDefault="00000000">
            <w:pPr>
              <w:widowControl/>
              <w:overflowPunct w:val="0"/>
              <w:autoSpaceDE w:val="0"/>
              <w:spacing w:before="96" w:line="240" w:lineRule="atLeast"/>
              <w:jc w:val="center"/>
              <w:rPr>
                <w:rFonts w:eastAsia="標楷體"/>
                <w:color w:val="000000"/>
                <w:kern w:val="0"/>
                <w:szCs w:val="24"/>
              </w:rPr>
            </w:pPr>
            <w:r>
              <w:rPr>
                <w:rFonts w:eastAsia="標楷體"/>
                <w:color w:val="000000"/>
                <w:kern w:val="0"/>
                <w:szCs w:val="24"/>
              </w:rPr>
              <w:t>人</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562EA0D7"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2,000</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55DD2EA6"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3,000</w:t>
            </w:r>
          </w:p>
        </w:tc>
        <w:tc>
          <w:tcPr>
            <w:tcW w:w="1244" w:type="dxa"/>
            <w:tcBorders>
              <w:left w:val="single" w:sz="4" w:space="0" w:color="000000"/>
            </w:tcBorders>
            <w:shd w:val="clear" w:color="auto" w:fill="auto"/>
            <w:noWrap/>
            <w:tcMar>
              <w:top w:w="0" w:type="dxa"/>
              <w:left w:w="28" w:type="dxa"/>
              <w:bottom w:w="0" w:type="dxa"/>
              <w:right w:w="28" w:type="dxa"/>
            </w:tcMar>
          </w:tcPr>
          <w:p w14:paraId="21536847" w14:textId="77777777" w:rsidR="00052596" w:rsidRDefault="00000000">
            <w:pPr>
              <w:widowControl/>
              <w:overflowPunct w:val="0"/>
              <w:autoSpaceDE w:val="0"/>
              <w:spacing w:before="96" w:line="240" w:lineRule="atLeast"/>
              <w:ind w:right="48"/>
              <w:jc w:val="right"/>
            </w:pPr>
            <w:r>
              <w:rPr>
                <w:rFonts w:eastAsia="標楷體"/>
                <w:color w:val="000000"/>
                <w:kern w:val="0"/>
                <w:szCs w:val="24"/>
              </w:rPr>
              <w:t>12,000</w:t>
            </w:r>
            <w:r>
              <w:rPr>
                <w:rFonts w:eastAsia="標楷體"/>
                <w:color w:val="000000"/>
                <w:kern w:val="0"/>
                <w:szCs w:val="24"/>
                <w:vertAlign w:val="superscript"/>
              </w:rPr>
              <w:t>1</w:t>
            </w:r>
          </w:p>
        </w:tc>
      </w:tr>
      <w:tr w:rsidR="00052596" w14:paraId="6802B24B" w14:textId="77777777">
        <w:tblPrEx>
          <w:tblCellMar>
            <w:top w:w="0" w:type="dxa"/>
            <w:bottom w:w="0" w:type="dxa"/>
          </w:tblCellMar>
        </w:tblPrEx>
        <w:trPr>
          <w:trHeight w:val="217"/>
          <w:jc w:val="center"/>
        </w:trPr>
        <w:tc>
          <w:tcPr>
            <w:tcW w:w="4267" w:type="dxa"/>
            <w:tcBorders>
              <w:right w:val="single" w:sz="4" w:space="0" w:color="000000"/>
            </w:tcBorders>
            <w:shd w:val="clear" w:color="auto" w:fill="auto"/>
            <w:noWrap/>
            <w:tcMar>
              <w:top w:w="0" w:type="dxa"/>
              <w:left w:w="28" w:type="dxa"/>
              <w:bottom w:w="0" w:type="dxa"/>
              <w:right w:w="28" w:type="dxa"/>
            </w:tcMar>
          </w:tcPr>
          <w:p w14:paraId="43DC7C68" w14:textId="77777777" w:rsidR="00052596" w:rsidRDefault="00000000">
            <w:pPr>
              <w:widowControl/>
              <w:overflowPunct w:val="0"/>
              <w:autoSpaceDE w:val="0"/>
              <w:spacing w:before="96" w:line="240" w:lineRule="atLeast"/>
              <w:ind w:left="480" w:hanging="168"/>
              <w:jc w:val="both"/>
              <w:rPr>
                <w:rFonts w:eastAsia="標楷體"/>
                <w:color w:val="000000"/>
                <w:kern w:val="0"/>
                <w:szCs w:val="24"/>
              </w:rPr>
            </w:pPr>
            <w:r>
              <w:rPr>
                <w:rFonts w:eastAsia="標楷體"/>
                <w:color w:val="000000"/>
                <w:kern w:val="0"/>
                <w:szCs w:val="24"/>
              </w:rPr>
              <w:t>7.</w:t>
            </w:r>
            <w:r>
              <w:rPr>
                <w:rFonts w:eastAsia="標楷體"/>
                <w:color w:val="000000"/>
                <w:kern w:val="0"/>
                <w:szCs w:val="24"/>
              </w:rPr>
              <w:t>輔導原住民穩定就業</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7C9D6F07" w14:textId="77777777" w:rsidR="00052596" w:rsidRDefault="00000000">
            <w:pPr>
              <w:widowControl/>
              <w:overflowPunct w:val="0"/>
              <w:autoSpaceDE w:val="0"/>
              <w:spacing w:before="96" w:line="240" w:lineRule="atLeast"/>
              <w:jc w:val="center"/>
              <w:rPr>
                <w:rFonts w:eastAsia="標楷體"/>
                <w:color w:val="000000"/>
                <w:kern w:val="0"/>
                <w:szCs w:val="24"/>
              </w:rPr>
            </w:pPr>
            <w:r>
              <w:rPr>
                <w:rFonts w:eastAsia="標楷體"/>
                <w:color w:val="000000"/>
                <w:kern w:val="0"/>
                <w:szCs w:val="24"/>
              </w:rPr>
              <w:t>人</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3EB96A29"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1,223</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6A2A823B"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2,000</w:t>
            </w:r>
          </w:p>
        </w:tc>
        <w:tc>
          <w:tcPr>
            <w:tcW w:w="1244" w:type="dxa"/>
            <w:tcBorders>
              <w:left w:val="single" w:sz="4" w:space="0" w:color="000000"/>
            </w:tcBorders>
            <w:shd w:val="clear" w:color="auto" w:fill="auto"/>
            <w:noWrap/>
            <w:tcMar>
              <w:top w:w="0" w:type="dxa"/>
              <w:left w:w="28" w:type="dxa"/>
              <w:bottom w:w="0" w:type="dxa"/>
              <w:right w:w="28" w:type="dxa"/>
            </w:tcMar>
          </w:tcPr>
          <w:p w14:paraId="7BD2FB61" w14:textId="77777777" w:rsidR="00052596" w:rsidRDefault="00000000">
            <w:pPr>
              <w:widowControl/>
              <w:overflowPunct w:val="0"/>
              <w:autoSpaceDE w:val="0"/>
              <w:spacing w:before="96" w:line="240" w:lineRule="atLeast"/>
              <w:ind w:right="48"/>
              <w:jc w:val="right"/>
            </w:pPr>
            <w:r>
              <w:rPr>
                <w:rFonts w:eastAsia="標楷體"/>
                <w:color w:val="000000"/>
                <w:kern w:val="0"/>
                <w:szCs w:val="24"/>
              </w:rPr>
              <w:t>9,250</w:t>
            </w:r>
            <w:r>
              <w:rPr>
                <w:rFonts w:eastAsia="標楷體"/>
                <w:color w:val="000000"/>
                <w:kern w:val="0"/>
                <w:szCs w:val="24"/>
                <w:vertAlign w:val="superscript"/>
              </w:rPr>
              <w:t>1</w:t>
            </w:r>
          </w:p>
        </w:tc>
      </w:tr>
      <w:tr w:rsidR="00052596" w14:paraId="4621CDB5" w14:textId="77777777">
        <w:tblPrEx>
          <w:tblCellMar>
            <w:top w:w="0" w:type="dxa"/>
            <w:bottom w:w="0" w:type="dxa"/>
          </w:tblCellMar>
        </w:tblPrEx>
        <w:trPr>
          <w:trHeight w:val="225"/>
          <w:jc w:val="center"/>
        </w:trPr>
        <w:tc>
          <w:tcPr>
            <w:tcW w:w="4267" w:type="dxa"/>
            <w:tcBorders>
              <w:right w:val="single" w:sz="4" w:space="0" w:color="000000"/>
            </w:tcBorders>
            <w:shd w:val="clear" w:color="auto" w:fill="auto"/>
            <w:noWrap/>
            <w:tcMar>
              <w:top w:w="0" w:type="dxa"/>
              <w:left w:w="28" w:type="dxa"/>
              <w:bottom w:w="0" w:type="dxa"/>
              <w:right w:w="28" w:type="dxa"/>
            </w:tcMar>
          </w:tcPr>
          <w:p w14:paraId="4A7EE367" w14:textId="77777777" w:rsidR="00052596" w:rsidRDefault="00000000">
            <w:pPr>
              <w:widowControl/>
              <w:overflowPunct w:val="0"/>
              <w:autoSpaceDE w:val="0"/>
              <w:spacing w:before="96" w:line="240" w:lineRule="atLeast"/>
              <w:ind w:left="480" w:hanging="168"/>
              <w:jc w:val="both"/>
              <w:rPr>
                <w:rFonts w:eastAsia="標楷體"/>
                <w:color w:val="000000"/>
                <w:kern w:val="0"/>
                <w:szCs w:val="24"/>
              </w:rPr>
            </w:pPr>
            <w:r>
              <w:rPr>
                <w:rFonts w:eastAsia="標楷體"/>
                <w:color w:val="000000"/>
                <w:kern w:val="0"/>
                <w:szCs w:val="24"/>
              </w:rPr>
              <w:t>8.</w:t>
            </w:r>
            <w:r>
              <w:rPr>
                <w:rFonts w:eastAsia="標楷體"/>
                <w:color w:val="000000"/>
                <w:kern w:val="0"/>
                <w:szCs w:val="24"/>
              </w:rPr>
              <w:t>提供原住民在地就業機會</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00E6BF70" w14:textId="77777777" w:rsidR="00052596" w:rsidRDefault="00000000">
            <w:pPr>
              <w:widowControl/>
              <w:overflowPunct w:val="0"/>
              <w:autoSpaceDE w:val="0"/>
              <w:spacing w:before="96" w:line="240" w:lineRule="atLeast"/>
              <w:jc w:val="center"/>
              <w:rPr>
                <w:rFonts w:eastAsia="標楷體"/>
                <w:color w:val="000000"/>
                <w:kern w:val="0"/>
                <w:szCs w:val="24"/>
              </w:rPr>
            </w:pPr>
            <w:r>
              <w:rPr>
                <w:rFonts w:eastAsia="標楷體"/>
                <w:color w:val="000000"/>
                <w:kern w:val="0"/>
                <w:szCs w:val="24"/>
              </w:rPr>
              <w:t>人</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2F4AD713"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900</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6529ADE5"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1,000</w:t>
            </w:r>
          </w:p>
        </w:tc>
        <w:tc>
          <w:tcPr>
            <w:tcW w:w="1244" w:type="dxa"/>
            <w:tcBorders>
              <w:left w:val="single" w:sz="4" w:space="0" w:color="000000"/>
            </w:tcBorders>
            <w:shd w:val="clear" w:color="auto" w:fill="auto"/>
            <w:noWrap/>
            <w:tcMar>
              <w:top w:w="0" w:type="dxa"/>
              <w:left w:w="28" w:type="dxa"/>
              <w:bottom w:w="0" w:type="dxa"/>
              <w:right w:w="28" w:type="dxa"/>
            </w:tcMar>
          </w:tcPr>
          <w:p w14:paraId="0B01262A" w14:textId="77777777" w:rsidR="00052596" w:rsidRDefault="00000000">
            <w:pPr>
              <w:widowControl/>
              <w:overflowPunct w:val="0"/>
              <w:autoSpaceDE w:val="0"/>
              <w:spacing w:before="96" w:line="240" w:lineRule="atLeast"/>
              <w:ind w:right="48"/>
              <w:jc w:val="right"/>
            </w:pPr>
            <w:r>
              <w:rPr>
                <w:rFonts w:eastAsia="標楷體"/>
                <w:color w:val="000000"/>
                <w:kern w:val="0"/>
                <w:szCs w:val="24"/>
              </w:rPr>
              <w:t>4,450</w:t>
            </w:r>
            <w:r>
              <w:rPr>
                <w:rFonts w:eastAsia="標楷體"/>
                <w:color w:val="000000"/>
                <w:kern w:val="0"/>
                <w:szCs w:val="24"/>
                <w:vertAlign w:val="superscript"/>
              </w:rPr>
              <w:t>1</w:t>
            </w:r>
          </w:p>
        </w:tc>
      </w:tr>
      <w:tr w:rsidR="00052596" w14:paraId="52AFC4D4" w14:textId="77777777">
        <w:tblPrEx>
          <w:tblCellMar>
            <w:top w:w="0" w:type="dxa"/>
            <w:bottom w:w="0" w:type="dxa"/>
          </w:tblCellMar>
        </w:tblPrEx>
        <w:trPr>
          <w:trHeight w:val="303"/>
          <w:jc w:val="center"/>
        </w:trPr>
        <w:tc>
          <w:tcPr>
            <w:tcW w:w="4267" w:type="dxa"/>
            <w:tcBorders>
              <w:right w:val="single" w:sz="4" w:space="0" w:color="000000"/>
            </w:tcBorders>
            <w:shd w:val="clear" w:color="auto" w:fill="auto"/>
            <w:noWrap/>
            <w:tcMar>
              <w:top w:w="0" w:type="dxa"/>
              <w:left w:w="28" w:type="dxa"/>
              <w:bottom w:w="0" w:type="dxa"/>
              <w:right w:w="28" w:type="dxa"/>
            </w:tcMar>
          </w:tcPr>
          <w:p w14:paraId="19DD784A" w14:textId="77777777" w:rsidR="00052596" w:rsidRDefault="00000000">
            <w:pPr>
              <w:widowControl/>
              <w:overflowPunct w:val="0"/>
              <w:autoSpaceDE w:val="0"/>
              <w:spacing w:before="96" w:line="240" w:lineRule="atLeast"/>
              <w:ind w:left="504" w:hanging="192"/>
              <w:jc w:val="both"/>
              <w:rPr>
                <w:rFonts w:eastAsia="標楷體"/>
                <w:color w:val="000000"/>
                <w:kern w:val="0"/>
                <w:szCs w:val="24"/>
              </w:rPr>
            </w:pPr>
            <w:r>
              <w:rPr>
                <w:rFonts w:eastAsia="標楷體"/>
                <w:color w:val="000000"/>
                <w:kern w:val="0"/>
                <w:szCs w:val="24"/>
              </w:rPr>
              <w:t>9.</w:t>
            </w:r>
            <w:r>
              <w:rPr>
                <w:rFonts w:eastAsia="標楷體"/>
                <w:color w:val="000000"/>
                <w:kern w:val="0"/>
                <w:szCs w:val="24"/>
              </w:rPr>
              <w:t>參與校外實習之技專校院學生數與前一學年畢業生比率</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605C790F" w14:textId="77777777" w:rsidR="00052596" w:rsidRDefault="00000000">
            <w:pPr>
              <w:widowControl/>
              <w:overflowPunct w:val="0"/>
              <w:autoSpaceDE w:val="0"/>
              <w:spacing w:before="96" w:line="240" w:lineRule="atLeast"/>
              <w:jc w:val="center"/>
              <w:rPr>
                <w:rFonts w:eastAsia="標楷體"/>
                <w:color w:val="000000"/>
                <w:kern w:val="0"/>
                <w:szCs w:val="24"/>
              </w:rPr>
            </w:pPr>
            <w:r>
              <w:rPr>
                <w:rFonts w:eastAsia="標楷體"/>
                <w:color w:val="000000"/>
                <w:kern w:val="0"/>
                <w:szCs w:val="24"/>
              </w:rPr>
              <w:t>%</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569D2DE8"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10</w:t>
            </w:r>
          </w:p>
          <w:p w14:paraId="66F707FA" w14:textId="77777777" w:rsidR="00052596" w:rsidRDefault="00000000">
            <w:pPr>
              <w:widowControl/>
              <w:overflowPunct w:val="0"/>
              <w:autoSpaceDE w:val="0"/>
              <w:spacing w:before="96" w:line="240" w:lineRule="atLeast"/>
              <w:ind w:right="48"/>
              <w:jc w:val="right"/>
              <w:rPr>
                <w:rFonts w:eastAsia="標楷體"/>
                <w:color w:val="000000"/>
                <w:spacing w:val="-4"/>
                <w:kern w:val="0"/>
                <w:szCs w:val="24"/>
              </w:rPr>
            </w:pPr>
            <w:r>
              <w:rPr>
                <w:rFonts w:eastAsia="標楷體"/>
                <w:color w:val="000000"/>
                <w:spacing w:val="-4"/>
                <w:kern w:val="0"/>
                <w:szCs w:val="24"/>
              </w:rPr>
              <w:t>(100</w:t>
            </w:r>
            <w:r>
              <w:rPr>
                <w:rFonts w:eastAsia="標楷體"/>
                <w:color w:val="000000"/>
                <w:spacing w:val="-4"/>
                <w:kern w:val="0"/>
                <w:szCs w:val="24"/>
              </w:rPr>
              <w:t>年</w:t>
            </w:r>
            <w:r>
              <w:rPr>
                <w:rFonts w:eastAsia="標楷體"/>
                <w:color w:val="000000"/>
                <w:spacing w:val="-4"/>
                <w:kern w:val="0"/>
                <w:szCs w:val="24"/>
              </w:rPr>
              <w:t>6</w:t>
            </w:r>
            <w:r>
              <w:rPr>
                <w:rFonts w:eastAsia="標楷體"/>
                <w:color w:val="000000"/>
                <w:spacing w:val="-4"/>
                <w:kern w:val="0"/>
                <w:szCs w:val="24"/>
              </w:rPr>
              <w:t>月</w:t>
            </w:r>
            <w:r>
              <w:rPr>
                <w:rFonts w:eastAsia="標楷體"/>
                <w:color w:val="000000"/>
                <w:spacing w:val="-4"/>
                <w:kern w:val="0"/>
                <w:szCs w:val="24"/>
              </w:rPr>
              <w:t>)</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2DF9F4D6"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15</w:t>
            </w:r>
          </w:p>
        </w:tc>
        <w:tc>
          <w:tcPr>
            <w:tcW w:w="1244" w:type="dxa"/>
            <w:tcBorders>
              <w:left w:val="single" w:sz="4" w:space="0" w:color="000000"/>
            </w:tcBorders>
            <w:shd w:val="clear" w:color="auto" w:fill="auto"/>
            <w:noWrap/>
            <w:tcMar>
              <w:top w:w="0" w:type="dxa"/>
              <w:left w:w="28" w:type="dxa"/>
              <w:bottom w:w="0" w:type="dxa"/>
              <w:right w:w="28" w:type="dxa"/>
            </w:tcMar>
          </w:tcPr>
          <w:p w14:paraId="6932889C" w14:textId="77777777" w:rsidR="00052596" w:rsidRDefault="00000000">
            <w:pPr>
              <w:widowControl/>
              <w:overflowPunct w:val="0"/>
              <w:autoSpaceDE w:val="0"/>
              <w:spacing w:before="96" w:line="240" w:lineRule="atLeast"/>
              <w:ind w:right="48"/>
              <w:jc w:val="right"/>
              <w:rPr>
                <w:rFonts w:eastAsia="標楷體"/>
                <w:color w:val="000000"/>
                <w:kern w:val="0"/>
                <w:szCs w:val="24"/>
              </w:rPr>
            </w:pPr>
            <w:r>
              <w:rPr>
                <w:rFonts w:eastAsia="標楷體"/>
                <w:color w:val="000000"/>
                <w:kern w:val="0"/>
                <w:szCs w:val="24"/>
              </w:rPr>
              <w:t>30</w:t>
            </w:r>
          </w:p>
        </w:tc>
      </w:tr>
      <w:tr w:rsidR="00052596" w14:paraId="78331DC7" w14:textId="77777777">
        <w:tblPrEx>
          <w:tblCellMar>
            <w:top w:w="0" w:type="dxa"/>
            <w:bottom w:w="0" w:type="dxa"/>
          </w:tblCellMar>
        </w:tblPrEx>
        <w:trPr>
          <w:trHeight w:val="237"/>
          <w:jc w:val="center"/>
        </w:trPr>
        <w:tc>
          <w:tcPr>
            <w:tcW w:w="4267" w:type="dxa"/>
            <w:tcBorders>
              <w:right w:val="single" w:sz="4" w:space="0" w:color="000000"/>
            </w:tcBorders>
            <w:shd w:val="clear" w:color="auto" w:fill="auto"/>
            <w:noWrap/>
            <w:tcMar>
              <w:top w:w="0" w:type="dxa"/>
              <w:left w:w="28" w:type="dxa"/>
              <w:bottom w:w="0" w:type="dxa"/>
              <w:right w:w="28" w:type="dxa"/>
            </w:tcMar>
          </w:tcPr>
          <w:p w14:paraId="3C1ED208" w14:textId="77777777" w:rsidR="00052596" w:rsidRDefault="00000000">
            <w:pPr>
              <w:widowControl/>
              <w:overflowPunct w:val="0"/>
              <w:autoSpaceDE w:val="0"/>
              <w:spacing w:before="72" w:line="240" w:lineRule="atLeast"/>
              <w:ind w:left="336" w:hanging="168"/>
              <w:jc w:val="both"/>
              <w:rPr>
                <w:rFonts w:eastAsia="標楷體"/>
                <w:color w:val="000000"/>
                <w:kern w:val="0"/>
                <w:szCs w:val="24"/>
              </w:rPr>
            </w:pPr>
            <w:r>
              <w:rPr>
                <w:rFonts w:eastAsia="標楷體"/>
                <w:color w:val="000000"/>
                <w:kern w:val="0"/>
                <w:szCs w:val="24"/>
              </w:rPr>
              <w:t>10.</w:t>
            </w:r>
            <w:r>
              <w:rPr>
                <w:rFonts w:eastAsia="標楷體"/>
                <w:color w:val="000000"/>
                <w:kern w:val="0"/>
                <w:szCs w:val="24"/>
              </w:rPr>
              <w:t>整合職能基準與能力鑑定</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056C4EA8" w14:textId="77777777" w:rsidR="00052596" w:rsidRDefault="00052596">
            <w:pPr>
              <w:widowControl/>
              <w:overflowPunct w:val="0"/>
              <w:autoSpaceDE w:val="0"/>
              <w:spacing w:before="120" w:line="240" w:lineRule="atLeast"/>
              <w:jc w:val="center"/>
              <w:rPr>
                <w:rFonts w:eastAsia="標楷體"/>
                <w:color w:val="000000"/>
                <w:kern w:val="0"/>
                <w:szCs w:val="24"/>
              </w:rPr>
            </w:pP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27123D07"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01BBFFA7"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c>
          <w:tcPr>
            <w:tcW w:w="1244" w:type="dxa"/>
            <w:tcBorders>
              <w:left w:val="single" w:sz="4" w:space="0" w:color="000000"/>
            </w:tcBorders>
            <w:shd w:val="clear" w:color="auto" w:fill="auto"/>
            <w:noWrap/>
            <w:tcMar>
              <w:top w:w="0" w:type="dxa"/>
              <w:left w:w="28" w:type="dxa"/>
              <w:bottom w:w="0" w:type="dxa"/>
              <w:right w:w="28" w:type="dxa"/>
            </w:tcMar>
          </w:tcPr>
          <w:p w14:paraId="244B4F6F"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r>
      <w:tr w:rsidR="00052596" w14:paraId="466BB329" w14:textId="77777777">
        <w:tblPrEx>
          <w:tblCellMar>
            <w:top w:w="0" w:type="dxa"/>
            <w:bottom w:w="0" w:type="dxa"/>
          </w:tblCellMar>
        </w:tblPrEx>
        <w:trPr>
          <w:trHeight w:val="272"/>
          <w:jc w:val="center"/>
        </w:trPr>
        <w:tc>
          <w:tcPr>
            <w:tcW w:w="4267" w:type="dxa"/>
            <w:tcBorders>
              <w:right w:val="single" w:sz="4" w:space="0" w:color="000000"/>
            </w:tcBorders>
            <w:shd w:val="clear" w:color="auto" w:fill="auto"/>
            <w:noWrap/>
            <w:tcMar>
              <w:top w:w="0" w:type="dxa"/>
              <w:left w:w="28" w:type="dxa"/>
              <w:bottom w:w="0" w:type="dxa"/>
              <w:right w:w="28" w:type="dxa"/>
            </w:tcMar>
          </w:tcPr>
          <w:p w14:paraId="5C0A64EF"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－建置職能基準</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15CF1897"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項</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44EF24AF"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255F2086"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3</w:t>
            </w:r>
          </w:p>
        </w:tc>
        <w:tc>
          <w:tcPr>
            <w:tcW w:w="1244" w:type="dxa"/>
            <w:tcBorders>
              <w:left w:val="single" w:sz="4" w:space="0" w:color="000000"/>
            </w:tcBorders>
            <w:shd w:val="clear" w:color="auto" w:fill="auto"/>
            <w:noWrap/>
            <w:tcMar>
              <w:top w:w="0" w:type="dxa"/>
              <w:left w:w="28" w:type="dxa"/>
              <w:bottom w:w="0" w:type="dxa"/>
              <w:right w:w="28" w:type="dxa"/>
            </w:tcMar>
          </w:tcPr>
          <w:p w14:paraId="4D6F6B14"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3</w:t>
            </w:r>
          </w:p>
        </w:tc>
      </w:tr>
      <w:tr w:rsidR="00052596" w14:paraId="009B68B1" w14:textId="77777777">
        <w:tblPrEx>
          <w:tblCellMar>
            <w:top w:w="0" w:type="dxa"/>
            <w:bottom w:w="0" w:type="dxa"/>
          </w:tblCellMar>
        </w:tblPrEx>
        <w:trPr>
          <w:trHeight w:val="287"/>
          <w:jc w:val="center"/>
        </w:trPr>
        <w:tc>
          <w:tcPr>
            <w:tcW w:w="4267" w:type="dxa"/>
            <w:tcBorders>
              <w:right w:val="single" w:sz="4" w:space="0" w:color="000000"/>
            </w:tcBorders>
            <w:shd w:val="clear" w:color="auto" w:fill="auto"/>
            <w:noWrap/>
            <w:tcMar>
              <w:top w:w="0" w:type="dxa"/>
              <w:left w:w="28" w:type="dxa"/>
              <w:bottom w:w="0" w:type="dxa"/>
              <w:right w:w="28" w:type="dxa"/>
            </w:tcMar>
          </w:tcPr>
          <w:p w14:paraId="2CC4FE04"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－建置營運能力鑑定</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1C51BC4B"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項</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06B13EC0"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58C0F363"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w:t>
            </w:r>
          </w:p>
        </w:tc>
        <w:tc>
          <w:tcPr>
            <w:tcW w:w="1244" w:type="dxa"/>
            <w:tcBorders>
              <w:left w:val="single" w:sz="4" w:space="0" w:color="000000"/>
            </w:tcBorders>
            <w:shd w:val="clear" w:color="auto" w:fill="auto"/>
            <w:noWrap/>
            <w:tcMar>
              <w:top w:w="0" w:type="dxa"/>
              <w:left w:w="28" w:type="dxa"/>
              <w:bottom w:w="0" w:type="dxa"/>
              <w:right w:w="28" w:type="dxa"/>
            </w:tcMar>
          </w:tcPr>
          <w:p w14:paraId="7D45FA2C"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w:t>
            </w:r>
          </w:p>
        </w:tc>
      </w:tr>
      <w:tr w:rsidR="00052596" w14:paraId="0F9A95C7" w14:textId="77777777">
        <w:tblPrEx>
          <w:tblCellMar>
            <w:top w:w="0" w:type="dxa"/>
            <w:bottom w:w="0" w:type="dxa"/>
          </w:tblCellMar>
        </w:tblPrEx>
        <w:trPr>
          <w:trHeight w:val="157"/>
          <w:jc w:val="center"/>
        </w:trPr>
        <w:tc>
          <w:tcPr>
            <w:tcW w:w="4267" w:type="dxa"/>
            <w:tcBorders>
              <w:right w:val="single" w:sz="4" w:space="0" w:color="000000"/>
            </w:tcBorders>
            <w:shd w:val="clear" w:color="auto" w:fill="auto"/>
            <w:noWrap/>
            <w:tcMar>
              <w:top w:w="0" w:type="dxa"/>
              <w:left w:w="28" w:type="dxa"/>
              <w:bottom w:w="0" w:type="dxa"/>
              <w:right w:w="28" w:type="dxa"/>
            </w:tcMar>
          </w:tcPr>
          <w:p w14:paraId="650C07C5"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－推廣大專校院運用</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1992F69F"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所</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360BFFD7"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056298ED"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50</w:t>
            </w:r>
          </w:p>
        </w:tc>
        <w:tc>
          <w:tcPr>
            <w:tcW w:w="1244" w:type="dxa"/>
            <w:tcBorders>
              <w:left w:val="single" w:sz="4" w:space="0" w:color="000000"/>
            </w:tcBorders>
            <w:shd w:val="clear" w:color="auto" w:fill="auto"/>
            <w:noWrap/>
            <w:tcMar>
              <w:top w:w="0" w:type="dxa"/>
              <w:left w:w="28" w:type="dxa"/>
              <w:bottom w:w="0" w:type="dxa"/>
              <w:right w:w="28" w:type="dxa"/>
            </w:tcMar>
          </w:tcPr>
          <w:p w14:paraId="329169F4"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50</w:t>
            </w:r>
          </w:p>
        </w:tc>
      </w:tr>
      <w:tr w:rsidR="00052596" w14:paraId="3837E82E" w14:textId="77777777">
        <w:tblPrEx>
          <w:tblCellMar>
            <w:top w:w="0" w:type="dxa"/>
            <w:bottom w:w="0" w:type="dxa"/>
          </w:tblCellMar>
        </w:tblPrEx>
        <w:trPr>
          <w:trHeight w:val="120"/>
          <w:jc w:val="center"/>
        </w:trPr>
        <w:tc>
          <w:tcPr>
            <w:tcW w:w="4267" w:type="dxa"/>
            <w:tcBorders>
              <w:right w:val="single" w:sz="4" w:space="0" w:color="000000"/>
            </w:tcBorders>
            <w:shd w:val="clear" w:color="auto" w:fill="auto"/>
            <w:noWrap/>
            <w:tcMar>
              <w:top w:w="0" w:type="dxa"/>
              <w:left w:w="28" w:type="dxa"/>
              <w:bottom w:w="0" w:type="dxa"/>
              <w:right w:w="28" w:type="dxa"/>
            </w:tcMar>
          </w:tcPr>
          <w:p w14:paraId="3870A87E" w14:textId="77777777" w:rsidR="00052596" w:rsidRDefault="00000000">
            <w:pPr>
              <w:widowControl/>
              <w:overflowPunct w:val="0"/>
              <w:autoSpaceDE w:val="0"/>
              <w:spacing w:before="120" w:line="240" w:lineRule="atLeast"/>
              <w:ind w:left="336" w:hanging="168"/>
              <w:jc w:val="both"/>
              <w:rPr>
                <w:rFonts w:eastAsia="標楷體"/>
                <w:color w:val="000000"/>
                <w:kern w:val="0"/>
                <w:szCs w:val="24"/>
              </w:rPr>
            </w:pPr>
            <w:r>
              <w:rPr>
                <w:rFonts w:eastAsia="標楷體"/>
                <w:color w:val="000000"/>
                <w:kern w:val="0"/>
                <w:szCs w:val="24"/>
              </w:rPr>
              <w:t>11.</w:t>
            </w:r>
            <w:r>
              <w:rPr>
                <w:rFonts w:eastAsia="標楷體"/>
                <w:color w:val="000000"/>
                <w:kern w:val="0"/>
                <w:szCs w:val="24"/>
              </w:rPr>
              <w:t>青年創業啟動金貸款</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54FCC243" w14:textId="77777777" w:rsidR="00052596" w:rsidRDefault="00052596">
            <w:pPr>
              <w:widowControl/>
              <w:overflowPunct w:val="0"/>
              <w:autoSpaceDE w:val="0"/>
              <w:spacing w:before="120" w:line="240" w:lineRule="atLeast"/>
              <w:jc w:val="center"/>
              <w:rPr>
                <w:rFonts w:eastAsia="標楷體"/>
                <w:color w:val="000000"/>
                <w:kern w:val="0"/>
                <w:szCs w:val="24"/>
              </w:rPr>
            </w:pP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7FB57208"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6EE49A1C"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c>
          <w:tcPr>
            <w:tcW w:w="1244" w:type="dxa"/>
            <w:tcBorders>
              <w:left w:val="single" w:sz="4" w:space="0" w:color="000000"/>
            </w:tcBorders>
            <w:shd w:val="clear" w:color="auto" w:fill="auto"/>
            <w:noWrap/>
            <w:tcMar>
              <w:top w:w="0" w:type="dxa"/>
              <w:left w:w="28" w:type="dxa"/>
              <w:bottom w:w="0" w:type="dxa"/>
              <w:right w:w="28" w:type="dxa"/>
            </w:tcMar>
          </w:tcPr>
          <w:p w14:paraId="52F91217"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r>
      <w:tr w:rsidR="00052596" w14:paraId="0ABDB834" w14:textId="77777777">
        <w:tblPrEx>
          <w:tblCellMar>
            <w:top w:w="0" w:type="dxa"/>
            <w:bottom w:w="0" w:type="dxa"/>
          </w:tblCellMar>
        </w:tblPrEx>
        <w:trPr>
          <w:trHeight w:val="210"/>
          <w:jc w:val="center"/>
        </w:trPr>
        <w:tc>
          <w:tcPr>
            <w:tcW w:w="4267" w:type="dxa"/>
            <w:tcBorders>
              <w:right w:val="single" w:sz="4" w:space="0" w:color="000000"/>
            </w:tcBorders>
            <w:shd w:val="clear" w:color="auto" w:fill="auto"/>
            <w:noWrap/>
            <w:tcMar>
              <w:top w:w="0" w:type="dxa"/>
              <w:left w:w="28" w:type="dxa"/>
              <w:bottom w:w="0" w:type="dxa"/>
              <w:right w:w="28" w:type="dxa"/>
            </w:tcMar>
          </w:tcPr>
          <w:p w14:paraId="53D2EECC"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－獲貸人數</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5E1FE9E4"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095CAB3F"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2,500</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43223414"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2,500</w:t>
            </w:r>
          </w:p>
        </w:tc>
        <w:tc>
          <w:tcPr>
            <w:tcW w:w="1244" w:type="dxa"/>
            <w:tcBorders>
              <w:left w:val="single" w:sz="4" w:space="0" w:color="000000"/>
            </w:tcBorders>
            <w:shd w:val="clear" w:color="auto" w:fill="auto"/>
            <w:noWrap/>
            <w:tcMar>
              <w:top w:w="0" w:type="dxa"/>
              <w:left w:w="28" w:type="dxa"/>
              <w:bottom w:w="0" w:type="dxa"/>
              <w:right w:w="28" w:type="dxa"/>
            </w:tcMar>
          </w:tcPr>
          <w:p w14:paraId="1234B2D8"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2,500</w:t>
            </w:r>
          </w:p>
        </w:tc>
      </w:tr>
      <w:tr w:rsidR="00052596" w14:paraId="53BB7B28" w14:textId="77777777">
        <w:tblPrEx>
          <w:tblCellMar>
            <w:top w:w="0" w:type="dxa"/>
            <w:bottom w:w="0" w:type="dxa"/>
          </w:tblCellMar>
        </w:tblPrEx>
        <w:trPr>
          <w:trHeight w:val="101"/>
          <w:jc w:val="center"/>
        </w:trPr>
        <w:tc>
          <w:tcPr>
            <w:tcW w:w="4267" w:type="dxa"/>
            <w:tcBorders>
              <w:right w:val="single" w:sz="4" w:space="0" w:color="000000"/>
            </w:tcBorders>
            <w:shd w:val="clear" w:color="auto" w:fill="auto"/>
            <w:noWrap/>
            <w:tcMar>
              <w:top w:w="0" w:type="dxa"/>
              <w:left w:w="28" w:type="dxa"/>
              <w:bottom w:w="0" w:type="dxa"/>
              <w:right w:w="28" w:type="dxa"/>
            </w:tcMar>
          </w:tcPr>
          <w:p w14:paraId="2B504B0E"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－創造就業機會</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425C1959"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62454D30"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10,000</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17AF0CD2"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10,000</w:t>
            </w:r>
          </w:p>
        </w:tc>
        <w:tc>
          <w:tcPr>
            <w:tcW w:w="1244" w:type="dxa"/>
            <w:tcBorders>
              <w:left w:val="single" w:sz="4" w:space="0" w:color="000000"/>
            </w:tcBorders>
            <w:shd w:val="clear" w:color="auto" w:fill="auto"/>
            <w:noWrap/>
            <w:tcMar>
              <w:top w:w="0" w:type="dxa"/>
              <w:left w:w="28" w:type="dxa"/>
              <w:bottom w:w="0" w:type="dxa"/>
              <w:right w:w="28" w:type="dxa"/>
            </w:tcMar>
          </w:tcPr>
          <w:p w14:paraId="318B9AB9"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10,000</w:t>
            </w:r>
          </w:p>
        </w:tc>
      </w:tr>
      <w:tr w:rsidR="00052596" w14:paraId="6DC891E6" w14:textId="77777777">
        <w:tblPrEx>
          <w:tblCellMar>
            <w:top w:w="0" w:type="dxa"/>
            <w:bottom w:w="0" w:type="dxa"/>
          </w:tblCellMar>
        </w:tblPrEx>
        <w:trPr>
          <w:trHeight w:val="249"/>
          <w:jc w:val="center"/>
        </w:trPr>
        <w:tc>
          <w:tcPr>
            <w:tcW w:w="4267" w:type="dxa"/>
            <w:tcBorders>
              <w:right w:val="single" w:sz="4" w:space="0" w:color="000000"/>
            </w:tcBorders>
            <w:shd w:val="clear" w:color="auto" w:fill="auto"/>
            <w:noWrap/>
            <w:tcMar>
              <w:top w:w="0" w:type="dxa"/>
              <w:left w:w="28" w:type="dxa"/>
              <w:bottom w:w="0" w:type="dxa"/>
              <w:right w:w="28" w:type="dxa"/>
            </w:tcMar>
          </w:tcPr>
          <w:p w14:paraId="5A70801A" w14:textId="77777777" w:rsidR="00052596" w:rsidRDefault="00000000">
            <w:pPr>
              <w:widowControl/>
              <w:overflowPunct w:val="0"/>
              <w:autoSpaceDE w:val="0"/>
              <w:spacing w:before="120" w:line="240" w:lineRule="atLeast"/>
              <w:ind w:left="336" w:hanging="168"/>
              <w:jc w:val="both"/>
              <w:rPr>
                <w:rFonts w:eastAsia="標楷體"/>
                <w:color w:val="000000"/>
                <w:kern w:val="0"/>
                <w:szCs w:val="24"/>
              </w:rPr>
            </w:pPr>
            <w:r>
              <w:rPr>
                <w:rFonts w:eastAsia="標楷體"/>
                <w:color w:val="000000"/>
                <w:kern w:val="0"/>
                <w:szCs w:val="24"/>
              </w:rPr>
              <w:t>12.</w:t>
            </w:r>
            <w:r>
              <w:rPr>
                <w:rFonts w:eastAsia="標楷體"/>
                <w:color w:val="000000"/>
                <w:kern w:val="0"/>
                <w:szCs w:val="24"/>
              </w:rPr>
              <w:t>青年就業讚計畫</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28EF45BB" w14:textId="77777777" w:rsidR="00052596" w:rsidRDefault="00052596">
            <w:pPr>
              <w:widowControl/>
              <w:overflowPunct w:val="0"/>
              <w:autoSpaceDE w:val="0"/>
              <w:spacing w:before="120" w:line="240" w:lineRule="atLeast"/>
              <w:jc w:val="center"/>
              <w:rPr>
                <w:rFonts w:eastAsia="標楷體"/>
                <w:color w:val="000000"/>
                <w:kern w:val="0"/>
                <w:szCs w:val="24"/>
              </w:rPr>
            </w:pP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7E52DA11"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4B84B4C9"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c>
          <w:tcPr>
            <w:tcW w:w="1244" w:type="dxa"/>
            <w:tcBorders>
              <w:left w:val="single" w:sz="4" w:space="0" w:color="000000"/>
            </w:tcBorders>
            <w:shd w:val="clear" w:color="auto" w:fill="auto"/>
            <w:noWrap/>
            <w:tcMar>
              <w:top w:w="0" w:type="dxa"/>
              <w:left w:w="28" w:type="dxa"/>
              <w:bottom w:w="0" w:type="dxa"/>
              <w:right w:w="28" w:type="dxa"/>
            </w:tcMar>
          </w:tcPr>
          <w:p w14:paraId="3D18718A" w14:textId="77777777" w:rsidR="00052596" w:rsidRDefault="00052596">
            <w:pPr>
              <w:widowControl/>
              <w:overflowPunct w:val="0"/>
              <w:autoSpaceDE w:val="0"/>
              <w:spacing w:before="120" w:line="240" w:lineRule="atLeast"/>
              <w:ind w:right="48"/>
              <w:jc w:val="right"/>
              <w:rPr>
                <w:rFonts w:eastAsia="標楷體"/>
                <w:color w:val="000000"/>
                <w:kern w:val="0"/>
                <w:szCs w:val="24"/>
              </w:rPr>
            </w:pPr>
          </w:p>
        </w:tc>
      </w:tr>
      <w:tr w:rsidR="00052596" w14:paraId="7F1EF598" w14:textId="77777777">
        <w:tblPrEx>
          <w:tblCellMar>
            <w:top w:w="0" w:type="dxa"/>
            <w:bottom w:w="0" w:type="dxa"/>
          </w:tblCellMar>
        </w:tblPrEx>
        <w:trPr>
          <w:trHeight w:val="269"/>
          <w:jc w:val="center"/>
        </w:trPr>
        <w:tc>
          <w:tcPr>
            <w:tcW w:w="4267" w:type="dxa"/>
            <w:tcBorders>
              <w:right w:val="single" w:sz="4" w:space="0" w:color="000000"/>
            </w:tcBorders>
            <w:shd w:val="clear" w:color="auto" w:fill="auto"/>
            <w:noWrap/>
            <w:tcMar>
              <w:top w:w="0" w:type="dxa"/>
              <w:left w:w="28" w:type="dxa"/>
              <w:bottom w:w="0" w:type="dxa"/>
              <w:right w:w="28" w:type="dxa"/>
            </w:tcMar>
          </w:tcPr>
          <w:p w14:paraId="42920B6E"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－完成資格認定</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77CD63EF"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1D7FB406"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14,610</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472A08BF"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20,000</w:t>
            </w:r>
          </w:p>
        </w:tc>
        <w:tc>
          <w:tcPr>
            <w:tcW w:w="1244" w:type="dxa"/>
            <w:tcBorders>
              <w:left w:val="single" w:sz="4" w:space="0" w:color="000000"/>
            </w:tcBorders>
            <w:shd w:val="clear" w:color="auto" w:fill="auto"/>
            <w:noWrap/>
            <w:tcMar>
              <w:top w:w="0" w:type="dxa"/>
              <w:left w:w="28" w:type="dxa"/>
              <w:bottom w:w="0" w:type="dxa"/>
              <w:right w:w="28" w:type="dxa"/>
            </w:tcMar>
          </w:tcPr>
          <w:p w14:paraId="329E5490" w14:textId="77777777" w:rsidR="00052596" w:rsidRDefault="00000000">
            <w:pPr>
              <w:widowControl/>
              <w:overflowPunct w:val="0"/>
              <w:autoSpaceDE w:val="0"/>
              <w:spacing w:before="48" w:line="240" w:lineRule="atLeast"/>
              <w:ind w:right="48"/>
              <w:jc w:val="right"/>
            </w:pPr>
            <w:r>
              <w:rPr>
                <w:rFonts w:eastAsia="標楷體"/>
                <w:color w:val="000000"/>
                <w:kern w:val="0"/>
                <w:szCs w:val="24"/>
              </w:rPr>
              <w:t>－</w:t>
            </w:r>
            <w:r>
              <w:rPr>
                <w:rFonts w:eastAsia="標楷體"/>
                <w:color w:val="000000"/>
                <w:kern w:val="0"/>
                <w:szCs w:val="24"/>
                <w:vertAlign w:val="superscript"/>
              </w:rPr>
              <w:t>2</w:t>
            </w:r>
          </w:p>
        </w:tc>
      </w:tr>
      <w:tr w:rsidR="00052596" w14:paraId="3A95F0A9" w14:textId="77777777">
        <w:tblPrEx>
          <w:tblCellMar>
            <w:top w:w="0" w:type="dxa"/>
            <w:bottom w:w="0" w:type="dxa"/>
          </w:tblCellMar>
        </w:tblPrEx>
        <w:trPr>
          <w:trHeight w:val="105"/>
          <w:jc w:val="center"/>
        </w:trPr>
        <w:tc>
          <w:tcPr>
            <w:tcW w:w="4267" w:type="dxa"/>
            <w:tcBorders>
              <w:right w:val="single" w:sz="4" w:space="0" w:color="000000"/>
            </w:tcBorders>
            <w:shd w:val="clear" w:color="auto" w:fill="auto"/>
            <w:noWrap/>
            <w:tcMar>
              <w:top w:w="0" w:type="dxa"/>
              <w:left w:w="28" w:type="dxa"/>
              <w:bottom w:w="0" w:type="dxa"/>
              <w:right w:w="28" w:type="dxa"/>
            </w:tcMar>
          </w:tcPr>
          <w:p w14:paraId="61C0CDE4"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－完成訓練學習計畫</w:t>
            </w:r>
          </w:p>
        </w:tc>
        <w:tc>
          <w:tcPr>
            <w:tcW w:w="765" w:type="dxa"/>
            <w:tcBorders>
              <w:left w:val="single" w:sz="4" w:space="0" w:color="000000"/>
              <w:right w:val="single" w:sz="4" w:space="0" w:color="000000"/>
            </w:tcBorders>
            <w:shd w:val="clear" w:color="auto" w:fill="auto"/>
            <w:noWrap/>
            <w:tcMar>
              <w:top w:w="0" w:type="dxa"/>
              <w:left w:w="28" w:type="dxa"/>
              <w:bottom w:w="0" w:type="dxa"/>
              <w:right w:w="28" w:type="dxa"/>
            </w:tcMar>
          </w:tcPr>
          <w:p w14:paraId="3CA77F77"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w:t>
            </w:r>
          </w:p>
        </w:tc>
        <w:tc>
          <w:tcPr>
            <w:tcW w:w="1243" w:type="dxa"/>
            <w:tcBorders>
              <w:left w:val="single" w:sz="4" w:space="0" w:color="000000"/>
              <w:right w:val="single" w:sz="4" w:space="0" w:color="000000"/>
            </w:tcBorders>
            <w:shd w:val="clear" w:color="auto" w:fill="auto"/>
            <w:noWrap/>
            <w:tcMar>
              <w:top w:w="0" w:type="dxa"/>
              <w:left w:w="28" w:type="dxa"/>
              <w:bottom w:w="0" w:type="dxa"/>
              <w:right w:w="28" w:type="dxa"/>
            </w:tcMar>
          </w:tcPr>
          <w:p w14:paraId="00D1D7B1"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7,558</w:t>
            </w:r>
          </w:p>
        </w:tc>
        <w:tc>
          <w:tcPr>
            <w:tcW w:w="1249" w:type="dxa"/>
            <w:tcBorders>
              <w:left w:val="single" w:sz="4" w:space="0" w:color="000000"/>
              <w:right w:val="single" w:sz="4" w:space="0" w:color="000000"/>
            </w:tcBorders>
            <w:shd w:val="clear" w:color="auto" w:fill="auto"/>
            <w:noWrap/>
            <w:tcMar>
              <w:top w:w="0" w:type="dxa"/>
              <w:left w:w="28" w:type="dxa"/>
              <w:bottom w:w="0" w:type="dxa"/>
              <w:right w:w="28" w:type="dxa"/>
            </w:tcMar>
          </w:tcPr>
          <w:p w14:paraId="0D4C6484"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14,000</w:t>
            </w:r>
          </w:p>
        </w:tc>
        <w:tc>
          <w:tcPr>
            <w:tcW w:w="1244" w:type="dxa"/>
            <w:tcBorders>
              <w:left w:val="single" w:sz="4" w:space="0" w:color="000000"/>
            </w:tcBorders>
            <w:shd w:val="clear" w:color="auto" w:fill="auto"/>
            <w:noWrap/>
            <w:tcMar>
              <w:top w:w="0" w:type="dxa"/>
              <w:left w:w="28" w:type="dxa"/>
              <w:bottom w:w="0" w:type="dxa"/>
              <w:right w:w="28" w:type="dxa"/>
            </w:tcMar>
          </w:tcPr>
          <w:p w14:paraId="46B8CCCF" w14:textId="77777777" w:rsidR="00052596" w:rsidRDefault="00000000">
            <w:pPr>
              <w:widowControl/>
              <w:overflowPunct w:val="0"/>
              <w:autoSpaceDE w:val="0"/>
              <w:spacing w:before="48" w:line="240" w:lineRule="atLeast"/>
              <w:ind w:right="48"/>
              <w:jc w:val="right"/>
            </w:pPr>
            <w:r>
              <w:rPr>
                <w:rFonts w:eastAsia="標楷體"/>
                <w:color w:val="000000"/>
                <w:kern w:val="0"/>
                <w:szCs w:val="24"/>
              </w:rPr>
              <w:t>－</w:t>
            </w:r>
            <w:r>
              <w:rPr>
                <w:rFonts w:eastAsia="標楷體"/>
                <w:color w:val="000000"/>
                <w:kern w:val="0"/>
                <w:szCs w:val="24"/>
                <w:vertAlign w:val="superscript"/>
              </w:rPr>
              <w:t>2</w:t>
            </w:r>
          </w:p>
        </w:tc>
      </w:tr>
      <w:tr w:rsidR="00052596" w14:paraId="321BD849" w14:textId="77777777">
        <w:tblPrEx>
          <w:tblCellMar>
            <w:top w:w="0" w:type="dxa"/>
            <w:bottom w:w="0" w:type="dxa"/>
          </w:tblCellMar>
        </w:tblPrEx>
        <w:trPr>
          <w:trHeight w:val="401"/>
          <w:jc w:val="center"/>
        </w:trPr>
        <w:tc>
          <w:tcPr>
            <w:tcW w:w="4267" w:type="dxa"/>
            <w:tcBorders>
              <w:bottom w:val="single" w:sz="4" w:space="0" w:color="000000"/>
              <w:right w:val="single" w:sz="4" w:space="0" w:color="000000"/>
            </w:tcBorders>
            <w:shd w:val="clear" w:color="auto" w:fill="auto"/>
            <w:noWrap/>
            <w:tcMar>
              <w:top w:w="0" w:type="dxa"/>
              <w:left w:w="28" w:type="dxa"/>
              <w:bottom w:w="0" w:type="dxa"/>
              <w:right w:w="28" w:type="dxa"/>
            </w:tcMar>
          </w:tcPr>
          <w:p w14:paraId="253E6241" w14:textId="77777777" w:rsidR="00052596" w:rsidRDefault="00000000">
            <w:pPr>
              <w:widowControl/>
              <w:overflowPunct w:val="0"/>
              <w:autoSpaceDE w:val="0"/>
              <w:spacing w:before="48" w:line="240" w:lineRule="atLeast"/>
              <w:ind w:left="528"/>
              <w:jc w:val="both"/>
              <w:rPr>
                <w:rFonts w:eastAsia="標楷體"/>
                <w:color w:val="000000"/>
                <w:kern w:val="0"/>
                <w:szCs w:val="24"/>
              </w:rPr>
            </w:pPr>
            <w:r>
              <w:rPr>
                <w:rFonts w:eastAsia="標楷體"/>
                <w:color w:val="000000"/>
                <w:kern w:val="0"/>
                <w:szCs w:val="24"/>
              </w:rPr>
              <w:t>－就業人數</w:t>
            </w:r>
          </w:p>
        </w:tc>
        <w:tc>
          <w:tcPr>
            <w:tcW w:w="76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54C2FCD" w14:textId="77777777" w:rsidR="00052596" w:rsidRDefault="00000000">
            <w:pPr>
              <w:widowControl/>
              <w:overflowPunct w:val="0"/>
              <w:autoSpaceDE w:val="0"/>
              <w:spacing w:before="48" w:line="240" w:lineRule="atLeast"/>
              <w:jc w:val="center"/>
              <w:rPr>
                <w:rFonts w:eastAsia="標楷體"/>
                <w:color w:val="000000"/>
                <w:kern w:val="0"/>
                <w:szCs w:val="24"/>
              </w:rPr>
            </w:pPr>
            <w:r>
              <w:rPr>
                <w:rFonts w:eastAsia="標楷體"/>
                <w:color w:val="000000"/>
                <w:kern w:val="0"/>
                <w:szCs w:val="24"/>
              </w:rPr>
              <w:t>人</w:t>
            </w:r>
          </w:p>
        </w:tc>
        <w:tc>
          <w:tcPr>
            <w:tcW w:w="124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36D2C3A9"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6,476</w:t>
            </w:r>
          </w:p>
        </w:tc>
        <w:tc>
          <w:tcPr>
            <w:tcW w:w="1249"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4EA8EB5B" w14:textId="77777777" w:rsidR="00052596" w:rsidRDefault="00000000">
            <w:pPr>
              <w:widowControl/>
              <w:overflowPunct w:val="0"/>
              <w:autoSpaceDE w:val="0"/>
              <w:spacing w:before="48" w:line="240" w:lineRule="atLeast"/>
              <w:ind w:right="48"/>
              <w:jc w:val="right"/>
              <w:rPr>
                <w:rFonts w:eastAsia="標楷體"/>
                <w:color w:val="000000"/>
                <w:kern w:val="0"/>
                <w:szCs w:val="24"/>
              </w:rPr>
            </w:pPr>
            <w:r>
              <w:rPr>
                <w:rFonts w:eastAsia="標楷體"/>
                <w:color w:val="000000"/>
                <w:kern w:val="0"/>
                <w:szCs w:val="24"/>
              </w:rPr>
              <w:t>12,000</w:t>
            </w:r>
          </w:p>
        </w:tc>
        <w:tc>
          <w:tcPr>
            <w:tcW w:w="1244" w:type="dxa"/>
            <w:tcBorders>
              <w:left w:val="single" w:sz="4" w:space="0" w:color="000000"/>
              <w:bottom w:val="single" w:sz="4" w:space="0" w:color="000000"/>
            </w:tcBorders>
            <w:shd w:val="clear" w:color="auto" w:fill="auto"/>
            <w:noWrap/>
            <w:tcMar>
              <w:top w:w="0" w:type="dxa"/>
              <w:left w:w="28" w:type="dxa"/>
              <w:bottom w:w="0" w:type="dxa"/>
              <w:right w:w="28" w:type="dxa"/>
            </w:tcMar>
          </w:tcPr>
          <w:p w14:paraId="4159EE68" w14:textId="77777777" w:rsidR="00052596" w:rsidRDefault="00000000">
            <w:pPr>
              <w:widowControl/>
              <w:overflowPunct w:val="0"/>
              <w:autoSpaceDE w:val="0"/>
              <w:spacing w:before="48" w:line="240" w:lineRule="atLeast"/>
              <w:ind w:right="48"/>
              <w:jc w:val="right"/>
            </w:pPr>
            <w:r>
              <w:rPr>
                <w:rFonts w:eastAsia="標楷體"/>
                <w:color w:val="000000"/>
                <w:kern w:val="0"/>
                <w:szCs w:val="24"/>
              </w:rPr>
              <w:t>－</w:t>
            </w:r>
            <w:r>
              <w:rPr>
                <w:rFonts w:eastAsia="標楷體"/>
                <w:color w:val="000000"/>
                <w:kern w:val="0"/>
                <w:szCs w:val="24"/>
                <w:vertAlign w:val="superscript"/>
              </w:rPr>
              <w:t>2</w:t>
            </w:r>
          </w:p>
        </w:tc>
      </w:tr>
    </w:tbl>
    <w:p w14:paraId="71452D73" w14:textId="77777777" w:rsidR="00052596" w:rsidRDefault="00000000">
      <w:pPr>
        <w:widowControl/>
        <w:overflowPunct w:val="0"/>
        <w:autoSpaceDE w:val="0"/>
        <w:spacing w:before="72" w:line="300" w:lineRule="exact"/>
        <w:ind w:left="362" w:right="-919" w:hanging="362"/>
      </w:pPr>
      <w:r>
        <w:rPr>
          <w:rFonts w:eastAsia="標楷體"/>
          <w:kern w:val="0"/>
          <w:szCs w:val="26"/>
          <w:vertAlign w:val="superscript"/>
        </w:rPr>
        <w:t>1</w:t>
      </w:r>
      <w:r>
        <w:rPr>
          <w:rFonts w:eastAsia="標楷體"/>
          <w:kern w:val="0"/>
          <w:sz w:val="56"/>
          <w:szCs w:val="56"/>
          <w:vertAlign w:val="superscript"/>
        </w:rPr>
        <w:t xml:space="preserve"> </w:t>
      </w:r>
      <w:r>
        <w:rPr>
          <w:rFonts w:eastAsia="標楷體"/>
          <w:kern w:val="0"/>
          <w:szCs w:val="26"/>
        </w:rPr>
        <w:t>102-105</w:t>
      </w:r>
      <w:r>
        <w:rPr>
          <w:rFonts w:eastAsia="標楷體"/>
          <w:kern w:val="0"/>
          <w:szCs w:val="26"/>
        </w:rPr>
        <w:t>年累計數據。</w:t>
      </w:r>
    </w:p>
    <w:p w14:paraId="05ED992E" w14:textId="77777777" w:rsidR="00052596" w:rsidRDefault="00000000">
      <w:pPr>
        <w:widowControl/>
        <w:overflowPunct w:val="0"/>
        <w:autoSpaceDE w:val="0"/>
        <w:spacing w:line="300" w:lineRule="exact"/>
        <w:ind w:left="362" w:right="-919" w:hanging="362"/>
      </w:pPr>
      <w:r>
        <w:rPr>
          <w:rFonts w:eastAsia="標楷體"/>
          <w:kern w:val="0"/>
          <w:szCs w:val="26"/>
          <w:vertAlign w:val="superscript"/>
        </w:rPr>
        <w:t>2</w:t>
      </w:r>
      <w:r>
        <w:rPr>
          <w:rFonts w:eastAsia="標楷體"/>
          <w:kern w:val="0"/>
          <w:sz w:val="32"/>
          <w:szCs w:val="32"/>
          <w:vertAlign w:val="superscript"/>
        </w:rPr>
        <w:t xml:space="preserve"> </w:t>
      </w:r>
      <w:r>
        <w:rPr>
          <w:rFonts w:eastAsia="標楷體"/>
          <w:kern w:val="0"/>
          <w:szCs w:val="26"/>
        </w:rPr>
        <w:t>計畫預計執行至</w:t>
      </w:r>
      <w:r>
        <w:rPr>
          <w:rFonts w:eastAsia="標楷體"/>
          <w:kern w:val="0"/>
          <w:szCs w:val="26"/>
        </w:rPr>
        <w:t>103</w:t>
      </w:r>
      <w:r>
        <w:rPr>
          <w:rFonts w:eastAsia="標楷體"/>
          <w:kern w:val="0"/>
          <w:szCs w:val="26"/>
        </w:rPr>
        <w:t>年</w:t>
      </w:r>
      <w:r>
        <w:rPr>
          <w:rFonts w:eastAsia="標楷體"/>
          <w:kern w:val="0"/>
          <w:szCs w:val="26"/>
        </w:rPr>
        <w:t>12</w:t>
      </w:r>
      <w:r>
        <w:rPr>
          <w:rFonts w:eastAsia="標楷體"/>
          <w:kern w:val="0"/>
          <w:szCs w:val="26"/>
        </w:rPr>
        <w:t>月</w:t>
      </w:r>
      <w:r>
        <w:rPr>
          <w:rFonts w:eastAsia="標楷體"/>
          <w:kern w:val="0"/>
          <w:szCs w:val="26"/>
        </w:rPr>
        <w:t>31</w:t>
      </w:r>
      <w:r>
        <w:rPr>
          <w:rFonts w:eastAsia="標楷體"/>
          <w:kern w:val="0"/>
          <w:szCs w:val="26"/>
        </w:rPr>
        <w:t>日，故無</w:t>
      </w:r>
      <w:r>
        <w:rPr>
          <w:rFonts w:eastAsia="標楷體"/>
          <w:kern w:val="0"/>
          <w:szCs w:val="26"/>
        </w:rPr>
        <w:t>105</w:t>
      </w:r>
      <w:r>
        <w:rPr>
          <w:rFonts w:eastAsia="標楷體"/>
          <w:kern w:val="0"/>
          <w:szCs w:val="26"/>
        </w:rPr>
        <w:t>年目標。</w:t>
      </w:r>
    </w:p>
    <w:p w14:paraId="071A2BB1" w14:textId="77777777" w:rsidR="00052596" w:rsidRDefault="00000000">
      <w:pPr>
        <w:pageBreakBefore/>
        <w:overflowPunct w:val="0"/>
        <w:autoSpaceDE w:val="0"/>
        <w:spacing w:before="48" w:after="120" w:line="360" w:lineRule="exact"/>
        <w:jc w:val="center"/>
        <w:textAlignment w:val="center"/>
      </w:pPr>
      <w:r>
        <w:rPr>
          <w:rFonts w:eastAsia="標楷體"/>
          <w:b/>
          <w:color w:val="0000FF"/>
          <w:spacing w:val="10"/>
          <w:kern w:val="0"/>
          <w:sz w:val="26"/>
          <w:szCs w:val="26"/>
        </w:rPr>
        <w:lastRenderedPageBreak/>
        <w:t>社會面</w:t>
      </w:r>
    </w:p>
    <w:tbl>
      <w:tblPr>
        <w:tblW w:w="8773" w:type="dxa"/>
        <w:jc w:val="center"/>
        <w:tblLayout w:type="fixed"/>
        <w:tblCellMar>
          <w:left w:w="10" w:type="dxa"/>
          <w:right w:w="10" w:type="dxa"/>
        </w:tblCellMar>
        <w:tblLook w:val="04A0" w:firstRow="1" w:lastRow="0" w:firstColumn="1" w:lastColumn="0" w:noHBand="0" w:noVBand="1"/>
      </w:tblPr>
      <w:tblGrid>
        <w:gridCol w:w="4047"/>
        <w:gridCol w:w="850"/>
        <w:gridCol w:w="1276"/>
        <w:gridCol w:w="1276"/>
        <w:gridCol w:w="1324"/>
      </w:tblGrid>
      <w:tr w:rsidR="00052596" w14:paraId="3E696ED8" w14:textId="77777777">
        <w:tblPrEx>
          <w:tblCellMar>
            <w:top w:w="0" w:type="dxa"/>
            <w:bottom w:w="0" w:type="dxa"/>
          </w:tblCellMar>
        </w:tblPrEx>
        <w:trPr>
          <w:trHeight w:val="190"/>
          <w:tblHeader/>
          <w:jc w:val="center"/>
        </w:trPr>
        <w:tc>
          <w:tcPr>
            <w:tcW w:w="4047" w:type="dxa"/>
            <w:vMerge w:val="restart"/>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20ADEB3" w14:textId="77777777" w:rsidR="00052596" w:rsidRDefault="00000000">
            <w:pPr>
              <w:widowControl/>
              <w:overflowPunct w:val="0"/>
              <w:autoSpaceDE w:val="0"/>
              <w:spacing w:before="192" w:line="240" w:lineRule="atLeast"/>
              <w:jc w:val="center"/>
            </w:pPr>
            <w:r>
              <w:rPr>
                <w:noProof/>
              </w:rPr>
              <mc:AlternateContent>
                <mc:Choice Requires="wps">
                  <w:drawing>
                    <wp:anchor distT="0" distB="0" distL="114300" distR="114300" simplePos="0" relativeHeight="251693568" behindDoc="1" locked="0" layoutInCell="1" allowOverlap="1" wp14:anchorId="72EB94FA" wp14:editId="52BF2FA2">
                      <wp:simplePos x="0" y="0"/>
                      <wp:positionH relativeFrom="column">
                        <wp:posOffset>-106042</wp:posOffset>
                      </wp:positionH>
                      <wp:positionV relativeFrom="paragraph">
                        <wp:posOffset>-340357</wp:posOffset>
                      </wp:positionV>
                      <wp:extent cx="5720084" cy="8228969"/>
                      <wp:effectExtent l="0" t="0" r="0" b="631"/>
                      <wp:wrapNone/>
                      <wp:docPr id="200" name="矩形 45"/>
                      <wp:cNvGraphicFramePr/>
                      <a:graphic xmlns:a="http://schemas.openxmlformats.org/drawingml/2006/main">
                        <a:graphicData uri="http://schemas.microsoft.com/office/word/2010/wordprocessingShape">
                          <wps:wsp>
                            <wps:cNvSpPr/>
                            <wps:spPr>
                              <a:xfrm>
                                <a:off x="0" y="0"/>
                                <a:ext cx="5720084" cy="8228969"/>
                              </a:xfrm>
                              <a:prstGeom prst="rect">
                                <a:avLst/>
                              </a:prstGeom>
                              <a:gradFill>
                                <a:gsLst>
                                  <a:gs pos="0">
                                    <a:srgbClr val="FFFFFF"/>
                                  </a:gs>
                                  <a:gs pos="100000">
                                    <a:srgbClr val="FFE6CD"/>
                                  </a:gs>
                                </a:gsLst>
                                <a:path path="circle">
                                  <a:fillToRect l="50000" t="50000" r="50000" b="50000"/>
                                </a:path>
                              </a:gradFill>
                              <a:ln>
                                <a:noFill/>
                                <a:prstDash val="solid"/>
                              </a:ln>
                            </wps:spPr>
                            <wps:bodyPr lIns="0" tIns="0" rIns="0" bIns="0"/>
                          </wps:wsp>
                        </a:graphicData>
                      </a:graphic>
                    </wp:anchor>
                  </w:drawing>
                </mc:Choice>
                <mc:Fallback>
                  <w:pict>
                    <v:rect w14:anchorId="51874549" id="矩形 45" o:spid="_x0000_s1026" style="position:absolute;margin-left:-8.35pt;margin-top:-26.8pt;width:450.4pt;height:647.9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" stroked="f">
                      <v:fill color2="#ffe6cd" focusposition=".5,.5" focussize="" focus="100%" type="gradientRadial"/>
                      <v:textbox inset="0,0,0,0"/>
                    </v:rect>
                  </w:pict>
                </mc:Fallback>
              </mc:AlternateContent>
            </w:r>
            <w:r>
              <w:rPr>
                <w:rFonts w:eastAsia="標楷體"/>
                <w:b/>
                <w:color w:val="0000FF"/>
                <w:kern w:val="0"/>
                <w:szCs w:val="24"/>
              </w:rPr>
              <w:t>項</w:t>
            </w:r>
            <w:r>
              <w:rPr>
                <w:rFonts w:eastAsia="標楷體"/>
                <w:b/>
                <w:color w:val="0000FF"/>
                <w:kern w:val="0"/>
                <w:szCs w:val="24"/>
              </w:rPr>
              <w:t xml:space="preserve"> </w:t>
            </w:r>
            <w:r>
              <w:rPr>
                <w:rFonts w:eastAsia="標楷體"/>
                <w:b/>
                <w:color w:val="0000FF"/>
                <w:kern w:val="0"/>
                <w:szCs w:val="24"/>
              </w:rPr>
              <w:t>目</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60E31BF" w14:textId="77777777" w:rsidR="00052596" w:rsidRDefault="00000000">
            <w:pPr>
              <w:widowControl/>
              <w:overflowPunct w:val="0"/>
              <w:autoSpaceDE w:val="0"/>
              <w:spacing w:before="24" w:line="240" w:lineRule="atLeast"/>
              <w:jc w:val="center"/>
            </w:pPr>
            <w:r>
              <w:rPr>
                <w:rFonts w:eastAsia="標楷體"/>
                <w:b/>
                <w:color w:val="0000FF"/>
                <w:kern w:val="0"/>
                <w:szCs w:val="24"/>
              </w:rPr>
              <w:t>單</w:t>
            </w:r>
            <w:r>
              <w:rPr>
                <w:rFonts w:eastAsia="標楷體"/>
                <w:b/>
                <w:color w:val="0000FF"/>
                <w:kern w:val="0"/>
                <w:szCs w:val="24"/>
              </w:rPr>
              <w:t xml:space="preserve"> </w:t>
            </w:r>
            <w:r>
              <w:rPr>
                <w:rFonts w:eastAsia="標楷體"/>
                <w:b/>
                <w:color w:val="0000FF"/>
                <w:kern w:val="0"/>
                <w:szCs w:val="24"/>
              </w:rPr>
              <w:t>位</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997597C" w14:textId="77777777" w:rsidR="00052596" w:rsidRDefault="00000000">
            <w:pPr>
              <w:widowControl/>
              <w:overflowPunct w:val="0"/>
              <w:autoSpaceDE w:val="0"/>
              <w:spacing w:before="24" w:line="240" w:lineRule="atLeast"/>
              <w:jc w:val="center"/>
              <w:rPr>
                <w:rFonts w:eastAsia="標楷體"/>
                <w:b/>
                <w:color w:val="0000FF"/>
                <w:kern w:val="0"/>
                <w:szCs w:val="24"/>
              </w:rPr>
            </w:pPr>
            <w:r>
              <w:rPr>
                <w:rFonts w:eastAsia="標楷體"/>
                <w:b/>
                <w:color w:val="0000FF"/>
                <w:kern w:val="0"/>
                <w:szCs w:val="24"/>
              </w:rPr>
              <w:t>現況值</w:t>
            </w:r>
          </w:p>
          <w:p w14:paraId="2E50AF82" w14:textId="77777777" w:rsidR="00052596" w:rsidRDefault="00000000">
            <w:pPr>
              <w:widowControl/>
              <w:overflowPunct w:val="0"/>
              <w:autoSpaceDE w:val="0"/>
              <w:spacing w:line="240" w:lineRule="atLeast"/>
              <w:jc w:val="center"/>
            </w:pPr>
            <w:r>
              <w:rPr>
                <w:rFonts w:ascii="標楷體" w:eastAsia="標楷體" w:hAnsi="標楷體"/>
                <w:b/>
                <w:color w:val="0000FF"/>
                <w:kern w:val="0"/>
                <w:szCs w:val="24"/>
              </w:rPr>
              <w:t>(</w:t>
            </w:r>
            <w:r>
              <w:rPr>
                <w:rFonts w:eastAsia="標楷體"/>
                <w:b/>
                <w:color w:val="0000FF"/>
                <w:kern w:val="0"/>
                <w:szCs w:val="24"/>
              </w:rPr>
              <w:t>101</w:t>
            </w:r>
            <w:r>
              <w:rPr>
                <w:rFonts w:eastAsia="標楷體"/>
                <w:b/>
                <w:color w:val="0000FF"/>
                <w:kern w:val="0"/>
                <w:szCs w:val="24"/>
              </w:rPr>
              <w:t>年</w:t>
            </w:r>
            <w:r>
              <w:rPr>
                <w:rFonts w:ascii="標楷體" w:eastAsia="標楷體" w:hAnsi="標楷體"/>
                <w:b/>
                <w:color w:val="0000FF"/>
                <w:kern w:val="0"/>
                <w:szCs w:val="24"/>
              </w:rPr>
              <w:t>)</w:t>
            </w:r>
          </w:p>
        </w:tc>
        <w:tc>
          <w:tcPr>
            <w:tcW w:w="2600" w:type="dxa"/>
            <w:gridSpan w:val="2"/>
            <w:tcBorders>
              <w:top w:val="single" w:sz="4" w:space="0" w:color="000000"/>
              <w:bottom w:val="single" w:sz="4" w:space="0" w:color="000000"/>
            </w:tcBorders>
            <w:shd w:val="clear" w:color="auto" w:fill="auto"/>
            <w:noWrap/>
            <w:tcMar>
              <w:top w:w="0" w:type="dxa"/>
              <w:left w:w="28" w:type="dxa"/>
              <w:bottom w:w="0" w:type="dxa"/>
              <w:right w:w="28" w:type="dxa"/>
            </w:tcMar>
            <w:vAlign w:val="center"/>
          </w:tcPr>
          <w:p w14:paraId="6869D050" w14:textId="77777777" w:rsidR="00052596" w:rsidRDefault="00000000">
            <w:pPr>
              <w:widowControl/>
              <w:overflowPunct w:val="0"/>
              <w:autoSpaceDE w:val="0"/>
              <w:spacing w:before="24" w:line="240" w:lineRule="atLeast"/>
              <w:jc w:val="center"/>
              <w:rPr>
                <w:rFonts w:eastAsia="標楷體"/>
                <w:b/>
                <w:color w:val="0000FF"/>
                <w:kern w:val="0"/>
                <w:szCs w:val="24"/>
              </w:rPr>
            </w:pPr>
            <w:r>
              <w:rPr>
                <w:rFonts w:eastAsia="標楷體"/>
                <w:b/>
                <w:color w:val="0000FF"/>
                <w:kern w:val="0"/>
                <w:szCs w:val="24"/>
              </w:rPr>
              <w:t>目標值</w:t>
            </w:r>
          </w:p>
        </w:tc>
      </w:tr>
      <w:tr w:rsidR="00052596" w14:paraId="6BA0A561" w14:textId="77777777">
        <w:tblPrEx>
          <w:tblCellMar>
            <w:top w:w="0" w:type="dxa"/>
            <w:bottom w:w="0" w:type="dxa"/>
          </w:tblCellMar>
        </w:tblPrEx>
        <w:trPr>
          <w:trHeight w:val="101"/>
          <w:tblHeader/>
          <w:jc w:val="center"/>
        </w:trPr>
        <w:tc>
          <w:tcPr>
            <w:tcW w:w="4047" w:type="dxa"/>
            <w:vMerge/>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DCE2FE1" w14:textId="77777777" w:rsidR="00052596" w:rsidRDefault="00052596">
            <w:pPr>
              <w:widowControl/>
              <w:overflowPunct w:val="0"/>
              <w:autoSpaceDE w:val="0"/>
              <w:spacing w:line="320" w:lineRule="exact"/>
              <w:ind w:left="168" w:hanging="168"/>
              <w:jc w:val="both"/>
              <w:rPr>
                <w:rFonts w:eastAsia="標楷體"/>
                <w:kern w:val="0"/>
                <w:szCs w:val="24"/>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A0FBBA8" w14:textId="77777777" w:rsidR="00052596" w:rsidRDefault="00052596">
            <w:pPr>
              <w:widowControl/>
              <w:overflowPunct w:val="0"/>
              <w:autoSpaceDE w:val="0"/>
              <w:spacing w:line="240" w:lineRule="atLeast"/>
              <w:jc w:val="center"/>
              <w:rPr>
                <w:rFonts w:eastAsia="標楷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89EEBAE" w14:textId="77777777" w:rsidR="00052596" w:rsidRDefault="00052596">
            <w:pPr>
              <w:widowControl/>
              <w:overflowPunct w:val="0"/>
              <w:autoSpaceDE w:val="0"/>
              <w:spacing w:line="240" w:lineRule="atLeast"/>
              <w:jc w:val="center"/>
              <w:rPr>
                <w:rFonts w:eastAsia="標楷體"/>
                <w:color w:val="0000FF"/>
                <w:kern w:val="0"/>
                <w:szCs w:val="24"/>
              </w:rPr>
            </w:pP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3C44F46" w14:textId="77777777" w:rsidR="00052596" w:rsidRDefault="00000000">
            <w:pPr>
              <w:widowControl/>
              <w:overflowPunct w:val="0"/>
              <w:autoSpaceDE w:val="0"/>
              <w:spacing w:before="24" w:line="240" w:lineRule="atLeast"/>
              <w:jc w:val="center"/>
              <w:rPr>
                <w:rFonts w:eastAsia="標楷體"/>
                <w:b/>
                <w:color w:val="0000FF"/>
                <w:kern w:val="0"/>
                <w:szCs w:val="24"/>
              </w:rPr>
            </w:pPr>
            <w:r>
              <w:rPr>
                <w:rFonts w:eastAsia="標楷體"/>
                <w:b/>
                <w:color w:val="0000FF"/>
                <w:kern w:val="0"/>
                <w:szCs w:val="24"/>
              </w:rPr>
              <w:t>102</w:t>
            </w:r>
            <w:r>
              <w:rPr>
                <w:rFonts w:eastAsia="標楷體"/>
                <w:b/>
                <w:color w:val="0000FF"/>
                <w:kern w:val="0"/>
                <w:szCs w:val="24"/>
              </w:rPr>
              <w:t>年</w:t>
            </w:r>
          </w:p>
        </w:tc>
        <w:tc>
          <w:tcPr>
            <w:tcW w:w="1324" w:type="dxa"/>
            <w:tcBorders>
              <w:bottom w:val="single" w:sz="4" w:space="0" w:color="000000"/>
            </w:tcBorders>
            <w:shd w:val="clear" w:color="auto" w:fill="auto"/>
            <w:noWrap/>
            <w:tcMar>
              <w:top w:w="0" w:type="dxa"/>
              <w:left w:w="28" w:type="dxa"/>
              <w:bottom w:w="0" w:type="dxa"/>
              <w:right w:w="28" w:type="dxa"/>
            </w:tcMar>
            <w:vAlign w:val="center"/>
          </w:tcPr>
          <w:p w14:paraId="0D21FAD6" w14:textId="77777777" w:rsidR="00052596" w:rsidRDefault="00000000">
            <w:pPr>
              <w:widowControl/>
              <w:overflowPunct w:val="0"/>
              <w:autoSpaceDE w:val="0"/>
              <w:spacing w:before="24" w:line="240" w:lineRule="atLeast"/>
              <w:jc w:val="center"/>
              <w:rPr>
                <w:rFonts w:eastAsia="標楷體"/>
                <w:b/>
                <w:color w:val="0000FF"/>
                <w:kern w:val="0"/>
                <w:szCs w:val="24"/>
              </w:rPr>
            </w:pPr>
            <w:r>
              <w:rPr>
                <w:rFonts w:eastAsia="標楷體"/>
                <w:b/>
                <w:color w:val="0000FF"/>
                <w:kern w:val="0"/>
                <w:szCs w:val="24"/>
              </w:rPr>
              <w:t>105</w:t>
            </w:r>
            <w:r>
              <w:rPr>
                <w:rFonts w:eastAsia="標楷體"/>
                <w:b/>
                <w:color w:val="0000FF"/>
                <w:kern w:val="0"/>
                <w:szCs w:val="24"/>
              </w:rPr>
              <w:t>年</w:t>
            </w:r>
          </w:p>
        </w:tc>
      </w:tr>
      <w:tr w:rsidR="00052596" w14:paraId="3E6A0147" w14:textId="77777777">
        <w:tblPrEx>
          <w:tblCellMar>
            <w:top w:w="0" w:type="dxa"/>
            <w:bottom w:w="0" w:type="dxa"/>
          </w:tblCellMar>
        </w:tblPrEx>
        <w:trPr>
          <w:cantSplit/>
          <w:trHeight w:val="346"/>
          <w:jc w:val="center"/>
        </w:trPr>
        <w:tc>
          <w:tcPr>
            <w:tcW w:w="4047" w:type="dxa"/>
            <w:tcBorders>
              <w:right w:val="single" w:sz="4" w:space="0" w:color="000000"/>
            </w:tcBorders>
            <w:shd w:val="clear" w:color="auto" w:fill="auto"/>
            <w:noWrap/>
            <w:tcMar>
              <w:top w:w="0" w:type="dxa"/>
              <w:left w:w="28" w:type="dxa"/>
              <w:bottom w:w="0" w:type="dxa"/>
              <w:right w:w="28" w:type="dxa"/>
            </w:tcMar>
          </w:tcPr>
          <w:p w14:paraId="0CF55894" w14:textId="77777777" w:rsidR="00052596" w:rsidRDefault="00000000">
            <w:pPr>
              <w:widowControl/>
              <w:overflowPunct w:val="0"/>
              <w:autoSpaceDE w:val="0"/>
              <w:spacing w:line="320" w:lineRule="exact"/>
              <w:ind w:left="168" w:hanging="168"/>
              <w:jc w:val="both"/>
              <w:rPr>
                <w:rFonts w:eastAsia="標楷體"/>
                <w:b/>
                <w:color w:val="800000"/>
                <w:kern w:val="0"/>
                <w:szCs w:val="24"/>
              </w:rPr>
            </w:pPr>
            <w:r>
              <w:rPr>
                <w:rFonts w:eastAsia="標楷體"/>
                <w:b/>
                <w:color w:val="800000"/>
                <w:kern w:val="0"/>
                <w:szCs w:val="24"/>
              </w:rPr>
              <w:t>均富共享</w:t>
            </w:r>
          </w:p>
        </w:tc>
        <w:tc>
          <w:tcPr>
            <w:tcW w:w="850" w:type="dxa"/>
            <w:tcBorders>
              <w:right w:val="single" w:sz="4" w:space="0" w:color="000000"/>
            </w:tcBorders>
            <w:shd w:val="clear" w:color="auto" w:fill="auto"/>
            <w:noWrap/>
            <w:tcMar>
              <w:top w:w="0" w:type="dxa"/>
              <w:left w:w="28" w:type="dxa"/>
              <w:bottom w:w="0" w:type="dxa"/>
              <w:right w:w="28" w:type="dxa"/>
            </w:tcMar>
          </w:tcPr>
          <w:p w14:paraId="3B53CD41" w14:textId="77777777" w:rsidR="00052596" w:rsidRDefault="00052596">
            <w:pPr>
              <w:widowControl/>
              <w:overflowPunct w:val="0"/>
              <w:autoSpaceDE w:val="0"/>
              <w:spacing w:line="320" w:lineRule="exact"/>
              <w:jc w:val="center"/>
              <w:rPr>
                <w:rFonts w:eastAsia="標楷體"/>
                <w:kern w:val="0"/>
                <w:szCs w:val="24"/>
              </w:rPr>
            </w:pPr>
          </w:p>
        </w:tc>
        <w:tc>
          <w:tcPr>
            <w:tcW w:w="1276" w:type="dxa"/>
            <w:tcBorders>
              <w:right w:val="single" w:sz="4" w:space="0" w:color="000000"/>
            </w:tcBorders>
            <w:shd w:val="clear" w:color="auto" w:fill="auto"/>
            <w:noWrap/>
            <w:tcMar>
              <w:top w:w="0" w:type="dxa"/>
              <w:left w:w="28" w:type="dxa"/>
              <w:bottom w:w="0" w:type="dxa"/>
              <w:right w:w="28" w:type="dxa"/>
            </w:tcMar>
          </w:tcPr>
          <w:p w14:paraId="18F605E4" w14:textId="77777777" w:rsidR="00052596" w:rsidRDefault="00052596">
            <w:pPr>
              <w:widowControl/>
              <w:overflowPunct w:val="0"/>
              <w:autoSpaceDE w:val="0"/>
              <w:spacing w:line="320" w:lineRule="exact"/>
              <w:jc w:val="right"/>
              <w:rPr>
                <w:rFonts w:eastAsia="標楷體"/>
                <w:kern w:val="0"/>
                <w:szCs w:val="24"/>
              </w:rPr>
            </w:pPr>
          </w:p>
        </w:tc>
        <w:tc>
          <w:tcPr>
            <w:tcW w:w="1276" w:type="dxa"/>
            <w:tcBorders>
              <w:right w:val="single" w:sz="4" w:space="0" w:color="000000"/>
            </w:tcBorders>
            <w:shd w:val="clear" w:color="auto" w:fill="auto"/>
            <w:noWrap/>
            <w:tcMar>
              <w:top w:w="0" w:type="dxa"/>
              <w:left w:w="28" w:type="dxa"/>
              <w:bottom w:w="0" w:type="dxa"/>
              <w:right w:w="28" w:type="dxa"/>
            </w:tcMar>
          </w:tcPr>
          <w:p w14:paraId="314CB60C" w14:textId="77777777" w:rsidR="00052596" w:rsidRDefault="00052596">
            <w:pPr>
              <w:widowControl/>
              <w:overflowPunct w:val="0"/>
              <w:autoSpaceDE w:val="0"/>
              <w:spacing w:line="320" w:lineRule="exact"/>
              <w:jc w:val="right"/>
              <w:rPr>
                <w:rFonts w:eastAsia="標楷體"/>
                <w:kern w:val="0"/>
                <w:szCs w:val="24"/>
              </w:rPr>
            </w:pPr>
          </w:p>
        </w:tc>
        <w:tc>
          <w:tcPr>
            <w:tcW w:w="1324" w:type="dxa"/>
            <w:shd w:val="clear" w:color="auto" w:fill="auto"/>
            <w:noWrap/>
            <w:tcMar>
              <w:top w:w="0" w:type="dxa"/>
              <w:left w:w="28" w:type="dxa"/>
              <w:bottom w:w="0" w:type="dxa"/>
              <w:right w:w="28" w:type="dxa"/>
            </w:tcMar>
          </w:tcPr>
          <w:p w14:paraId="66F0C95E" w14:textId="77777777" w:rsidR="00052596" w:rsidRDefault="00052596">
            <w:pPr>
              <w:widowControl/>
              <w:overflowPunct w:val="0"/>
              <w:autoSpaceDE w:val="0"/>
              <w:spacing w:line="320" w:lineRule="exact"/>
              <w:jc w:val="right"/>
              <w:rPr>
                <w:rFonts w:eastAsia="標楷體"/>
                <w:kern w:val="0"/>
                <w:szCs w:val="24"/>
              </w:rPr>
            </w:pPr>
          </w:p>
        </w:tc>
      </w:tr>
      <w:tr w:rsidR="00052596" w14:paraId="17F59E49" w14:textId="77777777">
        <w:tblPrEx>
          <w:tblCellMar>
            <w:top w:w="0" w:type="dxa"/>
            <w:bottom w:w="0" w:type="dxa"/>
          </w:tblCellMar>
        </w:tblPrEx>
        <w:trPr>
          <w:cantSplit/>
          <w:trHeight w:val="456"/>
          <w:jc w:val="center"/>
        </w:trPr>
        <w:tc>
          <w:tcPr>
            <w:tcW w:w="4047" w:type="dxa"/>
            <w:tcBorders>
              <w:right w:val="single" w:sz="4" w:space="0" w:color="000000"/>
            </w:tcBorders>
            <w:shd w:val="clear" w:color="auto" w:fill="auto"/>
            <w:noWrap/>
            <w:tcMar>
              <w:top w:w="0" w:type="dxa"/>
              <w:left w:w="28" w:type="dxa"/>
              <w:bottom w:w="0" w:type="dxa"/>
              <w:right w:w="28" w:type="dxa"/>
            </w:tcMar>
          </w:tcPr>
          <w:p w14:paraId="03BFCA60"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1.</w:t>
            </w:r>
            <w:r>
              <w:rPr>
                <w:rFonts w:eastAsia="標楷體"/>
                <w:kern w:val="0"/>
                <w:szCs w:val="24"/>
              </w:rPr>
              <w:t>經濟弱勢民眾納入政府救助照顧人數</w:t>
            </w:r>
          </w:p>
        </w:tc>
        <w:tc>
          <w:tcPr>
            <w:tcW w:w="850" w:type="dxa"/>
            <w:tcBorders>
              <w:right w:val="single" w:sz="4" w:space="0" w:color="000000"/>
            </w:tcBorders>
            <w:shd w:val="clear" w:color="auto" w:fill="auto"/>
            <w:noWrap/>
            <w:tcMar>
              <w:top w:w="0" w:type="dxa"/>
              <w:left w:w="28" w:type="dxa"/>
              <w:bottom w:w="0" w:type="dxa"/>
              <w:right w:w="28" w:type="dxa"/>
            </w:tcMar>
          </w:tcPr>
          <w:p w14:paraId="6FC38696"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萬人</w:t>
            </w:r>
          </w:p>
        </w:tc>
        <w:tc>
          <w:tcPr>
            <w:tcW w:w="1276" w:type="dxa"/>
            <w:tcBorders>
              <w:right w:val="single" w:sz="4" w:space="0" w:color="000000"/>
            </w:tcBorders>
            <w:shd w:val="clear" w:color="auto" w:fill="auto"/>
            <w:noWrap/>
            <w:tcMar>
              <w:top w:w="0" w:type="dxa"/>
              <w:left w:w="28" w:type="dxa"/>
              <w:bottom w:w="0" w:type="dxa"/>
              <w:right w:w="28" w:type="dxa"/>
            </w:tcMar>
          </w:tcPr>
          <w:p w14:paraId="3B0F0DC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61</w:t>
            </w:r>
          </w:p>
        </w:tc>
        <w:tc>
          <w:tcPr>
            <w:tcW w:w="1276" w:type="dxa"/>
            <w:tcBorders>
              <w:right w:val="single" w:sz="4" w:space="0" w:color="000000"/>
            </w:tcBorders>
            <w:shd w:val="clear" w:color="auto" w:fill="auto"/>
            <w:noWrap/>
            <w:tcMar>
              <w:top w:w="0" w:type="dxa"/>
              <w:left w:w="28" w:type="dxa"/>
              <w:bottom w:w="0" w:type="dxa"/>
              <w:right w:w="28" w:type="dxa"/>
            </w:tcMar>
          </w:tcPr>
          <w:p w14:paraId="4B9114C3"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61.5</w:t>
            </w:r>
          </w:p>
        </w:tc>
        <w:tc>
          <w:tcPr>
            <w:tcW w:w="1324" w:type="dxa"/>
            <w:shd w:val="clear" w:color="auto" w:fill="auto"/>
            <w:noWrap/>
            <w:tcMar>
              <w:top w:w="0" w:type="dxa"/>
              <w:left w:w="28" w:type="dxa"/>
              <w:bottom w:w="0" w:type="dxa"/>
              <w:right w:w="28" w:type="dxa"/>
            </w:tcMar>
          </w:tcPr>
          <w:p w14:paraId="17D66BE3"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63</w:t>
            </w:r>
          </w:p>
        </w:tc>
      </w:tr>
      <w:tr w:rsidR="00052596" w14:paraId="7F25F8D8" w14:textId="77777777">
        <w:tblPrEx>
          <w:tblCellMar>
            <w:top w:w="0" w:type="dxa"/>
            <w:bottom w:w="0" w:type="dxa"/>
          </w:tblCellMar>
        </w:tblPrEx>
        <w:trPr>
          <w:trHeight w:val="380"/>
          <w:jc w:val="center"/>
        </w:trPr>
        <w:tc>
          <w:tcPr>
            <w:tcW w:w="4047" w:type="dxa"/>
            <w:tcBorders>
              <w:right w:val="single" w:sz="4" w:space="0" w:color="000000"/>
            </w:tcBorders>
            <w:shd w:val="clear" w:color="auto" w:fill="auto"/>
            <w:noWrap/>
            <w:tcMar>
              <w:top w:w="0" w:type="dxa"/>
              <w:left w:w="28" w:type="dxa"/>
              <w:bottom w:w="0" w:type="dxa"/>
              <w:right w:w="28" w:type="dxa"/>
            </w:tcMar>
          </w:tcPr>
          <w:p w14:paraId="44C6208C"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2.</w:t>
            </w:r>
            <w:r>
              <w:rPr>
                <w:rFonts w:eastAsia="標楷體"/>
                <w:kern w:val="0"/>
                <w:szCs w:val="24"/>
              </w:rPr>
              <w:t>提供低收入戶及中低收入戶就業相關服務</w:t>
            </w:r>
          </w:p>
        </w:tc>
        <w:tc>
          <w:tcPr>
            <w:tcW w:w="850" w:type="dxa"/>
            <w:tcBorders>
              <w:right w:val="single" w:sz="4" w:space="0" w:color="000000"/>
            </w:tcBorders>
            <w:shd w:val="clear" w:color="auto" w:fill="auto"/>
            <w:noWrap/>
            <w:tcMar>
              <w:top w:w="0" w:type="dxa"/>
              <w:left w:w="28" w:type="dxa"/>
              <w:bottom w:w="0" w:type="dxa"/>
              <w:right w:w="28" w:type="dxa"/>
            </w:tcMar>
          </w:tcPr>
          <w:p w14:paraId="7FDB8661"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萬人</w:t>
            </w:r>
          </w:p>
        </w:tc>
        <w:tc>
          <w:tcPr>
            <w:tcW w:w="1276" w:type="dxa"/>
            <w:tcBorders>
              <w:right w:val="single" w:sz="4" w:space="0" w:color="000000"/>
            </w:tcBorders>
            <w:shd w:val="clear" w:color="auto" w:fill="auto"/>
            <w:noWrap/>
            <w:tcMar>
              <w:top w:w="0" w:type="dxa"/>
              <w:left w:w="28" w:type="dxa"/>
              <w:bottom w:w="0" w:type="dxa"/>
              <w:right w:w="28" w:type="dxa"/>
            </w:tcMar>
          </w:tcPr>
          <w:p w14:paraId="23BF2A2E"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2.6</w:t>
            </w:r>
          </w:p>
        </w:tc>
        <w:tc>
          <w:tcPr>
            <w:tcW w:w="1276" w:type="dxa"/>
            <w:tcBorders>
              <w:right w:val="single" w:sz="4" w:space="0" w:color="000000"/>
            </w:tcBorders>
            <w:shd w:val="clear" w:color="auto" w:fill="auto"/>
            <w:noWrap/>
            <w:tcMar>
              <w:top w:w="0" w:type="dxa"/>
              <w:left w:w="28" w:type="dxa"/>
              <w:bottom w:w="0" w:type="dxa"/>
              <w:right w:w="28" w:type="dxa"/>
            </w:tcMar>
          </w:tcPr>
          <w:p w14:paraId="77C1F2C3"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5</w:t>
            </w:r>
          </w:p>
        </w:tc>
        <w:tc>
          <w:tcPr>
            <w:tcW w:w="1324" w:type="dxa"/>
            <w:shd w:val="clear" w:color="auto" w:fill="auto"/>
            <w:noWrap/>
            <w:tcMar>
              <w:top w:w="0" w:type="dxa"/>
              <w:left w:w="28" w:type="dxa"/>
              <w:bottom w:w="0" w:type="dxa"/>
              <w:right w:w="28" w:type="dxa"/>
            </w:tcMar>
          </w:tcPr>
          <w:p w14:paraId="668B0AB0" w14:textId="77777777" w:rsidR="00052596" w:rsidRDefault="00000000">
            <w:pPr>
              <w:widowControl/>
              <w:overflowPunct w:val="0"/>
              <w:autoSpaceDE w:val="0"/>
              <w:spacing w:line="320" w:lineRule="exact"/>
              <w:ind w:right="48"/>
              <w:jc w:val="right"/>
            </w:pPr>
            <w:r>
              <w:rPr>
                <w:rFonts w:eastAsia="標楷體"/>
                <w:kern w:val="0"/>
                <w:szCs w:val="24"/>
              </w:rPr>
              <w:t>20</w:t>
            </w:r>
            <w:r>
              <w:rPr>
                <w:rFonts w:eastAsia="標楷體"/>
                <w:kern w:val="0"/>
                <w:szCs w:val="24"/>
                <w:vertAlign w:val="superscript"/>
              </w:rPr>
              <w:t>1</w:t>
            </w:r>
          </w:p>
        </w:tc>
      </w:tr>
      <w:tr w:rsidR="00052596" w14:paraId="377B698D" w14:textId="77777777">
        <w:tblPrEx>
          <w:tblCellMar>
            <w:top w:w="0" w:type="dxa"/>
            <w:bottom w:w="0" w:type="dxa"/>
          </w:tblCellMar>
        </w:tblPrEx>
        <w:trPr>
          <w:trHeight w:val="335"/>
          <w:jc w:val="center"/>
        </w:trPr>
        <w:tc>
          <w:tcPr>
            <w:tcW w:w="4047" w:type="dxa"/>
            <w:tcBorders>
              <w:right w:val="single" w:sz="4" w:space="0" w:color="000000"/>
            </w:tcBorders>
            <w:shd w:val="clear" w:color="auto" w:fill="auto"/>
            <w:noWrap/>
            <w:tcMar>
              <w:top w:w="0" w:type="dxa"/>
              <w:left w:w="28" w:type="dxa"/>
              <w:bottom w:w="0" w:type="dxa"/>
              <w:right w:w="28" w:type="dxa"/>
            </w:tcMar>
          </w:tcPr>
          <w:p w14:paraId="6EC880C9" w14:textId="77777777" w:rsidR="00052596" w:rsidRDefault="00000000">
            <w:pPr>
              <w:widowControl/>
              <w:overflowPunct w:val="0"/>
              <w:autoSpaceDE w:val="0"/>
              <w:spacing w:before="120" w:line="320" w:lineRule="exact"/>
              <w:ind w:left="168" w:hanging="168"/>
              <w:jc w:val="both"/>
              <w:rPr>
                <w:rFonts w:eastAsia="標楷體"/>
                <w:b/>
                <w:color w:val="800000"/>
                <w:kern w:val="0"/>
                <w:szCs w:val="24"/>
              </w:rPr>
            </w:pPr>
            <w:r>
              <w:rPr>
                <w:rFonts w:eastAsia="標楷體"/>
                <w:b/>
                <w:color w:val="800000"/>
                <w:kern w:val="0"/>
                <w:szCs w:val="24"/>
              </w:rPr>
              <w:t>平安健康</w:t>
            </w:r>
          </w:p>
        </w:tc>
        <w:tc>
          <w:tcPr>
            <w:tcW w:w="850" w:type="dxa"/>
            <w:tcBorders>
              <w:right w:val="single" w:sz="4" w:space="0" w:color="000000"/>
            </w:tcBorders>
            <w:shd w:val="clear" w:color="auto" w:fill="auto"/>
            <w:noWrap/>
            <w:tcMar>
              <w:top w:w="0" w:type="dxa"/>
              <w:left w:w="28" w:type="dxa"/>
              <w:bottom w:w="0" w:type="dxa"/>
              <w:right w:w="28" w:type="dxa"/>
            </w:tcMar>
          </w:tcPr>
          <w:p w14:paraId="1D0184D9" w14:textId="77777777" w:rsidR="00052596" w:rsidRDefault="00052596">
            <w:pPr>
              <w:widowControl/>
              <w:overflowPunct w:val="0"/>
              <w:autoSpaceDE w:val="0"/>
              <w:spacing w:line="320" w:lineRule="exact"/>
              <w:jc w:val="center"/>
              <w:rPr>
                <w:rFonts w:eastAsia="標楷體"/>
                <w:kern w:val="0"/>
                <w:szCs w:val="24"/>
              </w:rPr>
            </w:pPr>
          </w:p>
        </w:tc>
        <w:tc>
          <w:tcPr>
            <w:tcW w:w="1276" w:type="dxa"/>
            <w:tcBorders>
              <w:right w:val="single" w:sz="4" w:space="0" w:color="000000"/>
            </w:tcBorders>
            <w:shd w:val="clear" w:color="auto" w:fill="auto"/>
            <w:noWrap/>
            <w:tcMar>
              <w:top w:w="0" w:type="dxa"/>
              <w:left w:w="28" w:type="dxa"/>
              <w:bottom w:w="0" w:type="dxa"/>
              <w:right w:w="28" w:type="dxa"/>
            </w:tcMar>
          </w:tcPr>
          <w:p w14:paraId="5E524CFA" w14:textId="77777777" w:rsidR="00052596" w:rsidRDefault="00052596">
            <w:pPr>
              <w:widowControl/>
              <w:overflowPunct w:val="0"/>
              <w:autoSpaceDE w:val="0"/>
              <w:spacing w:line="320" w:lineRule="exact"/>
              <w:ind w:right="48"/>
              <w:jc w:val="right"/>
              <w:rPr>
                <w:rFonts w:eastAsia="標楷體"/>
                <w:kern w:val="0"/>
                <w:szCs w:val="24"/>
              </w:rPr>
            </w:pPr>
          </w:p>
        </w:tc>
        <w:tc>
          <w:tcPr>
            <w:tcW w:w="1276" w:type="dxa"/>
            <w:tcBorders>
              <w:right w:val="single" w:sz="4" w:space="0" w:color="000000"/>
            </w:tcBorders>
            <w:shd w:val="clear" w:color="auto" w:fill="auto"/>
            <w:noWrap/>
            <w:tcMar>
              <w:top w:w="0" w:type="dxa"/>
              <w:left w:w="28" w:type="dxa"/>
              <w:bottom w:w="0" w:type="dxa"/>
              <w:right w:w="28" w:type="dxa"/>
            </w:tcMar>
          </w:tcPr>
          <w:p w14:paraId="165FEBFD" w14:textId="77777777" w:rsidR="00052596" w:rsidRDefault="00052596">
            <w:pPr>
              <w:widowControl/>
              <w:overflowPunct w:val="0"/>
              <w:autoSpaceDE w:val="0"/>
              <w:spacing w:line="320" w:lineRule="exact"/>
              <w:ind w:right="48"/>
              <w:jc w:val="right"/>
              <w:rPr>
                <w:rFonts w:eastAsia="標楷體"/>
                <w:kern w:val="0"/>
                <w:szCs w:val="24"/>
              </w:rPr>
            </w:pPr>
          </w:p>
        </w:tc>
        <w:tc>
          <w:tcPr>
            <w:tcW w:w="1324" w:type="dxa"/>
            <w:shd w:val="clear" w:color="auto" w:fill="auto"/>
            <w:noWrap/>
            <w:tcMar>
              <w:top w:w="0" w:type="dxa"/>
              <w:left w:w="28" w:type="dxa"/>
              <w:bottom w:w="0" w:type="dxa"/>
              <w:right w:w="28" w:type="dxa"/>
            </w:tcMar>
          </w:tcPr>
          <w:p w14:paraId="78ED023A" w14:textId="77777777" w:rsidR="00052596" w:rsidRDefault="00052596">
            <w:pPr>
              <w:widowControl/>
              <w:overflowPunct w:val="0"/>
              <w:autoSpaceDE w:val="0"/>
              <w:spacing w:line="320" w:lineRule="exact"/>
              <w:ind w:right="48"/>
              <w:jc w:val="right"/>
              <w:rPr>
                <w:rFonts w:eastAsia="標楷體"/>
                <w:kern w:val="0"/>
                <w:szCs w:val="24"/>
              </w:rPr>
            </w:pPr>
          </w:p>
        </w:tc>
      </w:tr>
      <w:tr w:rsidR="00052596" w14:paraId="55FC96D3" w14:textId="77777777">
        <w:tblPrEx>
          <w:tblCellMar>
            <w:top w:w="0" w:type="dxa"/>
            <w:bottom w:w="0" w:type="dxa"/>
          </w:tblCellMar>
        </w:tblPrEx>
        <w:trPr>
          <w:cantSplit/>
          <w:trHeight w:val="154"/>
          <w:jc w:val="center"/>
        </w:trPr>
        <w:tc>
          <w:tcPr>
            <w:tcW w:w="4047" w:type="dxa"/>
            <w:tcBorders>
              <w:right w:val="single" w:sz="4" w:space="0" w:color="000000"/>
            </w:tcBorders>
            <w:shd w:val="clear" w:color="auto" w:fill="auto"/>
            <w:noWrap/>
            <w:tcMar>
              <w:top w:w="0" w:type="dxa"/>
              <w:left w:w="28" w:type="dxa"/>
              <w:bottom w:w="0" w:type="dxa"/>
              <w:right w:w="28" w:type="dxa"/>
            </w:tcMar>
          </w:tcPr>
          <w:p w14:paraId="148D1114" w14:textId="77777777" w:rsidR="00052596" w:rsidRDefault="00000000">
            <w:pPr>
              <w:widowControl/>
              <w:overflowPunct w:val="0"/>
              <w:autoSpaceDE w:val="0"/>
              <w:spacing w:line="320" w:lineRule="exact"/>
              <w:ind w:left="480" w:hanging="168"/>
              <w:jc w:val="both"/>
              <w:rPr>
                <w:rFonts w:eastAsia="標楷體"/>
                <w:kern w:val="0"/>
                <w:szCs w:val="24"/>
              </w:rPr>
            </w:pPr>
            <w:r>
              <w:rPr>
                <w:rFonts w:eastAsia="標楷體"/>
                <w:kern w:val="0"/>
                <w:szCs w:val="24"/>
              </w:rPr>
              <w:t>1.</w:t>
            </w:r>
            <w:r>
              <w:rPr>
                <w:rFonts w:eastAsia="標楷體"/>
                <w:kern w:val="0"/>
                <w:szCs w:val="24"/>
              </w:rPr>
              <w:t>規律運動人口比率</w:t>
            </w:r>
          </w:p>
        </w:tc>
        <w:tc>
          <w:tcPr>
            <w:tcW w:w="850" w:type="dxa"/>
            <w:tcBorders>
              <w:right w:val="single" w:sz="4" w:space="0" w:color="000000"/>
            </w:tcBorders>
            <w:shd w:val="clear" w:color="auto" w:fill="auto"/>
            <w:noWrap/>
            <w:tcMar>
              <w:top w:w="0" w:type="dxa"/>
              <w:left w:w="28" w:type="dxa"/>
              <w:bottom w:w="0" w:type="dxa"/>
              <w:right w:w="28" w:type="dxa"/>
            </w:tcMar>
          </w:tcPr>
          <w:p w14:paraId="02D4F15B" w14:textId="77777777" w:rsidR="00052596" w:rsidRDefault="00000000">
            <w:pPr>
              <w:widowControl/>
              <w:overflowPunct w:val="0"/>
              <w:autoSpaceDE w:val="0"/>
              <w:spacing w:line="320" w:lineRule="exact"/>
              <w:jc w:val="center"/>
              <w:rPr>
                <w:kern w:val="0"/>
                <w:szCs w:val="24"/>
              </w:rPr>
            </w:pPr>
            <w:r>
              <w:rPr>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3E3BCF4E"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30.4</w:t>
            </w:r>
          </w:p>
        </w:tc>
        <w:tc>
          <w:tcPr>
            <w:tcW w:w="1276" w:type="dxa"/>
            <w:tcBorders>
              <w:right w:val="single" w:sz="4" w:space="0" w:color="000000"/>
            </w:tcBorders>
            <w:shd w:val="clear" w:color="auto" w:fill="auto"/>
            <w:noWrap/>
            <w:tcMar>
              <w:top w:w="0" w:type="dxa"/>
              <w:left w:w="28" w:type="dxa"/>
              <w:bottom w:w="0" w:type="dxa"/>
              <w:right w:w="28" w:type="dxa"/>
            </w:tcMar>
          </w:tcPr>
          <w:p w14:paraId="178CB35D"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32</w:t>
            </w:r>
          </w:p>
        </w:tc>
        <w:tc>
          <w:tcPr>
            <w:tcW w:w="1324" w:type="dxa"/>
            <w:shd w:val="clear" w:color="auto" w:fill="auto"/>
            <w:noWrap/>
            <w:tcMar>
              <w:top w:w="0" w:type="dxa"/>
              <w:left w:w="28" w:type="dxa"/>
              <w:bottom w:w="0" w:type="dxa"/>
              <w:right w:w="28" w:type="dxa"/>
            </w:tcMar>
          </w:tcPr>
          <w:p w14:paraId="0BC9C0F8"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38</w:t>
            </w:r>
          </w:p>
        </w:tc>
      </w:tr>
      <w:tr w:rsidR="00052596" w14:paraId="18A5679A" w14:textId="77777777">
        <w:tblPrEx>
          <w:tblCellMar>
            <w:top w:w="0" w:type="dxa"/>
            <w:bottom w:w="0" w:type="dxa"/>
          </w:tblCellMar>
        </w:tblPrEx>
        <w:trPr>
          <w:trHeight w:val="400"/>
          <w:jc w:val="center"/>
        </w:trPr>
        <w:tc>
          <w:tcPr>
            <w:tcW w:w="4047" w:type="dxa"/>
            <w:tcBorders>
              <w:right w:val="single" w:sz="4" w:space="0" w:color="000000"/>
            </w:tcBorders>
            <w:shd w:val="clear" w:color="auto" w:fill="auto"/>
            <w:noWrap/>
            <w:tcMar>
              <w:top w:w="0" w:type="dxa"/>
              <w:left w:w="28" w:type="dxa"/>
              <w:bottom w:w="0" w:type="dxa"/>
              <w:right w:w="28" w:type="dxa"/>
            </w:tcMar>
          </w:tcPr>
          <w:p w14:paraId="56330759" w14:textId="77777777" w:rsidR="00052596" w:rsidRDefault="00000000">
            <w:pPr>
              <w:widowControl/>
              <w:overflowPunct w:val="0"/>
              <w:autoSpaceDE w:val="0"/>
              <w:spacing w:line="320" w:lineRule="exact"/>
              <w:ind w:left="480" w:hanging="168"/>
              <w:jc w:val="both"/>
              <w:rPr>
                <w:rFonts w:eastAsia="標楷體"/>
                <w:kern w:val="0"/>
                <w:szCs w:val="24"/>
              </w:rPr>
            </w:pPr>
            <w:r>
              <w:rPr>
                <w:rFonts w:eastAsia="標楷體"/>
                <w:kern w:val="0"/>
                <w:szCs w:val="24"/>
              </w:rPr>
              <w:t>2.18</w:t>
            </w:r>
            <w:r>
              <w:rPr>
                <w:rFonts w:eastAsia="標楷體"/>
                <w:kern w:val="0"/>
                <w:szCs w:val="24"/>
              </w:rPr>
              <w:t>歲以上人口吸菸率</w:t>
            </w:r>
          </w:p>
        </w:tc>
        <w:tc>
          <w:tcPr>
            <w:tcW w:w="850" w:type="dxa"/>
            <w:tcBorders>
              <w:right w:val="single" w:sz="4" w:space="0" w:color="000000"/>
            </w:tcBorders>
            <w:shd w:val="clear" w:color="auto" w:fill="auto"/>
            <w:noWrap/>
            <w:tcMar>
              <w:top w:w="0" w:type="dxa"/>
              <w:left w:w="28" w:type="dxa"/>
              <w:bottom w:w="0" w:type="dxa"/>
              <w:right w:w="28" w:type="dxa"/>
            </w:tcMar>
          </w:tcPr>
          <w:p w14:paraId="7EADD458" w14:textId="77777777" w:rsidR="00052596" w:rsidRDefault="00000000">
            <w:pPr>
              <w:widowControl/>
              <w:overflowPunct w:val="0"/>
              <w:autoSpaceDE w:val="0"/>
              <w:spacing w:line="320" w:lineRule="exact"/>
              <w:jc w:val="center"/>
              <w:rPr>
                <w:kern w:val="0"/>
                <w:szCs w:val="24"/>
              </w:rPr>
            </w:pPr>
            <w:r>
              <w:rPr>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6DB82D33"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19.1</w:t>
            </w:r>
          </w:p>
          <w:p w14:paraId="4DAAF9D5"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(100</w:t>
            </w:r>
            <w:r>
              <w:rPr>
                <w:rFonts w:eastAsia="標楷體"/>
                <w:spacing w:val="4"/>
                <w:kern w:val="0"/>
                <w:szCs w:val="24"/>
              </w:rPr>
              <w:t>年</w:t>
            </w:r>
            <w:r>
              <w:rPr>
                <w:rFonts w:eastAsia="標楷體"/>
                <w:spacing w:val="4"/>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333F4768"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18.0</w:t>
            </w:r>
          </w:p>
        </w:tc>
        <w:tc>
          <w:tcPr>
            <w:tcW w:w="1324" w:type="dxa"/>
            <w:shd w:val="clear" w:color="auto" w:fill="auto"/>
            <w:noWrap/>
            <w:tcMar>
              <w:top w:w="0" w:type="dxa"/>
              <w:left w:w="28" w:type="dxa"/>
              <w:bottom w:w="0" w:type="dxa"/>
              <w:right w:w="28" w:type="dxa"/>
            </w:tcMar>
          </w:tcPr>
          <w:p w14:paraId="1DA33142"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16.5</w:t>
            </w:r>
          </w:p>
        </w:tc>
      </w:tr>
      <w:tr w:rsidR="00052596" w14:paraId="081395B2" w14:textId="77777777">
        <w:tblPrEx>
          <w:tblCellMar>
            <w:top w:w="0" w:type="dxa"/>
            <w:bottom w:w="0" w:type="dxa"/>
          </w:tblCellMar>
        </w:tblPrEx>
        <w:trPr>
          <w:cantSplit/>
          <w:trHeight w:val="338"/>
          <w:jc w:val="center"/>
        </w:trPr>
        <w:tc>
          <w:tcPr>
            <w:tcW w:w="4047" w:type="dxa"/>
            <w:tcBorders>
              <w:right w:val="single" w:sz="4" w:space="0" w:color="000000"/>
            </w:tcBorders>
            <w:shd w:val="clear" w:color="auto" w:fill="auto"/>
            <w:noWrap/>
            <w:tcMar>
              <w:top w:w="0" w:type="dxa"/>
              <w:left w:w="28" w:type="dxa"/>
              <w:bottom w:w="0" w:type="dxa"/>
              <w:right w:w="28" w:type="dxa"/>
            </w:tcMar>
          </w:tcPr>
          <w:p w14:paraId="1C844262"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3.</w:t>
            </w:r>
            <w:r>
              <w:rPr>
                <w:rFonts w:eastAsia="標楷體"/>
                <w:kern w:val="0"/>
                <w:szCs w:val="24"/>
              </w:rPr>
              <w:t>癌症標準化死亡率每十萬人下降</w:t>
            </w:r>
          </w:p>
        </w:tc>
        <w:tc>
          <w:tcPr>
            <w:tcW w:w="850" w:type="dxa"/>
            <w:tcBorders>
              <w:right w:val="single" w:sz="4" w:space="0" w:color="000000"/>
            </w:tcBorders>
            <w:shd w:val="clear" w:color="auto" w:fill="auto"/>
            <w:noWrap/>
            <w:tcMar>
              <w:top w:w="0" w:type="dxa"/>
              <w:left w:w="28" w:type="dxa"/>
              <w:bottom w:w="0" w:type="dxa"/>
              <w:right w:w="28" w:type="dxa"/>
            </w:tcMar>
          </w:tcPr>
          <w:p w14:paraId="18F36F5D"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人</w:t>
            </w:r>
          </w:p>
        </w:tc>
        <w:tc>
          <w:tcPr>
            <w:tcW w:w="1276" w:type="dxa"/>
            <w:tcBorders>
              <w:right w:val="single" w:sz="4" w:space="0" w:color="000000"/>
            </w:tcBorders>
            <w:shd w:val="clear" w:color="auto" w:fill="auto"/>
            <w:noWrap/>
            <w:tcMar>
              <w:top w:w="0" w:type="dxa"/>
              <w:left w:w="28" w:type="dxa"/>
              <w:bottom w:w="0" w:type="dxa"/>
              <w:right w:w="28" w:type="dxa"/>
            </w:tcMar>
          </w:tcPr>
          <w:p w14:paraId="4E03FA62"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132.2</w:t>
            </w:r>
          </w:p>
          <w:p w14:paraId="09A952E7"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(100</w:t>
            </w:r>
            <w:r>
              <w:rPr>
                <w:rFonts w:eastAsia="標楷體"/>
                <w:spacing w:val="4"/>
                <w:kern w:val="0"/>
                <w:szCs w:val="24"/>
              </w:rPr>
              <w:t>年</w:t>
            </w:r>
            <w:r>
              <w:rPr>
                <w:rFonts w:eastAsia="標楷體"/>
                <w:spacing w:val="4"/>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3FDE1E77"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131</w:t>
            </w:r>
          </w:p>
        </w:tc>
        <w:tc>
          <w:tcPr>
            <w:tcW w:w="1324" w:type="dxa"/>
            <w:shd w:val="clear" w:color="auto" w:fill="auto"/>
            <w:noWrap/>
            <w:tcMar>
              <w:top w:w="0" w:type="dxa"/>
              <w:left w:w="28" w:type="dxa"/>
              <w:bottom w:w="0" w:type="dxa"/>
              <w:right w:w="28" w:type="dxa"/>
            </w:tcMar>
          </w:tcPr>
          <w:p w14:paraId="47439E10"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119.3</w:t>
            </w:r>
          </w:p>
        </w:tc>
      </w:tr>
      <w:tr w:rsidR="00052596" w14:paraId="0EAD4045" w14:textId="77777777">
        <w:tblPrEx>
          <w:tblCellMar>
            <w:top w:w="0" w:type="dxa"/>
            <w:bottom w:w="0" w:type="dxa"/>
          </w:tblCellMar>
        </w:tblPrEx>
        <w:trPr>
          <w:trHeight w:val="403"/>
          <w:jc w:val="center"/>
        </w:trPr>
        <w:tc>
          <w:tcPr>
            <w:tcW w:w="4047" w:type="dxa"/>
            <w:tcBorders>
              <w:right w:val="single" w:sz="4" w:space="0" w:color="000000"/>
            </w:tcBorders>
            <w:shd w:val="clear" w:color="auto" w:fill="auto"/>
            <w:noWrap/>
            <w:tcMar>
              <w:top w:w="0" w:type="dxa"/>
              <w:left w:w="28" w:type="dxa"/>
              <w:bottom w:w="0" w:type="dxa"/>
              <w:right w:w="28" w:type="dxa"/>
            </w:tcMar>
          </w:tcPr>
          <w:p w14:paraId="726284E2"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4.</w:t>
            </w:r>
            <w:r>
              <w:rPr>
                <w:rFonts w:eastAsia="標楷體"/>
                <w:kern w:val="0"/>
                <w:szCs w:val="24"/>
              </w:rPr>
              <w:t>交通事故肇事及死亡人數每年下降比率</w:t>
            </w:r>
          </w:p>
        </w:tc>
        <w:tc>
          <w:tcPr>
            <w:tcW w:w="850" w:type="dxa"/>
            <w:tcBorders>
              <w:right w:val="single" w:sz="4" w:space="0" w:color="000000"/>
            </w:tcBorders>
            <w:shd w:val="clear" w:color="auto" w:fill="auto"/>
            <w:noWrap/>
            <w:tcMar>
              <w:top w:w="0" w:type="dxa"/>
              <w:left w:w="28" w:type="dxa"/>
              <w:bottom w:w="0" w:type="dxa"/>
              <w:right w:w="28" w:type="dxa"/>
            </w:tcMar>
          </w:tcPr>
          <w:p w14:paraId="4890CD49" w14:textId="77777777" w:rsidR="00052596" w:rsidRDefault="00000000">
            <w:pPr>
              <w:widowControl/>
              <w:overflowPunct w:val="0"/>
              <w:autoSpaceDE w:val="0"/>
              <w:spacing w:line="320" w:lineRule="exact"/>
              <w:jc w:val="center"/>
            </w:pPr>
            <w:r>
              <w:rPr>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762034AB"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1.4</w:t>
            </w:r>
          </w:p>
          <w:p w14:paraId="4C918B71"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7" w:right="48" w:hanging="27"/>
              <w:jc w:val="right"/>
              <w:textAlignment w:val="center"/>
              <w:rPr>
                <w:rFonts w:eastAsia="標楷體"/>
                <w:spacing w:val="-6"/>
                <w:kern w:val="0"/>
                <w:szCs w:val="24"/>
              </w:rPr>
            </w:pPr>
            <w:r>
              <w:rPr>
                <w:rFonts w:eastAsia="標楷體"/>
                <w:spacing w:val="-6"/>
                <w:kern w:val="0"/>
                <w:szCs w:val="24"/>
              </w:rPr>
              <w:t>(1-9</w:t>
            </w:r>
            <w:r>
              <w:rPr>
                <w:rFonts w:eastAsia="標楷體"/>
                <w:spacing w:val="-6"/>
                <w:kern w:val="0"/>
                <w:szCs w:val="24"/>
              </w:rPr>
              <w:t>月平均</w:t>
            </w:r>
            <w:r>
              <w:rPr>
                <w:rFonts w:eastAsia="標楷體"/>
                <w:spacing w:val="-6"/>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069F49B1"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2</w:t>
            </w:r>
          </w:p>
        </w:tc>
        <w:tc>
          <w:tcPr>
            <w:tcW w:w="1324" w:type="dxa"/>
            <w:shd w:val="clear" w:color="auto" w:fill="auto"/>
            <w:noWrap/>
            <w:tcMar>
              <w:top w:w="0" w:type="dxa"/>
              <w:left w:w="28" w:type="dxa"/>
              <w:bottom w:w="0" w:type="dxa"/>
              <w:right w:w="28" w:type="dxa"/>
            </w:tcMar>
          </w:tcPr>
          <w:p w14:paraId="27DAC466"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2</w:t>
            </w:r>
          </w:p>
        </w:tc>
      </w:tr>
      <w:tr w:rsidR="00052596" w14:paraId="5FD8FCF7" w14:textId="77777777">
        <w:tblPrEx>
          <w:tblCellMar>
            <w:top w:w="0" w:type="dxa"/>
            <w:bottom w:w="0" w:type="dxa"/>
          </w:tblCellMar>
        </w:tblPrEx>
        <w:trPr>
          <w:cantSplit/>
          <w:trHeight w:val="172"/>
          <w:jc w:val="center"/>
        </w:trPr>
        <w:tc>
          <w:tcPr>
            <w:tcW w:w="4047" w:type="dxa"/>
            <w:tcBorders>
              <w:right w:val="single" w:sz="4" w:space="0" w:color="000000"/>
            </w:tcBorders>
            <w:shd w:val="clear" w:color="auto" w:fill="auto"/>
            <w:noWrap/>
            <w:tcMar>
              <w:top w:w="0" w:type="dxa"/>
              <w:left w:w="28" w:type="dxa"/>
              <w:bottom w:w="0" w:type="dxa"/>
              <w:right w:w="28" w:type="dxa"/>
            </w:tcMar>
          </w:tcPr>
          <w:p w14:paraId="278747EC" w14:textId="77777777" w:rsidR="00052596" w:rsidRDefault="00000000">
            <w:pPr>
              <w:widowControl/>
              <w:overflowPunct w:val="0"/>
              <w:autoSpaceDE w:val="0"/>
              <w:spacing w:line="320" w:lineRule="exact"/>
              <w:ind w:left="480" w:hanging="168"/>
              <w:jc w:val="both"/>
              <w:rPr>
                <w:rFonts w:eastAsia="標楷體"/>
                <w:kern w:val="0"/>
                <w:szCs w:val="24"/>
              </w:rPr>
            </w:pPr>
            <w:r>
              <w:rPr>
                <w:rFonts w:eastAsia="標楷體"/>
                <w:kern w:val="0"/>
                <w:szCs w:val="24"/>
              </w:rPr>
              <w:t>5.</w:t>
            </w:r>
            <w:r>
              <w:rPr>
                <w:rFonts w:eastAsia="標楷體"/>
                <w:kern w:val="0"/>
                <w:szCs w:val="24"/>
              </w:rPr>
              <w:t>刑案發生數較</w:t>
            </w:r>
            <w:r>
              <w:rPr>
                <w:rFonts w:eastAsia="標楷體"/>
                <w:kern w:val="0"/>
                <w:szCs w:val="24"/>
              </w:rPr>
              <w:t>99</w:t>
            </w:r>
            <w:r>
              <w:rPr>
                <w:rFonts w:eastAsia="標楷體"/>
                <w:kern w:val="0"/>
                <w:szCs w:val="24"/>
              </w:rPr>
              <w:t>年減少</w:t>
            </w:r>
          </w:p>
        </w:tc>
        <w:tc>
          <w:tcPr>
            <w:tcW w:w="850" w:type="dxa"/>
            <w:tcBorders>
              <w:right w:val="single" w:sz="4" w:space="0" w:color="000000"/>
            </w:tcBorders>
            <w:shd w:val="clear" w:color="auto" w:fill="auto"/>
            <w:noWrap/>
            <w:tcMar>
              <w:top w:w="0" w:type="dxa"/>
              <w:left w:w="28" w:type="dxa"/>
              <w:bottom w:w="0" w:type="dxa"/>
              <w:right w:w="28" w:type="dxa"/>
            </w:tcMar>
          </w:tcPr>
          <w:p w14:paraId="0BDEECB3" w14:textId="77777777" w:rsidR="00052596" w:rsidRDefault="00000000">
            <w:pPr>
              <w:widowControl/>
              <w:overflowPunct w:val="0"/>
              <w:autoSpaceDE w:val="0"/>
              <w:spacing w:line="320" w:lineRule="exact"/>
              <w:jc w:val="center"/>
              <w:rPr>
                <w:kern w:val="0"/>
                <w:szCs w:val="24"/>
              </w:rPr>
            </w:pPr>
            <w:r>
              <w:rPr>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022B38D7"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6" w:right="48" w:hanging="28"/>
              <w:jc w:val="right"/>
              <w:textAlignment w:val="center"/>
              <w:rPr>
                <w:rFonts w:eastAsia="標楷體"/>
                <w:spacing w:val="-4"/>
                <w:kern w:val="0"/>
                <w:szCs w:val="24"/>
              </w:rPr>
            </w:pPr>
            <w:r>
              <w:rPr>
                <w:rFonts w:eastAsia="標楷體"/>
                <w:spacing w:val="-4"/>
                <w:kern w:val="0"/>
                <w:szCs w:val="24"/>
              </w:rPr>
              <w:t>5</w:t>
            </w:r>
          </w:p>
        </w:tc>
        <w:tc>
          <w:tcPr>
            <w:tcW w:w="1276" w:type="dxa"/>
            <w:tcBorders>
              <w:right w:val="single" w:sz="4" w:space="0" w:color="000000"/>
            </w:tcBorders>
            <w:shd w:val="clear" w:color="auto" w:fill="auto"/>
            <w:noWrap/>
            <w:tcMar>
              <w:top w:w="0" w:type="dxa"/>
              <w:left w:w="28" w:type="dxa"/>
              <w:bottom w:w="0" w:type="dxa"/>
              <w:right w:w="28" w:type="dxa"/>
            </w:tcMar>
          </w:tcPr>
          <w:p w14:paraId="4F305138"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5.5</w:t>
            </w:r>
          </w:p>
        </w:tc>
        <w:tc>
          <w:tcPr>
            <w:tcW w:w="1324" w:type="dxa"/>
            <w:shd w:val="clear" w:color="auto" w:fill="auto"/>
            <w:noWrap/>
            <w:tcMar>
              <w:top w:w="0" w:type="dxa"/>
              <w:left w:w="28" w:type="dxa"/>
              <w:bottom w:w="0" w:type="dxa"/>
              <w:right w:w="28" w:type="dxa"/>
            </w:tcMar>
          </w:tcPr>
          <w:p w14:paraId="0BA8A545"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8</w:t>
            </w:r>
          </w:p>
        </w:tc>
      </w:tr>
      <w:tr w:rsidR="00052596" w14:paraId="6A25CBC1" w14:textId="77777777">
        <w:tblPrEx>
          <w:tblCellMar>
            <w:top w:w="0" w:type="dxa"/>
            <w:bottom w:w="0" w:type="dxa"/>
          </w:tblCellMar>
        </w:tblPrEx>
        <w:trPr>
          <w:trHeight w:val="147"/>
          <w:jc w:val="center"/>
        </w:trPr>
        <w:tc>
          <w:tcPr>
            <w:tcW w:w="4047" w:type="dxa"/>
            <w:tcBorders>
              <w:right w:val="single" w:sz="4" w:space="0" w:color="000000"/>
            </w:tcBorders>
            <w:shd w:val="clear" w:color="auto" w:fill="auto"/>
            <w:noWrap/>
            <w:tcMar>
              <w:top w:w="0" w:type="dxa"/>
              <w:left w:w="28" w:type="dxa"/>
              <w:bottom w:w="0" w:type="dxa"/>
              <w:right w:w="28" w:type="dxa"/>
            </w:tcMar>
          </w:tcPr>
          <w:p w14:paraId="226D72B6" w14:textId="77777777" w:rsidR="00052596" w:rsidRDefault="00000000">
            <w:pPr>
              <w:widowControl/>
              <w:overflowPunct w:val="0"/>
              <w:autoSpaceDE w:val="0"/>
              <w:spacing w:line="320" w:lineRule="exact"/>
              <w:ind w:left="480" w:hanging="168"/>
              <w:jc w:val="both"/>
              <w:rPr>
                <w:rFonts w:eastAsia="標楷體"/>
                <w:kern w:val="0"/>
                <w:szCs w:val="24"/>
              </w:rPr>
            </w:pPr>
            <w:r>
              <w:rPr>
                <w:rFonts w:eastAsia="標楷體"/>
                <w:kern w:val="0"/>
                <w:szCs w:val="24"/>
              </w:rPr>
              <w:t>6.</w:t>
            </w:r>
            <w:r>
              <w:rPr>
                <w:rFonts w:eastAsia="標楷體"/>
                <w:kern w:val="0"/>
                <w:szCs w:val="24"/>
              </w:rPr>
              <w:t>食品藥物違規廣告率</w:t>
            </w:r>
          </w:p>
        </w:tc>
        <w:tc>
          <w:tcPr>
            <w:tcW w:w="850" w:type="dxa"/>
            <w:tcBorders>
              <w:right w:val="single" w:sz="4" w:space="0" w:color="000000"/>
            </w:tcBorders>
            <w:shd w:val="clear" w:color="auto" w:fill="auto"/>
            <w:noWrap/>
            <w:tcMar>
              <w:top w:w="0" w:type="dxa"/>
              <w:left w:w="28" w:type="dxa"/>
              <w:bottom w:w="0" w:type="dxa"/>
              <w:right w:w="28" w:type="dxa"/>
            </w:tcMar>
          </w:tcPr>
          <w:p w14:paraId="5BD687EF" w14:textId="77777777" w:rsidR="00052596" w:rsidRDefault="00000000">
            <w:pPr>
              <w:widowControl/>
              <w:overflowPunct w:val="0"/>
              <w:autoSpaceDE w:val="0"/>
              <w:spacing w:line="320" w:lineRule="exact"/>
              <w:jc w:val="center"/>
              <w:rPr>
                <w:kern w:val="0"/>
                <w:szCs w:val="24"/>
              </w:rPr>
            </w:pPr>
            <w:r>
              <w:rPr>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5029B12B"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5.21</w:t>
            </w:r>
          </w:p>
        </w:tc>
        <w:tc>
          <w:tcPr>
            <w:tcW w:w="1276" w:type="dxa"/>
            <w:tcBorders>
              <w:right w:val="single" w:sz="4" w:space="0" w:color="000000"/>
            </w:tcBorders>
            <w:shd w:val="clear" w:color="auto" w:fill="auto"/>
            <w:noWrap/>
            <w:tcMar>
              <w:top w:w="0" w:type="dxa"/>
              <w:left w:w="28" w:type="dxa"/>
              <w:bottom w:w="0" w:type="dxa"/>
              <w:right w:w="28" w:type="dxa"/>
            </w:tcMar>
          </w:tcPr>
          <w:p w14:paraId="6A7E9430"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&lt;6</w:t>
            </w:r>
          </w:p>
        </w:tc>
        <w:tc>
          <w:tcPr>
            <w:tcW w:w="1324" w:type="dxa"/>
            <w:shd w:val="clear" w:color="auto" w:fill="auto"/>
            <w:noWrap/>
            <w:tcMar>
              <w:top w:w="0" w:type="dxa"/>
              <w:left w:w="28" w:type="dxa"/>
              <w:bottom w:w="0" w:type="dxa"/>
              <w:right w:w="28" w:type="dxa"/>
            </w:tcMar>
          </w:tcPr>
          <w:p w14:paraId="1507DFEA"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&lt;5</w:t>
            </w:r>
          </w:p>
        </w:tc>
      </w:tr>
      <w:tr w:rsidR="00052596" w14:paraId="16A30C29" w14:textId="77777777">
        <w:tblPrEx>
          <w:tblCellMar>
            <w:top w:w="0" w:type="dxa"/>
            <w:bottom w:w="0" w:type="dxa"/>
          </w:tblCellMar>
        </w:tblPrEx>
        <w:trPr>
          <w:cantSplit/>
          <w:trHeight w:val="252"/>
          <w:jc w:val="center"/>
        </w:trPr>
        <w:tc>
          <w:tcPr>
            <w:tcW w:w="4047" w:type="dxa"/>
            <w:tcBorders>
              <w:right w:val="single" w:sz="4" w:space="0" w:color="000000"/>
            </w:tcBorders>
            <w:shd w:val="clear" w:color="auto" w:fill="auto"/>
            <w:noWrap/>
            <w:tcMar>
              <w:top w:w="0" w:type="dxa"/>
              <w:left w:w="28" w:type="dxa"/>
              <w:bottom w:w="0" w:type="dxa"/>
              <w:right w:w="28" w:type="dxa"/>
            </w:tcMar>
          </w:tcPr>
          <w:p w14:paraId="47068A59" w14:textId="77777777" w:rsidR="00052596" w:rsidRDefault="00000000">
            <w:pPr>
              <w:widowControl/>
              <w:overflowPunct w:val="0"/>
              <w:autoSpaceDE w:val="0"/>
              <w:spacing w:line="320" w:lineRule="exact"/>
              <w:ind w:left="480" w:hanging="168"/>
              <w:jc w:val="both"/>
              <w:rPr>
                <w:rFonts w:eastAsia="標楷體"/>
                <w:kern w:val="0"/>
                <w:szCs w:val="24"/>
              </w:rPr>
            </w:pPr>
            <w:r>
              <w:rPr>
                <w:rFonts w:eastAsia="標楷體"/>
                <w:kern w:val="0"/>
                <w:szCs w:val="24"/>
              </w:rPr>
              <w:t>7.</w:t>
            </w:r>
            <w:r>
              <w:rPr>
                <w:rFonts w:eastAsia="標楷體"/>
                <w:kern w:val="0"/>
                <w:szCs w:val="24"/>
              </w:rPr>
              <w:t>食品中添加物監測檢驗合格率</w:t>
            </w:r>
          </w:p>
        </w:tc>
        <w:tc>
          <w:tcPr>
            <w:tcW w:w="850" w:type="dxa"/>
            <w:tcBorders>
              <w:right w:val="single" w:sz="4" w:space="0" w:color="000000"/>
            </w:tcBorders>
            <w:shd w:val="clear" w:color="auto" w:fill="auto"/>
            <w:noWrap/>
            <w:tcMar>
              <w:top w:w="0" w:type="dxa"/>
              <w:left w:w="28" w:type="dxa"/>
              <w:bottom w:w="0" w:type="dxa"/>
              <w:right w:w="28" w:type="dxa"/>
            </w:tcMar>
          </w:tcPr>
          <w:p w14:paraId="60F64D00" w14:textId="77777777" w:rsidR="00052596" w:rsidRDefault="00000000">
            <w:pPr>
              <w:widowControl/>
              <w:overflowPunct w:val="0"/>
              <w:autoSpaceDE w:val="0"/>
              <w:spacing w:line="320" w:lineRule="exact"/>
              <w:jc w:val="center"/>
              <w:rPr>
                <w:kern w:val="0"/>
                <w:szCs w:val="24"/>
              </w:rPr>
            </w:pPr>
            <w:r>
              <w:rPr>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63F4DC94"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81</w:t>
            </w:r>
          </w:p>
        </w:tc>
        <w:tc>
          <w:tcPr>
            <w:tcW w:w="1276" w:type="dxa"/>
            <w:tcBorders>
              <w:right w:val="single" w:sz="4" w:space="0" w:color="000000"/>
            </w:tcBorders>
            <w:shd w:val="clear" w:color="auto" w:fill="auto"/>
            <w:noWrap/>
            <w:tcMar>
              <w:top w:w="0" w:type="dxa"/>
              <w:left w:w="28" w:type="dxa"/>
              <w:bottom w:w="0" w:type="dxa"/>
              <w:right w:w="28" w:type="dxa"/>
            </w:tcMar>
          </w:tcPr>
          <w:p w14:paraId="43BF02F7"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83</w:t>
            </w:r>
          </w:p>
        </w:tc>
        <w:tc>
          <w:tcPr>
            <w:tcW w:w="1324" w:type="dxa"/>
            <w:shd w:val="clear" w:color="auto" w:fill="auto"/>
            <w:noWrap/>
            <w:tcMar>
              <w:top w:w="0" w:type="dxa"/>
              <w:left w:w="28" w:type="dxa"/>
              <w:bottom w:w="0" w:type="dxa"/>
              <w:right w:w="28" w:type="dxa"/>
            </w:tcMar>
          </w:tcPr>
          <w:p w14:paraId="11E19879"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88</w:t>
            </w:r>
          </w:p>
        </w:tc>
      </w:tr>
      <w:tr w:rsidR="00052596" w14:paraId="1EF3C576" w14:textId="77777777">
        <w:tblPrEx>
          <w:tblCellMar>
            <w:top w:w="0" w:type="dxa"/>
            <w:bottom w:w="0" w:type="dxa"/>
          </w:tblCellMar>
        </w:tblPrEx>
        <w:trPr>
          <w:trHeight w:val="356"/>
          <w:jc w:val="center"/>
        </w:trPr>
        <w:tc>
          <w:tcPr>
            <w:tcW w:w="4047" w:type="dxa"/>
            <w:tcBorders>
              <w:right w:val="single" w:sz="4" w:space="0" w:color="000000"/>
            </w:tcBorders>
            <w:shd w:val="clear" w:color="auto" w:fill="auto"/>
            <w:noWrap/>
            <w:tcMar>
              <w:top w:w="0" w:type="dxa"/>
              <w:left w:w="28" w:type="dxa"/>
              <w:bottom w:w="0" w:type="dxa"/>
              <w:right w:w="28" w:type="dxa"/>
            </w:tcMar>
          </w:tcPr>
          <w:p w14:paraId="08164F33"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8.</w:t>
            </w:r>
            <w:r>
              <w:rPr>
                <w:rFonts w:eastAsia="標楷體"/>
                <w:kern w:val="0"/>
                <w:szCs w:val="24"/>
              </w:rPr>
              <w:t>國內藥廠自用原料藥查核之符合率</w:t>
            </w:r>
          </w:p>
        </w:tc>
        <w:tc>
          <w:tcPr>
            <w:tcW w:w="850" w:type="dxa"/>
            <w:tcBorders>
              <w:right w:val="single" w:sz="4" w:space="0" w:color="000000"/>
            </w:tcBorders>
            <w:shd w:val="clear" w:color="auto" w:fill="auto"/>
            <w:noWrap/>
            <w:tcMar>
              <w:top w:w="0" w:type="dxa"/>
              <w:left w:w="28" w:type="dxa"/>
              <w:bottom w:w="0" w:type="dxa"/>
              <w:right w:w="28" w:type="dxa"/>
            </w:tcMar>
          </w:tcPr>
          <w:p w14:paraId="5AE903E2" w14:textId="77777777" w:rsidR="00052596" w:rsidRDefault="00000000">
            <w:pPr>
              <w:widowControl/>
              <w:overflowPunct w:val="0"/>
              <w:autoSpaceDE w:val="0"/>
              <w:spacing w:line="320" w:lineRule="exact"/>
              <w:jc w:val="center"/>
              <w:rPr>
                <w:kern w:val="0"/>
                <w:szCs w:val="24"/>
              </w:rPr>
            </w:pPr>
            <w:r>
              <w:rPr>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3846E352"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50</w:t>
            </w:r>
          </w:p>
        </w:tc>
        <w:tc>
          <w:tcPr>
            <w:tcW w:w="1276" w:type="dxa"/>
            <w:tcBorders>
              <w:right w:val="single" w:sz="4" w:space="0" w:color="000000"/>
            </w:tcBorders>
            <w:shd w:val="clear" w:color="auto" w:fill="auto"/>
            <w:noWrap/>
            <w:tcMar>
              <w:top w:w="0" w:type="dxa"/>
              <w:left w:w="28" w:type="dxa"/>
              <w:bottom w:w="0" w:type="dxa"/>
              <w:right w:w="28" w:type="dxa"/>
            </w:tcMar>
          </w:tcPr>
          <w:p w14:paraId="128BA20D"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70</w:t>
            </w:r>
          </w:p>
        </w:tc>
        <w:tc>
          <w:tcPr>
            <w:tcW w:w="1324" w:type="dxa"/>
            <w:shd w:val="clear" w:color="auto" w:fill="auto"/>
            <w:noWrap/>
            <w:tcMar>
              <w:top w:w="0" w:type="dxa"/>
              <w:left w:w="28" w:type="dxa"/>
              <w:bottom w:w="0" w:type="dxa"/>
              <w:right w:w="28" w:type="dxa"/>
            </w:tcMar>
          </w:tcPr>
          <w:p w14:paraId="11D4775C"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90</w:t>
            </w:r>
          </w:p>
        </w:tc>
      </w:tr>
      <w:tr w:rsidR="00052596" w14:paraId="0F34B9AB" w14:textId="77777777">
        <w:tblPrEx>
          <w:tblCellMar>
            <w:top w:w="0" w:type="dxa"/>
            <w:bottom w:w="0" w:type="dxa"/>
          </w:tblCellMar>
        </w:tblPrEx>
        <w:trPr>
          <w:cantSplit/>
          <w:trHeight w:val="152"/>
          <w:jc w:val="center"/>
        </w:trPr>
        <w:tc>
          <w:tcPr>
            <w:tcW w:w="4047" w:type="dxa"/>
            <w:tcBorders>
              <w:right w:val="single" w:sz="4" w:space="0" w:color="000000"/>
            </w:tcBorders>
            <w:shd w:val="clear" w:color="auto" w:fill="auto"/>
            <w:noWrap/>
            <w:tcMar>
              <w:top w:w="0" w:type="dxa"/>
              <w:left w:w="28" w:type="dxa"/>
              <w:bottom w:w="0" w:type="dxa"/>
              <w:right w:w="28" w:type="dxa"/>
            </w:tcMar>
          </w:tcPr>
          <w:p w14:paraId="08EB0CD2" w14:textId="77777777" w:rsidR="00052596" w:rsidRDefault="00000000">
            <w:pPr>
              <w:widowControl/>
              <w:overflowPunct w:val="0"/>
              <w:autoSpaceDE w:val="0"/>
              <w:spacing w:line="320" w:lineRule="exact"/>
              <w:ind w:left="480" w:hanging="168"/>
              <w:jc w:val="both"/>
              <w:rPr>
                <w:rFonts w:eastAsia="標楷體"/>
                <w:kern w:val="0"/>
                <w:szCs w:val="24"/>
              </w:rPr>
            </w:pPr>
            <w:r>
              <w:rPr>
                <w:rFonts w:eastAsia="標楷體"/>
                <w:kern w:val="0"/>
                <w:szCs w:val="24"/>
              </w:rPr>
              <w:t>9.</w:t>
            </w:r>
            <w:r>
              <w:rPr>
                <w:rFonts w:eastAsia="標楷體"/>
                <w:kern w:val="0"/>
                <w:szCs w:val="24"/>
              </w:rPr>
              <w:t>愛滋病感染人數年增率</w:t>
            </w:r>
          </w:p>
        </w:tc>
        <w:tc>
          <w:tcPr>
            <w:tcW w:w="850" w:type="dxa"/>
            <w:tcBorders>
              <w:right w:val="single" w:sz="4" w:space="0" w:color="000000"/>
            </w:tcBorders>
            <w:shd w:val="clear" w:color="auto" w:fill="auto"/>
            <w:noWrap/>
            <w:tcMar>
              <w:top w:w="0" w:type="dxa"/>
              <w:left w:w="28" w:type="dxa"/>
              <w:bottom w:w="0" w:type="dxa"/>
              <w:right w:w="28" w:type="dxa"/>
            </w:tcMar>
          </w:tcPr>
          <w:p w14:paraId="3C579CAC" w14:textId="77777777" w:rsidR="00052596" w:rsidRDefault="00000000">
            <w:pPr>
              <w:widowControl/>
              <w:overflowPunct w:val="0"/>
              <w:autoSpaceDE w:val="0"/>
              <w:spacing w:line="320" w:lineRule="exact"/>
              <w:jc w:val="center"/>
              <w:rPr>
                <w:kern w:val="0"/>
                <w:szCs w:val="24"/>
              </w:rPr>
            </w:pPr>
            <w:r>
              <w:rPr>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082237CC"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14</w:t>
            </w:r>
          </w:p>
        </w:tc>
        <w:tc>
          <w:tcPr>
            <w:tcW w:w="1276" w:type="dxa"/>
            <w:tcBorders>
              <w:right w:val="single" w:sz="4" w:space="0" w:color="000000"/>
            </w:tcBorders>
            <w:shd w:val="clear" w:color="auto" w:fill="auto"/>
            <w:noWrap/>
            <w:tcMar>
              <w:top w:w="0" w:type="dxa"/>
              <w:left w:w="28" w:type="dxa"/>
              <w:bottom w:w="0" w:type="dxa"/>
              <w:right w:w="28" w:type="dxa"/>
            </w:tcMar>
          </w:tcPr>
          <w:p w14:paraId="23C34143"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pPr>
            <w:r>
              <w:rPr>
                <w:rFonts w:eastAsia="標楷體"/>
                <w:spacing w:val="4"/>
                <w:kern w:val="0"/>
                <w:szCs w:val="24"/>
              </w:rPr>
              <w:t>13.5</w:t>
            </w:r>
            <w:r>
              <w:rPr>
                <w:rFonts w:eastAsia="標楷體"/>
                <w:spacing w:val="4"/>
                <w:kern w:val="0"/>
                <w:szCs w:val="24"/>
                <w:vertAlign w:val="superscript"/>
              </w:rPr>
              <w:t>2</w:t>
            </w:r>
          </w:p>
        </w:tc>
        <w:tc>
          <w:tcPr>
            <w:tcW w:w="1324" w:type="dxa"/>
            <w:shd w:val="clear" w:color="auto" w:fill="auto"/>
            <w:noWrap/>
            <w:tcMar>
              <w:top w:w="0" w:type="dxa"/>
              <w:left w:w="28" w:type="dxa"/>
              <w:bottom w:w="0" w:type="dxa"/>
              <w:right w:w="28" w:type="dxa"/>
            </w:tcMar>
          </w:tcPr>
          <w:p w14:paraId="14AB6B01"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pPr>
            <w:r>
              <w:rPr>
                <w:rFonts w:eastAsia="標楷體"/>
                <w:spacing w:val="4"/>
                <w:kern w:val="0"/>
                <w:szCs w:val="24"/>
              </w:rPr>
              <w:t>12</w:t>
            </w:r>
            <w:r>
              <w:rPr>
                <w:rFonts w:eastAsia="標楷體"/>
                <w:spacing w:val="4"/>
                <w:kern w:val="0"/>
                <w:szCs w:val="24"/>
                <w:vertAlign w:val="superscript"/>
              </w:rPr>
              <w:t>2</w:t>
            </w:r>
          </w:p>
        </w:tc>
      </w:tr>
      <w:tr w:rsidR="00052596" w14:paraId="727A1E32" w14:textId="77777777">
        <w:tblPrEx>
          <w:tblCellMar>
            <w:top w:w="0" w:type="dxa"/>
            <w:bottom w:w="0" w:type="dxa"/>
          </w:tblCellMar>
        </w:tblPrEx>
        <w:trPr>
          <w:trHeight w:val="255"/>
          <w:jc w:val="center"/>
        </w:trPr>
        <w:tc>
          <w:tcPr>
            <w:tcW w:w="4047" w:type="dxa"/>
            <w:tcBorders>
              <w:right w:val="single" w:sz="4" w:space="0" w:color="000000"/>
            </w:tcBorders>
            <w:shd w:val="clear" w:color="auto" w:fill="auto"/>
            <w:noWrap/>
            <w:tcMar>
              <w:top w:w="0" w:type="dxa"/>
              <w:left w:w="28" w:type="dxa"/>
              <w:bottom w:w="0" w:type="dxa"/>
              <w:right w:w="28" w:type="dxa"/>
            </w:tcMar>
          </w:tcPr>
          <w:p w14:paraId="74C3805A" w14:textId="77777777" w:rsidR="00052596" w:rsidRDefault="00000000">
            <w:pPr>
              <w:widowControl/>
              <w:overflowPunct w:val="0"/>
              <w:autoSpaceDE w:val="0"/>
              <w:spacing w:line="320" w:lineRule="exact"/>
              <w:ind w:left="336" w:hanging="168"/>
              <w:jc w:val="both"/>
            </w:pPr>
            <w:r>
              <w:rPr>
                <w:rFonts w:eastAsia="標楷體"/>
                <w:kern w:val="0"/>
                <w:szCs w:val="24"/>
              </w:rPr>
              <w:t>10.</w:t>
            </w:r>
            <w:r>
              <w:rPr>
                <w:rFonts w:eastAsia="標楷體"/>
                <w:kern w:val="0"/>
                <w:szCs w:val="24"/>
              </w:rPr>
              <w:t>腸</w:t>
            </w:r>
            <w:r>
              <w:rPr>
                <w:rFonts w:eastAsia="標楷體"/>
                <w:color w:val="000000"/>
                <w:kern w:val="0"/>
                <w:szCs w:val="24"/>
              </w:rPr>
              <w:t>病毒</w:t>
            </w:r>
            <w:r>
              <w:rPr>
                <w:rFonts w:eastAsia="標楷體"/>
                <w:kern w:val="0"/>
                <w:szCs w:val="24"/>
              </w:rPr>
              <w:t>重症致死率</w:t>
            </w:r>
          </w:p>
        </w:tc>
        <w:tc>
          <w:tcPr>
            <w:tcW w:w="850" w:type="dxa"/>
            <w:tcBorders>
              <w:right w:val="single" w:sz="4" w:space="0" w:color="000000"/>
            </w:tcBorders>
            <w:shd w:val="clear" w:color="auto" w:fill="auto"/>
            <w:noWrap/>
            <w:tcMar>
              <w:top w:w="0" w:type="dxa"/>
              <w:left w:w="28" w:type="dxa"/>
              <w:bottom w:w="0" w:type="dxa"/>
              <w:right w:w="28" w:type="dxa"/>
            </w:tcMar>
          </w:tcPr>
          <w:p w14:paraId="0B1FF57C" w14:textId="77777777" w:rsidR="00052596" w:rsidRDefault="00000000">
            <w:pPr>
              <w:widowControl/>
              <w:overflowPunct w:val="0"/>
              <w:autoSpaceDE w:val="0"/>
              <w:spacing w:line="320" w:lineRule="exact"/>
              <w:jc w:val="center"/>
              <w:rPr>
                <w:kern w:val="0"/>
                <w:szCs w:val="24"/>
              </w:rPr>
            </w:pPr>
            <w:r>
              <w:rPr>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64194207"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6.8</w:t>
            </w:r>
          </w:p>
          <w:p w14:paraId="3806F849"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(100</w:t>
            </w:r>
            <w:r>
              <w:rPr>
                <w:rFonts w:eastAsia="標楷體"/>
                <w:spacing w:val="4"/>
                <w:kern w:val="0"/>
                <w:szCs w:val="24"/>
              </w:rPr>
              <w:t>年</w:t>
            </w:r>
            <w:r>
              <w:rPr>
                <w:rFonts w:eastAsia="標楷體"/>
                <w:spacing w:val="4"/>
                <w:kern w:val="0"/>
                <w:szCs w:val="24"/>
              </w:rPr>
              <w:t>)</w:t>
            </w:r>
          </w:p>
        </w:tc>
        <w:tc>
          <w:tcPr>
            <w:tcW w:w="1276" w:type="dxa"/>
            <w:tcBorders>
              <w:right w:val="single" w:sz="4" w:space="0" w:color="000000"/>
            </w:tcBorders>
            <w:shd w:val="clear" w:color="auto" w:fill="auto"/>
            <w:noWrap/>
            <w:tcMar>
              <w:top w:w="0" w:type="dxa"/>
              <w:left w:w="28" w:type="dxa"/>
              <w:bottom w:w="0" w:type="dxa"/>
              <w:right w:w="28" w:type="dxa"/>
            </w:tcMar>
          </w:tcPr>
          <w:p w14:paraId="7E6FD804"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10.4</w:t>
            </w:r>
          </w:p>
        </w:tc>
        <w:tc>
          <w:tcPr>
            <w:tcW w:w="1324" w:type="dxa"/>
            <w:shd w:val="clear" w:color="auto" w:fill="auto"/>
            <w:noWrap/>
            <w:tcMar>
              <w:top w:w="0" w:type="dxa"/>
              <w:left w:w="28" w:type="dxa"/>
              <w:bottom w:w="0" w:type="dxa"/>
              <w:right w:w="28" w:type="dxa"/>
            </w:tcMar>
          </w:tcPr>
          <w:p w14:paraId="23BF06F1"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10.0</w:t>
            </w:r>
          </w:p>
        </w:tc>
      </w:tr>
      <w:tr w:rsidR="00052596" w14:paraId="1A8F8EED" w14:textId="77777777">
        <w:tblPrEx>
          <w:tblCellMar>
            <w:top w:w="0" w:type="dxa"/>
            <w:bottom w:w="0" w:type="dxa"/>
          </w:tblCellMar>
        </w:tblPrEx>
        <w:trPr>
          <w:trHeight w:val="234"/>
          <w:jc w:val="center"/>
        </w:trPr>
        <w:tc>
          <w:tcPr>
            <w:tcW w:w="4047" w:type="dxa"/>
            <w:tcBorders>
              <w:right w:val="single" w:sz="4" w:space="0" w:color="000000"/>
            </w:tcBorders>
            <w:shd w:val="clear" w:color="auto" w:fill="auto"/>
            <w:noWrap/>
            <w:tcMar>
              <w:top w:w="0" w:type="dxa"/>
              <w:left w:w="28" w:type="dxa"/>
              <w:bottom w:w="0" w:type="dxa"/>
              <w:right w:w="28" w:type="dxa"/>
            </w:tcMar>
          </w:tcPr>
          <w:p w14:paraId="51E54B6A" w14:textId="77777777" w:rsidR="00052596" w:rsidRDefault="00000000">
            <w:pPr>
              <w:widowControl/>
              <w:overflowPunct w:val="0"/>
              <w:autoSpaceDE w:val="0"/>
              <w:spacing w:line="320" w:lineRule="exact"/>
              <w:ind w:left="336" w:hanging="168"/>
              <w:jc w:val="both"/>
            </w:pPr>
            <w:r>
              <w:rPr>
                <w:rFonts w:eastAsia="標楷體"/>
                <w:kern w:val="0"/>
                <w:szCs w:val="24"/>
              </w:rPr>
              <w:t>11.</w:t>
            </w:r>
            <w:r>
              <w:rPr>
                <w:rFonts w:eastAsia="標楷體"/>
                <w:kern w:val="0"/>
                <w:szCs w:val="24"/>
              </w:rPr>
              <w:t>各項</w:t>
            </w:r>
            <w:r>
              <w:rPr>
                <w:rFonts w:eastAsia="標楷體"/>
                <w:color w:val="000000"/>
                <w:kern w:val="0"/>
                <w:szCs w:val="24"/>
              </w:rPr>
              <w:t>常規</w:t>
            </w:r>
            <w:r>
              <w:rPr>
                <w:rFonts w:eastAsia="標楷體"/>
                <w:kern w:val="0"/>
                <w:szCs w:val="24"/>
              </w:rPr>
              <w:t>疫苗接種完成率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648B0709" w14:textId="77777777" w:rsidR="00052596" w:rsidRDefault="00000000">
            <w:pPr>
              <w:widowControl/>
              <w:overflowPunct w:val="0"/>
              <w:autoSpaceDE w:val="0"/>
              <w:spacing w:line="320" w:lineRule="exact"/>
              <w:jc w:val="center"/>
              <w:rPr>
                <w:kern w:val="0"/>
                <w:szCs w:val="24"/>
              </w:rPr>
            </w:pPr>
            <w:r>
              <w:rPr>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499C2D4"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95</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9D421B2"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95</w:t>
            </w:r>
          </w:p>
        </w:tc>
        <w:tc>
          <w:tcPr>
            <w:tcW w:w="1324" w:type="dxa"/>
            <w:tcBorders>
              <w:left w:val="single" w:sz="4" w:space="0" w:color="000000"/>
            </w:tcBorders>
            <w:shd w:val="clear" w:color="auto" w:fill="auto"/>
            <w:noWrap/>
            <w:tcMar>
              <w:top w:w="0" w:type="dxa"/>
              <w:left w:w="28" w:type="dxa"/>
              <w:bottom w:w="0" w:type="dxa"/>
              <w:right w:w="28" w:type="dxa"/>
            </w:tcMar>
          </w:tcPr>
          <w:p w14:paraId="3A1D8BF8" w14:textId="77777777" w:rsidR="00052596" w:rsidRDefault="00000000">
            <w:pPr>
              <w:tabs>
                <w:tab w:val="left" w:pos="960"/>
                <w:tab w:val="left" w:pos="1920"/>
                <w:tab w:val="left" w:pos="2880"/>
                <w:tab w:val="left" w:pos="3840"/>
                <w:tab w:val="left" w:pos="4800"/>
                <w:tab w:val="left" w:pos="5760"/>
              </w:tabs>
              <w:overflowPunct w:val="0"/>
              <w:autoSpaceDE w:val="0"/>
              <w:spacing w:line="320" w:lineRule="exact"/>
              <w:ind w:left="272" w:right="48" w:hanging="171"/>
              <w:jc w:val="right"/>
              <w:textAlignment w:val="center"/>
              <w:rPr>
                <w:rFonts w:eastAsia="標楷體"/>
                <w:spacing w:val="4"/>
                <w:kern w:val="0"/>
                <w:szCs w:val="24"/>
              </w:rPr>
            </w:pPr>
            <w:r>
              <w:rPr>
                <w:rFonts w:eastAsia="標楷體"/>
                <w:spacing w:val="4"/>
                <w:kern w:val="0"/>
                <w:szCs w:val="24"/>
              </w:rPr>
              <w:t>95</w:t>
            </w:r>
          </w:p>
        </w:tc>
      </w:tr>
      <w:tr w:rsidR="00052596" w14:paraId="455C1A73" w14:textId="77777777">
        <w:tblPrEx>
          <w:tblCellMar>
            <w:top w:w="0" w:type="dxa"/>
            <w:bottom w:w="0" w:type="dxa"/>
          </w:tblCellMar>
        </w:tblPrEx>
        <w:trPr>
          <w:trHeight w:val="403"/>
          <w:jc w:val="center"/>
        </w:trPr>
        <w:tc>
          <w:tcPr>
            <w:tcW w:w="4047" w:type="dxa"/>
            <w:tcBorders>
              <w:right w:val="single" w:sz="4" w:space="0" w:color="000000"/>
            </w:tcBorders>
            <w:shd w:val="clear" w:color="auto" w:fill="auto"/>
            <w:noWrap/>
            <w:tcMar>
              <w:top w:w="0" w:type="dxa"/>
              <w:left w:w="28" w:type="dxa"/>
              <w:bottom w:w="0" w:type="dxa"/>
              <w:right w:w="28" w:type="dxa"/>
            </w:tcMar>
          </w:tcPr>
          <w:p w14:paraId="106AC7CF" w14:textId="77777777" w:rsidR="00052596" w:rsidRDefault="00000000">
            <w:pPr>
              <w:widowControl/>
              <w:overflowPunct w:val="0"/>
              <w:autoSpaceDE w:val="0"/>
              <w:spacing w:before="120" w:line="320" w:lineRule="exact"/>
              <w:ind w:left="168" w:hanging="168"/>
              <w:jc w:val="both"/>
              <w:rPr>
                <w:rFonts w:eastAsia="標楷體"/>
                <w:b/>
                <w:color w:val="800000"/>
                <w:kern w:val="0"/>
                <w:szCs w:val="24"/>
              </w:rPr>
            </w:pPr>
            <w:r>
              <w:rPr>
                <w:rFonts w:eastAsia="標楷體"/>
                <w:b/>
                <w:color w:val="800000"/>
                <w:kern w:val="0"/>
                <w:szCs w:val="24"/>
              </w:rPr>
              <w:t>扶幼護老</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6B7FFC08" w14:textId="77777777" w:rsidR="00052596" w:rsidRDefault="00052596">
            <w:pPr>
              <w:widowControl/>
              <w:overflowPunct w:val="0"/>
              <w:autoSpaceDE w:val="0"/>
              <w:spacing w:line="320" w:lineRule="exact"/>
              <w:jc w:val="center"/>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27F4A2B6" w14:textId="77777777" w:rsidR="00052596" w:rsidRDefault="00052596">
            <w:pPr>
              <w:widowControl/>
              <w:overflowPunct w:val="0"/>
              <w:autoSpaceDE w:val="0"/>
              <w:spacing w:line="320" w:lineRule="exact"/>
              <w:ind w:right="48"/>
              <w:jc w:val="right"/>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6F12F7DB" w14:textId="77777777" w:rsidR="00052596" w:rsidRDefault="00052596">
            <w:pPr>
              <w:widowControl/>
              <w:overflowPunct w:val="0"/>
              <w:autoSpaceDE w:val="0"/>
              <w:spacing w:line="320" w:lineRule="exact"/>
              <w:ind w:right="48"/>
              <w:jc w:val="right"/>
              <w:rPr>
                <w:rFonts w:eastAsia="標楷體"/>
                <w:kern w:val="0"/>
                <w:szCs w:val="24"/>
              </w:rPr>
            </w:pPr>
          </w:p>
        </w:tc>
        <w:tc>
          <w:tcPr>
            <w:tcW w:w="1324" w:type="dxa"/>
            <w:tcBorders>
              <w:left w:val="single" w:sz="4" w:space="0" w:color="000000"/>
            </w:tcBorders>
            <w:shd w:val="clear" w:color="auto" w:fill="auto"/>
            <w:noWrap/>
            <w:tcMar>
              <w:top w:w="0" w:type="dxa"/>
              <w:left w:w="28" w:type="dxa"/>
              <w:bottom w:w="0" w:type="dxa"/>
              <w:right w:w="28" w:type="dxa"/>
            </w:tcMar>
          </w:tcPr>
          <w:p w14:paraId="45BB814C" w14:textId="77777777" w:rsidR="00052596" w:rsidRDefault="00052596">
            <w:pPr>
              <w:widowControl/>
              <w:overflowPunct w:val="0"/>
              <w:autoSpaceDE w:val="0"/>
              <w:spacing w:line="320" w:lineRule="exact"/>
              <w:ind w:right="48"/>
              <w:jc w:val="right"/>
              <w:rPr>
                <w:rFonts w:eastAsia="標楷體"/>
                <w:kern w:val="0"/>
                <w:szCs w:val="24"/>
              </w:rPr>
            </w:pPr>
          </w:p>
        </w:tc>
      </w:tr>
      <w:tr w:rsidR="00052596" w14:paraId="2C5A5DAE" w14:textId="77777777">
        <w:tblPrEx>
          <w:tblCellMar>
            <w:top w:w="0" w:type="dxa"/>
            <w:bottom w:w="0" w:type="dxa"/>
          </w:tblCellMar>
        </w:tblPrEx>
        <w:trPr>
          <w:trHeight w:val="157"/>
          <w:jc w:val="center"/>
        </w:trPr>
        <w:tc>
          <w:tcPr>
            <w:tcW w:w="4047" w:type="dxa"/>
            <w:tcBorders>
              <w:right w:val="single" w:sz="4" w:space="0" w:color="000000"/>
            </w:tcBorders>
            <w:shd w:val="clear" w:color="auto" w:fill="auto"/>
            <w:noWrap/>
            <w:tcMar>
              <w:top w:w="0" w:type="dxa"/>
              <w:left w:w="28" w:type="dxa"/>
              <w:bottom w:w="0" w:type="dxa"/>
              <w:right w:w="28" w:type="dxa"/>
            </w:tcMar>
          </w:tcPr>
          <w:p w14:paraId="796F7F72" w14:textId="77777777" w:rsidR="00052596" w:rsidRDefault="00000000">
            <w:pPr>
              <w:widowControl/>
              <w:overflowPunct w:val="0"/>
              <w:autoSpaceDE w:val="0"/>
              <w:spacing w:line="320" w:lineRule="exact"/>
              <w:ind w:left="629" w:hanging="317"/>
              <w:jc w:val="both"/>
              <w:rPr>
                <w:rFonts w:eastAsia="標楷體"/>
                <w:kern w:val="0"/>
                <w:szCs w:val="24"/>
              </w:rPr>
            </w:pPr>
            <w:r>
              <w:rPr>
                <w:rFonts w:eastAsia="標楷體"/>
                <w:kern w:val="0"/>
                <w:szCs w:val="24"/>
              </w:rPr>
              <w:t>1.5</w:t>
            </w:r>
            <w:r>
              <w:rPr>
                <w:rFonts w:eastAsia="標楷體"/>
                <w:kern w:val="0"/>
                <w:szCs w:val="24"/>
              </w:rPr>
              <w:t>歲幼兒入園率</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4579382B" w14:textId="77777777" w:rsidR="00052596" w:rsidRDefault="00000000">
            <w:pPr>
              <w:widowControl/>
              <w:overflowPunct w:val="0"/>
              <w:autoSpaceDE w:val="0"/>
              <w:spacing w:line="320" w:lineRule="exact"/>
              <w:jc w:val="center"/>
              <w:rPr>
                <w:rFonts w:eastAsia="標楷體"/>
                <w:spacing w:val="4"/>
                <w:kern w:val="0"/>
                <w:szCs w:val="24"/>
              </w:rPr>
            </w:pPr>
            <w:r>
              <w:rPr>
                <w:rFonts w:eastAsia="標楷體"/>
                <w:spacing w:val="4"/>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66C97EC" w14:textId="77777777" w:rsidR="00052596" w:rsidRDefault="00000000">
            <w:pPr>
              <w:widowControl/>
              <w:overflowPunct w:val="0"/>
              <w:autoSpaceDE w:val="0"/>
              <w:spacing w:line="320" w:lineRule="exact"/>
              <w:ind w:right="48"/>
              <w:jc w:val="right"/>
              <w:rPr>
                <w:rFonts w:eastAsia="標楷體"/>
                <w:spacing w:val="4"/>
                <w:kern w:val="0"/>
                <w:szCs w:val="24"/>
              </w:rPr>
            </w:pPr>
            <w:r>
              <w:rPr>
                <w:rFonts w:eastAsia="標楷體"/>
                <w:spacing w:val="4"/>
                <w:kern w:val="0"/>
                <w:szCs w:val="24"/>
              </w:rPr>
              <w:t>94</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1F0D0B75" w14:textId="77777777" w:rsidR="00052596" w:rsidRDefault="00000000">
            <w:pPr>
              <w:widowControl/>
              <w:overflowPunct w:val="0"/>
              <w:autoSpaceDE w:val="0"/>
              <w:spacing w:line="320" w:lineRule="exact"/>
              <w:ind w:right="48"/>
              <w:jc w:val="right"/>
            </w:pPr>
            <w:r>
              <w:rPr>
                <w:rFonts w:eastAsia="標楷體"/>
                <w:kern w:val="0"/>
                <w:szCs w:val="24"/>
              </w:rPr>
              <w:t>95</w:t>
            </w:r>
          </w:p>
        </w:tc>
        <w:tc>
          <w:tcPr>
            <w:tcW w:w="1324" w:type="dxa"/>
            <w:tcBorders>
              <w:left w:val="single" w:sz="4" w:space="0" w:color="000000"/>
            </w:tcBorders>
            <w:shd w:val="clear" w:color="auto" w:fill="auto"/>
            <w:noWrap/>
            <w:tcMar>
              <w:top w:w="0" w:type="dxa"/>
              <w:left w:w="28" w:type="dxa"/>
              <w:bottom w:w="0" w:type="dxa"/>
              <w:right w:w="28" w:type="dxa"/>
            </w:tcMar>
          </w:tcPr>
          <w:p w14:paraId="527D4F5C" w14:textId="77777777" w:rsidR="00052596" w:rsidRDefault="00000000">
            <w:pPr>
              <w:widowControl/>
              <w:overflowPunct w:val="0"/>
              <w:autoSpaceDE w:val="0"/>
              <w:spacing w:line="320" w:lineRule="exact"/>
              <w:ind w:right="48"/>
              <w:jc w:val="right"/>
              <w:rPr>
                <w:rFonts w:eastAsia="標楷體"/>
                <w:spacing w:val="4"/>
                <w:kern w:val="0"/>
                <w:szCs w:val="24"/>
              </w:rPr>
            </w:pPr>
            <w:r>
              <w:rPr>
                <w:rFonts w:eastAsia="標楷體"/>
                <w:spacing w:val="4"/>
                <w:kern w:val="0"/>
                <w:szCs w:val="24"/>
              </w:rPr>
              <w:t>96</w:t>
            </w:r>
          </w:p>
        </w:tc>
      </w:tr>
      <w:tr w:rsidR="00052596" w14:paraId="34913428" w14:textId="77777777">
        <w:tblPrEx>
          <w:tblCellMar>
            <w:top w:w="0" w:type="dxa"/>
            <w:bottom w:w="0" w:type="dxa"/>
          </w:tblCellMar>
        </w:tblPrEx>
        <w:trPr>
          <w:trHeight w:val="276"/>
          <w:jc w:val="center"/>
        </w:trPr>
        <w:tc>
          <w:tcPr>
            <w:tcW w:w="4047" w:type="dxa"/>
            <w:tcBorders>
              <w:right w:val="single" w:sz="4" w:space="0" w:color="000000"/>
            </w:tcBorders>
            <w:shd w:val="clear" w:color="auto" w:fill="auto"/>
            <w:noWrap/>
            <w:tcMar>
              <w:top w:w="0" w:type="dxa"/>
              <w:left w:w="28" w:type="dxa"/>
              <w:bottom w:w="0" w:type="dxa"/>
              <w:right w:w="28" w:type="dxa"/>
            </w:tcMar>
          </w:tcPr>
          <w:p w14:paraId="21C8AD36"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2.</w:t>
            </w:r>
            <w:r>
              <w:rPr>
                <w:rFonts w:eastAsia="標楷體"/>
                <w:kern w:val="0"/>
                <w:szCs w:val="24"/>
              </w:rPr>
              <w:t>社區保母系統保母人員成長數</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AA9B1A8" w14:textId="77777777" w:rsidR="00052596" w:rsidRDefault="00000000">
            <w:pPr>
              <w:widowControl/>
              <w:overflowPunct w:val="0"/>
              <w:autoSpaceDE w:val="0"/>
              <w:spacing w:line="320" w:lineRule="exact"/>
              <w:jc w:val="center"/>
              <w:rPr>
                <w:rFonts w:eastAsia="標楷體"/>
                <w:spacing w:val="4"/>
                <w:kern w:val="0"/>
                <w:szCs w:val="24"/>
              </w:rPr>
            </w:pPr>
            <w:r>
              <w:rPr>
                <w:rFonts w:eastAsia="標楷體"/>
                <w:spacing w:val="4"/>
                <w:kern w:val="0"/>
                <w:szCs w:val="24"/>
              </w:rPr>
              <w:t>人</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B1146FB" w14:textId="77777777" w:rsidR="00052596" w:rsidRDefault="00000000">
            <w:pPr>
              <w:widowControl/>
              <w:overflowPunct w:val="0"/>
              <w:autoSpaceDE w:val="0"/>
              <w:spacing w:line="320" w:lineRule="exact"/>
              <w:ind w:right="48"/>
              <w:jc w:val="right"/>
              <w:rPr>
                <w:rFonts w:eastAsia="標楷體"/>
                <w:spacing w:val="4"/>
                <w:kern w:val="0"/>
                <w:szCs w:val="24"/>
              </w:rPr>
            </w:pPr>
            <w:r>
              <w:rPr>
                <w:rFonts w:eastAsia="標楷體"/>
                <w:spacing w:val="4"/>
                <w:kern w:val="0"/>
                <w:szCs w:val="24"/>
              </w:rPr>
              <w:t>20,722</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0DCF9ED"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24,000</w:t>
            </w:r>
          </w:p>
        </w:tc>
        <w:tc>
          <w:tcPr>
            <w:tcW w:w="1324" w:type="dxa"/>
            <w:tcBorders>
              <w:left w:val="single" w:sz="4" w:space="0" w:color="000000"/>
            </w:tcBorders>
            <w:shd w:val="clear" w:color="auto" w:fill="auto"/>
            <w:noWrap/>
            <w:tcMar>
              <w:top w:w="0" w:type="dxa"/>
              <w:left w:w="28" w:type="dxa"/>
              <w:bottom w:w="0" w:type="dxa"/>
              <w:right w:w="28" w:type="dxa"/>
            </w:tcMar>
          </w:tcPr>
          <w:p w14:paraId="686CE4C4" w14:textId="77777777" w:rsidR="00052596" w:rsidRDefault="00000000">
            <w:pPr>
              <w:widowControl/>
              <w:overflowPunct w:val="0"/>
              <w:autoSpaceDE w:val="0"/>
              <w:spacing w:line="320" w:lineRule="exact"/>
              <w:ind w:right="48"/>
              <w:jc w:val="right"/>
              <w:rPr>
                <w:rFonts w:eastAsia="標楷體"/>
                <w:spacing w:val="4"/>
                <w:kern w:val="0"/>
                <w:szCs w:val="24"/>
              </w:rPr>
            </w:pPr>
            <w:r>
              <w:rPr>
                <w:rFonts w:eastAsia="標楷體"/>
                <w:spacing w:val="4"/>
                <w:kern w:val="0"/>
                <w:szCs w:val="24"/>
              </w:rPr>
              <w:t>30,000</w:t>
            </w:r>
          </w:p>
        </w:tc>
      </w:tr>
      <w:tr w:rsidR="00052596" w14:paraId="58DFAE1A" w14:textId="77777777">
        <w:tblPrEx>
          <w:tblCellMar>
            <w:top w:w="0" w:type="dxa"/>
            <w:bottom w:w="0" w:type="dxa"/>
          </w:tblCellMar>
        </w:tblPrEx>
        <w:trPr>
          <w:trHeight w:val="521"/>
          <w:jc w:val="center"/>
        </w:trPr>
        <w:tc>
          <w:tcPr>
            <w:tcW w:w="4047" w:type="dxa"/>
            <w:tcBorders>
              <w:right w:val="single" w:sz="4" w:space="0" w:color="000000"/>
            </w:tcBorders>
            <w:shd w:val="clear" w:color="auto" w:fill="auto"/>
            <w:noWrap/>
            <w:tcMar>
              <w:top w:w="0" w:type="dxa"/>
              <w:left w:w="28" w:type="dxa"/>
              <w:bottom w:w="0" w:type="dxa"/>
              <w:right w:w="28" w:type="dxa"/>
            </w:tcMar>
          </w:tcPr>
          <w:p w14:paraId="418AAD29"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3.</w:t>
            </w:r>
            <w:r>
              <w:rPr>
                <w:rFonts w:eastAsia="標楷體"/>
                <w:kern w:val="0"/>
                <w:szCs w:val="24"/>
              </w:rPr>
              <w:t>每年平均出生嬰兒數</w:t>
            </w:r>
          </w:p>
          <w:p w14:paraId="0021D471" w14:textId="77777777" w:rsidR="00052596" w:rsidRDefault="00052596">
            <w:pPr>
              <w:widowControl/>
              <w:overflowPunct w:val="0"/>
              <w:autoSpaceDE w:val="0"/>
              <w:spacing w:line="320" w:lineRule="exact"/>
              <w:ind w:left="504" w:hanging="192"/>
              <w:jc w:val="both"/>
              <w:rPr>
                <w:rFonts w:eastAsia="標楷體"/>
                <w:kern w:val="0"/>
                <w:szCs w:val="24"/>
              </w:rPr>
            </w:pP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CDF9EA9"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人</w:t>
            </w:r>
          </w:p>
          <w:p w14:paraId="19D6884C" w14:textId="77777777" w:rsidR="00052596" w:rsidRDefault="00052596">
            <w:pPr>
              <w:widowControl/>
              <w:overflowPunct w:val="0"/>
              <w:autoSpaceDE w:val="0"/>
              <w:spacing w:line="320" w:lineRule="exact"/>
              <w:jc w:val="center"/>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63797B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208,279</w:t>
            </w:r>
          </w:p>
          <w:p w14:paraId="2DC4F61E"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(1-11</w:t>
            </w:r>
            <w:r>
              <w:rPr>
                <w:rFonts w:eastAsia="標楷體"/>
                <w:kern w:val="0"/>
                <w:szCs w:val="24"/>
              </w:rPr>
              <w:t>月</w:t>
            </w: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822A92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180,000</w:t>
            </w:r>
          </w:p>
          <w:p w14:paraId="64C0F9BD" w14:textId="77777777" w:rsidR="00052596" w:rsidRDefault="00052596">
            <w:pPr>
              <w:widowControl/>
              <w:overflowPunct w:val="0"/>
              <w:autoSpaceDE w:val="0"/>
              <w:spacing w:line="320" w:lineRule="exact"/>
              <w:ind w:right="48"/>
              <w:jc w:val="right"/>
              <w:rPr>
                <w:rFonts w:eastAsia="標楷體"/>
                <w:kern w:val="0"/>
                <w:szCs w:val="24"/>
              </w:rPr>
            </w:pPr>
          </w:p>
        </w:tc>
        <w:tc>
          <w:tcPr>
            <w:tcW w:w="1324" w:type="dxa"/>
            <w:tcBorders>
              <w:left w:val="single" w:sz="4" w:space="0" w:color="000000"/>
            </w:tcBorders>
            <w:shd w:val="clear" w:color="auto" w:fill="auto"/>
            <w:noWrap/>
            <w:tcMar>
              <w:top w:w="0" w:type="dxa"/>
              <w:left w:w="28" w:type="dxa"/>
              <w:bottom w:w="0" w:type="dxa"/>
              <w:right w:w="28" w:type="dxa"/>
            </w:tcMar>
          </w:tcPr>
          <w:p w14:paraId="5A39B222" w14:textId="77777777" w:rsidR="00052596" w:rsidRDefault="00000000">
            <w:pPr>
              <w:widowControl/>
              <w:overflowPunct w:val="0"/>
              <w:autoSpaceDE w:val="0"/>
              <w:spacing w:line="320" w:lineRule="exact"/>
              <w:ind w:right="48"/>
              <w:jc w:val="right"/>
            </w:pPr>
            <w:r>
              <w:rPr>
                <w:rFonts w:eastAsia="標楷體"/>
                <w:kern w:val="0"/>
                <w:szCs w:val="24"/>
              </w:rPr>
              <w:t>180,000</w:t>
            </w:r>
            <w:r>
              <w:rPr>
                <w:rFonts w:eastAsia="標楷體"/>
                <w:kern w:val="0"/>
                <w:szCs w:val="24"/>
                <w:vertAlign w:val="superscript"/>
              </w:rPr>
              <w:t>3</w:t>
            </w:r>
          </w:p>
          <w:p w14:paraId="7273A075" w14:textId="77777777" w:rsidR="00052596" w:rsidRDefault="00052596">
            <w:pPr>
              <w:widowControl/>
              <w:overflowPunct w:val="0"/>
              <w:autoSpaceDE w:val="0"/>
              <w:spacing w:line="320" w:lineRule="exact"/>
              <w:ind w:right="48"/>
              <w:jc w:val="right"/>
              <w:rPr>
                <w:rFonts w:eastAsia="標楷體"/>
                <w:kern w:val="0"/>
                <w:szCs w:val="24"/>
              </w:rPr>
            </w:pPr>
          </w:p>
        </w:tc>
      </w:tr>
      <w:tr w:rsidR="00052596" w14:paraId="5B02E006" w14:textId="77777777">
        <w:tblPrEx>
          <w:tblCellMar>
            <w:top w:w="0" w:type="dxa"/>
            <w:bottom w:w="0" w:type="dxa"/>
          </w:tblCellMar>
        </w:tblPrEx>
        <w:trPr>
          <w:trHeight w:val="147"/>
          <w:jc w:val="center"/>
        </w:trPr>
        <w:tc>
          <w:tcPr>
            <w:tcW w:w="4047" w:type="dxa"/>
            <w:tcBorders>
              <w:right w:val="single" w:sz="4" w:space="0" w:color="000000"/>
            </w:tcBorders>
            <w:shd w:val="clear" w:color="auto" w:fill="auto"/>
            <w:noWrap/>
            <w:tcMar>
              <w:top w:w="0" w:type="dxa"/>
              <w:left w:w="28" w:type="dxa"/>
              <w:bottom w:w="0" w:type="dxa"/>
              <w:right w:w="28" w:type="dxa"/>
            </w:tcMar>
          </w:tcPr>
          <w:p w14:paraId="1826F031" w14:textId="77777777" w:rsidR="00052596" w:rsidRDefault="00000000">
            <w:pPr>
              <w:widowControl/>
              <w:overflowPunct w:val="0"/>
              <w:autoSpaceDE w:val="0"/>
              <w:spacing w:line="320" w:lineRule="exact"/>
              <w:ind w:left="629" w:hanging="317"/>
              <w:jc w:val="both"/>
              <w:rPr>
                <w:rFonts w:eastAsia="標楷體"/>
                <w:kern w:val="0"/>
                <w:szCs w:val="24"/>
              </w:rPr>
            </w:pPr>
            <w:r>
              <w:rPr>
                <w:rFonts w:eastAsia="標楷體"/>
                <w:kern w:val="0"/>
                <w:szCs w:val="24"/>
              </w:rPr>
              <w:t>4.</w:t>
            </w:r>
            <w:r>
              <w:rPr>
                <w:rFonts w:eastAsia="標楷體"/>
                <w:kern w:val="0"/>
                <w:szCs w:val="24"/>
              </w:rPr>
              <w:t>長照服務涵蓋成長率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8D94BFD" w14:textId="77777777" w:rsidR="00052596" w:rsidRDefault="00000000">
            <w:pPr>
              <w:widowControl/>
              <w:overflowPunct w:val="0"/>
              <w:autoSpaceDE w:val="0"/>
              <w:spacing w:line="320" w:lineRule="exact"/>
              <w:jc w:val="center"/>
              <w:rPr>
                <w:rFonts w:eastAsia="標楷體"/>
                <w:spacing w:val="4"/>
                <w:kern w:val="0"/>
                <w:szCs w:val="24"/>
              </w:rPr>
            </w:pPr>
            <w:r>
              <w:rPr>
                <w:rFonts w:eastAsia="標楷體"/>
                <w:spacing w:val="4"/>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3344E7A0" w14:textId="77777777" w:rsidR="00052596" w:rsidRDefault="00000000">
            <w:pPr>
              <w:widowControl/>
              <w:overflowPunct w:val="0"/>
              <w:autoSpaceDE w:val="0"/>
              <w:spacing w:line="320" w:lineRule="exact"/>
              <w:ind w:right="48"/>
              <w:jc w:val="right"/>
              <w:rPr>
                <w:rFonts w:eastAsia="標楷體"/>
                <w:spacing w:val="4"/>
                <w:kern w:val="0"/>
                <w:szCs w:val="24"/>
              </w:rPr>
            </w:pPr>
            <w:r>
              <w:rPr>
                <w:rFonts w:eastAsia="標楷體"/>
                <w:spacing w:val="4"/>
                <w:kern w:val="0"/>
                <w:szCs w:val="24"/>
              </w:rPr>
              <w:t>3</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576C03C" w14:textId="77777777" w:rsidR="00052596" w:rsidRDefault="00000000">
            <w:pPr>
              <w:widowControl/>
              <w:overflowPunct w:val="0"/>
              <w:autoSpaceDE w:val="0"/>
              <w:spacing w:line="320" w:lineRule="exact"/>
              <w:ind w:right="48"/>
              <w:jc w:val="right"/>
              <w:rPr>
                <w:rFonts w:eastAsia="標楷體"/>
                <w:spacing w:val="4"/>
                <w:kern w:val="0"/>
                <w:szCs w:val="24"/>
              </w:rPr>
            </w:pPr>
            <w:r>
              <w:rPr>
                <w:rFonts w:eastAsia="標楷體"/>
                <w:spacing w:val="4"/>
                <w:kern w:val="0"/>
                <w:szCs w:val="24"/>
              </w:rPr>
              <w:t>3</w:t>
            </w:r>
          </w:p>
        </w:tc>
        <w:tc>
          <w:tcPr>
            <w:tcW w:w="1324" w:type="dxa"/>
            <w:tcBorders>
              <w:left w:val="single" w:sz="4" w:space="0" w:color="000000"/>
            </w:tcBorders>
            <w:shd w:val="clear" w:color="auto" w:fill="auto"/>
            <w:noWrap/>
            <w:tcMar>
              <w:top w:w="0" w:type="dxa"/>
              <w:left w:w="28" w:type="dxa"/>
              <w:bottom w:w="0" w:type="dxa"/>
              <w:right w:w="28" w:type="dxa"/>
            </w:tcMar>
          </w:tcPr>
          <w:p w14:paraId="67B9B934" w14:textId="77777777" w:rsidR="00052596" w:rsidRDefault="00000000">
            <w:pPr>
              <w:widowControl/>
              <w:overflowPunct w:val="0"/>
              <w:autoSpaceDE w:val="0"/>
              <w:spacing w:line="320" w:lineRule="exact"/>
              <w:ind w:right="48"/>
              <w:jc w:val="right"/>
              <w:rPr>
                <w:rFonts w:eastAsia="標楷體"/>
                <w:spacing w:val="4"/>
                <w:kern w:val="0"/>
                <w:szCs w:val="24"/>
              </w:rPr>
            </w:pPr>
            <w:r>
              <w:rPr>
                <w:rFonts w:eastAsia="標楷體"/>
                <w:spacing w:val="4"/>
                <w:kern w:val="0"/>
                <w:szCs w:val="24"/>
              </w:rPr>
              <w:t>3</w:t>
            </w:r>
          </w:p>
        </w:tc>
      </w:tr>
      <w:tr w:rsidR="00052596" w14:paraId="64F8487B" w14:textId="77777777">
        <w:tblPrEx>
          <w:tblCellMar>
            <w:top w:w="0" w:type="dxa"/>
            <w:bottom w:w="0" w:type="dxa"/>
          </w:tblCellMar>
        </w:tblPrEx>
        <w:trPr>
          <w:trHeight w:val="110"/>
          <w:jc w:val="center"/>
        </w:trPr>
        <w:tc>
          <w:tcPr>
            <w:tcW w:w="4047" w:type="dxa"/>
            <w:tcBorders>
              <w:right w:val="single" w:sz="4" w:space="0" w:color="000000"/>
            </w:tcBorders>
            <w:shd w:val="clear" w:color="auto" w:fill="auto"/>
            <w:noWrap/>
            <w:tcMar>
              <w:top w:w="0" w:type="dxa"/>
              <w:left w:w="28" w:type="dxa"/>
              <w:bottom w:w="0" w:type="dxa"/>
              <w:right w:w="28" w:type="dxa"/>
            </w:tcMar>
          </w:tcPr>
          <w:p w14:paraId="185921BF"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5.</w:t>
            </w:r>
            <w:r>
              <w:rPr>
                <w:rFonts w:eastAsia="標楷體"/>
                <w:kern w:val="0"/>
                <w:szCs w:val="24"/>
              </w:rPr>
              <w:t>社政服務項目受益人數成長率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E704E84" w14:textId="77777777" w:rsidR="00052596" w:rsidRDefault="00000000">
            <w:pPr>
              <w:widowControl/>
              <w:overflowPunct w:val="0"/>
              <w:autoSpaceDE w:val="0"/>
              <w:spacing w:line="320" w:lineRule="exact"/>
              <w:jc w:val="center"/>
              <w:rPr>
                <w:rFonts w:eastAsia="標楷體"/>
                <w:spacing w:val="4"/>
                <w:kern w:val="0"/>
                <w:szCs w:val="24"/>
              </w:rPr>
            </w:pPr>
            <w:r>
              <w:rPr>
                <w:rFonts w:eastAsia="標楷體"/>
                <w:spacing w:val="4"/>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2580E549" w14:textId="77777777" w:rsidR="00052596" w:rsidRDefault="00000000">
            <w:pPr>
              <w:widowControl/>
              <w:overflowPunct w:val="0"/>
              <w:autoSpaceDE w:val="0"/>
              <w:spacing w:line="320" w:lineRule="exact"/>
              <w:ind w:right="48"/>
              <w:jc w:val="right"/>
            </w:pPr>
            <w:r>
              <w:rPr>
                <w:rFonts w:eastAsia="標楷體"/>
                <w:kern w:val="0"/>
                <w:szCs w:val="24"/>
              </w:rPr>
              <w:t>10</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CE8F85C" w14:textId="77777777" w:rsidR="00052596" w:rsidRDefault="00000000">
            <w:pPr>
              <w:widowControl/>
              <w:overflowPunct w:val="0"/>
              <w:autoSpaceDE w:val="0"/>
              <w:spacing w:line="320" w:lineRule="exact"/>
              <w:ind w:right="48"/>
              <w:jc w:val="right"/>
            </w:pPr>
            <w:r>
              <w:rPr>
                <w:rFonts w:eastAsia="標楷體"/>
                <w:kern w:val="0"/>
                <w:szCs w:val="24"/>
              </w:rPr>
              <w:t>7</w:t>
            </w:r>
          </w:p>
        </w:tc>
        <w:tc>
          <w:tcPr>
            <w:tcW w:w="1324" w:type="dxa"/>
            <w:tcBorders>
              <w:left w:val="single" w:sz="4" w:space="0" w:color="000000"/>
            </w:tcBorders>
            <w:shd w:val="clear" w:color="auto" w:fill="auto"/>
            <w:noWrap/>
            <w:tcMar>
              <w:top w:w="0" w:type="dxa"/>
              <w:left w:w="28" w:type="dxa"/>
              <w:bottom w:w="0" w:type="dxa"/>
              <w:right w:w="28" w:type="dxa"/>
            </w:tcMar>
          </w:tcPr>
          <w:p w14:paraId="708CCF44" w14:textId="77777777" w:rsidR="00052596" w:rsidRDefault="00000000">
            <w:pPr>
              <w:widowControl/>
              <w:overflowPunct w:val="0"/>
              <w:autoSpaceDE w:val="0"/>
              <w:spacing w:line="320" w:lineRule="exact"/>
              <w:ind w:right="48"/>
              <w:jc w:val="right"/>
              <w:rPr>
                <w:rFonts w:eastAsia="標楷體"/>
                <w:spacing w:val="4"/>
                <w:kern w:val="0"/>
                <w:szCs w:val="24"/>
              </w:rPr>
            </w:pPr>
            <w:r>
              <w:rPr>
                <w:rFonts w:eastAsia="標楷體"/>
                <w:spacing w:val="4"/>
                <w:kern w:val="0"/>
                <w:szCs w:val="24"/>
              </w:rPr>
              <w:t>7</w:t>
            </w:r>
          </w:p>
        </w:tc>
      </w:tr>
      <w:tr w:rsidR="00052596" w14:paraId="7184D446" w14:textId="77777777">
        <w:tblPrEx>
          <w:tblCellMar>
            <w:top w:w="0" w:type="dxa"/>
            <w:bottom w:w="0" w:type="dxa"/>
          </w:tblCellMar>
        </w:tblPrEx>
        <w:trPr>
          <w:trHeight w:val="107"/>
          <w:jc w:val="center"/>
        </w:trPr>
        <w:tc>
          <w:tcPr>
            <w:tcW w:w="4047" w:type="dxa"/>
            <w:tcBorders>
              <w:right w:val="single" w:sz="4" w:space="0" w:color="000000"/>
            </w:tcBorders>
            <w:shd w:val="clear" w:color="auto" w:fill="auto"/>
            <w:noWrap/>
            <w:tcMar>
              <w:top w:w="0" w:type="dxa"/>
              <w:left w:w="28" w:type="dxa"/>
              <w:bottom w:w="0" w:type="dxa"/>
              <w:right w:w="28" w:type="dxa"/>
            </w:tcMar>
          </w:tcPr>
          <w:p w14:paraId="24017C5D" w14:textId="77777777" w:rsidR="00052596" w:rsidRDefault="00000000">
            <w:pPr>
              <w:widowControl/>
              <w:overflowPunct w:val="0"/>
              <w:autoSpaceDE w:val="0"/>
              <w:spacing w:line="320" w:lineRule="exact"/>
              <w:ind w:left="629" w:hanging="317"/>
              <w:jc w:val="both"/>
              <w:rPr>
                <w:rFonts w:eastAsia="標楷體"/>
                <w:kern w:val="0"/>
                <w:szCs w:val="24"/>
              </w:rPr>
            </w:pPr>
            <w:r>
              <w:rPr>
                <w:rFonts w:eastAsia="標楷體"/>
                <w:kern w:val="0"/>
                <w:szCs w:val="24"/>
              </w:rPr>
              <w:t>6.</w:t>
            </w:r>
            <w:r>
              <w:rPr>
                <w:rFonts w:eastAsia="標楷體"/>
                <w:kern w:val="0"/>
                <w:szCs w:val="24"/>
              </w:rPr>
              <w:t>身心障礙者照顧服務</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680CC1EA" w14:textId="77777777" w:rsidR="00052596" w:rsidRDefault="00052596">
            <w:pPr>
              <w:widowControl/>
              <w:overflowPunct w:val="0"/>
              <w:autoSpaceDE w:val="0"/>
              <w:spacing w:line="320" w:lineRule="exact"/>
              <w:ind w:left="629" w:hanging="317"/>
              <w:jc w:val="center"/>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C782ECF" w14:textId="77777777" w:rsidR="00052596" w:rsidRDefault="00052596">
            <w:pPr>
              <w:widowControl/>
              <w:overflowPunct w:val="0"/>
              <w:autoSpaceDE w:val="0"/>
              <w:spacing w:line="320" w:lineRule="exact"/>
              <w:ind w:left="629" w:right="48" w:hanging="317"/>
              <w:jc w:val="right"/>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39A89E41" w14:textId="77777777" w:rsidR="00052596" w:rsidRDefault="00052596">
            <w:pPr>
              <w:widowControl/>
              <w:overflowPunct w:val="0"/>
              <w:autoSpaceDE w:val="0"/>
              <w:spacing w:line="320" w:lineRule="exact"/>
              <w:ind w:left="629" w:right="48" w:hanging="317"/>
              <w:jc w:val="right"/>
              <w:rPr>
                <w:rFonts w:eastAsia="標楷體"/>
                <w:kern w:val="0"/>
                <w:szCs w:val="24"/>
              </w:rPr>
            </w:pPr>
          </w:p>
        </w:tc>
        <w:tc>
          <w:tcPr>
            <w:tcW w:w="1324" w:type="dxa"/>
            <w:tcBorders>
              <w:left w:val="single" w:sz="4" w:space="0" w:color="000000"/>
            </w:tcBorders>
            <w:shd w:val="clear" w:color="auto" w:fill="auto"/>
            <w:noWrap/>
            <w:tcMar>
              <w:top w:w="0" w:type="dxa"/>
              <w:left w:w="28" w:type="dxa"/>
              <w:bottom w:w="0" w:type="dxa"/>
              <w:right w:w="28" w:type="dxa"/>
            </w:tcMar>
          </w:tcPr>
          <w:p w14:paraId="14CC0267" w14:textId="77777777" w:rsidR="00052596" w:rsidRDefault="00052596">
            <w:pPr>
              <w:widowControl/>
              <w:overflowPunct w:val="0"/>
              <w:autoSpaceDE w:val="0"/>
              <w:spacing w:line="320" w:lineRule="exact"/>
              <w:ind w:left="629" w:right="48" w:hanging="317"/>
              <w:jc w:val="right"/>
              <w:rPr>
                <w:rFonts w:eastAsia="標楷體"/>
                <w:kern w:val="0"/>
                <w:szCs w:val="24"/>
              </w:rPr>
            </w:pPr>
          </w:p>
        </w:tc>
      </w:tr>
      <w:tr w:rsidR="00052596" w14:paraId="308E3037" w14:textId="77777777">
        <w:tblPrEx>
          <w:tblCellMar>
            <w:top w:w="0" w:type="dxa"/>
            <w:bottom w:w="0" w:type="dxa"/>
          </w:tblCellMar>
        </w:tblPrEx>
        <w:trPr>
          <w:trHeight w:val="331"/>
          <w:jc w:val="center"/>
        </w:trPr>
        <w:tc>
          <w:tcPr>
            <w:tcW w:w="4047" w:type="dxa"/>
            <w:tcBorders>
              <w:right w:val="single" w:sz="4" w:space="0" w:color="000000"/>
            </w:tcBorders>
            <w:shd w:val="clear" w:color="auto" w:fill="auto"/>
            <w:noWrap/>
            <w:tcMar>
              <w:top w:w="0" w:type="dxa"/>
              <w:left w:w="28" w:type="dxa"/>
              <w:bottom w:w="0" w:type="dxa"/>
              <w:right w:w="28" w:type="dxa"/>
            </w:tcMar>
          </w:tcPr>
          <w:p w14:paraId="0FD07DBD" w14:textId="77777777" w:rsidR="00052596" w:rsidRDefault="00000000">
            <w:pPr>
              <w:widowControl/>
              <w:overflowPunct w:val="0"/>
              <w:autoSpaceDE w:val="0"/>
              <w:spacing w:line="320" w:lineRule="exact"/>
              <w:ind w:left="528"/>
              <w:jc w:val="both"/>
              <w:rPr>
                <w:rFonts w:eastAsia="標楷體"/>
                <w:kern w:val="0"/>
                <w:szCs w:val="24"/>
              </w:rPr>
            </w:pPr>
            <w:r>
              <w:rPr>
                <w:rFonts w:eastAsia="標楷體"/>
                <w:kern w:val="0"/>
                <w:szCs w:val="24"/>
              </w:rPr>
              <w:t>－成立據點</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4C747C53"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個</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2BD24CA0" w14:textId="77777777" w:rsidR="00052596" w:rsidRDefault="00000000">
            <w:pPr>
              <w:widowControl/>
              <w:overflowPunct w:val="0"/>
              <w:autoSpaceDE w:val="0"/>
              <w:spacing w:line="320" w:lineRule="exact"/>
              <w:ind w:left="629" w:right="48" w:hanging="317"/>
              <w:jc w:val="right"/>
              <w:rPr>
                <w:rFonts w:eastAsia="標楷體"/>
                <w:kern w:val="0"/>
                <w:szCs w:val="24"/>
              </w:rPr>
            </w:pPr>
            <w:r>
              <w:rPr>
                <w:rFonts w:eastAsia="標楷體"/>
                <w:kern w:val="0"/>
                <w:szCs w:val="24"/>
              </w:rPr>
              <w:t>180</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3DD2731D" w14:textId="77777777" w:rsidR="00052596" w:rsidRDefault="00000000">
            <w:pPr>
              <w:widowControl/>
              <w:overflowPunct w:val="0"/>
              <w:autoSpaceDE w:val="0"/>
              <w:spacing w:line="320" w:lineRule="exact"/>
              <w:ind w:left="629" w:right="48" w:hanging="317"/>
              <w:jc w:val="right"/>
              <w:rPr>
                <w:rFonts w:eastAsia="標楷體"/>
                <w:kern w:val="0"/>
                <w:szCs w:val="24"/>
              </w:rPr>
            </w:pPr>
            <w:r>
              <w:rPr>
                <w:rFonts w:eastAsia="標楷體"/>
                <w:kern w:val="0"/>
                <w:szCs w:val="24"/>
              </w:rPr>
              <w:t>225</w:t>
            </w:r>
          </w:p>
        </w:tc>
        <w:tc>
          <w:tcPr>
            <w:tcW w:w="1324" w:type="dxa"/>
            <w:tcBorders>
              <w:left w:val="single" w:sz="4" w:space="0" w:color="000000"/>
            </w:tcBorders>
            <w:shd w:val="clear" w:color="auto" w:fill="auto"/>
            <w:noWrap/>
            <w:tcMar>
              <w:top w:w="0" w:type="dxa"/>
              <w:left w:w="28" w:type="dxa"/>
              <w:bottom w:w="0" w:type="dxa"/>
              <w:right w:w="28" w:type="dxa"/>
            </w:tcMar>
          </w:tcPr>
          <w:p w14:paraId="4D96E2F8" w14:textId="77777777" w:rsidR="00052596" w:rsidRDefault="00000000">
            <w:pPr>
              <w:widowControl/>
              <w:overflowPunct w:val="0"/>
              <w:autoSpaceDE w:val="0"/>
              <w:spacing w:line="320" w:lineRule="exact"/>
              <w:ind w:left="629" w:right="48" w:hanging="317"/>
              <w:jc w:val="right"/>
              <w:rPr>
                <w:rFonts w:eastAsia="標楷體"/>
                <w:kern w:val="0"/>
                <w:szCs w:val="24"/>
              </w:rPr>
            </w:pPr>
            <w:r>
              <w:rPr>
                <w:rFonts w:eastAsia="標楷體"/>
                <w:kern w:val="0"/>
                <w:szCs w:val="24"/>
              </w:rPr>
              <w:t>270</w:t>
            </w:r>
          </w:p>
        </w:tc>
      </w:tr>
      <w:tr w:rsidR="00052596" w14:paraId="32F84A46" w14:textId="77777777">
        <w:tblPrEx>
          <w:tblCellMar>
            <w:top w:w="0" w:type="dxa"/>
            <w:bottom w:w="0" w:type="dxa"/>
          </w:tblCellMar>
        </w:tblPrEx>
        <w:trPr>
          <w:trHeight w:val="138"/>
          <w:jc w:val="center"/>
        </w:trPr>
        <w:tc>
          <w:tcPr>
            <w:tcW w:w="4047" w:type="dxa"/>
            <w:tcBorders>
              <w:bottom w:val="single" w:sz="4" w:space="0" w:color="000000"/>
              <w:right w:val="single" w:sz="4" w:space="0" w:color="000000"/>
            </w:tcBorders>
            <w:shd w:val="clear" w:color="auto" w:fill="auto"/>
            <w:noWrap/>
            <w:tcMar>
              <w:top w:w="0" w:type="dxa"/>
              <w:left w:w="28" w:type="dxa"/>
              <w:bottom w:w="0" w:type="dxa"/>
              <w:right w:w="28" w:type="dxa"/>
            </w:tcMar>
          </w:tcPr>
          <w:p w14:paraId="59DC8BF0" w14:textId="77777777" w:rsidR="00052596" w:rsidRDefault="00000000">
            <w:pPr>
              <w:widowControl/>
              <w:overflowPunct w:val="0"/>
              <w:autoSpaceDE w:val="0"/>
              <w:spacing w:after="120" w:line="320" w:lineRule="exact"/>
              <w:ind w:left="557" w:hanging="29"/>
              <w:jc w:val="both"/>
              <w:rPr>
                <w:rFonts w:eastAsia="標楷體"/>
                <w:kern w:val="0"/>
                <w:szCs w:val="24"/>
              </w:rPr>
            </w:pPr>
            <w:r>
              <w:rPr>
                <w:rFonts w:eastAsia="標楷體"/>
                <w:kern w:val="0"/>
                <w:szCs w:val="24"/>
              </w:rPr>
              <w:t>－照顧人數</w:t>
            </w:r>
          </w:p>
        </w:tc>
        <w:tc>
          <w:tcPr>
            <w:tcW w:w="85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CF16DD8" w14:textId="77777777" w:rsidR="00052596" w:rsidRDefault="00000000">
            <w:pPr>
              <w:widowControl/>
              <w:overflowPunct w:val="0"/>
              <w:autoSpaceDE w:val="0"/>
              <w:spacing w:line="320" w:lineRule="exact"/>
              <w:jc w:val="center"/>
              <w:rPr>
                <w:rFonts w:eastAsia="標楷體"/>
                <w:spacing w:val="4"/>
                <w:kern w:val="0"/>
                <w:szCs w:val="24"/>
              </w:rPr>
            </w:pPr>
            <w:r>
              <w:rPr>
                <w:rFonts w:eastAsia="標楷體"/>
                <w:spacing w:val="4"/>
                <w:kern w:val="0"/>
                <w:szCs w:val="24"/>
              </w:rPr>
              <w:t>萬人</w:t>
            </w:r>
          </w:p>
        </w:tc>
        <w:tc>
          <w:tcPr>
            <w:tcW w:w="127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50FFABE" w14:textId="77777777" w:rsidR="00052596" w:rsidRDefault="00000000">
            <w:pPr>
              <w:widowControl/>
              <w:overflowPunct w:val="0"/>
              <w:autoSpaceDE w:val="0"/>
              <w:spacing w:line="320" w:lineRule="exact"/>
              <w:ind w:right="48"/>
              <w:jc w:val="right"/>
            </w:pPr>
            <w:r>
              <w:rPr>
                <w:rFonts w:eastAsia="標楷體"/>
                <w:kern w:val="0"/>
                <w:szCs w:val="24"/>
              </w:rPr>
              <w:t>0.9</w:t>
            </w:r>
          </w:p>
        </w:tc>
        <w:tc>
          <w:tcPr>
            <w:tcW w:w="127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1132DDA" w14:textId="77777777" w:rsidR="00052596" w:rsidRDefault="00000000">
            <w:pPr>
              <w:widowControl/>
              <w:overflowPunct w:val="0"/>
              <w:autoSpaceDE w:val="0"/>
              <w:spacing w:line="320" w:lineRule="exact"/>
              <w:ind w:right="48"/>
              <w:jc w:val="right"/>
            </w:pPr>
            <w:r>
              <w:rPr>
                <w:rFonts w:eastAsia="標楷體"/>
                <w:kern w:val="0"/>
                <w:szCs w:val="24"/>
              </w:rPr>
              <w:t>1.4</w:t>
            </w:r>
          </w:p>
        </w:tc>
        <w:tc>
          <w:tcPr>
            <w:tcW w:w="1324" w:type="dxa"/>
            <w:tcBorders>
              <w:left w:val="single" w:sz="4" w:space="0" w:color="000000"/>
              <w:bottom w:val="single" w:sz="4" w:space="0" w:color="000000"/>
            </w:tcBorders>
            <w:shd w:val="clear" w:color="auto" w:fill="auto"/>
            <w:noWrap/>
            <w:tcMar>
              <w:top w:w="0" w:type="dxa"/>
              <w:left w:w="28" w:type="dxa"/>
              <w:bottom w:w="0" w:type="dxa"/>
              <w:right w:w="28" w:type="dxa"/>
            </w:tcMar>
          </w:tcPr>
          <w:p w14:paraId="37D2F470" w14:textId="77777777" w:rsidR="00052596" w:rsidRDefault="00000000">
            <w:pPr>
              <w:widowControl/>
              <w:overflowPunct w:val="0"/>
              <w:autoSpaceDE w:val="0"/>
              <w:spacing w:line="320" w:lineRule="exact"/>
              <w:ind w:right="48"/>
              <w:jc w:val="right"/>
              <w:rPr>
                <w:rFonts w:eastAsia="標楷體"/>
                <w:spacing w:val="4"/>
                <w:kern w:val="0"/>
                <w:szCs w:val="24"/>
              </w:rPr>
            </w:pPr>
            <w:r>
              <w:rPr>
                <w:rFonts w:eastAsia="標楷體"/>
                <w:spacing w:val="4"/>
                <w:kern w:val="0"/>
                <w:szCs w:val="24"/>
              </w:rPr>
              <w:t>6</w:t>
            </w:r>
          </w:p>
        </w:tc>
      </w:tr>
    </w:tbl>
    <w:p w14:paraId="7A46343F" w14:textId="77777777" w:rsidR="00052596" w:rsidRDefault="00000000">
      <w:pPr>
        <w:widowControl/>
        <w:overflowPunct w:val="0"/>
        <w:autoSpaceDE w:val="0"/>
        <w:spacing w:line="300" w:lineRule="exact"/>
        <w:ind w:left="363" w:right="-919" w:hanging="365"/>
      </w:pPr>
      <w:r>
        <w:rPr>
          <w:rFonts w:eastAsia="標楷體"/>
          <w:kern w:val="0"/>
          <w:szCs w:val="26"/>
          <w:vertAlign w:val="superscript"/>
        </w:rPr>
        <w:t>1</w:t>
      </w:r>
      <w:r>
        <w:rPr>
          <w:rFonts w:eastAsia="標楷體"/>
          <w:kern w:val="0"/>
          <w:sz w:val="16"/>
          <w:szCs w:val="16"/>
          <w:vertAlign w:val="superscript"/>
        </w:rPr>
        <w:t xml:space="preserve">  </w:t>
      </w:r>
      <w:r>
        <w:rPr>
          <w:rFonts w:eastAsia="標楷體"/>
          <w:kern w:val="0"/>
          <w:szCs w:val="26"/>
        </w:rPr>
        <w:t>102-105</w:t>
      </w:r>
      <w:r>
        <w:rPr>
          <w:rFonts w:eastAsia="標楷體"/>
          <w:kern w:val="0"/>
          <w:szCs w:val="26"/>
        </w:rPr>
        <w:t>年累計數據。</w:t>
      </w:r>
    </w:p>
    <w:p w14:paraId="724F4666" w14:textId="77777777" w:rsidR="00052596" w:rsidRDefault="00000000">
      <w:pPr>
        <w:widowControl/>
        <w:overflowPunct w:val="0"/>
        <w:autoSpaceDE w:val="0"/>
        <w:spacing w:line="300" w:lineRule="exact"/>
        <w:ind w:left="363" w:right="-919" w:hanging="365"/>
      </w:pPr>
      <w:r>
        <w:rPr>
          <w:rFonts w:eastAsia="標楷體"/>
          <w:kern w:val="0"/>
          <w:szCs w:val="26"/>
          <w:vertAlign w:val="superscript"/>
        </w:rPr>
        <w:t>2</w:t>
      </w:r>
      <w:r>
        <w:rPr>
          <w:rFonts w:eastAsia="標楷體"/>
          <w:kern w:val="0"/>
          <w:sz w:val="16"/>
          <w:szCs w:val="16"/>
          <w:vertAlign w:val="superscript"/>
        </w:rPr>
        <w:t xml:space="preserve">  </w:t>
      </w:r>
      <w:r>
        <w:rPr>
          <w:rFonts w:eastAsia="標楷體"/>
          <w:kern w:val="0"/>
          <w:szCs w:val="26"/>
        </w:rPr>
        <w:t>原核定計畫目標為每年愛滋病感染人數年增率下降</w:t>
      </w:r>
      <w:r>
        <w:rPr>
          <w:rFonts w:eastAsia="標楷體"/>
          <w:kern w:val="0"/>
          <w:szCs w:val="26"/>
        </w:rPr>
        <w:t>0.5%</w:t>
      </w:r>
      <w:r>
        <w:rPr>
          <w:rFonts w:eastAsia="標楷體"/>
          <w:kern w:val="0"/>
          <w:szCs w:val="26"/>
        </w:rPr>
        <w:t>。</w:t>
      </w:r>
    </w:p>
    <w:p w14:paraId="664CBE73" w14:textId="77777777" w:rsidR="00052596" w:rsidRDefault="00000000">
      <w:pPr>
        <w:widowControl/>
        <w:overflowPunct w:val="0"/>
        <w:autoSpaceDE w:val="0"/>
        <w:spacing w:line="300" w:lineRule="exact"/>
        <w:ind w:left="363" w:right="-919" w:hanging="365"/>
      </w:pPr>
      <w:r>
        <w:rPr>
          <w:rFonts w:eastAsia="標楷體"/>
          <w:kern w:val="0"/>
          <w:szCs w:val="26"/>
          <w:vertAlign w:val="superscript"/>
        </w:rPr>
        <w:t>3</w:t>
      </w:r>
      <w:r>
        <w:rPr>
          <w:rFonts w:eastAsia="標楷體"/>
          <w:kern w:val="0"/>
          <w:sz w:val="16"/>
          <w:szCs w:val="16"/>
          <w:vertAlign w:val="superscript"/>
        </w:rPr>
        <w:t xml:space="preserve">  </w:t>
      </w:r>
      <w:r>
        <w:rPr>
          <w:rFonts w:eastAsia="標楷體"/>
          <w:kern w:val="0"/>
          <w:szCs w:val="26"/>
        </w:rPr>
        <w:t>未來</w:t>
      </w:r>
      <w:r>
        <w:rPr>
          <w:rFonts w:eastAsia="標楷體"/>
          <w:kern w:val="0"/>
          <w:szCs w:val="26"/>
        </w:rPr>
        <w:t>10</w:t>
      </w:r>
      <w:r>
        <w:rPr>
          <w:rFonts w:eastAsia="標楷體"/>
          <w:kern w:val="0"/>
          <w:szCs w:val="26"/>
        </w:rPr>
        <w:t>年平均數據。</w:t>
      </w:r>
    </w:p>
    <w:p w14:paraId="2933244F" w14:textId="77777777" w:rsidR="00052596" w:rsidRDefault="00052596">
      <w:pPr>
        <w:widowControl/>
        <w:overflowPunct w:val="0"/>
        <w:autoSpaceDE w:val="0"/>
        <w:spacing w:line="20" w:lineRule="exact"/>
        <w:ind w:left="241" w:right="-919" w:hanging="243"/>
        <w:rPr>
          <w:rFonts w:eastAsia="標楷體"/>
          <w:kern w:val="0"/>
          <w:sz w:val="16"/>
          <w:szCs w:val="16"/>
        </w:rPr>
      </w:pPr>
    </w:p>
    <w:p w14:paraId="2A04BF12" w14:textId="77777777" w:rsidR="00052596" w:rsidRDefault="00000000">
      <w:pPr>
        <w:overflowPunct w:val="0"/>
        <w:autoSpaceDE w:val="0"/>
        <w:spacing w:before="360" w:line="700" w:lineRule="exact"/>
        <w:jc w:val="center"/>
        <w:textAlignment w:val="center"/>
      </w:pPr>
      <w:r>
        <w:rPr>
          <w:noProof/>
        </w:rPr>
        <w:lastRenderedPageBreak/>
        <mc:AlternateContent>
          <mc:Choice Requires="wps">
            <w:drawing>
              <wp:anchor distT="0" distB="0" distL="114300" distR="114300" simplePos="0" relativeHeight="251692544" behindDoc="1" locked="0" layoutInCell="1" allowOverlap="1" wp14:anchorId="0B933A96" wp14:editId="2A3B5314">
                <wp:simplePos x="0" y="0"/>
                <wp:positionH relativeFrom="column">
                  <wp:posOffset>-156847</wp:posOffset>
                </wp:positionH>
                <wp:positionV relativeFrom="paragraph">
                  <wp:posOffset>-3813</wp:posOffset>
                </wp:positionV>
                <wp:extent cx="5720715" cy="8144505"/>
                <wp:effectExtent l="0" t="0" r="0" b="8895"/>
                <wp:wrapNone/>
                <wp:docPr id="201" name="矩形 44"/>
                <wp:cNvGraphicFramePr/>
                <a:graphic xmlns:a="http://schemas.openxmlformats.org/drawingml/2006/main">
                  <a:graphicData uri="http://schemas.microsoft.com/office/word/2010/wordprocessingShape">
                    <wps:wsp>
                      <wps:cNvSpPr/>
                      <wps:spPr>
                        <a:xfrm>
                          <a:off x="0" y="0"/>
                          <a:ext cx="5720715" cy="8144505"/>
                        </a:xfrm>
                        <a:prstGeom prst="rect">
                          <a:avLst/>
                        </a:prstGeom>
                        <a:gradFill>
                          <a:gsLst>
                            <a:gs pos="0">
                              <a:srgbClr val="FFFFFF"/>
                            </a:gs>
                            <a:gs pos="100000">
                              <a:srgbClr val="FFE6CD"/>
                            </a:gs>
                          </a:gsLst>
                          <a:path path="circle">
                            <a:fillToRect l="50000" t="50000" r="50000" b="50000"/>
                          </a:path>
                        </a:gradFill>
                        <a:ln>
                          <a:noFill/>
                          <a:prstDash val="solid"/>
                        </a:ln>
                      </wps:spPr>
                      <wps:bodyPr lIns="0" tIns="0" rIns="0" bIns="0"/>
                    </wps:wsp>
                  </a:graphicData>
                </a:graphic>
              </wp:anchor>
            </w:drawing>
          </mc:Choice>
          <mc:Fallback>
            <w:pict>
              <v:rect w14:anchorId="5150354E" id="矩形 44" o:spid="_x0000_s1026" style="position:absolute;margin-left:-12.35pt;margin-top:-.3pt;width:450.45pt;height:641.3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" stroked="f">
                <v:fill color2="#ffe6cd" focusposition=".5,.5" focussize="" focus="100%" type="gradientRadial"/>
                <v:textbox inset="0,0,0,0"/>
              </v:rect>
            </w:pict>
          </mc:Fallback>
        </mc:AlternateContent>
      </w:r>
      <w:r>
        <w:rPr>
          <w:rFonts w:eastAsia="標楷體"/>
          <w:b/>
          <w:color w:val="0000FF"/>
          <w:spacing w:val="10"/>
          <w:kern w:val="0"/>
          <w:sz w:val="26"/>
          <w:szCs w:val="26"/>
        </w:rPr>
        <w:t>社會面</w:t>
      </w:r>
      <w:r>
        <w:rPr>
          <w:rFonts w:eastAsia="標楷體"/>
          <w:b/>
          <w:color w:val="0000FF"/>
          <w:spacing w:val="10"/>
          <w:kern w:val="0"/>
          <w:sz w:val="26"/>
          <w:szCs w:val="26"/>
        </w:rPr>
        <w:t>(</w:t>
      </w:r>
      <w:r>
        <w:rPr>
          <w:rFonts w:eastAsia="標楷體"/>
          <w:b/>
          <w:color w:val="0000FF"/>
          <w:spacing w:val="10"/>
          <w:kern w:val="0"/>
          <w:sz w:val="26"/>
          <w:szCs w:val="26"/>
        </w:rPr>
        <w:t>續</w:t>
      </w:r>
      <w:r>
        <w:rPr>
          <w:rFonts w:eastAsia="標楷體"/>
          <w:b/>
          <w:color w:val="0000FF"/>
          <w:spacing w:val="10"/>
          <w:kern w:val="0"/>
          <w:sz w:val="26"/>
          <w:szCs w:val="26"/>
        </w:rPr>
        <w:t>)</w:t>
      </w:r>
    </w:p>
    <w:tbl>
      <w:tblPr>
        <w:tblW w:w="8773" w:type="dxa"/>
        <w:jc w:val="center"/>
        <w:tblLayout w:type="fixed"/>
        <w:tblCellMar>
          <w:left w:w="10" w:type="dxa"/>
          <w:right w:w="10" w:type="dxa"/>
        </w:tblCellMar>
        <w:tblLook w:val="04A0" w:firstRow="1" w:lastRow="0" w:firstColumn="1" w:lastColumn="0" w:noHBand="0" w:noVBand="1"/>
      </w:tblPr>
      <w:tblGrid>
        <w:gridCol w:w="4046"/>
        <w:gridCol w:w="850"/>
        <w:gridCol w:w="1275"/>
        <w:gridCol w:w="1279"/>
        <w:gridCol w:w="1323"/>
      </w:tblGrid>
      <w:tr w:rsidR="00052596" w14:paraId="20C18E73" w14:textId="77777777">
        <w:tblPrEx>
          <w:tblCellMar>
            <w:top w:w="0" w:type="dxa"/>
            <w:bottom w:w="0" w:type="dxa"/>
          </w:tblCellMar>
        </w:tblPrEx>
        <w:trPr>
          <w:trHeight w:val="178"/>
          <w:tblHeader/>
          <w:jc w:val="center"/>
        </w:trPr>
        <w:tc>
          <w:tcPr>
            <w:tcW w:w="4046" w:type="dxa"/>
            <w:vMerge w:val="restart"/>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2DD40"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項</w:t>
            </w:r>
            <w:r>
              <w:rPr>
                <w:rFonts w:eastAsia="標楷體"/>
                <w:b/>
                <w:color w:val="0000FF"/>
                <w:kern w:val="0"/>
                <w:szCs w:val="24"/>
              </w:rPr>
              <w:t xml:space="preserve"> </w:t>
            </w:r>
            <w:r>
              <w:rPr>
                <w:rFonts w:eastAsia="標楷體"/>
                <w:b/>
                <w:color w:val="0000FF"/>
                <w:kern w:val="0"/>
                <w:szCs w:val="24"/>
              </w:rPr>
              <w:t>目</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B8E8D35"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單</w:t>
            </w:r>
            <w:r>
              <w:rPr>
                <w:rFonts w:eastAsia="標楷體"/>
                <w:b/>
                <w:color w:val="0000FF"/>
                <w:kern w:val="0"/>
                <w:szCs w:val="24"/>
              </w:rPr>
              <w:t xml:space="preserve"> </w:t>
            </w:r>
            <w:r>
              <w:rPr>
                <w:rFonts w:eastAsia="標楷體"/>
                <w:b/>
                <w:color w:val="0000FF"/>
                <w:kern w:val="0"/>
                <w:szCs w:val="24"/>
              </w:rPr>
              <w:t>位</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6CC037E"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現況值</w:t>
            </w:r>
          </w:p>
          <w:p w14:paraId="3BAEDF6D"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(101</w:t>
            </w:r>
            <w:r>
              <w:rPr>
                <w:rFonts w:eastAsia="標楷體"/>
                <w:b/>
                <w:color w:val="0000FF"/>
                <w:kern w:val="0"/>
                <w:szCs w:val="24"/>
              </w:rPr>
              <w:t>年</w:t>
            </w:r>
            <w:r>
              <w:rPr>
                <w:rFonts w:eastAsia="標楷體"/>
                <w:b/>
                <w:color w:val="0000FF"/>
                <w:kern w:val="0"/>
                <w:szCs w:val="24"/>
              </w:rPr>
              <w:t>)</w:t>
            </w:r>
          </w:p>
        </w:tc>
        <w:tc>
          <w:tcPr>
            <w:tcW w:w="2602" w:type="dxa"/>
            <w:gridSpan w:val="2"/>
            <w:tcBorders>
              <w:top w:val="single" w:sz="4" w:space="0" w:color="000000"/>
              <w:bottom w:val="single" w:sz="4" w:space="0" w:color="000000"/>
            </w:tcBorders>
            <w:shd w:val="clear" w:color="auto" w:fill="auto"/>
            <w:noWrap/>
            <w:tcMar>
              <w:top w:w="0" w:type="dxa"/>
              <w:left w:w="28" w:type="dxa"/>
              <w:bottom w:w="0" w:type="dxa"/>
              <w:right w:w="28" w:type="dxa"/>
            </w:tcMar>
            <w:vAlign w:val="center"/>
          </w:tcPr>
          <w:p w14:paraId="3EBE2C98"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目標值</w:t>
            </w:r>
          </w:p>
        </w:tc>
      </w:tr>
      <w:tr w:rsidR="00052596" w14:paraId="689A9A7B" w14:textId="77777777">
        <w:tblPrEx>
          <w:tblCellMar>
            <w:top w:w="0" w:type="dxa"/>
            <w:bottom w:w="0" w:type="dxa"/>
          </w:tblCellMar>
        </w:tblPrEx>
        <w:trPr>
          <w:trHeight w:val="127"/>
          <w:tblHeader/>
          <w:jc w:val="center"/>
        </w:trPr>
        <w:tc>
          <w:tcPr>
            <w:tcW w:w="4046" w:type="dxa"/>
            <w:vMerge/>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C829357" w14:textId="77777777" w:rsidR="00052596" w:rsidRDefault="00052596">
            <w:pPr>
              <w:widowControl/>
              <w:overflowPunct w:val="0"/>
              <w:autoSpaceDE w:val="0"/>
              <w:spacing w:line="320" w:lineRule="exact"/>
              <w:ind w:left="168" w:hanging="168"/>
              <w:jc w:val="both"/>
              <w:rPr>
                <w:rFonts w:eastAsia="標楷體"/>
                <w:b/>
                <w:color w:val="0000FF"/>
                <w:kern w:val="0"/>
                <w:szCs w:val="24"/>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85B47F8" w14:textId="77777777" w:rsidR="00052596" w:rsidRDefault="00052596">
            <w:pPr>
              <w:widowControl/>
              <w:overflowPunct w:val="0"/>
              <w:autoSpaceDE w:val="0"/>
              <w:spacing w:line="320" w:lineRule="exact"/>
              <w:jc w:val="center"/>
              <w:rPr>
                <w:rFonts w:eastAsia="標楷體"/>
                <w:b/>
                <w:color w:val="0000FF"/>
                <w:kern w:val="0"/>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0E4ED5A" w14:textId="77777777" w:rsidR="00052596" w:rsidRDefault="00052596">
            <w:pPr>
              <w:widowControl/>
              <w:overflowPunct w:val="0"/>
              <w:autoSpaceDE w:val="0"/>
              <w:spacing w:line="320" w:lineRule="exact"/>
              <w:jc w:val="center"/>
              <w:rPr>
                <w:rFonts w:eastAsia="標楷體"/>
                <w:b/>
                <w:color w:val="0000FF"/>
                <w:kern w:val="0"/>
                <w:szCs w:val="24"/>
              </w:rPr>
            </w:pPr>
          </w:p>
        </w:tc>
        <w:tc>
          <w:tcPr>
            <w:tcW w:w="127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9728410"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102</w:t>
            </w:r>
            <w:r>
              <w:rPr>
                <w:rFonts w:eastAsia="標楷體"/>
                <w:b/>
                <w:color w:val="0000FF"/>
                <w:kern w:val="0"/>
                <w:szCs w:val="24"/>
              </w:rPr>
              <w:t>年</w:t>
            </w:r>
          </w:p>
        </w:tc>
        <w:tc>
          <w:tcPr>
            <w:tcW w:w="132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9414901" w14:textId="77777777" w:rsidR="00052596" w:rsidRDefault="00000000">
            <w:pPr>
              <w:widowControl/>
              <w:overflowPunct w:val="0"/>
              <w:autoSpaceDE w:val="0"/>
              <w:spacing w:line="240" w:lineRule="atLeast"/>
              <w:jc w:val="center"/>
              <w:rPr>
                <w:rFonts w:eastAsia="標楷體"/>
                <w:b/>
                <w:color w:val="0000FF"/>
                <w:kern w:val="0"/>
                <w:szCs w:val="24"/>
              </w:rPr>
            </w:pPr>
            <w:r>
              <w:rPr>
                <w:rFonts w:eastAsia="標楷體"/>
                <w:b/>
                <w:color w:val="0000FF"/>
                <w:kern w:val="0"/>
                <w:szCs w:val="24"/>
              </w:rPr>
              <w:t>105</w:t>
            </w:r>
            <w:r>
              <w:rPr>
                <w:rFonts w:eastAsia="標楷體"/>
                <w:b/>
                <w:color w:val="0000FF"/>
                <w:kern w:val="0"/>
                <w:szCs w:val="24"/>
              </w:rPr>
              <w:t>年</w:t>
            </w:r>
          </w:p>
        </w:tc>
      </w:tr>
      <w:tr w:rsidR="00052596" w14:paraId="1E305610" w14:textId="77777777">
        <w:tblPrEx>
          <w:tblCellMar>
            <w:top w:w="0" w:type="dxa"/>
            <w:bottom w:w="0" w:type="dxa"/>
          </w:tblCellMar>
        </w:tblPrEx>
        <w:trPr>
          <w:trHeight w:val="287"/>
          <w:jc w:val="center"/>
        </w:trPr>
        <w:tc>
          <w:tcPr>
            <w:tcW w:w="4046" w:type="dxa"/>
            <w:tcBorders>
              <w:top w:val="single" w:sz="4" w:space="0" w:color="000000"/>
              <w:right w:val="single" w:sz="4" w:space="0" w:color="000000"/>
            </w:tcBorders>
            <w:shd w:val="clear" w:color="auto" w:fill="auto"/>
            <w:noWrap/>
            <w:tcMar>
              <w:top w:w="0" w:type="dxa"/>
              <w:left w:w="28" w:type="dxa"/>
              <w:bottom w:w="0" w:type="dxa"/>
              <w:right w:w="28" w:type="dxa"/>
            </w:tcMar>
          </w:tcPr>
          <w:p w14:paraId="0E2548D6" w14:textId="77777777" w:rsidR="00052596" w:rsidRDefault="00000000">
            <w:pPr>
              <w:widowControl/>
              <w:overflowPunct w:val="0"/>
              <w:autoSpaceDE w:val="0"/>
              <w:spacing w:before="72" w:after="72" w:line="320" w:lineRule="exact"/>
              <w:jc w:val="both"/>
              <w:rPr>
                <w:rFonts w:eastAsia="標楷體"/>
                <w:b/>
                <w:color w:val="800000"/>
                <w:kern w:val="0"/>
                <w:szCs w:val="24"/>
              </w:rPr>
            </w:pPr>
            <w:r>
              <w:rPr>
                <w:rFonts w:eastAsia="標楷體"/>
                <w:b/>
                <w:color w:val="800000"/>
                <w:kern w:val="0"/>
                <w:szCs w:val="24"/>
              </w:rPr>
              <w:t>族群和諧</w:t>
            </w:r>
          </w:p>
        </w:tc>
        <w:tc>
          <w:tcPr>
            <w:tcW w:w="850"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14:paraId="4767FFA6" w14:textId="77777777" w:rsidR="00052596" w:rsidRDefault="00052596">
            <w:pPr>
              <w:widowControl/>
              <w:overflowPunct w:val="0"/>
              <w:autoSpaceDE w:val="0"/>
              <w:snapToGrid w:val="0"/>
              <w:spacing w:before="72" w:after="72" w:line="320" w:lineRule="exact"/>
              <w:ind w:left="120" w:hanging="120"/>
              <w:jc w:val="center"/>
              <w:rPr>
                <w:rFonts w:eastAsia="標楷體"/>
                <w:b/>
                <w:kern w:val="0"/>
                <w:szCs w:val="24"/>
              </w:rPr>
            </w:pPr>
          </w:p>
        </w:tc>
        <w:tc>
          <w:tcPr>
            <w:tcW w:w="1275"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14:paraId="7BC76F33" w14:textId="77777777" w:rsidR="00052596" w:rsidRDefault="00052596">
            <w:pPr>
              <w:widowControl/>
              <w:overflowPunct w:val="0"/>
              <w:autoSpaceDE w:val="0"/>
              <w:snapToGrid w:val="0"/>
              <w:spacing w:before="72" w:after="72" w:line="320" w:lineRule="exact"/>
              <w:ind w:left="120" w:hanging="120"/>
              <w:jc w:val="right"/>
              <w:rPr>
                <w:rFonts w:eastAsia="標楷體"/>
                <w:b/>
                <w:kern w:val="0"/>
                <w:szCs w:val="24"/>
              </w:rPr>
            </w:pPr>
          </w:p>
        </w:tc>
        <w:tc>
          <w:tcPr>
            <w:tcW w:w="1279"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14:paraId="2D01E6F2" w14:textId="77777777" w:rsidR="00052596" w:rsidRDefault="00052596">
            <w:pPr>
              <w:widowControl/>
              <w:overflowPunct w:val="0"/>
              <w:autoSpaceDE w:val="0"/>
              <w:snapToGrid w:val="0"/>
              <w:spacing w:before="72" w:after="72" w:line="320" w:lineRule="exact"/>
              <w:ind w:left="120" w:hanging="120"/>
              <w:jc w:val="right"/>
              <w:rPr>
                <w:rFonts w:eastAsia="標楷體"/>
                <w:b/>
                <w:kern w:val="0"/>
                <w:szCs w:val="24"/>
              </w:rPr>
            </w:pPr>
          </w:p>
        </w:tc>
        <w:tc>
          <w:tcPr>
            <w:tcW w:w="1323" w:type="dxa"/>
            <w:tcBorders>
              <w:top w:val="single" w:sz="4" w:space="0" w:color="000000"/>
              <w:left w:val="single" w:sz="4" w:space="0" w:color="000000"/>
            </w:tcBorders>
            <w:shd w:val="clear" w:color="auto" w:fill="auto"/>
            <w:noWrap/>
            <w:tcMar>
              <w:top w:w="0" w:type="dxa"/>
              <w:left w:w="28" w:type="dxa"/>
              <w:bottom w:w="0" w:type="dxa"/>
              <w:right w:w="28" w:type="dxa"/>
            </w:tcMar>
          </w:tcPr>
          <w:p w14:paraId="3D05AFA6" w14:textId="77777777" w:rsidR="00052596" w:rsidRDefault="00052596">
            <w:pPr>
              <w:widowControl/>
              <w:overflowPunct w:val="0"/>
              <w:autoSpaceDE w:val="0"/>
              <w:snapToGrid w:val="0"/>
              <w:spacing w:before="72" w:after="72" w:line="320" w:lineRule="exact"/>
              <w:ind w:left="120" w:hanging="120"/>
              <w:jc w:val="right"/>
              <w:rPr>
                <w:rFonts w:eastAsia="標楷體"/>
                <w:b/>
                <w:kern w:val="0"/>
                <w:szCs w:val="24"/>
              </w:rPr>
            </w:pPr>
          </w:p>
        </w:tc>
      </w:tr>
      <w:tr w:rsidR="00052596" w14:paraId="2416F351" w14:textId="77777777">
        <w:tblPrEx>
          <w:tblCellMar>
            <w:top w:w="0" w:type="dxa"/>
            <w:bottom w:w="0" w:type="dxa"/>
          </w:tblCellMar>
        </w:tblPrEx>
        <w:trPr>
          <w:trHeight w:val="78"/>
          <w:jc w:val="center"/>
        </w:trPr>
        <w:tc>
          <w:tcPr>
            <w:tcW w:w="4046" w:type="dxa"/>
            <w:tcBorders>
              <w:right w:val="single" w:sz="4" w:space="0" w:color="000000"/>
            </w:tcBorders>
            <w:shd w:val="clear" w:color="auto" w:fill="auto"/>
            <w:noWrap/>
            <w:tcMar>
              <w:top w:w="0" w:type="dxa"/>
              <w:left w:w="28" w:type="dxa"/>
              <w:bottom w:w="0" w:type="dxa"/>
              <w:right w:w="28" w:type="dxa"/>
            </w:tcMar>
          </w:tcPr>
          <w:p w14:paraId="3F6266B9" w14:textId="77777777" w:rsidR="00052596" w:rsidRDefault="00000000">
            <w:pPr>
              <w:widowControl/>
              <w:overflowPunct w:val="0"/>
              <w:autoSpaceDE w:val="0"/>
              <w:spacing w:after="72" w:line="320" w:lineRule="exact"/>
              <w:ind w:left="504" w:hanging="192"/>
              <w:jc w:val="both"/>
              <w:rPr>
                <w:rFonts w:eastAsia="標楷體"/>
                <w:kern w:val="0"/>
                <w:szCs w:val="24"/>
              </w:rPr>
            </w:pPr>
            <w:r>
              <w:rPr>
                <w:rFonts w:eastAsia="標楷體"/>
                <w:kern w:val="0"/>
                <w:szCs w:val="24"/>
              </w:rPr>
              <w:t>1.</w:t>
            </w:r>
            <w:r>
              <w:rPr>
                <w:rFonts w:eastAsia="標楷體"/>
                <w:kern w:val="0"/>
                <w:szCs w:val="24"/>
              </w:rPr>
              <w:t>開辦「部落學校」</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3D0BA8EA" w14:textId="77777777" w:rsidR="00052596" w:rsidRDefault="00000000">
            <w:pPr>
              <w:widowControl/>
              <w:overflowPunct w:val="0"/>
              <w:autoSpaceDE w:val="0"/>
              <w:spacing w:after="72" w:line="320" w:lineRule="exact"/>
              <w:jc w:val="center"/>
              <w:rPr>
                <w:rFonts w:eastAsia="標楷體"/>
                <w:kern w:val="0"/>
                <w:szCs w:val="24"/>
              </w:rPr>
            </w:pPr>
            <w:r>
              <w:rPr>
                <w:rFonts w:eastAsia="標楷體"/>
                <w:kern w:val="0"/>
                <w:szCs w:val="24"/>
              </w:rPr>
              <w:t>所</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035BED75" w14:textId="77777777" w:rsidR="00052596" w:rsidRDefault="00000000">
            <w:pPr>
              <w:widowControl/>
              <w:overflowPunct w:val="0"/>
              <w:autoSpaceDE w:val="0"/>
              <w:spacing w:after="72" w:line="320" w:lineRule="exact"/>
              <w:ind w:right="48"/>
              <w:jc w:val="right"/>
              <w:rPr>
                <w:rFonts w:eastAsia="標楷體"/>
                <w:kern w:val="0"/>
                <w:szCs w:val="24"/>
              </w:rPr>
            </w:pPr>
            <w:r>
              <w:rPr>
                <w:rFonts w:eastAsia="標楷體"/>
                <w:kern w:val="0"/>
                <w:szCs w:val="24"/>
              </w:rPr>
              <w:t>3</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78B149D0" w14:textId="77777777" w:rsidR="00052596" w:rsidRDefault="00000000">
            <w:pPr>
              <w:widowControl/>
              <w:overflowPunct w:val="0"/>
              <w:autoSpaceDE w:val="0"/>
              <w:spacing w:after="72" w:line="320" w:lineRule="exact"/>
              <w:ind w:right="48"/>
              <w:jc w:val="right"/>
              <w:rPr>
                <w:rFonts w:eastAsia="標楷體"/>
                <w:kern w:val="0"/>
                <w:szCs w:val="24"/>
              </w:rPr>
            </w:pPr>
            <w:r>
              <w:rPr>
                <w:rFonts w:eastAsia="標楷體"/>
                <w:kern w:val="0"/>
                <w:szCs w:val="24"/>
              </w:rPr>
              <w:t>6</w:t>
            </w:r>
          </w:p>
        </w:tc>
        <w:tc>
          <w:tcPr>
            <w:tcW w:w="1323" w:type="dxa"/>
            <w:tcBorders>
              <w:left w:val="single" w:sz="4" w:space="0" w:color="000000"/>
            </w:tcBorders>
            <w:shd w:val="clear" w:color="auto" w:fill="auto"/>
            <w:noWrap/>
            <w:tcMar>
              <w:top w:w="0" w:type="dxa"/>
              <w:left w:w="28" w:type="dxa"/>
              <w:bottom w:w="0" w:type="dxa"/>
              <w:right w:w="28" w:type="dxa"/>
            </w:tcMar>
          </w:tcPr>
          <w:p w14:paraId="4469A620" w14:textId="77777777" w:rsidR="00052596" w:rsidRDefault="00000000">
            <w:pPr>
              <w:widowControl/>
              <w:overflowPunct w:val="0"/>
              <w:autoSpaceDE w:val="0"/>
              <w:spacing w:after="72" w:line="320" w:lineRule="exact"/>
              <w:ind w:right="48"/>
              <w:jc w:val="right"/>
            </w:pPr>
            <w:r>
              <w:rPr>
                <w:rFonts w:eastAsia="標楷體"/>
                <w:kern w:val="0"/>
                <w:szCs w:val="24"/>
              </w:rPr>
              <w:t>12</w:t>
            </w:r>
            <w:r>
              <w:rPr>
                <w:rFonts w:eastAsia="標楷體"/>
                <w:kern w:val="0"/>
                <w:szCs w:val="24"/>
                <w:vertAlign w:val="superscript"/>
              </w:rPr>
              <w:t>1</w:t>
            </w:r>
          </w:p>
        </w:tc>
      </w:tr>
      <w:tr w:rsidR="00052596" w14:paraId="328AFE8F" w14:textId="77777777">
        <w:tblPrEx>
          <w:tblCellMar>
            <w:top w:w="0" w:type="dxa"/>
            <w:bottom w:w="0" w:type="dxa"/>
          </w:tblCellMar>
        </w:tblPrEx>
        <w:trPr>
          <w:trHeight w:val="196"/>
          <w:jc w:val="center"/>
        </w:trPr>
        <w:tc>
          <w:tcPr>
            <w:tcW w:w="4046" w:type="dxa"/>
            <w:tcBorders>
              <w:right w:val="single" w:sz="4" w:space="0" w:color="000000"/>
            </w:tcBorders>
            <w:shd w:val="clear" w:color="auto" w:fill="auto"/>
            <w:noWrap/>
            <w:tcMar>
              <w:top w:w="0" w:type="dxa"/>
              <w:left w:w="28" w:type="dxa"/>
              <w:bottom w:w="0" w:type="dxa"/>
              <w:right w:w="28" w:type="dxa"/>
            </w:tcMar>
          </w:tcPr>
          <w:p w14:paraId="1F812E2A" w14:textId="77777777" w:rsidR="00052596" w:rsidRDefault="00000000">
            <w:pPr>
              <w:widowControl/>
              <w:overflowPunct w:val="0"/>
              <w:autoSpaceDE w:val="0"/>
              <w:spacing w:after="72" w:line="320" w:lineRule="exact"/>
              <w:ind w:left="504" w:hanging="192"/>
              <w:jc w:val="both"/>
              <w:rPr>
                <w:rFonts w:eastAsia="標楷體"/>
                <w:kern w:val="0"/>
                <w:szCs w:val="24"/>
              </w:rPr>
            </w:pPr>
            <w:r>
              <w:rPr>
                <w:rFonts w:eastAsia="標楷體"/>
                <w:kern w:val="0"/>
                <w:szCs w:val="24"/>
              </w:rPr>
              <w:t>2.</w:t>
            </w:r>
            <w:r>
              <w:rPr>
                <w:rFonts w:eastAsia="標楷體"/>
                <w:kern w:val="0"/>
                <w:szCs w:val="24"/>
              </w:rPr>
              <w:t>創造客家產業經濟效益</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39D4BC87" w14:textId="77777777" w:rsidR="00052596" w:rsidRDefault="00000000">
            <w:pPr>
              <w:widowControl/>
              <w:overflowPunct w:val="0"/>
              <w:autoSpaceDE w:val="0"/>
              <w:snapToGrid w:val="0"/>
              <w:spacing w:after="72" w:line="320" w:lineRule="exact"/>
              <w:ind w:left="120" w:hanging="120"/>
              <w:jc w:val="center"/>
              <w:rPr>
                <w:rFonts w:eastAsia="標楷體"/>
                <w:kern w:val="0"/>
                <w:szCs w:val="24"/>
              </w:rPr>
            </w:pPr>
            <w:r>
              <w:rPr>
                <w:rFonts w:eastAsia="標楷體"/>
                <w:kern w:val="0"/>
                <w:szCs w:val="24"/>
              </w:rPr>
              <w:t>億</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31515485" w14:textId="77777777" w:rsidR="00052596" w:rsidRDefault="00000000">
            <w:pPr>
              <w:widowControl/>
              <w:overflowPunct w:val="0"/>
              <w:autoSpaceDE w:val="0"/>
              <w:snapToGrid w:val="0"/>
              <w:spacing w:after="72" w:line="320" w:lineRule="exact"/>
              <w:ind w:left="120" w:right="48" w:hanging="120"/>
              <w:jc w:val="right"/>
              <w:rPr>
                <w:rFonts w:eastAsia="標楷體"/>
                <w:kern w:val="0"/>
                <w:szCs w:val="24"/>
              </w:rPr>
            </w:pPr>
            <w:r>
              <w:rPr>
                <w:rFonts w:eastAsia="標楷體"/>
                <w:kern w:val="0"/>
                <w:szCs w:val="24"/>
              </w:rPr>
              <w:t>235</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1824451D" w14:textId="77777777" w:rsidR="00052596" w:rsidRDefault="00000000">
            <w:pPr>
              <w:widowControl/>
              <w:overflowPunct w:val="0"/>
              <w:autoSpaceDE w:val="0"/>
              <w:snapToGrid w:val="0"/>
              <w:spacing w:after="72" w:line="320" w:lineRule="exact"/>
              <w:ind w:left="120" w:right="48" w:hanging="120"/>
              <w:jc w:val="right"/>
              <w:rPr>
                <w:rFonts w:eastAsia="標楷體"/>
                <w:kern w:val="0"/>
                <w:szCs w:val="24"/>
              </w:rPr>
            </w:pPr>
            <w:r>
              <w:rPr>
                <w:rFonts w:eastAsia="標楷體"/>
                <w:kern w:val="0"/>
                <w:szCs w:val="24"/>
              </w:rPr>
              <w:t>245</w:t>
            </w:r>
          </w:p>
        </w:tc>
        <w:tc>
          <w:tcPr>
            <w:tcW w:w="1323" w:type="dxa"/>
            <w:tcBorders>
              <w:left w:val="single" w:sz="4" w:space="0" w:color="000000"/>
            </w:tcBorders>
            <w:shd w:val="clear" w:color="auto" w:fill="auto"/>
            <w:noWrap/>
            <w:tcMar>
              <w:top w:w="0" w:type="dxa"/>
              <w:left w:w="28" w:type="dxa"/>
              <w:bottom w:w="0" w:type="dxa"/>
              <w:right w:w="28" w:type="dxa"/>
            </w:tcMar>
          </w:tcPr>
          <w:p w14:paraId="427C385C" w14:textId="77777777" w:rsidR="00052596" w:rsidRDefault="00000000">
            <w:pPr>
              <w:widowControl/>
              <w:overflowPunct w:val="0"/>
              <w:autoSpaceDE w:val="0"/>
              <w:snapToGrid w:val="0"/>
              <w:spacing w:after="72" w:line="320" w:lineRule="exact"/>
              <w:ind w:left="120" w:right="48" w:hanging="120"/>
              <w:jc w:val="right"/>
              <w:rPr>
                <w:rFonts w:eastAsia="標楷體"/>
                <w:kern w:val="0"/>
                <w:szCs w:val="24"/>
              </w:rPr>
            </w:pPr>
            <w:r>
              <w:rPr>
                <w:rFonts w:eastAsia="標楷體"/>
                <w:kern w:val="0"/>
                <w:szCs w:val="24"/>
              </w:rPr>
              <w:t>260</w:t>
            </w:r>
          </w:p>
        </w:tc>
      </w:tr>
      <w:tr w:rsidR="00052596" w14:paraId="1CEC0896" w14:textId="77777777">
        <w:tblPrEx>
          <w:tblCellMar>
            <w:top w:w="0" w:type="dxa"/>
            <w:bottom w:w="0" w:type="dxa"/>
          </w:tblCellMar>
        </w:tblPrEx>
        <w:trPr>
          <w:trHeight w:val="105"/>
          <w:jc w:val="center"/>
        </w:trPr>
        <w:tc>
          <w:tcPr>
            <w:tcW w:w="4046" w:type="dxa"/>
            <w:tcBorders>
              <w:right w:val="single" w:sz="4" w:space="0" w:color="000000"/>
            </w:tcBorders>
            <w:shd w:val="clear" w:color="auto" w:fill="auto"/>
            <w:noWrap/>
            <w:tcMar>
              <w:top w:w="0" w:type="dxa"/>
              <w:left w:w="28" w:type="dxa"/>
              <w:bottom w:w="0" w:type="dxa"/>
              <w:right w:w="28" w:type="dxa"/>
            </w:tcMar>
            <w:vAlign w:val="center"/>
          </w:tcPr>
          <w:p w14:paraId="19548553" w14:textId="77777777" w:rsidR="00052596" w:rsidRDefault="00000000">
            <w:pPr>
              <w:widowControl/>
              <w:overflowPunct w:val="0"/>
              <w:autoSpaceDE w:val="0"/>
              <w:spacing w:before="72" w:after="72" w:line="320" w:lineRule="exact"/>
              <w:ind w:left="168" w:hanging="168"/>
              <w:jc w:val="both"/>
              <w:rPr>
                <w:rFonts w:eastAsia="標楷體"/>
                <w:b/>
                <w:color w:val="800000"/>
                <w:kern w:val="0"/>
                <w:szCs w:val="24"/>
              </w:rPr>
            </w:pPr>
            <w:r>
              <w:rPr>
                <w:rFonts w:eastAsia="標楷體"/>
                <w:b/>
                <w:color w:val="800000"/>
                <w:kern w:val="0"/>
                <w:szCs w:val="24"/>
              </w:rPr>
              <w:t>居住正義</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5A8B7EAB" w14:textId="77777777" w:rsidR="00052596" w:rsidRDefault="00052596">
            <w:pPr>
              <w:widowControl/>
              <w:overflowPunct w:val="0"/>
              <w:autoSpaceDE w:val="0"/>
              <w:spacing w:before="72" w:after="72" w:line="320" w:lineRule="exact"/>
              <w:jc w:val="center"/>
              <w:rPr>
                <w:rFonts w:eastAsia="標楷體"/>
                <w:kern w:val="0"/>
                <w:szCs w:val="24"/>
              </w:rPr>
            </w:pP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348744D5"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446869A2"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323" w:type="dxa"/>
            <w:tcBorders>
              <w:left w:val="single" w:sz="4" w:space="0" w:color="000000"/>
            </w:tcBorders>
            <w:shd w:val="clear" w:color="auto" w:fill="auto"/>
            <w:noWrap/>
            <w:tcMar>
              <w:top w:w="0" w:type="dxa"/>
              <w:left w:w="28" w:type="dxa"/>
              <w:bottom w:w="0" w:type="dxa"/>
              <w:right w:w="28" w:type="dxa"/>
            </w:tcMar>
          </w:tcPr>
          <w:p w14:paraId="74A945EA" w14:textId="77777777" w:rsidR="00052596" w:rsidRDefault="00052596">
            <w:pPr>
              <w:widowControl/>
              <w:overflowPunct w:val="0"/>
              <w:autoSpaceDE w:val="0"/>
              <w:spacing w:before="72" w:after="72" w:line="320" w:lineRule="exact"/>
              <w:ind w:right="48"/>
              <w:jc w:val="right"/>
              <w:rPr>
                <w:rFonts w:eastAsia="標楷體"/>
                <w:kern w:val="0"/>
                <w:szCs w:val="24"/>
              </w:rPr>
            </w:pPr>
          </w:p>
        </w:tc>
      </w:tr>
      <w:tr w:rsidR="00052596" w14:paraId="0369CD9B" w14:textId="77777777">
        <w:tblPrEx>
          <w:tblCellMar>
            <w:top w:w="0" w:type="dxa"/>
            <w:bottom w:w="0" w:type="dxa"/>
          </w:tblCellMar>
        </w:tblPrEx>
        <w:trPr>
          <w:trHeight w:val="90"/>
          <w:jc w:val="center"/>
        </w:trPr>
        <w:tc>
          <w:tcPr>
            <w:tcW w:w="4046" w:type="dxa"/>
            <w:tcBorders>
              <w:right w:val="single" w:sz="4" w:space="0" w:color="000000"/>
            </w:tcBorders>
            <w:shd w:val="clear" w:color="auto" w:fill="auto"/>
            <w:noWrap/>
            <w:tcMar>
              <w:top w:w="0" w:type="dxa"/>
              <w:left w:w="28" w:type="dxa"/>
              <w:bottom w:w="0" w:type="dxa"/>
              <w:right w:w="28" w:type="dxa"/>
            </w:tcMar>
          </w:tcPr>
          <w:p w14:paraId="26122F98" w14:textId="77777777" w:rsidR="00052596" w:rsidRDefault="00000000">
            <w:pPr>
              <w:widowControl/>
              <w:overflowPunct w:val="0"/>
              <w:autoSpaceDE w:val="0"/>
              <w:spacing w:after="72" w:line="320" w:lineRule="exact"/>
              <w:ind w:left="629" w:hanging="317"/>
              <w:jc w:val="both"/>
              <w:rPr>
                <w:rFonts w:eastAsia="標楷體"/>
                <w:kern w:val="0"/>
                <w:szCs w:val="24"/>
              </w:rPr>
            </w:pPr>
            <w:r>
              <w:rPr>
                <w:rFonts w:eastAsia="標楷體"/>
                <w:kern w:val="0"/>
                <w:szCs w:val="24"/>
              </w:rPr>
              <w:t>1.</w:t>
            </w:r>
            <w:r>
              <w:rPr>
                <w:rFonts w:eastAsia="標楷體"/>
                <w:kern w:val="0"/>
                <w:szCs w:val="24"/>
              </w:rPr>
              <w:t>新增都市更新計畫</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2B8B08A" w14:textId="77777777" w:rsidR="00052596" w:rsidRDefault="00052596">
            <w:pPr>
              <w:widowControl/>
              <w:overflowPunct w:val="0"/>
              <w:autoSpaceDE w:val="0"/>
              <w:spacing w:after="72" w:line="320" w:lineRule="exact"/>
              <w:ind w:left="629" w:hanging="317"/>
              <w:jc w:val="center"/>
              <w:rPr>
                <w:rFonts w:eastAsia="標楷體"/>
                <w:kern w:val="0"/>
                <w:szCs w:val="24"/>
              </w:rPr>
            </w:pP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22595B34" w14:textId="77777777" w:rsidR="00052596" w:rsidRDefault="00052596">
            <w:pPr>
              <w:widowControl/>
              <w:overflowPunct w:val="0"/>
              <w:autoSpaceDE w:val="0"/>
              <w:spacing w:after="72" w:line="320" w:lineRule="exact"/>
              <w:ind w:left="629" w:right="48" w:hanging="317"/>
              <w:jc w:val="right"/>
              <w:rPr>
                <w:rFonts w:eastAsia="標楷體"/>
                <w:kern w:val="0"/>
                <w:szCs w:val="24"/>
              </w:rPr>
            </w:pP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590C8ECA" w14:textId="77777777" w:rsidR="00052596" w:rsidRDefault="00052596">
            <w:pPr>
              <w:widowControl/>
              <w:overflowPunct w:val="0"/>
              <w:autoSpaceDE w:val="0"/>
              <w:spacing w:after="72" w:line="320" w:lineRule="exact"/>
              <w:ind w:left="629" w:right="48" w:hanging="317"/>
              <w:jc w:val="right"/>
              <w:rPr>
                <w:rFonts w:eastAsia="標楷體"/>
                <w:kern w:val="0"/>
                <w:szCs w:val="24"/>
              </w:rPr>
            </w:pPr>
          </w:p>
        </w:tc>
        <w:tc>
          <w:tcPr>
            <w:tcW w:w="1323" w:type="dxa"/>
            <w:tcBorders>
              <w:left w:val="single" w:sz="4" w:space="0" w:color="000000"/>
            </w:tcBorders>
            <w:shd w:val="clear" w:color="auto" w:fill="auto"/>
            <w:noWrap/>
            <w:tcMar>
              <w:top w:w="0" w:type="dxa"/>
              <w:left w:w="28" w:type="dxa"/>
              <w:bottom w:w="0" w:type="dxa"/>
              <w:right w:w="28" w:type="dxa"/>
            </w:tcMar>
          </w:tcPr>
          <w:p w14:paraId="51CEBE5D" w14:textId="77777777" w:rsidR="00052596" w:rsidRDefault="00052596">
            <w:pPr>
              <w:widowControl/>
              <w:overflowPunct w:val="0"/>
              <w:autoSpaceDE w:val="0"/>
              <w:spacing w:after="72" w:line="320" w:lineRule="exact"/>
              <w:ind w:left="7" w:right="48" w:firstLine="576"/>
              <w:jc w:val="right"/>
              <w:rPr>
                <w:rFonts w:eastAsia="標楷體"/>
                <w:kern w:val="0"/>
                <w:szCs w:val="24"/>
              </w:rPr>
            </w:pPr>
          </w:p>
        </w:tc>
      </w:tr>
      <w:tr w:rsidR="00052596" w14:paraId="5CCA0AB3" w14:textId="77777777">
        <w:tblPrEx>
          <w:tblCellMar>
            <w:top w:w="0" w:type="dxa"/>
            <w:bottom w:w="0" w:type="dxa"/>
          </w:tblCellMar>
        </w:tblPrEx>
        <w:trPr>
          <w:trHeight w:val="208"/>
          <w:jc w:val="center"/>
        </w:trPr>
        <w:tc>
          <w:tcPr>
            <w:tcW w:w="4046" w:type="dxa"/>
            <w:tcBorders>
              <w:right w:val="single" w:sz="4" w:space="0" w:color="000000"/>
            </w:tcBorders>
            <w:shd w:val="clear" w:color="auto" w:fill="auto"/>
            <w:noWrap/>
            <w:tcMar>
              <w:top w:w="0" w:type="dxa"/>
              <w:left w:w="28" w:type="dxa"/>
              <w:bottom w:w="0" w:type="dxa"/>
              <w:right w:w="28" w:type="dxa"/>
            </w:tcMar>
          </w:tcPr>
          <w:p w14:paraId="0D01624B" w14:textId="77777777" w:rsidR="00052596" w:rsidRDefault="00000000">
            <w:pPr>
              <w:widowControl/>
              <w:overflowPunct w:val="0"/>
              <w:autoSpaceDE w:val="0"/>
              <w:spacing w:after="48" w:line="320" w:lineRule="exact"/>
              <w:ind w:left="528"/>
              <w:jc w:val="both"/>
              <w:rPr>
                <w:rFonts w:eastAsia="標楷體"/>
                <w:kern w:val="0"/>
                <w:szCs w:val="24"/>
              </w:rPr>
            </w:pPr>
            <w:r>
              <w:rPr>
                <w:rFonts w:eastAsia="標楷體"/>
                <w:kern w:val="0"/>
                <w:szCs w:val="24"/>
              </w:rPr>
              <w:t>－政府為主</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9248674" w14:textId="77777777" w:rsidR="00052596" w:rsidRDefault="00000000">
            <w:pPr>
              <w:widowControl/>
              <w:overflowPunct w:val="0"/>
              <w:autoSpaceDE w:val="0"/>
              <w:spacing w:before="48" w:after="48" w:line="320" w:lineRule="exact"/>
              <w:ind w:left="-12" w:hanging="29"/>
              <w:jc w:val="center"/>
              <w:rPr>
                <w:rFonts w:eastAsia="標楷體"/>
                <w:kern w:val="0"/>
                <w:szCs w:val="24"/>
              </w:rPr>
            </w:pPr>
            <w:r>
              <w:rPr>
                <w:rFonts w:eastAsia="標楷體"/>
                <w:kern w:val="0"/>
                <w:szCs w:val="24"/>
              </w:rPr>
              <w:t>處</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5946D440" w14:textId="77777777" w:rsidR="00052596" w:rsidRDefault="00000000">
            <w:pPr>
              <w:widowControl/>
              <w:overflowPunct w:val="0"/>
              <w:autoSpaceDE w:val="0"/>
              <w:snapToGrid w:val="0"/>
              <w:spacing w:before="48" w:after="48" w:line="320" w:lineRule="exact"/>
              <w:ind w:left="120" w:right="48" w:hanging="120"/>
              <w:jc w:val="right"/>
              <w:rPr>
                <w:rFonts w:eastAsia="標楷體"/>
                <w:kern w:val="0"/>
                <w:szCs w:val="24"/>
              </w:rPr>
            </w:pPr>
            <w:r>
              <w:rPr>
                <w:rFonts w:eastAsia="標楷體"/>
                <w:kern w:val="0"/>
                <w:szCs w:val="24"/>
              </w:rPr>
              <w:t>8</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0D49795D" w14:textId="77777777" w:rsidR="00052596" w:rsidRDefault="00000000">
            <w:pPr>
              <w:widowControl/>
              <w:overflowPunct w:val="0"/>
              <w:autoSpaceDE w:val="0"/>
              <w:spacing w:before="48" w:after="48" w:line="320" w:lineRule="exact"/>
              <w:ind w:left="677" w:right="48" w:hanging="29"/>
              <w:jc w:val="right"/>
              <w:rPr>
                <w:rFonts w:eastAsia="標楷體"/>
                <w:kern w:val="0"/>
                <w:szCs w:val="24"/>
              </w:rPr>
            </w:pPr>
            <w:r>
              <w:rPr>
                <w:rFonts w:eastAsia="標楷體"/>
                <w:kern w:val="0"/>
                <w:szCs w:val="24"/>
              </w:rPr>
              <w:t>13</w:t>
            </w:r>
          </w:p>
        </w:tc>
        <w:tc>
          <w:tcPr>
            <w:tcW w:w="1323" w:type="dxa"/>
            <w:tcBorders>
              <w:left w:val="single" w:sz="4" w:space="0" w:color="000000"/>
            </w:tcBorders>
            <w:shd w:val="clear" w:color="auto" w:fill="auto"/>
            <w:noWrap/>
            <w:tcMar>
              <w:top w:w="0" w:type="dxa"/>
              <w:left w:w="28" w:type="dxa"/>
              <w:bottom w:w="0" w:type="dxa"/>
              <w:right w:w="28" w:type="dxa"/>
            </w:tcMar>
          </w:tcPr>
          <w:p w14:paraId="56C19DA8" w14:textId="77777777" w:rsidR="00052596" w:rsidRDefault="00000000">
            <w:pPr>
              <w:widowControl/>
              <w:overflowPunct w:val="0"/>
              <w:autoSpaceDE w:val="0"/>
              <w:spacing w:before="48" w:after="48" w:line="320" w:lineRule="exact"/>
              <w:ind w:left="677" w:right="48" w:hanging="29"/>
              <w:jc w:val="right"/>
            </w:pPr>
            <w:r>
              <w:rPr>
                <w:rFonts w:eastAsia="標楷體"/>
                <w:kern w:val="0"/>
                <w:szCs w:val="24"/>
              </w:rPr>
              <w:t>52</w:t>
            </w:r>
            <w:r>
              <w:rPr>
                <w:rFonts w:eastAsia="標楷體"/>
                <w:kern w:val="0"/>
                <w:szCs w:val="24"/>
                <w:vertAlign w:val="superscript"/>
              </w:rPr>
              <w:t>1</w:t>
            </w:r>
          </w:p>
        </w:tc>
      </w:tr>
      <w:tr w:rsidR="00052596" w14:paraId="2EB6FA5E" w14:textId="77777777">
        <w:tblPrEx>
          <w:tblCellMar>
            <w:top w:w="0" w:type="dxa"/>
            <w:bottom w:w="0" w:type="dxa"/>
          </w:tblCellMar>
        </w:tblPrEx>
        <w:trPr>
          <w:trHeight w:val="90"/>
          <w:jc w:val="center"/>
        </w:trPr>
        <w:tc>
          <w:tcPr>
            <w:tcW w:w="4046" w:type="dxa"/>
            <w:tcBorders>
              <w:right w:val="single" w:sz="4" w:space="0" w:color="000000"/>
            </w:tcBorders>
            <w:shd w:val="clear" w:color="auto" w:fill="auto"/>
            <w:noWrap/>
            <w:tcMar>
              <w:top w:w="0" w:type="dxa"/>
              <w:left w:w="28" w:type="dxa"/>
              <w:bottom w:w="0" w:type="dxa"/>
              <w:right w:w="28" w:type="dxa"/>
            </w:tcMar>
          </w:tcPr>
          <w:p w14:paraId="4E09589B" w14:textId="77777777" w:rsidR="00052596" w:rsidRDefault="00000000">
            <w:pPr>
              <w:widowControl/>
              <w:overflowPunct w:val="0"/>
              <w:autoSpaceDE w:val="0"/>
              <w:spacing w:after="48" w:line="320" w:lineRule="exact"/>
              <w:ind w:left="528"/>
              <w:jc w:val="both"/>
              <w:rPr>
                <w:rFonts w:eastAsia="標楷體"/>
                <w:kern w:val="0"/>
                <w:szCs w:val="24"/>
              </w:rPr>
            </w:pPr>
            <w:r>
              <w:rPr>
                <w:rFonts w:eastAsia="標楷體"/>
                <w:kern w:val="0"/>
                <w:szCs w:val="24"/>
              </w:rPr>
              <w:t>－輔導民間核定實施</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57991B82" w14:textId="77777777" w:rsidR="00052596" w:rsidRDefault="00000000">
            <w:pPr>
              <w:widowControl/>
              <w:overflowPunct w:val="0"/>
              <w:autoSpaceDE w:val="0"/>
              <w:spacing w:before="48" w:after="48" w:line="320" w:lineRule="exact"/>
              <w:ind w:left="-12" w:hanging="29"/>
              <w:jc w:val="center"/>
              <w:rPr>
                <w:rFonts w:eastAsia="標楷體"/>
                <w:kern w:val="0"/>
                <w:szCs w:val="24"/>
              </w:rPr>
            </w:pPr>
            <w:r>
              <w:rPr>
                <w:rFonts w:eastAsia="標楷體"/>
                <w:kern w:val="0"/>
                <w:szCs w:val="24"/>
              </w:rPr>
              <w:t>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27C124F7" w14:textId="77777777" w:rsidR="00052596" w:rsidRDefault="00000000">
            <w:pPr>
              <w:widowControl/>
              <w:overflowPunct w:val="0"/>
              <w:autoSpaceDE w:val="0"/>
              <w:snapToGrid w:val="0"/>
              <w:spacing w:before="48" w:after="48" w:line="320" w:lineRule="exact"/>
              <w:ind w:left="120" w:right="48" w:hanging="120"/>
              <w:jc w:val="right"/>
              <w:rPr>
                <w:rFonts w:eastAsia="標楷體"/>
                <w:kern w:val="0"/>
                <w:szCs w:val="24"/>
              </w:rPr>
            </w:pPr>
            <w:r>
              <w:rPr>
                <w:rFonts w:eastAsia="標楷體"/>
                <w:kern w:val="0"/>
                <w:szCs w:val="24"/>
              </w:rPr>
              <w:t>27</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37B3F04C" w14:textId="77777777" w:rsidR="00052596" w:rsidRDefault="00000000">
            <w:pPr>
              <w:widowControl/>
              <w:overflowPunct w:val="0"/>
              <w:autoSpaceDE w:val="0"/>
              <w:spacing w:before="48" w:after="48" w:line="320" w:lineRule="exact"/>
              <w:ind w:left="677" w:right="48" w:hanging="29"/>
              <w:jc w:val="right"/>
              <w:rPr>
                <w:rFonts w:eastAsia="標楷體"/>
                <w:kern w:val="0"/>
                <w:szCs w:val="24"/>
              </w:rPr>
            </w:pPr>
            <w:r>
              <w:rPr>
                <w:rFonts w:eastAsia="標楷體"/>
                <w:kern w:val="0"/>
                <w:szCs w:val="24"/>
              </w:rPr>
              <w:t>25</w:t>
            </w:r>
          </w:p>
        </w:tc>
        <w:tc>
          <w:tcPr>
            <w:tcW w:w="1323" w:type="dxa"/>
            <w:tcBorders>
              <w:left w:val="single" w:sz="4" w:space="0" w:color="000000"/>
            </w:tcBorders>
            <w:shd w:val="clear" w:color="auto" w:fill="auto"/>
            <w:noWrap/>
            <w:tcMar>
              <w:top w:w="0" w:type="dxa"/>
              <w:left w:w="28" w:type="dxa"/>
              <w:bottom w:w="0" w:type="dxa"/>
              <w:right w:w="28" w:type="dxa"/>
            </w:tcMar>
          </w:tcPr>
          <w:p w14:paraId="0D1661EA" w14:textId="77777777" w:rsidR="00052596" w:rsidRDefault="00000000">
            <w:pPr>
              <w:widowControl/>
              <w:overflowPunct w:val="0"/>
              <w:autoSpaceDE w:val="0"/>
              <w:spacing w:before="48" w:after="48" w:line="320" w:lineRule="exact"/>
              <w:ind w:left="677" w:right="48" w:hanging="29"/>
              <w:jc w:val="right"/>
            </w:pPr>
            <w:r>
              <w:rPr>
                <w:rFonts w:eastAsia="標楷體"/>
                <w:kern w:val="0"/>
                <w:szCs w:val="24"/>
              </w:rPr>
              <w:t>100</w:t>
            </w:r>
            <w:r>
              <w:rPr>
                <w:rFonts w:eastAsia="標楷體"/>
                <w:kern w:val="0"/>
                <w:szCs w:val="24"/>
                <w:vertAlign w:val="superscript"/>
              </w:rPr>
              <w:t>1</w:t>
            </w:r>
          </w:p>
        </w:tc>
      </w:tr>
      <w:tr w:rsidR="00052596" w14:paraId="559F9EC1" w14:textId="77777777">
        <w:tblPrEx>
          <w:tblCellMar>
            <w:top w:w="0" w:type="dxa"/>
            <w:bottom w:w="0" w:type="dxa"/>
          </w:tblCellMar>
        </w:tblPrEx>
        <w:trPr>
          <w:trHeight w:val="132"/>
          <w:jc w:val="center"/>
        </w:trPr>
        <w:tc>
          <w:tcPr>
            <w:tcW w:w="4046" w:type="dxa"/>
            <w:tcBorders>
              <w:right w:val="single" w:sz="4" w:space="0" w:color="000000"/>
            </w:tcBorders>
            <w:shd w:val="clear" w:color="auto" w:fill="auto"/>
            <w:noWrap/>
            <w:tcMar>
              <w:top w:w="0" w:type="dxa"/>
              <w:left w:w="28" w:type="dxa"/>
              <w:bottom w:w="0" w:type="dxa"/>
              <w:right w:w="28" w:type="dxa"/>
            </w:tcMar>
          </w:tcPr>
          <w:p w14:paraId="3CAFB001" w14:textId="77777777" w:rsidR="00052596" w:rsidRDefault="00000000">
            <w:pPr>
              <w:widowControl/>
              <w:overflowPunct w:val="0"/>
              <w:autoSpaceDE w:val="0"/>
              <w:spacing w:after="72" w:line="320" w:lineRule="exact"/>
              <w:ind w:left="629" w:hanging="317"/>
              <w:jc w:val="both"/>
              <w:rPr>
                <w:rFonts w:eastAsia="標楷體"/>
                <w:kern w:val="0"/>
                <w:szCs w:val="24"/>
              </w:rPr>
            </w:pPr>
            <w:r>
              <w:rPr>
                <w:rFonts w:eastAsia="標楷體"/>
                <w:kern w:val="0"/>
                <w:szCs w:val="24"/>
              </w:rPr>
              <w:t>2.</w:t>
            </w:r>
            <w:r>
              <w:rPr>
                <w:rFonts w:eastAsia="標楷體"/>
                <w:kern w:val="0"/>
                <w:szCs w:val="24"/>
              </w:rPr>
              <w:t>整合住宅補貼資源實施方案</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3AFFF79F" w14:textId="77777777" w:rsidR="00052596" w:rsidRDefault="00052596">
            <w:pPr>
              <w:widowControl/>
              <w:overflowPunct w:val="0"/>
              <w:autoSpaceDE w:val="0"/>
              <w:spacing w:after="72" w:line="320" w:lineRule="exact"/>
              <w:ind w:left="629" w:hanging="317"/>
              <w:jc w:val="center"/>
              <w:rPr>
                <w:rFonts w:eastAsia="標楷體"/>
                <w:kern w:val="0"/>
                <w:szCs w:val="24"/>
              </w:rPr>
            </w:pP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08CB5FC3" w14:textId="77777777" w:rsidR="00052596" w:rsidRDefault="00052596">
            <w:pPr>
              <w:widowControl/>
              <w:overflowPunct w:val="0"/>
              <w:autoSpaceDE w:val="0"/>
              <w:spacing w:after="72" w:line="320" w:lineRule="exact"/>
              <w:ind w:left="629" w:right="48" w:hanging="317"/>
              <w:jc w:val="right"/>
              <w:rPr>
                <w:rFonts w:eastAsia="標楷體"/>
                <w:kern w:val="0"/>
                <w:szCs w:val="24"/>
              </w:rPr>
            </w:pP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7D257CE0" w14:textId="77777777" w:rsidR="00052596" w:rsidRDefault="00052596">
            <w:pPr>
              <w:widowControl/>
              <w:overflowPunct w:val="0"/>
              <w:autoSpaceDE w:val="0"/>
              <w:spacing w:after="72" w:line="320" w:lineRule="exact"/>
              <w:ind w:left="629" w:right="48" w:hanging="317"/>
              <w:jc w:val="right"/>
              <w:rPr>
                <w:rFonts w:eastAsia="標楷體"/>
                <w:kern w:val="0"/>
                <w:szCs w:val="24"/>
              </w:rPr>
            </w:pPr>
          </w:p>
        </w:tc>
        <w:tc>
          <w:tcPr>
            <w:tcW w:w="1323" w:type="dxa"/>
            <w:tcBorders>
              <w:left w:val="single" w:sz="4" w:space="0" w:color="000000"/>
            </w:tcBorders>
            <w:shd w:val="clear" w:color="auto" w:fill="auto"/>
            <w:noWrap/>
            <w:tcMar>
              <w:top w:w="0" w:type="dxa"/>
              <w:left w:w="28" w:type="dxa"/>
              <w:bottom w:w="0" w:type="dxa"/>
              <w:right w:w="28" w:type="dxa"/>
            </w:tcMar>
          </w:tcPr>
          <w:p w14:paraId="223490B1" w14:textId="77777777" w:rsidR="00052596" w:rsidRDefault="00052596">
            <w:pPr>
              <w:widowControl/>
              <w:overflowPunct w:val="0"/>
              <w:autoSpaceDE w:val="0"/>
              <w:spacing w:after="72" w:line="320" w:lineRule="exact"/>
              <w:ind w:left="629" w:right="48" w:hanging="317"/>
              <w:jc w:val="right"/>
              <w:rPr>
                <w:rFonts w:eastAsia="標楷體"/>
                <w:kern w:val="0"/>
                <w:szCs w:val="24"/>
              </w:rPr>
            </w:pPr>
          </w:p>
        </w:tc>
      </w:tr>
      <w:tr w:rsidR="00052596" w14:paraId="6F6E57ED" w14:textId="77777777">
        <w:tblPrEx>
          <w:tblCellMar>
            <w:top w:w="0" w:type="dxa"/>
            <w:bottom w:w="0" w:type="dxa"/>
          </w:tblCellMar>
        </w:tblPrEx>
        <w:trPr>
          <w:trHeight w:val="90"/>
          <w:jc w:val="center"/>
        </w:trPr>
        <w:tc>
          <w:tcPr>
            <w:tcW w:w="4046" w:type="dxa"/>
            <w:tcBorders>
              <w:right w:val="single" w:sz="4" w:space="0" w:color="000000"/>
            </w:tcBorders>
            <w:shd w:val="clear" w:color="auto" w:fill="auto"/>
            <w:noWrap/>
            <w:tcMar>
              <w:top w:w="0" w:type="dxa"/>
              <w:left w:w="28" w:type="dxa"/>
              <w:bottom w:w="0" w:type="dxa"/>
              <w:right w:w="28" w:type="dxa"/>
            </w:tcMar>
          </w:tcPr>
          <w:p w14:paraId="679A44C0" w14:textId="77777777" w:rsidR="00052596" w:rsidRDefault="00000000">
            <w:pPr>
              <w:widowControl/>
              <w:overflowPunct w:val="0"/>
              <w:autoSpaceDE w:val="0"/>
              <w:spacing w:before="48" w:after="48" w:line="320" w:lineRule="exact"/>
              <w:ind w:left="768" w:hanging="240"/>
              <w:jc w:val="both"/>
              <w:rPr>
                <w:rFonts w:eastAsia="標楷體"/>
                <w:kern w:val="0"/>
                <w:szCs w:val="24"/>
              </w:rPr>
            </w:pPr>
            <w:r>
              <w:rPr>
                <w:rFonts w:eastAsia="標楷體"/>
                <w:kern w:val="0"/>
                <w:szCs w:val="24"/>
              </w:rPr>
              <w:t>－新增針對無力購置住宅家庭提供租金補貼</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44C7682" w14:textId="77777777" w:rsidR="00052596" w:rsidRDefault="00000000">
            <w:pPr>
              <w:widowControl/>
              <w:overflowPunct w:val="0"/>
              <w:autoSpaceDE w:val="0"/>
              <w:spacing w:before="48" w:after="48" w:line="320" w:lineRule="exact"/>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246B1D43"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24,000</w:t>
            </w:r>
            <w:r>
              <w:rPr>
                <w:rFonts w:eastAsia="標楷體"/>
                <w:kern w:val="0"/>
                <w:szCs w:val="24"/>
                <w:vertAlign w:val="superscript"/>
              </w:rPr>
              <w:t>2</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3C4E6A7B" w14:textId="77777777" w:rsidR="00052596" w:rsidRDefault="00000000">
            <w:pPr>
              <w:widowControl/>
              <w:overflowPunct w:val="0"/>
              <w:autoSpaceDE w:val="0"/>
              <w:spacing w:before="48" w:after="48" w:line="320" w:lineRule="exact"/>
              <w:ind w:right="48"/>
              <w:jc w:val="right"/>
              <w:rPr>
                <w:rFonts w:eastAsia="標楷體"/>
                <w:kern w:val="0"/>
                <w:szCs w:val="24"/>
              </w:rPr>
            </w:pPr>
            <w:r>
              <w:rPr>
                <w:rFonts w:eastAsia="標楷體"/>
                <w:kern w:val="0"/>
                <w:szCs w:val="24"/>
              </w:rPr>
              <w:t>25,000</w:t>
            </w:r>
          </w:p>
        </w:tc>
        <w:tc>
          <w:tcPr>
            <w:tcW w:w="1323" w:type="dxa"/>
            <w:tcBorders>
              <w:left w:val="single" w:sz="4" w:space="0" w:color="000000"/>
            </w:tcBorders>
            <w:shd w:val="clear" w:color="auto" w:fill="auto"/>
            <w:noWrap/>
            <w:tcMar>
              <w:top w:w="0" w:type="dxa"/>
              <w:left w:w="28" w:type="dxa"/>
              <w:bottom w:w="0" w:type="dxa"/>
              <w:right w:w="28" w:type="dxa"/>
            </w:tcMar>
          </w:tcPr>
          <w:p w14:paraId="2757D40A" w14:textId="77777777" w:rsidR="00052596" w:rsidRDefault="00000000">
            <w:pPr>
              <w:widowControl/>
              <w:overflowPunct w:val="0"/>
              <w:autoSpaceDE w:val="0"/>
              <w:spacing w:before="48" w:after="48" w:line="320" w:lineRule="exact"/>
              <w:ind w:right="48"/>
              <w:jc w:val="right"/>
            </w:pPr>
            <w:r>
              <w:rPr>
                <w:rFonts w:eastAsia="標楷體"/>
                <w:kern w:val="0"/>
                <w:szCs w:val="24"/>
              </w:rPr>
              <w:t>100,000</w:t>
            </w:r>
            <w:r>
              <w:rPr>
                <w:rFonts w:eastAsia="標楷體"/>
                <w:kern w:val="0"/>
                <w:szCs w:val="24"/>
                <w:vertAlign w:val="superscript"/>
              </w:rPr>
              <w:t>1</w:t>
            </w:r>
          </w:p>
        </w:tc>
      </w:tr>
      <w:tr w:rsidR="00052596" w14:paraId="24BBFD94" w14:textId="77777777">
        <w:tblPrEx>
          <w:tblCellMar>
            <w:top w:w="0" w:type="dxa"/>
            <w:bottom w:w="0" w:type="dxa"/>
          </w:tblCellMar>
        </w:tblPrEx>
        <w:trPr>
          <w:trHeight w:val="325"/>
          <w:jc w:val="center"/>
        </w:trPr>
        <w:tc>
          <w:tcPr>
            <w:tcW w:w="4046" w:type="dxa"/>
            <w:tcBorders>
              <w:right w:val="single" w:sz="4" w:space="0" w:color="000000"/>
            </w:tcBorders>
            <w:shd w:val="clear" w:color="auto" w:fill="auto"/>
            <w:noWrap/>
            <w:tcMar>
              <w:top w:w="0" w:type="dxa"/>
              <w:left w:w="28" w:type="dxa"/>
              <w:bottom w:w="0" w:type="dxa"/>
              <w:right w:w="28" w:type="dxa"/>
            </w:tcMar>
          </w:tcPr>
          <w:p w14:paraId="77300632" w14:textId="77777777" w:rsidR="00052596" w:rsidRDefault="00000000">
            <w:pPr>
              <w:widowControl/>
              <w:overflowPunct w:val="0"/>
              <w:autoSpaceDE w:val="0"/>
              <w:spacing w:before="48" w:after="48" w:line="320" w:lineRule="exact"/>
              <w:ind w:left="768" w:hanging="240"/>
              <w:jc w:val="both"/>
              <w:rPr>
                <w:rFonts w:eastAsia="標楷體"/>
                <w:kern w:val="0"/>
                <w:szCs w:val="24"/>
              </w:rPr>
            </w:pPr>
            <w:r>
              <w:rPr>
                <w:rFonts w:eastAsia="標楷體"/>
                <w:kern w:val="0"/>
                <w:szCs w:val="24"/>
              </w:rPr>
              <w:t>－新增購置住宅貸款利息補貼</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86AA9F9" w14:textId="77777777" w:rsidR="00052596" w:rsidRDefault="00000000">
            <w:pPr>
              <w:widowControl/>
              <w:overflowPunct w:val="0"/>
              <w:autoSpaceDE w:val="0"/>
              <w:spacing w:before="48" w:after="48" w:line="320" w:lineRule="exact"/>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7F076808"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10,000</w:t>
            </w:r>
            <w:r>
              <w:rPr>
                <w:rFonts w:eastAsia="標楷體"/>
                <w:kern w:val="0"/>
                <w:szCs w:val="24"/>
                <w:vertAlign w:val="superscript"/>
              </w:rPr>
              <w:t>2</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5A2EEC0C" w14:textId="77777777" w:rsidR="00052596" w:rsidRDefault="00000000">
            <w:pPr>
              <w:widowControl/>
              <w:overflowPunct w:val="0"/>
              <w:autoSpaceDE w:val="0"/>
              <w:spacing w:before="48" w:after="48" w:line="320" w:lineRule="exact"/>
              <w:ind w:right="48"/>
              <w:jc w:val="right"/>
              <w:rPr>
                <w:rFonts w:eastAsia="標楷體"/>
                <w:kern w:val="0"/>
                <w:szCs w:val="24"/>
              </w:rPr>
            </w:pPr>
            <w:r>
              <w:rPr>
                <w:rFonts w:eastAsia="標楷體"/>
                <w:kern w:val="0"/>
                <w:szCs w:val="24"/>
              </w:rPr>
              <w:t>5,000</w:t>
            </w:r>
          </w:p>
        </w:tc>
        <w:tc>
          <w:tcPr>
            <w:tcW w:w="1323" w:type="dxa"/>
            <w:tcBorders>
              <w:left w:val="single" w:sz="4" w:space="0" w:color="000000"/>
            </w:tcBorders>
            <w:shd w:val="clear" w:color="auto" w:fill="auto"/>
            <w:noWrap/>
            <w:tcMar>
              <w:top w:w="0" w:type="dxa"/>
              <w:left w:w="28" w:type="dxa"/>
              <w:bottom w:w="0" w:type="dxa"/>
              <w:right w:w="28" w:type="dxa"/>
            </w:tcMar>
          </w:tcPr>
          <w:p w14:paraId="55226CFD" w14:textId="77777777" w:rsidR="00052596" w:rsidRDefault="00000000">
            <w:pPr>
              <w:widowControl/>
              <w:overflowPunct w:val="0"/>
              <w:autoSpaceDE w:val="0"/>
              <w:spacing w:before="48" w:after="48" w:line="320" w:lineRule="exact"/>
              <w:ind w:left="-12" w:right="48" w:hanging="29"/>
              <w:jc w:val="right"/>
            </w:pPr>
            <w:r>
              <w:rPr>
                <w:rFonts w:eastAsia="標楷體"/>
                <w:kern w:val="0"/>
                <w:szCs w:val="24"/>
              </w:rPr>
              <w:t>20,000</w:t>
            </w:r>
            <w:r>
              <w:rPr>
                <w:rFonts w:eastAsia="標楷體"/>
                <w:kern w:val="0"/>
                <w:szCs w:val="24"/>
                <w:vertAlign w:val="superscript"/>
              </w:rPr>
              <w:t>1</w:t>
            </w:r>
          </w:p>
        </w:tc>
      </w:tr>
      <w:tr w:rsidR="00052596" w14:paraId="6F613D84" w14:textId="77777777">
        <w:tblPrEx>
          <w:tblCellMar>
            <w:top w:w="0" w:type="dxa"/>
            <w:bottom w:w="0" w:type="dxa"/>
          </w:tblCellMar>
        </w:tblPrEx>
        <w:trPr>
          <w:trHeight w:val="233"/>
          <w:jc w:val="center"/>
        </w:trPr>
        <w:tc>
          <w:tcPr>
            <w:tcW w:w="4046" w:type="dxa"/>
            <w:tcBorders>
              <w:right w:val="single" w:sz="4" w:space="0" w:color="000000"/>
            </w:tcBorders>
            <w:shd w:val="clear" w:color="auto" w:fill="auto"/>
            <w:noWrap/>
            <w:tcMar>
              <w:top w:w="0" w:type="dxa"/>
              <w:left w:w="28" w:type="dxa"/>
              <w:bottom w:w="0" w:type="dxa"/>
              <w:right w:w="28" w:type="dxa"/>
            </w:tcMar>
          </w:tcPr>
          <w:p w14:paraId="5AFBDE2C" w14:textId="77777777" w:rsidR="00052596" w:rsidRDefault="00000000">
            <w:pPr>
              <w:widowControl/>
              <w:overflowPunct w:val="0"/>
              <w:autoSpaceDE w:val="0"/>
              <w:spacing w:before="48" w:after="48" w:line="320" w:lineRule="exact"/>
              <w:ind w:left="768" w:hanging="240"/>
              <w:jc w:val="both"/>
              <w:rPr>
                <w:rFonts w:eastAsia="標楷體"/>
                <w:kern w:val="0"/>
                <w:szCs w:val="24"/>
              </w:rPr>
            </w:pPr>
            <w:r>
              <w:rPr>
                <w:rFonts w:eastAsia="標楷體"/>
                <w:kern w:val="0"/>
                <w:szCs w:val="24"/>
              </w:rPr>
              <w:t>－新增自建住宅貸款利息補貼</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B871BCC" w14:textId="77777777" w:rsidR="00052596" w:rsidRDefault="00000000">
            <w:pPr>
              <w:widowControl/>
              <w:overflowPunct w:val="0"/>
              <w:autoSpaceDE w:val="0"/>
              <w:snapToGrid w:val="0"/>
              <w:spacing w:before="48" w:after="48" w:line="320" w:lineRule="exact"/>
              <w:ind w:left="120" w:hanging="120"/>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59422478" w14:textId="77777777" w:rsidR="00052596" w:rsidRDefault="00000000">
            <w:pPr>
              <w:widowControl/>
              <w:overflowPunct w:val="0"/>
              <w:autoSpaceDE w:val="0"/>
              <w:snapToGrid w:val="0"/>
              <w:spacing w:before="48" w:after="48" w:line="320" w:lineRule="exact"/>
              <w:ind w:left="120" w:right="48" w:hanging="120"/>
              <w:jc w:val="right"/>
              <w:rPr>
                <w:rFonts w:eastAsia="標楷體"/>
                <w:kern w:val="0"/>
                <w:szCs w:val="24"/>
              </w:rPr>
            </w:pPr>
            <w:r>
              <w:rPr>
                <w:rFonts w:eastAsia="標楷體"/>
                <w:kern w:val="0"/>
                <w:szCs w:val="24"/>
              </w:rPr>
              <w:t>0</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597DF4BF" w14:textId="77777777" w:rsidR="00052596" w:rsidRDefault="00000000">
            <w:pPr>
              <w:widowControl/>
              <w:overflowPunct w:val="0"/>
              <w:autoSpaceDE w:val="0"/>
              <w:spacing w:before="48" w:after="48" w:line="320" w:lineRule="exact"/>
              <w:ind w:right="48"/>
              <w:jc w:val="right"/>
            </w:pPr>
            <w:r>
              <w:rPr>
                <w:rFonts w:eastAsia="標楷體"/>
                <w:kern w:val="0"/>
                <w:szCs w:val="24"/>
              </w:rPr>
              <w:t>500</w:t>
            </w:r>
          </w:p>
        </w:tc>
        <w:tc>
          <w:tcPr>
            <w:tcW w:w="1323" w:type="dxa"/>
            <w:tcBorders>
              <w:left w:val="single" w:sz="4" w:space="0" w:color="000000"/>
            </w:tcBorders>
            <w:shd w:val="clear" w:color="auto" w:fill="auto"/>
            <w:noWrap/>
            <w:tcMar>
              <w:top w:w="0" w:type="dxa"/>
              <w:left w:w="28" w:type="dxa"/>
              <w:bottom w:w="0" w:type="dxa"/>
              <w:right w:w="28" w:type="dxa"/>
            </w:tcMar>
          </w:tcPr>
          <w:p w14:paraId="50232578"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2,000</w:t>
            </w:r>
            <w:r>
              <w:rPr>
                <w:rFonts w:eastAsia="標楷體"/>
                <w:kern w:val="0"/>
                <w:szCs w:val="24"/>
                <w:vertAlign w:val="superscript"/>
              </w:rPr>
              <w:t>1</w:t>
            </w:r>
          </w:p>
        </w:tc>
      </w:tr>
      <w:tr w:rsidR="00052596" w14:paraId="106D8C3B" w14:textId="77777777">
        <w:tblPrEx>
          <w:tblCellMar>
            <w:top w:w="0" w:type="dxa"/>
            <w:bottom w:w="0" w:type="dxa"/>
          </w:tblCellMar>
        </w:tblPrEx>
        <w:trPr>
          <w:trHeight w:val="267"/>
          <w:jc w:val="center"/>
        </w:trPr>
        <w:tc>
          <w:tcPr>
            <w:tcW w:w="4046" w:type="dxa"/>
            <w:tcBorders>
              <w:right w:val="single" w:sz="4" w:space="0" w:color="000000"/>
            </w:tcBorders>
            <w:shd w:val="clear" w:color="auto" w:fill="auto"/>
            <w:noWrap/>
            <w:tcMar>
              <w:top w:w="0" w:type="dxa"/>
              <w:left w:w="28" w:type="dxa"/>
              <w:bottom w:w="0" w:type="dxa"/>
              <w:right w:w="28" w:type="dxa"/>
            </w:tcMar>
          </w:tcPr>
          <w:p w14:paraId="0081D164" w14:textId="77777777" w:rsidR="00052596" w:rsidRDefault="00000000">
            <w:pPr>
              <w:widowControl/>
              <w:overflowPunct w:val="0"/>
              <w:autoSpaceDE w:val="0"/>
              <w:spacing w:before="48" w:after="48" w:line="320" w:lineRule="exact"/>
              <w:ind w:left="768" w:hanging="240"/>
              <w:jc w:val="both"/>
              <w:rPr>
                <w:rFonts w:eastAsia="標楷體"/>
                <w:kern w:val="0"/>
                <w:szCs w:val="24"/>
              </w:rPr>
            </w:pPr>
            <w:r>
              <w:rPr>
                <w:rFonts w:eastAsia="標楷體"/>
                <w:kern w:val="0"/>
                <w:szCs w:val="24"/>
              </w:rPr>
              <w:t>－新增修繕住宅貸款利息補貼</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F4A941E" w14:textId="77777777" w:rsidR="00052596" w:rsidRDefault="00000000">
            <w:pPr>
              <w:widowControl/>
              <w:overflowPunct w:val="0"/>
              <w:autoSpaceDE w:val="0"/>
              <w:snapToGrid w:val="0"/>
              <w:spacing w:before="48" w:after="48" w:line="320" w:lineRule="exact"/>
              <w:ind w:left="120" w:hanging="120"/>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3B20EB83"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5,000</w:t>
            </w:r>
            <w:r>
              <w:rPr>
                <w:rFonts w:eastAsia="標楷體"/>
                <w:kern w:val="0"/>
                <w:szCs w:val="24"/>
                <w:vertAlign w:val="superscript"/>
              </w:rPr>
              <w:t>2</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78F7D0CC" w14:textId="77777777" w:rsidR="00052596" w:rsidRDefault="00000000">
            <w:pPr>
              <w:widowControl/>
              <w:overflowPunct w:val="0"/>
              <w:autoSpaceDE w:val="0"/>
              <w:spacing w:before="48" w:after="48" w:line="320" w:lineRule="exact"/>
              <w:ind w:right="48"/>
              <w:jc w:val="right"/>
            </w:pPr>
            <w:r>
              <w:rPr>
                <w:rFonts w:eastAsia="標楷體" w:cs="新細明體"/>
                <w:kern w:val="0"/>
                <w:szCs w:val="24"/>
              </w:rPr>
              <w:t>3,</w:t>
            </w:r>
            <w:r>
              <w:rPr>
                <w:rFonts w:eastAsia="標楷體"/>
                <w:kern w:val="0"/>
                <w:szCs w:val="24"/>
              </w:rPr>
              <w:t>000</w:t>
            </w:r>
          </w:p>
        </w:tc>
        <w:tc>
          <w:tcPr>
            <w:tcW w:w="1323" w:type="dxa"/>
            <w:tcBorders>
              <w:left w:val="single" w:sz="4" w:space="0" w:color="000000"/>
            </w:tcBorders>
            <w:shd w:val="clear" w:color="auto" w:fill="auto"/>
            <w:noWrap/>
            <w:tcMar>
              <w:top w:w="0" w:type="dxa"/>
              <w:left w:w="28" w:type="dxa"/>
              <w:bottom w:w="0" w:type="dxa"/>
              <w:right w:w="28" w:type="dxa"/>
            </w:tcMar>
          </w:tcPr>
          <w:p w14:paraId="5612204A"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12,000</w:t>
            </w:r>
            <w:r>
              <w:rPr>
                <w:rFonts w:eastAsia="標楷體"/>
                <w:kern w:val="0"/>
                <w:szCs w:val="24"/>
                <w:vertAlign w:val="superscript"/>
              </w:rPr>
              <w:t>1</w:t>
            </w:r>
          </w:p>
        </w:tc>
      </w:tr>
      <w:tr w:rsidR="00052596" w14:paraId="0F5F50EB" w14:textId="77777777">
        <w:tblPrEx>
          <w:tblCellMar>
            <w:top w:w="0" w:type="dxa"/>
            <w:bottom w:w="0" w:type="dxa"/>
          </w:tblCellMar>
        </w:tblPrEx>
        <w:trPr>
          <w:trHeight w:val="90"/>
          <w:jc w:val="center"/>
        </w:trPr>
        <w:tc>
          <w:tcPr>
            <w:tcW w:w="4046" w:type="dxa"/>
            <w:tcBorders>
              <w:right w:val="single" w:sz="4" w:space="0" w:color="000000"/>
            </w:tcBorders>
            <w:shd w:val="clear" w:color="auto" w:fill="auto"/>
            <w:noWrap/>
            <w:tcMar>
              <w:top w:w="0" w:type="dxa"/>
              <w:left w:w="28" w:type="dxa"/>
              <w:bottom w:w="0" w:type="dxa"/>
              <w:right w:w="28" w:type="dxa"/>
            </w:tcMar>
          </w:tcPr>
          <w:p w14:paraId="55A962A3" w14:textId="77777777" w:rsidR="00052596" w:rsidRDefault="00000000">
            <w:pPr>
              <w:widowControl/>
              <w:overflowPunct w:val="0"/>
              <w:autoSpaceDE w:val="0"/>
              <w:spacing w:before="48" w:after="48" w:line="320" w:lineRule="exact"/>
              <w:ind w:left="768" w:hanging="240"/>
              <w:jc w:val="both"/>
              <w:rPr>
                <w:rFonts w:eastAsia="標楷體"/>
                <w:kern w:val="0"/>
                <w:szCs w:val="24"/>
              </w:rPr>
            </w:pPr>
            <w:r>
              <w:rPr>
                <w:rFonts w:eastAsia="標楷體"/>
                <w:kern w:val="0"/>
                <w:szCs w:val="24"/>
              </w:rPr>
              <w:t>－新增簡易修繕住宅費用補貼</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5E39F1B0" w14:textId="77777777" w:rsidR="00052596" w:rsidRDefault="00000000">
            <w:pPr>
              <w:widowControl/>
              <w:overflowPunct w:val="0"/>
              <w:autoSpaceDE w:val="0"/>
              <w:snapToGrid w:val="0"/>
              <w:spacing w:before="48" w:after="48" w:line="320" w:lineRule="exact"/>
              <w:ind w:left="120" w:hanging="120"/>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6FF9CB0B" w14:textId="77777777" w:rsidR="00052596" w:rsidRDefault="00000000">
            <w:pPr>
              <w:widowControl/>
              <w:overflowPunct w:val="0"/>
              <w:autoSpaceDE w:val="0"/>
              <w:snapToGrid w:val="0"/>
              <w:spacing w:before="48" w:after="48" w:line="320" w:lineRule="exact"/>
              <w:ind w:left="120" w:right="48" w:hanging="120"/>
              <w:jc w:val="right"/>
              <w:rPr>
                <w:rFonts w:eastAsia="標楷體"/>
                <w:kern w:val="0"/>
                <w:szCs w:val="24"/>
              </w:rPr>
            </w:pPr>
            <w:r>
              <w:rPr>
                <w:rFonts w:eastAsia="標楷體"/>
                <w:kern w:val="0"/>
                <w:szCs w:val="24"/>
              </w:rPr>
              <w:t>0</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5CEF6A98" w14:textId="77777777" w:rsidR="00052596" w:rsidRDefault="00000000">
            <w:pPr>
              <w:widowControl/>
              <w:overflowPunct w:val="0"/>
              <w:autoSpaceDE w:val="0"/>
              <w:spacing w:before="48" w:after="48" w:line="320" w:lineRule="exact"/>
              <w:ind w:right="48"/>
              <w:jc w:val="right"/>
            </w:pPr>
            <w:r>
              <w:rPr>
                <w:rFonts w:eastAsia="標楷體" w:cs="新細明體"/>
                <w:kern w:val="0"/>
                <w:szCs w:val="24"/>
              </w:rPr>
              <w:t>1,</w:t>
            </w:r>
            <w:r>
              <w:rPr>
                <w:rFonts w:eastAsia="標楷體"/>
                <w:kern w:val="0"/>
                <w:szCs w:val="24"/>
              </w:rPr>
              <w:t>000</w:t>
            </w:r>
          </w:p>
        </w:tc>
        <w:tc>
          <w:tcPr>
            <w:tcW w:w="1323" w:type="dxa"/>
            <w:tcBorders>
              <w:left w:val="single" w:sz="4" w:space="0" w:color="000000"/>
            </w:tcBorders>
            <w:shd w:val="clear" w:color="auto" w:fill="auto"/>
            <w:noWrap/>
            <w:tcMar>
              <w:top w:w="0" w:type="dxa"/>
              <w:left w:w="28" w:type="dxa"/>
              <w:bottom w:w="0" w:type="dxa"/>
              <w:right w:w="28" w:type="dxa"/>
            </w:tcMar>
          </w:tcPr>
          <w:p w14:paraId="67D91DF6"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4,000</w:t>
            </w:r>
            <w:r>
              <w:rPr>
                <w:rFonts w:eastAsia="標楷體"/>
                <w:kern w:val="0"/>
                <w:szCs w:val="24"/>
                <w:vertAlign w:val="superscript"/>
              </w:rPr>
              <w:t>1</w:t>
            </w:r>
          </w:p>
        </w:tc>
      </w:tr>
      <w:tr w:rsidR="00052596" w14:paraId="5EE7BFDD" w14:textId="77777777">
        <w:tblPrEx>
          <w:tblCellMar>
            <w:top w:w="0" w:type="dxa"/>
            <w:bottom w:w="0" w:type="dxa"/>
          </w:tblCellMar>
        </w:tblPrEx>
        <w:trPr>
          <w:trHeight w:val="321"/>
          <w:jc w:val="center"/>
        </w:trPr>
        <w:tc>
          <w:tcPr>
            <w:tcW w:w="4046" w:type="dxa"/>
            <w:tcBorders>
              <w:right w:val="single" w:sz="4" w:space="0" w:color="000000"/>
            </w:tcBorders>
            <w:shd w:val="clear" w:color="auto" w:fill="auto"/>
            <w:noWrap/>
            <w:tcMar>
              <w:top w:w="0" w:type="dxa"/>
              <w:left w:w="28" w:type="dxa"/>
              <w:bottom w:w="0" w:type="dxa"/>
              <w:right w:w="28" w:type="dxa"/>
            </w:tcMar>
          </w:tcPr>
          <w:p w14:paraId="56B00616" w14:textId="77777777" w:rsidR="00052596" w:rsidRDefault="00000000">
            <w:pPr>
              <w:widowControl/>
              <w:overflowPunct w:val="0"/>
              <w:autoSpaceDE w:val="0"/>
              <w:spacing w:after="72" w:line="320" w:lineRule="exact"/>
              <w:ind w:left="480" w:hanging="168"/>
              <w:jc w:val="both"/>
            </w:pPr>
            <w:r>
              <w:rPr>
                <w:rFonts w:eastAsia="標楷體"/>
                <w:kern w:val="0"/>
                <w:szCs w:val="24"/>
              </w:rPr>
              <w:t>3.</w:t>
            </w:r>
            <w:r>
              <w:rPr>
                <w:rFonts w:eastAsia="標楷體"/>
                <w:kern w:val="0"/>
                <w:szCs w:val="24"/>
              </w:rPr>
              <w:t>青年安心成家方案</w:t>
            </w:r>
            <w:r>
              <w:rPr>
                <w:rFonts w:eastAsia="標楷體"/>
                <w:kern w:val="0"/>
                <w:szCs w:val="24"/>
                <w:vertAlign w:val="superscript"/>
              </w:rPr>
              <w:t>3</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39E6551B" w14:textId="77777777" w:rsidR="00052596" w:rsidRDefault="00052596">
            <w:pPr>
              <w:widowControl/>
              <w:overflowPunct w:val="0"/>
              <w:autoSpaceDE w:val="0"/>
              <w:snapToGrid w:val="0"/>
              <w:spacing w:after="72" w:line="320" w:lineRule="exact"/>
              <w:ind w:left="120" w:hanging="120"/>
              <w:jc w:val="center"/>
              <w:rPr>
                <w:rFonts w:eastAsia="標楷體"/>
                <w:kern w:val="0"/>
                <w:szCs w:val="24"/>
              </w:rPr>
            </w:pP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545BC1DA" w14:textId="77777777" w:rsidR="00052596" w:rsidRDefault="00052596">
            <w:pPr>
              <w:widowControl/>
              <w:overflowPunct w:val="0"/>
              <w:autoSpaceDE w:val="0"/>
              <w:snapToGrid w:val="0"/>
              <w:spacing w:after="72" w:line="320" w:lineRule="exact"/>
              <w:ind w:left="120" w:right="48" w:hanging="120"/>
              <w:jc w:val="right"/>
              <w:rPr>
                <w:rFonts w:eastAsia="標楷體"/>
                <w:kern w:val="0"/>
                <w:szCs w:val="24"/>
              </w:rPr>
            </w:pP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5F28A840" w14:textId="77777777" w:rsidR="00052596" w:rsidRDefault="00052596">
            <w:pPr>
              <w:widowControl/>
              <w:overflowPunct w:val="0"/>
              <w:autoSpaceDE w:val="0"/>
              <w:snapToGrid w:val="0"/>
              <w:spacing w:after="72" w:line="320" w:lineRule="exact"/>
              <w:ind w:left="120" w:right="48" w:hanging="120"/>
              <w:jc w:val="right"/>
              <w:rPr>
                <w:rFonts w:eastAsia="標楷體"/>
                <w:kern w:val="0"/>
                <w:szCs w:val="24"/>
              </w:rPr>
            </w:pPr>
          </w:p>
        </w:tc>
        <w:tc>
          <w:tcPr>
            <w:tcW w:w="1323" w:type="dxa"/>
            <w:tcBorders>
              <w:left w:val="single" w:sz="4" w:space="0" w:color="000000"/>
            </w:tcBorders>
            <w:shd w:val="clear" w:color="auto" w:fill="auto"/>
            <w:noWrap/>
            <w:tcMar>
              <w:top w:w="0" w:type="dxa"/>
              <w:left w:w="28" w:type="dxa"/>
              <w:bottom w:w="0" w:type="dxa"/>
              <w:right w:w="28" w:type="dxa"/>
            </w:tcMar>
          </w:tcPr>
          <w:p w14:paraId="35CB9A35" w14:textId="77777777" w:rsidR="00052596" w:rsidRDefault="00052596">
            <w:pPr>
              <w:widowControl/>
              <w:overflowPunct w:val="0"/>
              <w:autoSpaceDE w:val="0"/>
              <w:snapToGrid w:val="0"/>
              <w:spacing w:after="72" w:line="320" w:lineRule="exact"/>
              <w:ind w:left="120" w:right="48" w:hanging="120"/>
              <w:jc w:val="right"/>
              <w:rPr>
                <w:rFonts w:eastAsia="標楷體"/>
                <w:kern w:val="0"/>
                <w:szCs w:val="24"/>
              </w:rPr>
            </w:pPr>
          </w:p>
        </w:tc>
      </w:tr>
      <w:tr w:rsidR="00052596" w14:paraId="566ECF99" w14:textId="77777777">
        <w:tblPrEx>
          <w:tblCellMar>
            <w:top w:w="0" w:type="dxa"/>
            <w:bottom w:w="0" w:type="dxa"/>
          </w:tblCellMar>
        </w:tblPrEx>
        <w:trPr>
          <w:trHeight w:val="199"/>
          <w:jc w:val="center"/>
        </w:trPr>
        <w:tc>
          <w:tcPr>
            <w:tcW w:w="4046" w:type="dxa"/>
            <w:tcBorders>
              <w:right w:val="single" w:sz="4" w:space="0" w:color="000000"/>
            </w:tcBorders>
            <w:shd w:val="clear" w:color="auto" w:fill="auto"/>
            <w:noWrap/>
            <w:tcMar>
              <w:top w:w="0" w:type="dxa"/>
              <w:left w:w="28" w:type="dxa"/>
              <w:bottom w:w="0" w:type="dxa"/>
              <w:right w:w="28" w:type="dxa"/>
            </w:tcMar>
          </w:tcPr>
          <w:p w14:paraId="7BB86E9A" w14:textId="77777777" w:rsidR="00052596" w:rsidRDefault="00000000">
            <w:pPr>
              <w:widowControl/>
              <w:overflowPunct w:val="0"/>
              <w:autoSpaceDE w:val="0"/>
              <w:spacing w:before="48" w:after="48" w:line="320" w:lineRule="exact"/>
              <w:ind w:left="768" w:hanging="240"/>
              <w:jc w:val="both"/>
              <w:rPr>
                <w:rFonts w:eastAsia="標楷體"/>
                <w:kern w:val="0"/>
                <w:szCs w:val="24"/>
              </w:rPr>
            </w:pPr>
            <w:r>
              <w:rPr>
                <w:rFonts w:eastAsia="標楷體"/>
                <w:kern w:val="0"/>
                <w:szCs w:val="24"/>
              </w:rPr>
              <w:t>－新增租金補貼</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6D780AAB" w14:textId="77777777" w:rsidR="00052596" w:rsidRDefault="00000000">
            <w:pPr>
              <w:widowControl/>
              <w:overflowPunct w:val="0"/>
              <w:autoSpaceDE w:val="0"/>
              <w:snapToGrid w:val="0"/>
              <w:spacing w:before="48" w:after="48" w:line="320" w:lineRule="exact"/>
              <w:ind w:left="120" w:hanging="120"/>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313E44B9"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15,000</w:t>
            </w:r>
            <w:r>
              <w:rPr>
                <w:rFonts w:eastAsia="標楷體"/>
                <w:kern w:val="0"/>
                <w:szCs w:val="24"/>
                <w:vertAlign w:val="superscript"/>
              </w:rPr>
              <w:t>2</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3CDF37C3" w14:textId="77777777" w:rsidR="00052596" w:rsidRDefault="00000000">
            <w:pPr>
              <w:widowControl/>
              <w:overflowPunct w:val="0"/>
              <w:autoSpaceDE w:val="0"/>
              <w:snapToGrid w:val="0"/>
              <w:spacing w:before="48" w:after="48" w:line="320" w:lineRule="exact"/>
              <w:ind w:left="120" w:right="48" w:hanging="120"/>
              <w:jc w:val="right"/>
              <w:rPr>
                <w:rFonts w:eastAsia="標楷體"/>
                <w:kern w:val="0"/>
                <w:szCs w:val="24"/>
              </w:rPr>
            </w:pPr>
            <w:r>
              <w:rPr>
                <w:rFonts w:eastAsia="標楷體"/>
                <w:kern w:val="0"/>
                <w:szCs w:val="24"/>
              </w:rPr>
              <w:t>10,000</w:t>
            </w:r>
          </w:p>
        </w:tc>
        <w:tc>
          <w:tcPr>
            <w:tcW w:w="1323" w:type="dxa"/>
            <w:tcBorders>
              <w:left w:val="single" w:sz="4" w:space="0" w:color="000000"/>
            </w:tcBorders>
            <w:shd w:val="clear" w:color="auto" w:fill="auto"/>
            <w:noWrap/>
            <w:tcMar>
              <w:top w:w="0" w:type="dxa"/>
              <w:left w:w="28" w:type="dxa"/>
              <w:bottom w:w="0" w:type="dxa"/>
              <w:right w:w="28" w:type="dxa"/>
            </w:tcMar>
          </w:tcPr>
          <w:p w14:paraId="5A6B036A"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40,000</w:t>
            </w:r>
            <w:r>
              <w:rPr>
                <w:rFonts w:eastAsia="標楷體"/>
                <w:kern w:val="0"/>
                <w:szCs w:val="24"/>
                <w:vertAlign w:val="superscript"/>
              </w:rPr>
              <w:t>1</w:t>
            </w:r>
          </w:p>
        </w:tc>
      </w:tr>
      <w:tr w:rsidR="00052596" w14:paraId="5AD9C47E" w14:textId="77777777">
        <w:tblPrEx>
          <w:tblCellMar>
            <w:top w:w="0" w:type="dxa"/>
            <w:bottom w:w="0" w:type="dxa"/>
          </w:tblCellMar>
        </w:tblPrEx>
        <w:trPr>
          <w:trHeight w:val="567"/>
          <w:jc w:val="center"/>
        </w:trPr>
        <w:tc>
          <w:tcPr>
            <w:tcW w:w="4046" w:type="dxa"/>
            <w:tcBorders>
              <w:right w:val="single" w:sz="4" w:space="0" w:color="000000"/>
            </w:tcBorders>
            <w:shd w:val="clear" w:color="auto" w:fill="auto"/>
            <w:noWrap/>
            <w:tcMar>
              <w:top w:w="0" w:type="dxa"/>
              <w:left w:w="28" w:type="dxa"/>
              <w:bottom w:w="0" w:type="dxa"/>
              <w:right w:w="28" w:type="dxa"/>
            </w:tcMar>
          </w:tcPr>
          <w:p w14:paraId="741F1578" w14:textId="77777777" w:rsidR="00052596" w:rsidRDefault="00000000">
            <w:pPr>
              <w:widowControl/>
              <w:overflowPunct w:val="0"/>
              <w:autoSpaceDE w:val="0"/>
              <w:spacing w:before="48" w:after="48" w:line="320" w:lineRule="exact"/>
              <w:ind w:left="768" w:hanging="240"/>
              <w:jc w:val="both"/>
              <w:rPr>
                <w:rFonts w:eastAsia="標楷體"/>
                <w:kern w:val="0"/>
                <w:szCs w:val="24"/>
              </w:rPr>
            </w:pPr>
            <w:r>
              <w:rPr>
                <w:rFonts w:eastAsia="標楷體"/>
                <w:kern w:val="0"/>
                <w:szCs w:val="24"/>
              </w:rPr>
              <w:t>－新增前兩年零利率購置住宅貸款利息補貼</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67878438" w14:textId="77777777" w:rsidR="00052596" w:rsidRDefault="00000000">
            <w:pPr>
              <w:widowControl/>
              <w:overflowPunct w:val="0"/>
              <w:autoSpaceDE w:val="0"/>
              <w:snapToGrid w:val="0"/>
              <w:spacing w:before="48" w:after="48" w:line="320" w:lineRule="exact"/>
              <w:ind w:left="120" w:hanging="120"/>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54E83A46"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20,000</w:t>
            </w:r>
            <w:r>
              <w:rPr>
                <w:rFonts w:eastAsia="標楷體"/>
                <w:kern w:val="0"/>
                <w:szCs w:val="24"/>
                <w:vertAlign w:val="superscript"/>
              </w:rPr>
              <w:t>2</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6C1078C7" w14:textId="77777777" w:rsidR="00052596" w:rsidRDefault="00000000">
            <w:pPr>
              <w:widowControl/>
              <w:overflowPunct w:val="0"/>
              <w:autoSpaceDE w:val="0"/>
              <w:snapToGrid w:val="0"/>
              <w:spacing w:before="48" w:after="48" w:line="320" w:lineRule="exact"/>
              <w:ind w:left="120" w:right="48" w:hanging="120"/>
              <w:jc w:val="right"/>
              <w:rPr>
                <w:rFonts w:eastAsia="標楷體"/>
                <w:kern w:val="0"/>
                <w:szCs w:val="24"/>
              </w:rPr>
            </w:pPr>
            <w:r>
              <w:rPr>
                <w:rFonts w:eastAsia="標楷體"/>
                <w:kern w:val="0"/>
                <w:szCs w:val="24"/>
              </w:rPr>
              <w:t>15,000</w:t>
            </w:r>
          </w:p>
        </w:tc>
        <w:tc>
          <w:tcPr>
            <w:tcW w:w="1323" w:type="dxa"/>
            <w:tcBorders>
              <w:left w:val="single" w:sz="4" w:space="0" w:color="000000"/>
            </w:tcBorders>
            <w:shd w:val="clear" w:color="auto" w:fill="auto"/>
            <w:noWrap/>
            <w:tcMar>
              <w:top w:w="0" w:type="dxa"/>
              <w:left w:w="28" w:type="dxa"/>
              <w:bottom w:w="0" w:type="dxa"/>
              <w:right w:w="28" w:type="dxa"/>
            </w:tcMar>
          </w:tcPr>
          <w:p w14:paraId="4EF652F8" w14:textId="77777777" w:rsidR="00052596" w:rsidRDefault="00000000">
            <w:pPr>
              <w:widowControl/>
              <w:overflowPunct w:val="0"/>
              <w:autoSpaceDE w:val="0"/>
              <w:snapToGrid w:val="0"/>
              <w:spacing w:before="48" w:after="48" w:line="320" w:lineRule="exact"/>
              <w:ind w:left="120" w:right="48" w:hanging="120"/>
              <w:jc w:val="right"/>
            </w:pPr>
            <w:r>
              <w:rPr>
                <w:rFonts w:eastAsia="標楷體"/>
                <w:kern w:val="0"/>
                <w:szCs w:val="24"/>
              </w:rPr>
              <w:t>60,000</w:t>
            </w:r>
            <w:r>
              <w:rPr>
                <w:rFonts w:eastAsia="標楷體"/>
                <w:kern w:val="0"/>
                <w:szCs w:val="24"/>
                <w:vertAlign w:val="superscript"/>
              </w:rPr>
              <w:t>1</w:t>
            </w:r>
          </w:p>
        </w:tc>
      </w:tr>
      <w:tr w:rsidR="00052596" w14:paraId="64644D83" w14:textId="77777777">
        <w:tblPrEx>
          <w:tblCellMar>
            <w:top w:w="0" w:type="dxa"/>
            <w:bottom w:w="0" w:type="dxa"/>
          </w:tblCellMar>
        </w:tblPrEx>
        <w:trPr>
          <w:trHeight w:val="90"/>
          <w:jc w:val="center"/>
        </w:trPr>
        <w:tc>
          <w:tcPr>
            <w:tcW w:w="4046" w:type="dxa"/>
            <w:tcBorders>
              <w:right w:val="single" w:sz="4" w:space="0" w:color="000000"/>
            </w:tcBorders>
            <w:shd w:val="clear" w:color="auto" w:fill="auto"/>
            <w:noWrap/>
            <w:tcMar>
              <w:top w:w="0" w:type="dxa"/>
              <w:left w:w="28" w:type="dxa"/>
              <w:bottom w:w="0" w:type="dxa"/>
              <w:right w:w="28" w:type="dxa"/>
            </w:tcMar>
          </w:tcPr>
          <w:p w14:paraId="6F53EBCA" w14:textId="77777777" w:rsidR="00052596" w:rsidRDefault="00000000">
            <w:pPr>
              <w:widowControl/>
              <w:overflowPunct w:val="0"/>
              <w:autoSpaceDE w:val="0"/>
              <w:spacing w:before="48" w:after="72" w:line="320" w:lineRule="exact"/>
              <w:ind w:left="629" w:hanging="317"/>
              <w:jc w:val="both"/>
              <w:rPr>
                <w:rFonts w:eastAsia="標楷體"/>
                <w:kern w:val="0"/>
                <w:szCs w:val="24"/>
              </w:rPr>
            </w:pPr>
            <w:r>
              <w:rPr>
                <w:rFonts w:eastAsia="標楷體"/>
                <w:kern w:val="0"/>
                <w:szCs w:val="24"/>
              </w:rPr>
              <w:t>4.</w:t>
            </w:r>
            <w:r>
              <w:rPr>
                <w:rFonts w:eastAsia="標楷體"/>
                <w:kern w:val="0"/>
                <w:szCs w:val="24"/>
              </w:rPr>
              <w:t>合宜住宅</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189924F" w14:textId="77777777" w:rsidR="00052596" w:rsidRDefault="00052596">
            <w:pPr>
              <w:widowControl/>
              <w:overflowPunct w:val="0"/>
              <w:autoSpaceDE w:val="0"/>
              <w:snapToGrid w:val="0"/>
              <w:spacing w:before="48" w:after="72" w:line="320" w:lineRule="exact"/>
              <w:ind w:left="120" w:hanging="120"/>
              <w:jc w:val="center"/>
              <w:rPr>
                <w:rFonts w:eastAsia="標楷體"/>
                <w:kern w:val="0"/>
                <w:szCs w:val="24"/>
              </w:rPr>
            </w:pP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15BE7FCC" w14:textId="77777777" w:rsidR="00052596" w:rsidRDefault="00052596">
            <w:pPr>
              <w:widowControl/>
              <w:overflowPunct w:val="0"/>
              <w:autoSpaceDE w:val="0"/>
              <w:snapToGrid w:val="0"/>
              <w:spacing w:before="48" w:after="72" w:line="320" w:lineRule="exact"/>
              <w:ind w:left="120" w:right="48" w:hanging="120"/>
              <w:jc w:val="right"/>
              <w:rPr>
                <w:rFonts w:eastAsia="標楷體"/>
                <w:kern w:val="0"/>
                <w:szCs w:val="24"/>
              </w:rPr>
            </w:pP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48397732" w14:textId="77777777" w:rsidR="00052596" w:rsidRDefault="00052596">
            <w:pPr>
              <w:widowControl/>
              <w:overflowPunct w:val="0"/>
              <w:autoSpaceDE w:val="0"/>
              <w:snapToGrid w:val="0"/>
              <w:spacing w:before="48" w:after="72" w:line="320" w:lineRule="exact"/>
              <w:ind w:left="120" w:right="48" w:hanging="120"/>
              <w:jc w:val="right"/>
              <w:rPr>
                <w:rFonts w:eastAsia="標楷體"/>
                <w:kern w:val="0"/>
                <w:szCs w:val="24"/>
              </w:rPr>
            </w:pPr>
          </w:p>
        </w:tc>
        <w:tc>
          <w:tcPr>
            <w:tcW w:w="1323" w:type="dxa"/>
            <w:tcBorders>
              <w:left w:val="single" w:sz="4" w:space="0" w:color="000000"/>
            </w:tcBorders>
            <w:shd w:val="clear" w:color="auto" w:fill="auto"/>
            <w:noWrap/>
            <w:tcMar>
              <w:top w:w="0" w:type="dxa"/>
              <w:left w:w="28" w:type="dxa"/>
              <w:bottom w:w="0" w:type="dxa"/>
              <w:right w:w="28" w:type="dxa"/>
            </w:tcMar>
          </w:tcPr>
          <w:p w14:paraId="5F9EA672" w14:textId="77777777" w:rsidR="00052596" w:rsidRDefault="00052596">
            <w:pPr>
              <w:widowControl/>
              <w:overflowPunct w:val="0"/>
              <w:autoSpaceDE w:val="0"/>
              <w:snapToGrid w:val="0"/>
              <w:spacing w:before="48" w:after="72" w:line="320" w:lineRule="exact"/>
              <w:ind w:left="120" w:right="48" w:hanging="120"/>
              <w:jc w:val="right"/>
              <w:rPr>
                <w:rFonts w:eastAsia="標楷體"/>
                <w:kern w:val="0"/>
                <w:szCs w:val="24"/>
              </w:rPr>
            </w:pPr>
          </w:p>
        </w:tc>
      </w:tr>
      <w:tr w:rsidR="00052596" w14:paraId="655C1541" w14:textId="77777777">
        <w:tblPrEx>
          <w:tblCellMar>
            <w:top w:w="0" w:type="dxa"/>
            <w:bottom w:w="0" w:type="dxa"/>
          </w:tblCellMar>
        </w:tblPrEx>
        <w:trPr>
          <w:trHeight w:val="331"/>
          <w:jc w:val="center"/>
        </w:trPr>
        <w:tc>
          <w:tcPr>
            <w:tcW w:w="4046" w:type="dxa"/>
            <w:tcBorders>
              <w:right w:val="single" w:sz="4" w:space="0" w:color="000000"/>
            </w:tcBorders>
            <w:shd w:val="clear" w:color="auto" w:fill="auto"/>
            <w:noWrap/>
            <w:tcMar>
              <w:top w:w="0" w:type="dxa"/>
              <w:left w:w="28" w:type="dxa"/>
              <w:bottom w:w="0" w:type="dxa"/>
              <w:right w:w="28" w:type="dxa"/>
            </w:tcMar>
          </w:tcPr>
          <w:p w14:paraId="76FE7C38" w14:textId="77777777" w:rsidR="00052596" w:rsidRDefault="00000000">
            <w:pPr>
              <w:widowControl/>
              <w:overflowPunct w:val="0"/>
              <w:autoSpaceDE w:val="0"/>
              <w:spacing w:line="320" w:lineRule="exact"/>
              <w:ind w:left="768" w:hanging="240"/>
              <w:jc w:val="both"/>
              <w:rPr>
                <w:rFonts w:eastAsia="標楷體"/>
                <w:kern w:val="0"/>
                <w:szCs w:val="24"/>
              </w:rPr>
            </w:pPr>
            <w:r>
              <w:rPr>
                <w:rFonts w:eastAsia="標楷體"/>
                <w:kern w:val="0"/>
                <w:szCs w:val="24"/>
              </w:rPr>
              <w:t>－機場捷運</w:t>
            </w:r>
            <w:r>
              <w:rPr>
                <w:rFonts w:eastAsia="標楷體"/>
                <w:kern w:val="0"/>
                <w:szCs w:val="24"/>
              </w:rPr>
              <w:t>A7</w:t>
            </w:r>
            <w:r>
              <w:rPr>
                <w:rFonts w:eastAsia="標楷體"/>
                <w:kern w:val="0"/>
                <w:szCs w:val="24"/>
              </w:rPr>
              <w:t>站</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BF0642F" w14:textId="77777777" w:rsidR="00052596" w:rsidRDefault="00000000">
            <w:pPr>
              <w:widowControl/>
              <w:overflowPunct w:val="0"/>
              <w:autoSpaceDE w:val="0"/>
              <w:snapToGrid w:val="0"/>
              <w:spacing w:line="320" w:lineRule="exact"/>
              <w:ind w:left="120" w:hanging="120"/>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70403204" w14:textId="77777777" w:rsidR="00052596" w:rsidRDefault="00000000">
            <w:pPr>
              <w:widowControl/>
              <w:overflowPunct w:val="0"/>
              <w:autoSpaceDE w:val="0"/>
              <w:snapToGrid w:val="0"/>
              <w:spacing w:line="320" w:lineRule="exact"/>
              <w:ind w:left="120" w:right="48" w:hanging="120"/>
              <w:jc w:val="right"/>
              <w:rPr>
                <w:rFonts w:eastAsia="標楷體"/>
                <w:kern w:val="0"/>
                <w:szCs w:val="24"/>
              </w:rPr>
            </w:pPr>
            <w:r>
              <w:rPr>
                <w:rFonts w:eastAsia="標楷體"/>
                <w:kern w:val="0"/>
                <w:szCs w:val="24"/>
              </w:rPr>
              <w:t>0</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69CBC693" w14:textId="77777777" w:rsidR="00052596" w:rsidRDefault="00000000">
            <w:pPr>
              <w:widowControl/>
              <w:overflowPunct w:val="0"/>
              <w:autoSpaceDE w:val="0"/>
              <w:snapToGrid w:val="0"/>
              <w:spacing w:line="320" w:lineRule="exact"/>
              <w:ind w:left="120" w:right="48" w:hanging="120"/>
              <w:jc w:val="right"/>
              <w:rPr>
                <w:rFonts w:eastAsia="標楷體"/>
                <w:kern w:val="0"/>
                <w:szCs w:val="24"/>
              </w:rPr>
            </w:pPr>
            <w:r>
              <w:rPr>
                <w:rFonts w:eastAsia="標楷體"/>
                <w:kern w:val="0"/>
                <w:szCs w:val="24"/>
              </w:rPr>
              <w:t>0</w:t>
            </w:r>
          </w:p>
        </w:tc>
        <w:tc>
          <w:tcPr>
            <w:tcW w:w="1323" w:type="dxa"/>
            <w:tcBorders>
              <w:left w:val="single" w:sz="4" w:space="0" w:color="000000"/>
            </w:tcBorders>
            <w:shd w:val="clear" w:color="auto" w:fill="auto"/>
            <w:noWrap/>
            <w:tcMar>
              <w:top w:w="0" w:type="dxa"/>
              <w:left w:w="28" w:type="dxa"/>
              <w:bottom w:w="0" w:type="dxa"/>
              <w:right w:w="28" w:type="dxa"/>
            </w:tcMar>
          </w:tcPr>
          <w:p w14:paraId="498DF0CF" w14:textId="77777777" w:rsidR="00052596" w:rsidRDefault="00000000">
            <w:pPr>
              <w:widowControl/>
              <w:overflowPunct w:val="0"/>
              <w:autoSpaceDE w:val="0"/>
              <w:snapToGrid w:val="0"/>
              <w:spacing w:line="320" w:lineRule="exact"/>
              <w:ind w:left="120" w:right="48" w:hanging="120"/>
              <w:jc w:val="right"/>
              <w:rPr>
                <w:rFonts w:eastAsia="標楷體"/>
                <w:kern w:val="0"/>
                <w:szCs w:val="24"/>
              </w:rPr>
            </w:pPr>
            <w:r>
              <w:rPr>
                <w:rFonts w:eastAsia="標楷體"/>
                <w:kern w:val="0"/>
                <w:szCs w:val="24"/>
              </w:rPr>
              <w:t>3,960</w:t>
            </w:r>
          </w:p>
        </w:tc>
      </w:tr>
      <w:tr w:rsidR="00052596" w14:paraId="0DF4ED0C" w14:textId="77777777">
        <w:tblPrEx>
          <w:tblCellMar>
            <w:top w:w="0" w:type="dxa"/>
            <w:bottom w:w="0" w:type="dxa"/>
          </w:tblCellMar>
        </w:tblPrEx>
        <w:trPr>
          <w:trHeight w:val="262"/>
          <w:jc w:val="center"/>
        </w:trPr>
        <w:tc>
          <w:tcPr>
            <w:tcW w:w="4046" w:type="dxa"/>
            <w:tcBorders>
              <w:right w:val="single" w:sz="4" w:space="0" w:color="000000"/>
            </w:tcBorders>
            <w:shd w:val="clear" w:color="auto" w:fill="auto"/>
            <w:noWrap/>
            <w:tcMar>
              <w:top w:w="0" w:type="dxa"/>
              <w:left w:w="28" w:type="dxa"/>
              <w:bottom w:w="0" w:type="dxa"/>
              <w:right w:w="28" w:type="dxa"/>
            </w:tcMar>
          </w:tcPr>
          <w:p w14:paraId="18A85993" w14:textId="77777777" w:rsidR="00052596" w:rsidRDefault="00000000">
            <w:pPr>
              <w:widowControl/>
              <w:overflowPunct w:val="0"/>
              <w:autoSpaceDE w:val="0"/>
              <w:spacing w:line="320" w:lineRule="exact"/>
              <w:ind w:left="768" w:hanging="240"/>
              <w:jc w:val="both"/>
              <w:rPr>
                <w:rFonts w:eastAsia="標楷體"/>
                <w:kern w:val="0"/>
                <w:szCs w:val="24"/>
              </w:rPr>
            </w:pPr>
            <w:r>
              <w:rPr>
                <w:rFonts w:eastAsia="標楷體"/>
                <w:kern w:val="0"/>
                <w:szCs w:val="24"/>
              </w:rPr>
              <w:t>－板橋浮洲</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D8112A7" w14:textId="77777777" w:rsidR="00052596" w:rsidRDefault="00000000">
            <w:pPr>
              <w:widowControl/>
              <w:overflowPunct w:val="0"/>
              <w:autoSpaceDE w:val="0"/>
              <w:snapToGrid w:val="0"/>
              <w:spacing w:line="320" w:lineRule="exact"/>
              <w:ind w:left="120" w:hanging="120"/>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2BB557A0" w14:textId="77777777" w:rsidR="00052596" w:rsidRDefault="00000000">
            <w:pPr>
              <w:widowControl/>
              <w:overflowPunct w:val="0"/>
              <w:autoSpaceDE w:val="0"/>
              <w:snapToGrid w:val="0"/>
              <w:spacing w:line="320" w:lineRule="exact"/>
              <w:ind w:left="120" w:right="48" w:hanging="120"/>
              <w:jc w:val="right"/>
              <w:rPr>
                <w:rFonts w:eastAsia="標楷體"/>
                <w:kern w:val="0"/>
                <w:szCs w:val="24"/>
              </w:rPr>
            </w:pPr>
            <w:r>
              <w:rPr>
                <w:rFonts w:eastAsia="標楷體"/>
                <w:kern w:val="0"/>
                <w:szCs w:val="24"/>
              </w:rPr>
              <w:t>0</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66EF6F7D" w14:textId="77777777" w:rsidR="00052596" w:rsidRDefault="00000000">
            <w:pPr>
              <w:widowControl/>
              <w:overflowPunct w:val="0"/>
              <w:autoSpaceDE w:val="0"/>
              <w:snapToGrid w:val="0"/>
              <w:spacing w:line="320" w:lineRule="exact"/>
              <w:ind w:left="120" w:right="48" w:hanging="120"/>
              <w:jc w:val="right"/>
              <w:rPr>
                <w:rFonts w:eastAsia="標楷體"/>
                <w:kern w:val="0"/>
                <w:szCs w:val="24"/>
              </w:rPr>
            </w:pPr>
            <w:r>
              <w:rPr>
                <w:rFonts w:eastAsia="標楷體"/>
                <w:kern w:val="0"/>
                <w:szCs w:val="24"/>
              </w:rPr>
              <w:t>0</w:t>
            </w:r>
          </w:p>
        </w:tc>
        <w:tc>
          <w:tcPr>
            <w:tcW w:w="1323" w:type="dxa"/>
            <w:tcBorders>
              <w:left w:val="single" w:sz="4" w:space="0" w:color="000000"/>
            </w:tcBorders>
            <w:shd w:val="clear" w:color="auto" w:fill="auto"/>
            <w:noWrap/>
            <w:tcMar>
              <w:top w:w="0" w:type="dxa"/>
              <w:left w:w="28" w:type="dxa"/>
              <w:bottom w:w="0" w:type="dxa"/>
              <w:right w:w="28" w:type="dxa"/>
            </w:tcMar>
          </w:tcPr>
          <w:p w14:paraId="0A94EA80" w14:textId="77777777" w:rsidR="00052596" w:rsidRDefault="00000000">
            <w:pPr>
              <w:widowControl/>
              <w:overflowPunct w:val="0"/>
              <w:autoSpaceDE w:val="0"/>
              <w:snapToGrid w:val="0"/>
              <w:spacing w:line="320" w:lineRule="exact"/>
              <w:ind w:left="120" w:right="48" w:hanging="120"/>
              <w:jc w:val="right"/>
              <w:rPr>
                <w:rFonts w:eastAsia="標楷體"/>
                <w:kern w:val="0"/>
                <w:szCs w:val="24"/>
              </w:rPr>
            </w:pPr>
            <w:r>
              <w:rPr>
                <w:rFonts w:eastAsia="標楷體"/>
                <w:kern w:val="0"/>
                <w:szCs w:val="24"/>
              </w:rPr>
              <w:t>4,455</w:t>
            </w:r>
          </w:p>
        </w:tc>
      </w:tr>
      <w:tr w:rsidR="00052596" w14:paraId="57A93E59" w14:textId="77777777">
        <w:tblPrEx>
          <w:tblCellMar>
            <w:top w:w="0" w:type="dxa"/>
            <w:bottom w:w="0" w:type="dxa"/>
          </w:tblCellMar>
        </w:tblPrEx>
        <w:trPr>
          <w:trHeight w:val="950"/>
          <w:jc w:val="center"/>
        </w:trPr>
        <w:tc>
          <w:tcPr>
            <w:tcW w:w="4046" w:type="dxa"/>
            <w:tcBorders>
              <w:right w:val="single" w:sz="4" w:space="0" w:color="000000"/>
            </w:tcBorders>
            <w:shd w:val="clear" w:color="auto" w:fill="auto"/>
            <w:noWrap/>
            <w:tcMar>
              <w:top w:w="0" w:type="dxa"/>
              <w:left w:w="28" w:type="dxa"/>
              <w:bottom w:w="0" w:type="dxa"/>
              <w:right w:w="28" w:type="dxa"/>
            </w:tcMar>
          </w:tcPr>
          <w:p w14:paraId="08368FD9" w14:textId="77777777" w:rsidR="00052596" w:rsidRDefault="00000000">
            <w:pPr>
              <w:widowControl/>
              <w:overflowPunct w:val="0"/>
              <w:autoSpaceDE w:val="0"/>
              <w:spacing w:before="48" w:after="72" w:line="320" w:lineRule="exact"/>
              <w:ind w:left="504" w:hanging="192"/>
              <w:jc w:val="both"/>
              <w:rPr>
                <w:rFonts w:eastAsia="標楷體"/>
                <w:kern w:val="0"/>
                <w:szCs w:val="24"/>
              </w:rPr>
            </w:pPr>
            <w:r>
              <w:rPr>
                <w:rFonts w:eastAsia="標楷體"/>
                <w:kern w:val="0"/>
                <w:szCs w:val="24"/>
              </w:rPr>
              <w:t>5.</w:t>
            </w:r>
            <w:r>
              <w:rPr>
                <w:rFonts w:eastAsia="標楷體"/>
                <w:kern w:val="0"/>
                <w:szCs w:val="24"/>
              </w:rPr>
              <w:t>臺北市萬華青年段、松山寶清段、新北市三重大同南段、同安厝段及中和秀峰段等</w:t>
            </w:r>
            <w:r>
              <w:rPr>
                <w:rFonts w:eastAsia="標楷體"/>
                <w:kern w:val="0"/>
                <w:szCs w:val="24"/>
              </w:rPr>
              <w:t>5</w:t>
            </w:r>
            <w:r>
              <w:rPr>
                <w:rFonts w:eastAsia="標楷體"/>
                <w:kern w:val="0"/>
                <w:szCs w:val="24"/>
              </w:rPr>
              <w:t>處社會住宅</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30392AEF" w14:textId="77777777" w:rsidR="00052596" w:rsidRDefault="00000000">
            <w:pPr>
              <w:widowControl/>
              <w:overflowPunct w:val="0"/>
              <w:autoSpaceDE w:val="0"/>
              <w:snapToGrid w:val="0"/>
              <w:spacing w:before="48" w:after="72" w:line="320" w:lineRule="exact"/>
              <w:ind w:left="120" w:hanging="120"/>
              <w:jc w:val="center"/>
              <w:rPr>
                <w:rFonts w:eastAsia="標楷體"/>
                <w:kern w:val="0"/>
                <w:szCs w:val="24"/>
              </w:rPr>
            </w:pPr>
            <w:r>
              <w:rPr>
                <w:rFonts w:eastAsia="標楷體"/>
                <w:kern w:val="0"/>
                <w:szCs w:val="24"/>
              </w:rPr>
              <w:t>戶</w:t>
            </w:r>
          </w:p>
        </w:tc>
        <w:tc>
          <w:tcPr>
            <w:tcW w:w="1275" w:type="dxa"/>
            <w:tcBorders>
              <w:left w:val="single" w:sz="4" w:space="0" w:color="000000"/>
              <w:right w:val="single" w:sz="4" w:space="0" w:color="000000"/>
            </w:tcBorders>
            <w:shd w:val="clear" w:color="auto" w:fill="auto"/>
            <w:noWrap/>
            <w:tcMar>
              <w:top w:w="0" w:type="dxa"/>
              <w:left w:w="28" w:type="dxa"/>
              <w:bottom w:w="0" w:type="dxa"/>
              <w:right w:w="28" w:type="dxa"/>
            </w:tcMar>
          </w:tcPr>
          <w:p w14:paraId="1C30E805" w14:textId="77777777" w:rsidR="00052596" w:rsidRDefault="00000000">
            <w:pPr>
              <w:widowControl/>
              <w:overflowPunct w:val="0"/>
              <w:autoSpaceDE w:val="0"/>
              <w:snapToGrid w:val="0"/>
              <w:spacing w:before="48" w:after="72" w:line="320" w:lineRule="exact"/>
              <w:ind w:left="120" w:right="48" w:hanging="120"/>
              <w:jc w:val="right"/>
              <w:rPr>
                <w:rFonts w:eastAsia="標楷體"/>
                <w:kern w:val="0"/>
                <w:szCs w:val="24"/>
              </w:rPr>
            </w:pPr>
            <w:r>
              <w:rPr>
                <w:rFonts w:eastAsia="標楷體"/>
                <w:kern w:val="0"/>
                <w:szCs w:val="24"/>
              </w:rPr>
              <w:t>0</w:t>
            </w:r>
          </w:p>
        </w:tc>
        <w:tc>
          <w:tcPr>
            <w:tcW w:w="1279" w:type="dxa"/>
            <w:tcBorders>
              <w:left w:val="single" w:sz="4" w:space="0" w:color="000000"/>
              <w:right w:val="single" w:sz="4" w:space="0" w:color="000000"/>
            </w:tcBorders>
            <w:shd w:val="clear" w:color="auto" w:fill="auto"/>
            <w:noWrap/>
            <w:tcMar>
              <w:top w:w="0" w:type="dxa"/>
              <w:left w:w="28" w:type="dxa"/>
              <w:bottom w:w="0" w:type="dxa"/>
              <w:right w:w="28" w:type="dxa"/>
            </w:tcMar>
          </w:tcPr>
          <w:p w14:paraId="1B41CF73" w14:textId="77777777" w:rsidR="00052596" w:rsidRDefault="00000000">
            <w:pPr>
              <w:widowControl/>
              <w:overflowPunct w:val="0"/>
              <w:autoSpaceDE w:val="0"/>
              <w:snapToGrid w:val="0"/>
              <w:spacing w:before="48" w:after="72" w:line="320" w:lineRule="exact"/>
              <w:ind w:left="120" w:right="48" w:hanging="120"/>
              <w:jc w:val="right"/>
              <w:rPr>
                <w:rFonts w:eastAsia="標楷體"/>
                <w:kern w:val="0"/>
                <w:szCs w:val="24"/>
              </w:rPr>
            </w:pPr>
            <w:r>
              <w:rPr>
                <w:rFonts w:eastAsia="標楷體"/>
                <w:kern w:val="0"/>
                <w:szCs w:val="24"/>
              </w:rPr>
              <w:t>0</w:t>
            </w:r>
          </w:p>
        </w:tc>
        <w:tc>
          <w:tcPr>
            <w:tcW w:w="1323" w:type="dxa"/>
            <w:tcBorders>
              <w:left w:val="single" w:sz="4" w:space="0" w:color="000000"/>
            </w:tcBorders>
            <w:shd w:val="clear" w:color="auto" w:fill="auto"/>
            <w:noWrap/>
            <w:tcMar>
              <w:top w:w="0" w:type="dxa"/>
              <w:left w:w="28" w:type="dxa"/>
              <w:bottom w:w="0" w:type="dxa"/>
              <w:right w:w="28" w:type="dxa"/>
            </w:tcMar>
          </w:tcPr>
          <w:p w14:paraId="46C03B21" w14:textId="77777777" w:rsidR="00052596" w:rsidRDefault="00000000">
            <w:pPr>
              <w:widowControl/>
              <w:overflowPunct w:val="0"/>
              <w:autoSpaceDE w:val="0"/>
              <w:snapToGrid w:val="0"/>
              <w:spacing w:before="48" w:after="72" w:line="320" w:lineRule="exact"/>
              <w:ind w:left="120" w:right="48" w:hanging="120"/>
              <w:jc w:val="right"/>
              <w:rPr>
                <w:rFonts w:eastAsia="標楷體"/>
                <w:kern w:val="0"/>
                <w:szCs w:val="24"/>
              </w:rPr>
            </w:pPr>
            <w:r>
              <w:rPr>
                <w:rFonts w:eastAsia="標楷體"/>
                <w:kern w:val="0"/>
                <w:szCs w:val="24"/>
              </w:rPr>
              <w:t>1,661</w:t>
            </w:r>
          </w:p>
        </w:tc>
      </w:tr>
      <w:tr w:rsidR="00052596" w14:paraId="54194E35" w14:textId="77777777">
        <w:tblPrEx>
          <w:tblCellMar>
            <w:top w:w="0" w:type="dxa"/>
            <w:bottom w:w="0" w:type="dxa"/>
          </w:tblCellMar>
        </w:tblPrEx>
        <w:trPr>
          <w:trHeight w:val="807"/>
          <w:jc w:val="center"/>
        </w:trPr>
        <w:tc>
          <w:tcPr>
            <w:tcW w:w="4046" w:type="dxa"/>
            <w:tcBorders>
              <w:bottom w:val="single" w:sz="4" w:space="0" w:color="000000"/>
              <w:right w:val="single" w:sz="4" w:space="0" w:color="000000"/>
            </w:tcBorders>
            <w:shd w:val="clear" w:color="auto" w:fill="auto"/>
            <w:noWrap/>
            <w:tcMar>
              <w:top w:w="0" w:type="dxa"/>
              <w:left w:w="28" w:type="dxa"/>
              <w:bottom w:w="0" w:type="dxa"/>
              <w:right w:w="28" w:type="dxa"/>
            </w:tcMar>
          </w:tcPr>
          <w:p w14:paraId="12C9C29D" w14:textId="77777777" w:rsidR="00052596" w:rsidRDefault="00000000">
            <w:pPr>
              <w:widowControl/>
              <w:overflowPunct w:val="0"/>
              <w:autoSpaceDE w:val="0"/>
              <w:spacing w:after="72" w:line="320" w:lineRule="exact"/>
              <w:ind w:left="504" w:hanging="192"/>
              <w:jc w:val="both"/>
              <w:rPr>
                <w:rFonts w:eastAsia="標楷體"/>
                <w:kern w:val="0"/>
                <w:szCs w:val="24"/>
              </w:rPr>
            </w:pPr>
            <w:r>
              <w:rPr>
                <w:rFonts w:eastAsia="標楷體"/>
                <w:kern w:val="0"/>
                <w:szCs w:val="24"/>
              </w:rPr>
              <w:t>6.</w:t>
            </w:r>
            <w:r>
              <w:rPr>
                <w:rFonts w:eastAsia="標楷體"/>
                <w:kern w:val="0"/>
                <w:szCs w:val="24"/>
              </w:rPr>
              <w:t>新增租屋服務平臺協助中低所得家庭租屋</w:t>
            </w:r>
          </w:p>
        </w:tc>
        <w:tc>
          <w:tcPr>
            <w:tcW w:w="85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13BB230" w14:textId="77777777" w:rsidR="00052596" w:rsidRDefault="00000000">
            <w:pPr>
              <w:widowControl/>
              <w:overflowPunct w:val="0"/>
              <w:autoSpaceDE w:val="0"/>
              <w:snapToGrid w:val="0"/>
              <w:spacing w:after="72" w:line="320" w:lineRule="exact"/>
              <w:ind w:left="120" w:hanging="120"/>
              <w:jc w:val="center"/>
              <w:rPr>
                <w:rFonts w:eastAsia="標楷體"/>
                <w:kern w:val="0"/>
                <w:szCs w:val="24"/>
              </w:rPr>
            </w:pPr>
            <w:r>
              <w:rPr>
                <w:rFonts w:eastAsia="標楷體"/>
                <w:kern w:val="0"/>
                <w:szCs w:val="24"/>
              </w:rPr>
              <w:t>戶</w:t>
            </w:r>
          </w:p>
        </w:tc>
        <w:tc>
          <w:tcPr>
            <w:tcW w:w="127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4A2FBB45" w14:textId="77777777" w:rsidR="00052596" w:rsidRDefault="00000000">
            <w:pPr>
              <w:widowControl/>
              <w:overflowPunct w:val="0"/>
              <w:autoSpaceDE w:val="0"/>
              <w:snapToGrid w:val="0"/>
              <w:spacing w:after="72" w:line="320" w:lineRule="exact"/>
              <w:ind w:left="120" w:right="48" w:hanging="120"/>
              <w:jc w:val="right"/>
              <w:rPr>
                <w:rFonts w:eastAsia="標楷體"/>
                <w:kern w:val="0"/>
                <w:szCs w:val="24"/>
              </w:rPr>
            </w:pPr>
            <w:r>
              <w:rPr>
                <w:rFonts w:eastAsia="標楷體"/>
                <w:kern w:val="0"/>
                <w:szCs w:val="24"/>
              </w:rPr>
              <w:t>0</w:t>
            </w:r>
          </w:p>
        </w:tc>
        <w:tc>
          <w:tcPr>
            <w:tcW w:w="1279"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24302C1F" w14:textId="77777777" w:rsidR="00052596" w:rsidRDefault="00000000">
            <w:pPr>
              <w:widowControl/>
              <w:overflowPunct w:val="0"/>
              <w:autoSpaceDE w:val="0"/>
              <w:snapToGrid w:val="0"/>
              <w:spacing w:after="72" w:line="320" w:lineRule="exact"/>
              <w:ind w:left="120" w:right="48" w:hanging="120"/>
              <w:jc w:val="right"/>
              <w:rPr>
                <w:rFonts w:eastAsia="標楷體"/>
                <w:kern w:val="0"/>
                <w:szCs w:val="24"/>
              </w:rPr>
            </w:pPr>
            <w:r>
              <w:rPr>
                <w:rFonts w:eastAsia="標楷體"/>
                <w:kern w:val="0"/>
                <w:szCs w:val="24"/>
              </w:rPr>
              <w:t>1,500</w:t>
            </w:r>
          </w:p>
        </w:tc>
        <w:tc>
          <w:tcPr>
            <w:tcW w:w="1323" w:type="dxa"/>
            <w:tcBorders>
              <w:left w:val="single" w:sz="4" w:space="0" w:color="000000"/>
              <w:bottom w:val="single" w:sz="4" w:space="0" w:color="000000"/>
            </w:tcBorders>
            <w:shd w:val="clear" w:color="auto" w:fill="auto"/>
            <w:noWrap/>
            <w:tcMar>
              <w:top w:w="0" w:type="dxa"/>
              <w:left w:w="28" w:type="dxa"/>
              <w:bottom w:w="0" w:type="dxa"/>
              <w:right w:w="28" w:type="dxa"/>
            </w:tcMar>
          </w:tcPr>
          <w:p w14:paraId="671963DF" w14:textId="77777777" w:rsidR="00052596" w:rsidRDefault="00000000">
            <w:pPr>
              <w:widowControl/>
              <w:overflowPunct w:val="0"/>
              <w:autoSpaceDE w:val="0"/>
              <w:snapToGrid w:val="0"/>
              <w:spacing w:after="72" w:line="320" w:lineRule="exact"/>
              <w:ind w:left="120" w:right="48" w:hanging="120"/>
              <w:jc w:val="right"/>
            </w:pPr>
            <w:r>
              <w:rPr>
                <w:rFonts w:eastAsia="標楷體"/>
                <w:kern w:val="0"/>
                <w:szCs w:val="24"/>
              </w:rPr>
              <w:t>6,960</w:t>
            </w:r>
            <w:r>
              <w:rPr>
                <w:rFonts w:eastAsia="標楷體"/>
                <w:kern w:val="0"/>
                <w:szCs w:val="24"/>
                <w:vertAlign w:val="superscript"/>
              </w:rPr>
              <w:t>1</w:t>
            </w:r>
          </w:p>
        </w:tc>
      </w:tr>
    </w:tbl>
    <w:p w14:paraId="69DA2C2E" w14:textId="77777777" w:rsidR="00052596" w:rsidRDefault="00000000">
      <w:pPr>
        <w:widowControl/>
        <w:overflowPunct w:val="0"/>
        <w:autoSpaceDE w:val="0"/>
        <w:spacing w:line="320" w:lineRule="exact"/>
        <w:ind w:left="363" w:right="-919" w:hanging="365"/>
      </w:pPr>
      <w:r>
        <w:rPr>
          <w:rFonts w:eastAsia="標楷體"/>
          <w:kern w:val="0"/>
          <w:szCs w:val="26"/>
          <w:vertAlign w:val="superscript"/>
        </w:rPr>
        <w:t>1</w:t>
      </w:r>
      <w:r>
        <w:rPr>
          <w:rFonts w:eastAsia="標楷體"/>
          <w:kern w:val="0"/>
          <w:sz w:val="36"/>
          <w:szCs w:val="36"/>
          <w:vertAlign w:val="superscript"/>
        </w:rPr>
        <w:t xml:space="preserve"> </w:t>
      </w:r>
      <w:r>
        <w:rPr>
          <w:rFonts w:eastAsia="標楷體"/>
          <w:kern w:val="0"/>
          <w:szCs w:val="26"/>
        </w:rPr>
        <w:t>102-105</w:t>
      </w:r>
      <w:r>
        <w:rPr>
          <w:rFonts w:eastAsia="標楷體"/>
          <w:kern w:val="0"/>
          <w:szCs w:val="26"/>
        </w:rPr>
        <w:t>年累計數據。</w:t>
      </w:r>
    </w:p>
    <w:p w14:paraId="71DDD43F" w14:textId="77777777" w:rsidR="00052596" w:rsidRDefault="00000000">
      <w:pPr>
        <w:widowControl/>
        <w:overflowPunct w:val="0"/>
        <w:autoSpaceDE w:val="0"/>
        <w:spacing w:line="320" w:lineRule="exact"/>
        <w:ind w:left="363" w:right="-919" w:hanging="365"/>
      </w:pPr>
      <w:r>
        <w:rPr>
          <w:rFonts w:eastAsia="標楷體"/>
          <w:kern w:val="0"/>
          <w:szCs w:val="26"/>
          <w:vertAlign w:val="superscript"/>
        </w:rPr>
        <w:t xml:space="preserve">2 </w:t>
      </w:r>
      <w:r>
        <w:rPr>
          <w:rFonts w:eastAsia="標楷體"/>
          <w:kern w:val="0"/>
          <w:szCs w:val="26"/>
        </w:rPr>
        <w:t>計畫戶數，實際核定戶數須至</w:t>
      </w:r>
      <w:r>
        <w:rPr>
          <w:rFonts w:eastAsia="標楷體"/>
          <w:kern w:val="0"/>
          <w:szCs w:val="26"/>
        </w:rPr>
        <w:t>101</w:t>
      </w:r>
      <w:r>
        <w:rPr>
          <w:rFonts w:eastAsia="標楷體"/>
          <w:kern w:val="0"/>
          <w:szCs w:val="26"/>
        </w:rPr>
        <w:t>年</w:t>
      </w:r>
      <w:r>
        <w:rPr>
          <w:rFonts w:eastAsia="標楷體"/>
          <w:kern w:val="0"/>
          <w:szCs w:val="26"/>
        </w:rPr>
        <w:t>12</w:t>
      </w:r>
      <w:r>
        <w:rPr>
          <w:rFonts w:eastAsia="標楷體"/>
          <w:kern w:val="0"/>
          <w:szCs w:val="26"/>
        </w:rPr>
        <w:t>月底始能確定。</w:t>
      </w:r>
    </w:p>
    <w:p w14:paraId="66247889" w14:textId="77777777" w:rsidR="00052596" w:rsidRDefault="00000000">
      <w:pPr>
        <w:widowControl/>
        <w:overflowPunct w:val="0"/>
        <w:autoSpaceDE w:val="0"/>
        <w:spacing w:line="320" w:lineRule="exact"/>
        <w:ind w:left="363" w:right="-919" w:hanging="365"/>
      </w:pPr>
      <w:r>
        <w:rPr>
          <w:rFonts w:eastAsia="標楷體"/>
          <w:kern w:val="0"/>
          <w:szCs w:val="26"/>
          <w:vertAlign w:val="superscript"/>
        </w:rPr>
        <w:t xml:space="preserve">3 </w:t>
      </w:r>
      <w:r>
        <w:rPr>
          <w:rFonts w:eastAsia="標楷體"/>
          <w:kern w:val="0"/>
          <w:szCs w:val="26"/>
        </w:rPr>
        <w:t>修正草案</w:t>
      </w:r>
      <w:r>
        <w:rPr>
          <w:rFonts w:ascii="標楷體" w:eastAsia="標楷體" w:hAnsi="標楷體"/>
          <w:kern w:val="0"/>
          <w:szCs w:val="26"/>
        </w:rPr>
        <w:t>(</w:t>
      </w:r>
      <w:r>
        <w:rPr>
          <w:rFonts w:eastAsia="標楷體"/>
          <w:kern w:val="0"/>
          <w:szCs w:val="26"/>
        </w:rPr>
        <w:t>擬將計畫期程由</w:t>
      </w:r>
      <w:r>
        <w:rPr>
          <w:rFonts w:eastAsia="標楷體"/>
          <w:kern w:val="0"/>
          <w:szCs w:val="26"/>
        </w:rPr>
        <w:t>98</w:t>
      </w:r>
      <w:r>
        <w:rPr>
          <w:rFonts w:eastAsia="標楷體"/>
          <w:kern w:val="0"/>
          <w:szCs w:val="26"/>
        </w:rPr>
        <w:t>至</w:t>
      </w:r>
      <w:r>
        <w:rPr>
          <w:rFonts w:eastAsia="標楷體"/>
          <w:kern w:val="0"/>
          <w:szCs w:val="26"/>
        </w:rPr>
        <w:t>101</w:t>
      </w:r>
      <w:r>
        <w:rPr>
          <w:rFonts w:eastAsia="標楷體"/>
          <w:kern w:val="0"/>
          <w:szCs w:val="26"/>
        </w:rPr>
        <w:t>年延長至</w:t>
      </w:r>
      <w:r>
        <w:rPr>
          <w:rFonts w:eastAsia="標楷體"/>
          <w:kern w:val="0"/>
          <w:szCs w:val="26"/>
        </w:rPr>
        <w:t>105</w:t>
      </w:r>
      <w:r>
        <w:rPr>
          <w:rFonts w:eastAsia="標楷體"/>
          <w:kern w:val="0"/>
          <w:szCs w:val="26"/>
        </w:rPr>
        <w:t>年</w:t>
      </w:r>
      <w:r>
        <w:rPr>
          <w:rFonts w:ascii="標楷體" w:eastAsia="標楷體" w:hAnsi="標楷體"/>
          <w:kern w:val="0"/>
          <w:szCs w:val="26"/>
        </w:rPr>
        <w:t>)</w:t>
      </w:r>
      <w:r>
        <w:rPr>
          <w:rFonts w:eastAsia="標楷體"/>
          <w:kern w:val="0"/>
          <w:szCs w:val="26"/>
        </w:rPr>
        <w:t>尚未奉行政院核定。</w:t>
      </w:r>
    </w:p>
    <w:p w14:paraId="2030FF28" w14:textId="77777777" w:rsidR="00052596" w:rsidRDefault="00000000">
      <w:pPr>
        <w:pageBreakBefore/>
        <w:overflowPunct w:val="0"/>
        <w:autoSpaceDE w:val="0"/>
        <w:spacing w:before="240" w:after="240" w:line="360" w:lineRule="exact"/>
        <w:jc w:val="center"/>
        <w:textAlignment w:val="center"/>
      </w:pPr>
      <w:r>
        <w:rPr>
          <w:rFonts w:eastAsia="標楷體"/>
          <w:b/>
          <w:color w:val="0000FF"/>
          <w:spacing w:val="10"/>
          <w:kern w:val="0"/>
          <w:sz w:val="26"/>
          <w:szCs w:val="26"/>
        </w:rPr>
        <w:lastRenderedPageBreak/>
        <w:t>社會面</w:t>
      </w:r>
      <w:r>
        <w:rPr>
          <w:rFonts w:eastAsia="標楷體"/>
          <w:b/>
          <w:color w:val="0000FF"/>
          <w:spacing w:val="10"/>
          <w:kern w:val="0"/>
          <w:sz w:val="26"/>
          <w:szCs w:val="26"/>
        </w:rPr>
        <w:t>(</w:t>
      </w:r>
      <w:r>
        <w:rPr>
          <w:rFonts w:eastAsia="標楷體"/>
          <w:b/>
          <w:color w:val="0000FF"/>
          <w:spacing w:val="10"/>
          <w:kern w:val="0"/>
          <w:sz w:val="26"/>
          <w:szCs w:val="26"/>
        </w:rPr>
        <w:t>續</w:t>
      </w:r>
      <w:r>
        <w:rPr>
          <w:rFonts w:eastAsia="標楷體"/>
          <w:b/>
          <w:color w:val="0000FF"/>
          <w:spacing w:val="10"/>
          <w:kern w:val="0"/>
          <w:sz w:val="26"/>
          <w:szCs w:val="26"/>
        </w:rPr>
        <w:t>)</w:t>
      </w:r>
    </w:p>
    <w:tbl>
      <w:tblPr>
        <w:tblW w:w="8773" w:type="dxa"/>
        <w:jc w:val="center"/>
        <w:tblLayout w:type="fixed"/>
        <w:tblCellMar>
          <w:left w:w="10" w:type="dxa"/>
          <w:right w:w="10" w:type="dxa"/>
        </w:tblCellMar>
        <w:tblLook w:val="04A0" w:firstRow="1" w:lastRow="0" w:firstColumn="1" w:lastColumn="0" w:noHBand="0" w:noVBand="1"/>
      </w:tblPr>
      <w:tblGrid>
        <w:gridCol w:w="4047"/>
        <w:gridCol w:w="850"/>
        <w:gridCol w:w="1276"/>
        <w:gridCol w:w="1300"/>
        <w:gridCol w:w="1300"/>
      </w:tblGrid>
      <w:tr w:rsidR="00052596" w14:paraId="0A0287B2" w14:textId="77777777">
        <w:tblPrEx>
          <w:tblCellMar>
            <w:top w:w="0" w:type="dxa"/>
            <w:bottom w:w="0" w:type="dxa"/>
          </w:tblCellMar>
        </w:tblPrEx>
        <w:trPr>
          <w:trHeight w:val="178"/>
          <w:tblHeader/>
          <w:jc w:val="center"/>
        </w:trPr>
        <w:tc>
          <w:tcPr>
            <w:tcW w:w="4047" w:type="dxa"/>
            <w:vMerge w:val="restart"/>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2B95DC7" w14:textId="77777777" w:rsidR="00052596" w:rsidRDefault="00000000">
            <w:pPr>
              <w:widowControl/>
              <w:overflowPunct w:val="0"/>
              <w:autoSpaceDE w:val="0"/>
              <w:spacing w:before="144" w:line="320" w:lineRule="exact"/>
              <w:ind w:left="168" w:hanging="168"/>
              <w:jc w:val="center"/>
            </w:pPr>
            <w:r>
              <w:rPr>
                <w:noProof/>
              </w:rPr>
              <mc:AlternateContent>
                <mc:Choice Requires="wps">
                  <w:drawing>
                    <wp:anchor distT="0" distB="0" distL="114300" distR="114300" simplePos="0" relativeHeight="251691520" behindDoc="1" locked="0" layoutInCell="1" allowOverlap="1" wp14:anchorId="40EEDDCA" wp14:editId="26BF58B7">
                      <wp:simplePos x="0" y="0"/>
                      <wp:positionH relativeFrom="column">
                        <wp:posOffset>-80010</wp:posOffset>
                      </wp:positionH>
                      <wp:positionV relativeFrom="paragraph">
                        <wp:posOffset>-461643</wp:posOffset>
                      </wp:positionV>
                      <wp:extent cx="5720084" cy="5158102"/>
                      <wp:effectExtent l="0" t="0" r="0" b="4448"/>
                      <wp:wrapNone/>
                      <wp:docPr id="202" name="矩形 43"/>
                      <wp:cNvGraphicFramePr/>
                      <a:graphic xmlns:a="http://schemas.openxmlformats.org/drawingml/2006/main">
                        <a:graphicData uri="http://schemas.microsoft.com/office/word/2010/wordprocessingShape">
                          <wps:wsp>
                            <wps:cNvSpPr/>
                            <wps:spPr>
                              <a:xfrm>
                                <a:off x="0" y="0"/>
                                <a:ext cx="5720084" cy="5158102"/>
                              </a:xfrm>
                              <a:prstGeom prst="rect">
                                <a:avLst/>
                              </a:prstGeom>
                              <a:gradFill>
                                <a:gsLst>
                                  <a:gs pos="0">
                                    <a:srgbClr val="FFFFFF"/>
                                  </a:gs>
                                  <a:gs pos="100000">
                                    <a:srgbClr val="FFE6CD"/>
                                  </a:gs>
                                </a:gsLst>
                                <a:path path="circle">
                                  <a:fillToRect l="50000" t="50000" r="50000" b="50000"/>
                                </a:path>
                              </a:gradFill>
                              <a:ln>
                                <a:noFill/>
                                <a:prstDash val="solid"/>
                              </a:ln>
                            </wps:spPr>
                            <wps:bodyPr lIns="0" tIns="0" rIns="0" bIns="0"/>
                          </wps:wsp>
                        </a:graphicData>
                      </a:graphic>
                    </wp:anchor>
                  </w:drawing>
                </mc:Choice>
                <mc:Fallback>
                  <w:pict>
                    <v:rect w14:anchorId="7B0C5380" id="矩形 43" o:spid="_x0000_s1026" style="position:absolute;margin-left:-6.3pt;margin-top:-36.35pt;width:450.4pt;height:406.1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" stroked="f">
                      <v:fill color2="#ffe6cd" focusposition=".5,.5" focussize="" focus="100%" type="gradientRadial"/>
                      <v:textbox inset="0,0,0,0"/>
                    </v:rect>
                  </w:pict>
                </mc:Fallback>
              </mc:AlternateContent>
            </w:r>
            <w:r>
              <w:rPr>
                <w:rFonts w:eastAsia="標楷體"/>
                <w:b/>
                <w:color w:val="0000FF"/>
                <w:kern w:val="0"/>
                <w:szCs w:val="24"/>
              </w:rPr>
              <w:t>項</w:t>
            </w:r>
            <w:r>
              <w:rPr>
                <w:rFonts w:eastAsia="標楷體"/>
                <w:b/>
                <w:color w:val="0000FF"/>
                <w:kern w:val="0"/>
                <w:szCs w:val="24"/>
              </w:rPr>
              <w:t xml:space="preserve"> </w:t>
            </w:r>
            <w:r>
              <w:rPr>
                <w:rFonts w:eastAsia="標楷體"/>
                <w:b/>
                <w:color w:val="0000FF"/>
                <w:kern w:val="0"/>
                <w:szCs w:val="24"/>
              </w:rPr>
              <w:t>目</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4F5044"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單</w:t>
            </w:r>
            <w:r>
              <w:rPr>
                <w:rFonts w:eastAsia="標楷體"/>
                <w:b/>
                <w:color w:val="0000FF"/>
                <w:kern w:val="0"/>
                <w:szCs w:val="24"/>
              </w:rPr>
              <w:t xml:space="preserve"> </w:t>
            </w:r>
            <w:r>
              <w:rPr>
                <w:rFonts w:eastAsia="標楷體"/>
                <w:b/>
                <w:color w:val="0000FF"/>
                <w:kern w:val="0"/>
                <w:szCs w:val="24"/>
              </w:rPr>
              <w:t>位</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9C72AA7"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現況值</w:t>
            </w:r>
          </w:p>
          <w:p w14:paraId="28BC1C84"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(101</w:t>
            </w:r>
            <w:r>
              <w:rPr>
                <w:rFonts w:eastAsia="標楷體"/>
                <w:b/>
                <w:color w:val="0000FF"/>
                <w:kern w:val="0"/>
                <w:szCs w:val="24"/>
              </w:rPr>
              <w:t>年</w:t>
            </w:r>
            <w:r>
              <w:rPr>
                <w:rFonts w:eastAsia="標楷體"/>
                <w:b/>
                <w:color w:val="0000FF"/>
                <w:kern w:val="0"/>
                <w:szCs w:val="24"/>
              </w:rPr>
              <w:t>)</w:t>
            </w:r>
          </w:p>
        </w:tc>
        <w:tc>
          <w:tcPr>
            <w:tcW w:w="2600" w:type="dxa"/>
            <w:gridSpan w:val="2"/>
            <w:tcBorders>
              <w:top w:val="single" w:sz="4" w:space="0" w:color="000000"/>
              <w:bottom w:val="single" w:sz="4" w:space="0" w:color="000000"/>
            </w:tcBorders>
            <w:shd w:val="clear" w:color="auto" w:fill="auto"/>
            <w:noWrap/>
            <w:tcMar>
              <w:top w:w="0" w:type="dxa"/>
              <w:left w:w="28" w:type="dxa"/>
              <w:bottom w:w="0" w:type="dxa"/>
              <w:right w:w="28" w:type="dxa"/>
            </w:tcMar>
            <w:vAlign w:val="center"/>
          </w:tcPr>
          <w:p w14:paraId="539EB13E"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目標值</w:t>
            </w:r>
          </w:p>
        </w:tc>
      </w:tr>
      <w:tr w:rsidR="00052596" w14:paraId="69A4585B" w14:textId="77777777">
        <w:tblPrEx>
          <w:tblCellMar>
            <w:top w:w="0" w:type="dxa"/>
            <w:bottom w:w="0" w:type="dxa"/>
          </w:tblCellMar>
        </w:tblPrEx>
        <w:trPr>
          <w:trHeight w:val="215"/>
          <w:tblHeader/>
          <w:jc w:val="center"/>
        </w:trPr>
        <w:tc>
          <w:tcPr>
            <w:tcW w:w="4047" w:type="dxa"/>
            <w:vMerge/>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E1C67EC" w14:textId="77777777" w:rsidR="00052596" w:rsidRDefault="00052596">
            <w:pPr>
              <w:widowControl/>
              <w:overflowPunct w:val="0"/>
              <w:autoSpaceDE w:val="0"/>
              <w:spacing w:line="320" w:lineRule="exact"/>
              <w:ind w:left="168" w:hanging="168"/>
              <w:jc w:val="both"/>
              <w:rPr>
                <w:rFonts w:eastAsia="標楷體"/>
                <w:b/>
                <w:color w:val="0000FF"/>
                <w:kern w:val="0"/>
                <w:szCs w:val="24"/>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2CB7B50" w14:textId="77777777" w:rsidR="00052596" w:rsidRDefault="00052596">
            <w:pPr>
              <w:widowControl/>
              <w:overflowPunct w:val="0"/>
              <w:autoSpaceDE w:val="0"/>
              <w:spacing w:line="320" w:lineRule="exact"/>
              <w:jc w:val="center"/>
              <w:rPr>
                <w:rFonts w:eastAsia="標楷體"/>
                <w:b/>
                <w:color w:val="0000FF"/>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4676D8" w14:textId="77777777" w:rsidR="00052596" w:rsidRDefault="00052596">
            <w:pPr>
              <w:widowControl/>
              <w:overflowPunct w:val="0"/>
              <w:autoSpaceDE w:val="0"/>
              <w:spacing w:line="320" w:lineRule="exact"/>
              <w:jc w:val="center"/>
              <w:rPr>
                <w:rFonts w:eastAsia="標楷體"/>
                <w:b/>
                <w:color w:val="0000FF"/>
                <w:kern w:val="0"/>
                <w:szCs w:val="24"/>
              </w:rPr>
            </w:pPr>
          </w:p>
        </w:tc>
        <w:tc>
          <w:tcPr>
            <w:tcW w:w="130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149FA96"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102</w:t>
            </w:r>
            <w:r>
              <w:rPr>
                <w:rFonts w:eastAsia="標楷體"/>
                <w:b/>
                <w:color w:val="0000FF"/>
                <w:kern w:val="0"/>
                <w:szCs w:val="24"/>
              </w:rPr>
              <w:t>年</w:t>
            </w:r>
          </w:p>
        </w:tc>
        <w:tc>
          <w:tcPr>
            <w:tcW w:w="130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E1F1638"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105</w:t>
            </w:r>
            <w:r>
              <w:rPr>
                <w:rFonts w:eastAsia="標楷體"/>
                <w:b/>
                <w:color w:val="0000FF"/>
                <w:kern w:val="0"/>
                <w:szCs w:val="24"/>
              </w:rPr>
              <w:t>年</w:t>
            </w:r>
          </w:p>
        </w:tc>
      </w:tr>
      <w:tr w:rsidR="00052596" w14:paraId="6CA852E9" w14:textId="77777777">
        <w:tblPrEx>
          <w:tblCellMar>
            <w:top w:w="0" w:type="dxa"/>
            <w:bottom w:w="0" w:type="dxa"/>
          </w:tblCellMar>
        </w:tblPrEx>
        <w:trPr>
          <w:trHeight w:val="90"/>
          <w:jc w:val="center"/>
        </w:trPr>
        <w:tc>
          <w:tcPr>
            <w:tcW w:w="4047" w:type="dxa"/>
            <w:tcBorders>
              <w:right w:val="single" w:sz="4" w:space="0" w:color="000000"/>
            </w:tcBorders>
            <w:shd w:val="clear" w:color="auto" w:fill="auto"/>
            <w:noWrap/>
            <w:tcMar>
              <w:top w:w="0" w:type="dxa"/>
              <w:left w:w="28" w:type="dxa"/>
              <w:bottom w:w="0" w:type="dxa"/>
              <w:right w:w="28" w:type="dxa"/>
            </w:tcMar>
          </w:tcPr>
          <w:p w14:paraId="60DE781E" w14:textId="77777777" w:rsidR="00052596" w:rsidRDefault="00000000">
            <w:pPr>
              <w:widowControl/>
              <w:overflowPunct w:val="0"/>
              <w:autoSpaceDE w:val="0"/>
              <w:spacing w:line="320" w:lineRule="exact"/>
              <w:ind w:left="168" w:hanging="168"/>
              <w:jc w:val="both"/>
              <w:rPr>
                <w:rFonts w:eastAsia="標楷體"/>
                <w:b/>
                <w:color w:val="800000"/>
                <w:kern w:val="0"/>
                <w:szCs w:val="24"/>
              </w:rPr>
            </w:pPr>
            <w:r>
              <w:rPr>
                <w:rFonts w:eastAsia="標楷體"/>
                <w:b/>
                <w:color w:val="800000"/>
                <w:kern w:val="0"/>
                <w:szCs w:val="24"/>
              </w:rPr>
              <w:t>教育革新</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51B307AA" w14:textId="77777777" w:rsidR="00052596" w:rsidRDefault="00052596">
            <w:pPr>
              <w:widowControl/>
              <w:overflowPunct w:val="0"/>
              <w:autoSpaceDE w:val="0"/>
              <w:spacing w:line="320" w:lineRule="exact"/>
              <w:jc w:val="center"/>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C39ECC2" w14:textId="77777777" w:rsidR="00052596" w:rsidRDefault="00052596">
            <w:pPr>
              <w:widowControl/>
              <w:overflowPunct w:val="0"/>
              <w:autoSpaceDE w:val="0"/>
              <w:spacing w:line="320" w:lineRule="exact"/>
              <w:jc w:val="right"/>
              <w:rPr>
                <w:rFonts w:eastAsia="標楷體"/>
                <w:kern w:val="0"/>
                <w:szCs w:val="24"/>
              </w:rPr>
            </w:pPr>
          </w:p>
        </w:tc>
        <w:tc>
          <w:tcPr>
            <w:tcW w:w="1300" w:type="dxa"/>
            <w:tcBorders>
              <w:left w:val="single" w:sz="4" w:space="0" w:color="000000"/>
              <w:right w:val="single" w:sz="4" w:space="0" w:color="000000"/>
            </w:tcBorders>
            <w:shd w:val="clear" w:color="auto" w:fill="auto"/>
            <w:noWrap/>
            <w:tcMar>
              <w:top w:w="0" w:type="dxa"/>
              <w:left w:w="28" w:type="dxa"/>
              <w:bottom w:w="0" w:type="dxa"/>
              <w:right w:w="28" w:type="dxa"/>
            </w:tcMar>
          </w:tcPr>
          <w:p w14:paraId="353CACD0" w14:textId="77777777" w:rsidR="00052596" w:rsidRDefault="00052596">
            <w:pPr>
              <w:widowControl/>
              <w:overflowPunct w:val="0"/>
              <w:autoSpaceDE w:val="0"/>
              <w:spacing w:line="320" w:lineRule="exact"/>
              <w:jc w:val="right"/>
              <w:rPr>
                <w:rFonts w:eastAsia="標楷體"/>
                <w:kern w:val="0"/>
                <w:szCs w:val="24"/>
              </w:rPr>
            </w:pPr>
          </w:p>
        </w:tc>
        <w:tc>
          <w:tcPr>
            <w:tcW w:w="1300" w:type="dxa"/>
            <w:tcBorders>
              <w:left w:val="single" w:sz="4" w:space="0" w:color="000000"/>
            </w:tcBorders>
            <w:shd w:val="clear" w:color="auto" w:fill="auto"/>
            <w:noWrap/>
            <w:tcMar>
              <w:top w:w="0" w:type="dxa"/>
              <w:left w:w="28" w:type="dxa"/>
              <w:bottom w:w="0" w:type="dxa"/>
              <w:right w:w="28" w:type="dxa"/>
            </w:tcMar>
          </w:tcPr>
          <w:p w14:paraId="73BE7556" w14:textId="77777777" w:rsidR="00052596" w:rsidRDefault="00052596">
            <w:pPr>
              <w:widowControl/>
              <w:overflowPunct w:val="0"/>
              <w:autoSpaceDE w:val="0"/>
              <w:spacing w:line="320" w:lineRule="exact"/>
              <w:jc w:val="right"/>
              <w:rPr>
                <w:rFonts w:eastAsia="標楷體"/>
                <w:kern w:val="0"/>
                <w:szCs w:val="24"/>
              </w:rPr>
            </w:pPr>
          </w:p>
        </w:tc>
      </w:tr>
      <w:tr w:rsidR="00052596" w14:paraId="6F2AEDA8" w14:textId="77777777">
        <w:tblPrEx>
          <w:tblCellMar>
            <w:top w:w="0" w:type="dxa"/>
            <w:bottom w:w="0" w:type="dxa"/>
          </w:tblCellMar>
        </w:tblPrEx>
        <w:trPr>
          <w:trHeight w:val="90"/>
          <w:jc w:val="center"/>
        </w:trPr>
        <w:tc>
          <w:tcPr>
            <w:tcW w:w="4047" w:type="dxa"/>
            <w:tcBorders>
              <w:right w:val="single" w:sz="4" w:space="0" w:color="000000"/>
            </w:tcBorders>
            <w:shd w:val="clear" w:color="auto" w:fill="auto"/>
            <w:noWrap/>
            <w:tcMar>
              <w:top w:w="0" w:type="dxa"/>
              <w:left w:w="28" w:type="dxa"/>
              <w:bottom w:w="0" w:type="dxa"/>
              <w:right w:w="28" w:type="dxa"/>
            </w:tcMar>
          </w:tcPr>
          <w:p w14:paraId="1081996D"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1.</w:t>
            </w:r>
            <w:r>
              <w:rPr>
                <w:rFonts w:eastAsia="標楷體"/>
                <w:kern w:val="0"/>
                <w:szCs w:val="24"/>
              </w:rPr>
              <w:t>十二年國民基本教育</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56E7A9E9" w14:textId="77777777" w:rsidR="00052596" w:rsidRDefault="00052596">
            <w:pPr>
              <w:widowControl/>
              <w:overflowPunct w:val="0"/>
              <w:autoSpaceDE w:val="0"/>
              <w:spacing w:before="72" w:after="72" w:line="320" w:lineRule="exact"/>
              <w:jc w:val="center"/>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106E3C25" w14:textId="77777777" w:rsidR="00052596" w:rsidRDefault="00052596">
            <w:pPr>
              <w:widowControl/>
              <w:overflowPunct w:val="0"/>
              <w:autoSpaceDE w:val="0"/>
              <w:spacing w:before="72" w:after="72" w:line="320" w:lineRule="exact"/>
              <w:jc w:val="right"/>
              <w:rPr>
                <w:rFonts w:eastAsia="標楷體"/>
                <w:kern w:val="0"/>
                <w:szCs w:val="24"/>
              </w:rPr>
            </w:pPr>
          </w:p>
        </w:tc>
        <w:tc>
          <w:tcPr>
            <w:tcW w:w="1300" w:type="dxa"/>
            <w:tcBorders>
              <w:left w:val="single" w:sz="4" w:space="0" w:color="000000"/>
              <w:right w:val="single" w:sz="4" w:space="0" w:color="000000"/>
            </w:tcBorders>
            <w:shd w:val="clear" w:color="auto" w:fill="auto"/>
            <w:noWrap/>
            <w:tcMar>
              <w:top w:w="0" w:type="dxa"/>
              <w:left w:w="28" w:type="dxa"/>
              <w:bottom w:w="0" w:type="dxa"/>
              <w:right w:w="28" w:type="dxa"/>
            </w:tcMar>
          </w:tcPr>
          <w:p w14:paraId="70060B84" w14:textId="77777777" w:rsidR="00052596" w:rsidRDefault="00052596">
            <w:pPr>
              <w:widowControl/>
              <w:overflowPunct w:val="0"/>
              <w:autoSpaceDE w:val="0"/>
              <w:spacing w:before="72" w:after="72" w:line="320" w:lineRule="exact"/>
              <w:jc w:val="right"/>
              <w:rPr>
                <w:rFonts w:eastAsia="標楷體"/>
                <w:kern w:val="0"/>
                <w:szCs w:val="24"/>
              </w:rPr>
            </w:pPr>
          </w:p>
        </w:tc>
        <w:tc>
          <w:tcPr>
            <w:tcW w:w="1300" w:type="dxa"/>
            <w:tcBorders>
              <w:left w:val="single" w:sz="4" w:space="0" w:color="000000"/>
            </w:tcBorders>
            <w:shd w:val="clear" w:color="auto" w:fill="auto"/>
            <w:noWrap/>
            <w:tcMar>
              <w:top w:w="0" w:type="dxa"/>
              <w:left w:w="28" w:type="dxa"/>
              <w:bottom w:w="0" w:type="dxa"/>
              <w:right w:w="28" w:type="dxa"/>
            </w:tcMar>
          </w:tcPr>
          <w:p w14:paraId="32F4AA02" w14:textId="77777777" w:rsidR="00052596" w:rsidRDefault="00052596">
            <w:pPr>
              <w:widowControl/>
              <w:overflowPunct w:val="0"/>
              <w:autoSpaceDE w:val="0"/>
              <w:spacing w:before="72" w:after="72" w:line="320" w:lineRule="exact"/>
              <w:jc w:val="right"/>
              <w:rPr>
                <w:rFonts w:eastAsia="標楷體"/>
                <w:kern w:val="0"/>
                <w:szCs w:val="24"/>
              </w:rPr>
            </w:pPr>
          </w:p>
        </w:tc>
      </w:tr>
      <w:tr w:rsidR="00052596" w14:paraId="5EA01B6D" w14:textId="77777777">
        <w:tblPrEx>
          <w:tblCellMar>
            <w:top w:w="0" w:type="dxa"/>
            <w:bottom w:w="0" w:type="dxa"/>
          </w:tblCellMar>
        </w:tblPrEx>
        <w:trPr>
          <w:trHeight w:val="90"/>
          <w:jc w:val="center"/>
        </w:trPr>
        <w:tc>
          <w:tcPr>
            <w:tcW w:w="4047" w:type="dxa"/>
            <w:tcBorders>
              <w:right w:val="single" w:sz="4" w:space="0" w:color="000000"/>
            </w:tcBorders>
            <w:shd w:val="clear" w:color="auto" w:fill="auto"/>
            <w:noWrap/>
            <w:tcMar>
              <w:top w:w="0" w:type="dxa"/>
              <w:left w:w="28" w:type="dxa"/>
              <w:bottom w:w="0" w:type="dxa"/>
              <w:right w:w="28" w:type="dxa"/>
            </w:tcMar>
          </w:tcPr>
          <w:p w14:paraId="5CEC4B8D" w14:textId="77777777" w:rsidR="00052596" w:rsidRDefault="00000000">
            <w:pPr>
              <w:widowControl/>
              <w:overflowPunct w:val="0"/>
              <w:autoSpaceDE w:val="0"/>
              <w:spacing w:after="120" w:line="320" w:lineRule="exact"/>
              <w:ind w:left="768" w:hanging="240"/>
              <w:jc w:val="both"/>
              <w:rPr>
                <w:rFonts w:eastAsia="標楷體"/>
                <w:kern w:val="0"/>
                <w:szCs w:val="24"/>
              </w:rPr>
            </w:pPr>
            <w:r>
              <w:rPr>
                <w:rFonts w:eastAsia="標楷體"/>
                <w:kern w:val="0"/>
                <w:szCs w:val="24"/>
              </w:rPr>
              <w:t>－各免試就學區免試入學比率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701B546F" w14:textId="77777777" w:rsidR="00052596" w:rsidRDefault="00000000">
            <w:pPr>
              <w:widowControl/>
              <w:overflowPunct w:val="0"/>
              <w:autoSpaceDE w:val="0"/>
              <w:spacing w:after="120" w:line="320" w:lineRule="exact"/>
              <w:jc w:val="center"/>
              <w:rPr>
                <w:rFonts w:eastAsia="標楷體"/>
                <w:kern w:val="0"/>
                <w:szCs w:val="24"/>
              </w:rPr>
            </w:pP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63831BF6" w14:textId="77777777" w:rsidR="00052596" w:rsidRDefault="00000000">
            <w:pPr>
              <w:widowControl/>
              <w:overflowPunct w:val="0"/>
              <w:autoSpaceDE w:val="0"/>
              <w:spacing w:after="120" w:line="320" w:lineRule="exact"/>
              <w:ind w:right="48"/>
              <w:jc w:val="right"/>
              <w:rPr>
                <w:rFonts w:eastAsia="標楷體"/>
                <w:kern w:val="0"/>
                <w:szCs w:val="24"/>
              </w:rPr>
            </w:pPr>
            <w:r>
              <w:rPr>
                <w:rFonts w:eastAsia="標楷體"/>
                <w:kern w:val="0"/>
                <w:szCs w:val="24"/>
              </w:rPr>
              <w:t>57.32</w:t>
            </w:r>
          </w:p>
        </w:tc>
        <w:tc>
          <w:tcPr>
            <w:tcW w:w="1300" w:type="dxa"/>
            <w:tcBorders>
              <w:left w:val="single" w:sz="4" w:space="0" w:color="000000"/>
              <w:right w:val="single" w:sz="4" w:space="0" w:color="000000"/>
            </w:tcBorders>
            <w:shd w:val="clear" w:color="auto" w:fill="auto"/>
            <w:noWrap/>
            <w:tcMar>
              <w:top w:w="0" w:type="dxa"/>
              <w:left w:w="28" w:type="dxa"/>
              <w:bottom w:w="0" w:type="dxa"/>
              <w:right w:w="28" w:type="dxa"/>
            </w:tcMar>
          </w:tcPr>
          <w:p w14:paraId="37D48D1A" w14:textId="77777777" w:rsidR="00052596" w:rsidRDefault="00000000">
            <w:pPr>
              <w:widowControl/>
              <w:overflowPunct w:val="0"/>
              <w:autoSpaceDE w:val="0"/>
              <w:spacing w:after="120" w:line="320" w:lineRule="exact"/>
              <w:ind w:right="48"/>
              <w:jc w:val="right"/>
              <w:rPr>
                <w:rFonts w:eastAsia="標楷體"/>
                <w:kern w:val="0"/>
                <w:szCs w:val="24"/>
              </w:rPr>
            </w:pPr>
            <w:r>
              <w:rPr>
                <w:rFonts w:eastAsia="標楷體"/>
                <w:kern w:val="0"/>
                <w:szCs w:val="24"/>
              </w:rPr>
              <w:t>65</w:t>
            </w:r>
          </w:p>
        </w:tc>
        <w:tc>
          <w:tcPr>
            <w:tcW w:w="1300" w:type="dxa"/>
            <w:tcBorders>
              <w:left w:val="single" w:sz="4" w:space="0" w:color="000000"/>
            </w:tcBorders>
            <w:shd w:val="clear" w:color="auto" w:fill="auto"/>
            <w:noWrap/>
            <w:tcMar>
              <w:top w:w="0" w:type="dxa"/>
              <w:left w:w="28" w:type="dxa"/>
              <w:bottom w:w="0" w:type="dxa"/>
              <w:right w:w="28" w:type="dxa"/>
            </w:tcMar>
          </w:tcPr>
          <w:p w14:paraId="7035E506" w14:textId="77777777" w:rsidR="00052596" w:rsidRDefault="00000000">
            <w:pPr>
              <w:widowControl/>
              <w:overflowPunct w:val="0"/>
              <w:autoSpaceDE w:val="0"/>
              <w:spacing w:after="120" w:line="320" w:lineRule="exact"/>
              <w:ind w:right="48"/>
              <w:jc w:val="right"/>
              <w:rPr>
                <w:rFonts w:eastAsia="標楷體"/>
                <w:kern w:val="0"/>
                <w:szCs w:val="24"/>
              </w:rPr>
            </w:pPr>
            <w:r>
              <w:rPr>
                <w:rFonts w:eastAsia="標楷體"/>
                <w:kern w:val="0"/>
                <w:szCs w:val="24"/>
              </w:rPr>
              <w:t>79</w:t>
            </w:r>
          </w:p>
        </w:tc>
      </w:tr>
      <w:tr w:rsidR="00052596" w14:paraId="3AF8EC27" w14:textId="77777777">
        <w:tblPrEx>
          <w:tblCellMar>
            <w:top w:w="0" w:type="dxa"/>
            <w:bottom w:w="0" w:type="dxa"/>
          </w:tblCellMar>
        </w:tblPrEx>
        <w:trPr>
          <w:trHeight w:val="90"/>
          <w:jc w:val="center"/>
        </w:trPr>
        <w:tc>
          <w:tcPr>
            <w:tcW w:w="4047" w:type="dxa"/>
            <w:tcBorders>
              <w:right w:val="single" w:sz="4" w:space="0" w:color="000000"/>
            </w:tcBorders>
            <w:shd w:val="clear" w:color="auto" w:fill="auto"/>
            <w:noWrap/>
            <w:tcMar>
              <w:top w:w="0" w:type="dxa"/>
              <w:left w:w="28" w:type="dxa"/>
              <w:bottom w:w="0" w:type="dxa"/>
              <w:right w:w="28" w:type="dxa"/>
            </w:tcMar>
          </w:tcPr>
          <w:p w14:paraId="3F49155D" w14:textId="77777777" w:rsidR="00052596" w:rsidRDefault="00000000">
            <w:pPr>
              <w:widowControl/>
              <w:overflowPunct w:val="0"/>
              <w:autoSpaceDE w:val="0"/>
              <w:spacing w:line="320" w:lineRule="exact"/>
              <w:ind w:left="768" w:hanging="240"/>
              <w:jc w:val="both"/>
              <w:rPr>
                <w:rFonts w:eastAsia="標楷體"/>
                <w:kern w:val="0"/>
                <w:szCs w:val="24"/>
              </w:rPr>
            </w:pPr>
            <w:r>
              <w:rPr>
                <w:rFonts w:eastAsia="標楷體"/>
                <w:kern w:val="0"/>
                <w:szCs w:val="24"/>
              </w:rPr>
              <w:t>－各免試就學區優質高中職比率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71C578C8"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3FB7955B" w14:textId="77777777" w:rsidR="00052596" w:rsidRDefault="00000000">
            <w:pPr>
              <w:widowControl/>
              <w:overflowPunct w:val="0"/>
              <w:autoSpaceDE w:val="0"/>
              <w:spacing w:line="320" w:lineRule="exact"/>
              <w:ind w:right="48"/>
              <w:jc w:val="right"/>
            </w:pPr>
            <w:r>
              <w:rPr>
                <w:rFonts w:eastAsia="標楷體"/>
                <w:kern w:val="0"/>
                <w:szCs w:val="24"/>
              </w:rPr>
              <w:t>62</w:t>
            </w:r>
          </w:p>
          <w:p w14:paraId="00E991EA" w14:textId="77777777" w:rsidR="00052596" w:rsidRDefault="00000000">
            <w:pPr>
              <w:widowControl/>
              <w:overflowPunct w:val="0"/>
              <w:autoSpaceDE w:val="0"/>
              <w:spacing w:after="120" w:line="320" w:lineRule="exact"/>
              <w:ind w:right="48"/>
              <w:jc w:val="right"/>
              <w:rPr>
                <w:rFonts w:eastAsia="標楷體"/>
                <w:kern w:val="0"/>
                <w:szCs w:val="24"/>
              </w:rPr>
            </w:pPr>
            <w:r>
              <w:rPr>
                <w:rFonts w:eastAsia="標楷體"/>
                <w:kern w:val="0"/>
                <w:szCs w:val="24"/>
              </w:rPr>
              <w:t>(100</w:t>
            </w:r>
            <w:r>
              <w:rPr>
                <w:rFonts w:eastAsia="標楷體"/>
                <w:kern w:val="0"/>
                <w:szCs w:val="24"/>
              </w:rPr>
              <w:t>年</w:t>
            </w:r>
            <w:r>
              <w:rPr>
                <w:rFonts w:eastAsia="標楷體"/>
                <w:kern w:val="0"/>
                <w:szCs w:val="24"/>
              </w:rPr>
              <w:t>)</w:t>
            </w:r>
          </w:p>
        </w:tc>
        <w:tc>
          <w:tcPr>
            <w:tcW w:w="1300" w:type="dxa"/>
            <w:tcBorders>
              <w:left w:val="single" w:sz="4" w:space="0" w:color="000000"/>
              <w:right w:val="single" w:sz="4" w:space="0" w:color="000000"/>
            </w:tcBorders>
            <w:shd w:val="clear" w:color="auto" w:fill="auto"/>
            <w:noWrap/>
            <w:tcMar>
              <w:top w:w="0" w:type="dxa"/>
              <w:left w:w="28" w:type="dxa"/>
              <w:bottom w:w="0" w:type="dxa"/>
              <w:right w:w="28" w:type="dxa"/>
            </w:tcMar>
          </w:tcPr>
          <w:p w14:paraId="1B8F66E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75</w:t>
            </w:r>
          </w:p>
        </w:tc>
        <w:tc>
          <w:tcPr>
            <w:tcW w:w="1300" w:type="dxa"/>
            <w:tcBorders>
              <w:left w:val="single" w:sz="4" w:space="0" w:color="000000"/>
            </w:tcBorders>
            <w:shd w:val="clear" w:color="auto" w:fill="auto"/>
            <w:noWrap/>
            <w:tcMar>
              <w:top w:w="0" w:type="dxa"/>
              <w:left w:w="28" w:type="dxa"/>
              <w:bottom w:w="0" w:type="dxa"/>
              <w:right w:w="28" w:type="dxa"/>
            </w:tcMar>
          </w:tcPr>
          <w:p w14:paraId="676C25F4"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86</w:t>
            </w:r>
          </w:p>
        </w:tc>
      </w:tr>
      <w:tr w:rsidR="00052596" w14:paraId="40217AFC" w14:textId="77777777">
        <w:tblPrEx>
          <w:tblCellMar>
            <w:top w:w="0" w:type="dxa"/>
            <w:bottom w:w="0" w:type="dxa"/>
          </w:tblCellMar>
        </w:tblPrEx>
        <w:trPr>
          <w:trHeight w:val="437"/>
          <w:jc w:val="center"/>
        </w:trPr>
        <w:tc>
          <w:tcPr>
            <w:tcW w:w="4047" w:type="dxa"/>
            <w:tcBorders>
              <w:right w:val="single" w:sz="4" w:space="0" w:color="000000"/>
            </w:tcBorders>
            <w:shd w:val="clear" w:color="auto" w:fill="auto"/>
            <w:noWrap/>
            <w:tcMar>
              <w:top w:w="0" w:type="dxa"/>
              <w:left w:w="28" w:type="dxa"/>
              <w:bottom w:w="0" w:type="dxa"/>
              <w:right w:w="28" w:type="dxa"/>
            </w:tcMar>
          </w:tcPr>
          <w:p w14:paraId="7A88628A" w14:textId="77777777" w:rsidR="00052596" w:rsidRDefault="00000000">
            <w:pPr>
              <w:widowControl/>
              <w:overflowPunct w:val="0"/>
              <w:autoSpaceDE w:val="0"/>
              <w:spacing w:line="320" w:lineRule="exact"/>
              <w:ind w:left="768" w:hanging="240"/>
              <w:jc w:val="both"/>
              <w:rPr>
                <w:rFonts w:eastAsia="標楷體"/>
                <w:kern w:val="0"/>
                <w:szCs w:val="24"/>
              </w:rPr>
            </w:pPr>
            <w:r>
              <w:rPr>
                <w:rFonts w:eastAsia="標楷體"/>
                <w:kern w:val="0"/>
                <w:szCs w:val="24"/>
              </w:rPr>
              <w:t>－各免試就學區就近入學率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5D39482F"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9931D3F" w14:textId="77777777" w:rsidR="00052596" w:rsidRDefault="00000000">
            <w:pPr>
              <w:widowControl/>
              <w:overflowPunct w:val="0"/>
              <w:autoSpaceDE w:val="0"/>
              <w:spacing w:line="320" w:lineRule="exact"/>
              <w:ind w:right="48"/>
              <w:jc w:val="right"/>
            </w:pPr>
            <w:r>
              <w:rPr>
                <w:rFonts w:eastAsia="標楷體"/>
                <w:kern w:val="0"/>
                <w:szCs w:val="24"/>
              </w:rPr>
              <w:t>92</w:t>
            </w:r>
          </w:p>
          <w:p w14:paraId="1BD5E27D" w14:textId="77777777" w:rsidR="00052596" w:rsidRDefault="00000000">
            <w:pPr>
              <w:widowControl/>
              <w:overflowPunct w:val="0"/>
              <w:autoSpaceDE w:val="0"/>
              <w:spacing w:after="120" w:line="320" w:lineRule="exact"/>
              <w:ind w:right="48"/>
              <w:jc w:val="right"/>
              <w:rPr>
                <w:rFonts w:eastAsia="標楷體"/>
                <w:kern w:val="0"/>
                <w:szCs w:val="24"/>
              </w:rPr>
            </w:pPr>
            <w:r>
              <w:rPr>
                <w:rFonts w:eastAsia="標楷體"/>
                <w:kern w:val="0"/>
                <w:szCs w:val="24"/>
              </w:rPr>
              <w:t>(100</w:t>
            </w:r>
            <w:r>
              <w:rPr>
                <w:rFonts w:eastAsia="標楷體"/>
                <w:kern w:val="0"/>
                <w:szCs w:val="24"/>
              </w:rPr>
              <w:t>年</w:t>
            </w:r>
            <w:r>
              <w:rPr>
                <w:rFonts w:eastAsia="標楷體"/>
                <w:kern w:val="0"/>
                <w:szCs w:val="24"/>
              </w:rPr>
              <w:t>)</w:t>
            </w:r>
          </w:p>
        </w:tc>
        <w:tc>
          <w:tcPr>
            <w:tcW w:w="1300" w:type="dxa"/>
            <w:tcBorders>
              <w:left w:val="single" w:sz="4" w:space="0" w:color="000000"/>
              <w:right w:val="single" w:sz="4" w:space="0" w:color="000000"/>
            </w:tcBorders>
            <w:shd w:val="clear" w:color="auto" w:fill="auto"/>
            <w:noWrap/>
            <w:tcMar>
              <w:top w:w="0" w:type="dxa"/>
              <w:left w:w="28" w:type="dxa"/>
              <w:bottom w:w="0" w:type="dxa"/>
              <w:right w:w="28" w:type="dxa"/>
            </w:tcMar>
          </w:tcPr>
          <w:p w14:paraId="775E9EC3"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94</w:t>
            </w:r>
          </w:p>
        </w:tc>
        <w:tc>
          <w:tcPr>
            <w:tcW w:w="1300" w:type="dxa"/>
            <w:tcBorders>
              <w:left w:val="single" w:sz="4" w:space="0" w:color="000000"/>
            </w:tcBorders>
            <w:shd w:val="clear" w:color="auto" w:fill="auto"/>
            <w:noWrap/>
            <w:tcMar>
              <w:top w:w="0" w:type="dxa"/>
              <w:left w:w="28" w:type="dxa"/>
              <w:bottom w:w="0" w:type="dxa"/>
              <w:right w:w="28" w:type="dxa"/>
            </w:tcMar>
          </w:tcPr>
          <w:p w14:paraId="03FD9861" w14:textId="77777777" w:rsidR="00052596" w:rsidRDefault="00000000">
            <w:pPr>
              <w:widowControl/>
              <w:overflowPunct w:val="0"/>
              <w:autoSpaceDE w:val="0"/>
              <w:spacing w:line="320" w:lineRule="exact"/>
              <w:ind w:right="48"/>
              <w:jc w:val="right"/>
            </w:pPr>
            <w:r>
              <w:rPr>
                <w:rFonts w:eastAsia="標楷體"/>
                <w:kern w:val="0"/>
                <w:szCs w:val="24"/>
              </w:rPr>
              <w:t>95</w:t>
            </w:r>
          </w:p>
          <w:p w14:paraId="32CB6654"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(103</w:t>
            </w:r>
            <w:r>
              <w:rPr>
                <w:rFonts w:eastAsia="標楷體"/>
                <w:kern w:val="0"/>
                <w:szCs w:val="24"/>
              </w:rPr>
              <w:t>年</w:t>
            </w:r>
            <w:r>
              <w:rPr>
                <w:rFonts w:eastAsia="標楷體"/>
                <w:kern w:val="0"/>
                <w:szCs w:val="24"/>
              </w:rPr>
              <w:t>)</w:t>
            </w:r>
          </w:p>
        </w:tc>
      </w:tr>
      <w:tr w:rsidR="00052596" w14:paraId="016C3A56" w14:textId="77777777">
        <w:tblPrEx>
          <w:tblCellMar>
            <w:top w:w="0" w:type="dxa"/>
            <w:bottom w:w="0" w:type="dxa"/>
          </w:tblCellMar>
        </w:tblPrEx>
        <w:trPr>
          <w:trHeight w:val="90"/>
          <w:jc w:val="center"/>
        </w:trPr>
        <w:tc>
          <w:tcPr>
            <w:tcW w:w="4047" w:type="dxa"/>
            <w:tcBorders>
              <w:right w:val="single" w:sz="4" w:space="0" w:color="000000"/>
            </w:tcBorders>
            <w:shd w:val="clear" w:color="auto" w:fill="auto"/>
            <w:noWrap/>
            <w:tcMar>
              <w:top w:w="0" w:type="dxa"/>
              <w:left w:w="28" w:type="dxa"/>
              <w:bottom w:w="0" w:type="dxa"/>
              <w:right w:w="28" w:type="dxa"/>
            </w:tcMar>
          </w:tcPr>
          <w:p w14:paraId="5F77E08C"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2.</w:t>
            </w:r>
            <w:r>
              <w:rPr>
                <w:rFonts w:eastAsia="標楷體"/>
                <w:kern w:val="0"/>
                <w:szCs w:val="24"/>
              </w:rPr>
              <w:t>每年大專校院衍生新創企業家數</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4EE543F"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家</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1622B242"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106</w:t>
            </w:r>
          </w:p>
          <w:p w14:paraId="4C1D3863" w14:textId="77777777" w:rsidR="00052596" w:rsidRDefault="00000000">
            <w:pPr>
              <w:widowControl/>
              <w:overflowPunct w:val="0"/>
              <w:autoSpaceDE w:val="0"/>
              <w:spacing w:after="120" w:line="320" w:lineRule="exact"/>
              <w:ind w:right="48"/>
              <w:jc w:val="right"/>
              <w:rPr>
                <w:rFonts w:eastAsia="標楷體"/>
                <w:kern w:val="0"/>
                <w:szCs w:val="24"/>
              </w:rPr>
            </w:pPr>
            <w:r>
              <w:rPr>
                <w:rFonts w:eastAsia="標楷體"/>
                <w:kern w:val="0"/>
                <w:szCs w:val="24"/>
              </w:rPr>
              <w:t>(100</w:t>
            </w:r>
            <w:r>
              <w:rPr>
                <w:rFonts w:eastAsia="標楷體"/>
                <w:kern w:val="0"/>
                <w:szCs w:val="24"/>
              </w:rPr>
              <w:t>年</w:t>
            </w:r>
            <w:r>
              <w:rPr>
                <w:rFonts w:eastAsia="標楷體"/>
                <w:kern w:val="0"/>
                <w:szCs w:val="24"/>
              </w:rPr>
              <w:t>)</w:t>
            </w:r>
          </w:p>
        </w:tc>
        <w:tc>
          <w:tcPr>
            <w:tcW w:w="1300" w:type="dxa"/>
            <w:tcBorders>
              <w:left w:val="single" w:sz="4" w:space="0" w:color="000000"/>
              <w:right w:val="single" w:sz="4" w:space="0" w:color="000000"/>
            </w:tcBorders>
            <w:shd w:val="clear" w:color="auto" w:fill="auto"/>
            <w:noWrap/>
            <w:tcMar>
              <w:top w:w="0" w:type="dxa"/>
              <w:left w:w="28" w:type="dxa"/>
              <w:bottom w:w="0" w:type="dxa"/>
              <w:right w:w="28" w:type="dxa"/>
            </w:tcMar>
          </w:tcPr>
          <w:p w14:paraId="18090077"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200</w:t>
            </w:r>
          </w:p>
        </w:tc>
        <w:tc>
          <w:tcPr>
            <w:tcW w:w="1300" w:type="dxa"/>
            <w:tcBorders>
              <w:left w:val="single" w:sz="4" w:space="0" w:color="000000"/>
            </w:tcBorders>
            <w:shd w:val="clear" w:color="auto" w:fill="auto"/>
            <w:noWrap/>
            <w:tcMar>
              <w:top w:w="0" w:type="dxa"/>
              <w:left w:w="28" w:type="dxa"/>
              <w:bottom w:w="0" w:type="dxa"/>
              <w:right w:w="28" w:type="dxa"/>
            </w:tcMar>
          </w:tcPr>
          <w:p w14:paraId="2C63882F"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400</w:t>
            </w:r>
          </w:p>
        </w:tc>
      </w:tr>
      <w:tr w:rsidR="00052596" w14:paraId="14D1C0C0" w14:textId="77777777">
        <w:tblPrEx>
          <w:tblCellMar>
            <w:top w:w="0" w:type="dxa"/>
            <w:bottom w:w="0" w:type="dxa"/>
          </w:tblCellMar>
        </w:tblPrEx>
        <w:trPr>
          <w:trHeight w:val="90"/>
          <w:jc w:val="center"/>
        </w:trPr>
        <w:tc>
          <w:tcPr>
            <w:tcW w:w="4047" w:type="dxa"/>
            <w:tcBorders>
              <w:right w:val="single" w:sz="4" w:space="0" w:color="000000"/>
            </w:tcBorders>
            <w:shd w:val="clear" w:color="auto" w:fill="auto"/>
            <w:noWrap/>
            <w:tcMar>
              <w:top w:w="0" w:type="dxa"/>
              <w:left w:w="28" w:type="dxa"/>
              <w:bottom w:w="0" w:type="dxa"/>
              <w:right w:w="28" w:type="dxa"/>
            </w:tcMar>
          </w:tcPr>
          <w:p w14:paraId="30069EC1"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3.</w:t>
            </w:r>
            <w:r>
              <w:rPr>
                <w:rFonts w:eastAsia="標楷體"/>
                <w:kern w:val="0"/>
                <w:szCs w:val="24"/>
              </w:rPr>
              <w:t>在臺留學及研習之境外學生占大專校院在學人數</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9051DB9"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萬人</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2451E563"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5.6</w:t>
            </w:r>
          </w:p>
          <w:p w14:paraId="74D9D85F" w14:textId="77777777" w:rsidR="00052596" w:rsidRDefault="00000000">
            <w:pPr>
              <w:widowControl/>
              <w:overflowPunct w:val="0"/>
              <w:autoSpaceDE w:val="0"/>
              <w:spacing w:after="120" w:line="320" w:lineRule="exact"/>
              <w:ind w:right="48"/>
              <w:jc w:val="right"/>
              <w:rPr>
                <w:rFonts w:eastAsia="標楷體"/>
                <w:kern w:val="0"/>
                <w:szCs w:val="24"/>
              </w:rPr>
            </w:pPr>
            <w:r>
              <w:rPr>
                <w:rFonts w:eastAsia="標楷體"/>
                <w:kern w:val="0"/>
                <w:szCs w:val="24"/>
              </w:rPr>
              <w:t>(100</w:t>
            </w:r>
            <w:r>
              <w:rPr>
                <w:rFonts w:eastAsia="標楷體"/>
                <w:kern w:val="0"/>
                <w:szCs w:val="24"/>
              </w:rPr>
              <w:t>年</w:t>
            </w:r>
            <w:r>
              <w:rPr>
                <w:rFonts w:eastAsia="標楷體"/>
                <w:kern w:val="0"/>
                <w:szCs w:val="24"/>
              </w:rPr>
              <w:t>)</w:t>
            </w:r>
          </w:p>
        </w:tc>
        <w:tc>
          <w:tcPr>
            <w:tcW w:w="1300" w:type="dxa"/>
            <w:tcBorders>
              <w:left w:val="single" w:sz="4" w:space="0" w:color="000000"/>
              <w:right w:val="single" w:sz="4" w:space="0" w:color="000000"/>
            </w:tcBorders>
            <w:shd w:val="clear" w:color="auto" w:fill="auto"/>
            <w:noWrap/>
            <w:tcMar>
              <w:top w:w="0" w:type="dxa"/>
              <w:left w:w="28" w:type="dxa"/>
              <w:bottom w:w="0" w:type="dxa"/>
              <w:right w:w="28" w:type="dxa"/>
            </w:tcMar>
          </w:tcPr>
          <w:p w14:paraId="644EAF0E"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8.6</w:t>
            </w:r>
          </w:p>
        </w:tc>
        <w:tc>
          <w:tcPr>
            <w:tcW w:w="1300" w:type="dxa"/>
            <w:tcBorders>
              <w:left w:val="single" w:sz="4" w:space="0" w:color="000000"/>
            </w:tcBorders>
            <w:shd w:val="clear" w:color="auto" w:fill="auto"/>
            <w:noWrap/>
            <w:tcMar>
              <w:top w:w="0" w:type="dxa"/>
              <w:left w:w="28" w:type="dxa"/>
              <w:bottom w:w="0" w:type="dxa"/>
              <w:right w:w="28" w:type="dxa"/>
            </w:tcMar>
          </w:tcPr>
          <w:p w14:paraId="399E9BF4"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11.0</w:t>
            </w:r>
          </w:p>
        </w:tc>
      </w:tr>
      <w:tr w:rsidR="00052596" w14:paraId="28D4BEE9" w14:textId="77777777">
        <w:tblPrEx>
          <w:tblCellMar>
            <w:top w:w="0" w:type="dxa"/>
            <w:bottom w:w="0" w:type="dxa"/>
          </w:tblCellMar>
        </w:tblPrEx>
        <w:trPr>
          <w:trHeight w:val="90"/>
          <w:jc w:val="center"/>
        </w:trPr>
        <w:tc>
          <w:tcPr>
            <w:tcW w:w="4047" w:type="dxa"/>
            <w:tcBorders>
              <w:right w:val="single" w:sz="4" w:space="0" w:color="000000"/>
            </w:tcBorders>
            <w:shd w:val="clear" w:color="auto" w:fill="auto"/>
            <w:noWrap/>
            <w:tcMar>
              <w:top w:w="0" w:type="dxa"/>
              <w:left w:w="28" w:type="dxa"/>
              <w:bottom w:w="0" w:type="dxa"/>
              <w:right w:w="28" w:type="dxa"/>
            </w:tcMar>
          </w:tcPr>
          <w:p w14:paraId="4DDC48CF"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4.</w:t>
            </w:r>
            <w:r>
              <w:rPr>
                <w:rFonts w:eastAsia="標楷體"/>
                <w:kern w:val="0"/>
                <w:szCs w:val="24"/>
              </w:rPr>
              <w:t>大專校院智財收入</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6E21CD8"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億元</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B7956AB"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7.2</w:t>
            </w:r>
          </w:p>
          <w:p w14:paraId="78FED3E8" w14:textId="77777777" w:rsidR="00052596" w:rsidRDefault="00000000">
            <w:pPr>
              <w:widowControl/>
              <w:overflowPunct w:val="0"/>
              <w:autoSpaceDE w:val="0"/>
              <w:spacing w:after="120" w:line="320" w:lineRule="exact"/>
              <w:ind w:right="48"/>
              <w:jc w:val="right"/>
              <w:rPr>
                <w:rFonts w:eastAsia="標楷體"/>
                <w:kern w:val="0"/>
                <w:szCs w:val="24"/>
              </w:rPr>
            </w:pPr>
            <w:r>
              <w:rPr>
                <w:rFonts w:eastAsia="標楷體"/>
                <w:kern w:val="0"/>
                <w:szCs w:val="24"/>
              </w:rPr>
              <w:t>(100</w:t>
            </w:r>
            <w:r>
              <w:rPr>
                <w:rFonts w:eastAsia="標楷體"/>
                <w:kern w:val="0"/>
                <w:szCs w:val="24"/>
              </w:rPr>
              <w:t>年</w:t>
            </w:r>
            <w:r>
              <w:rPr>
                <w:rFonts w:eastAsia="標楷體"/>
                <w:kern w:val="0"/>
                <w:szCs w:val="24"/>
              </w:rPr>
              <w:t>)</w:t>
            </w:r>
          </w:p>
        </w:tc>
        <w:tc>
          <w:tcPr>
            <w:tcW w:w="1300" w:type="dxa"/>
            <w:tcBorders>
              <w:left w:val="single" w:sz="4" w:space="0" w:color="000000"/>
              <w:right w:val="single" w:sz="4" w:space="0" w:color="000000"/>
            </w:tcBorders>
            <w:shd w:val="clear" w:color="auto" w:fill="auto"/>
            <w:noWrap/>
            <w:tcMar>
              <w:top w:w="0" w:type="dxa"/>
              <w:left w:w="28" w:type="dxa"/>
              <w:bottom w:w="0" w:type="dxa"/>
              <w:right w:w="28" w:type="dxa"/>
            </w:tcMar>
          </w:tcPr>
          <w:p w14:paraId="631459CC"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8.0</w:t>
            </w:r>
          </w:p>
        </w:tc>
        <w:tc>
          <w:tcPr>
            <w:tcW w:w="1300" w:type="dxa"/>
            <w:tcBorders>
              <w:left w:val="single" w:sz="4" w:space="0" w:color="000000"/>
            </w:tcBorders>
            <w:shd w:val="clear" w:color="auto" w:fill="auto"/>
            <w:noWrap/>
            <w:tcMar>
              <w:top w:w="0" w:type="dxa"/>
              <w:left w:w="28" w:type="dxa"/>
              <w:bottom w:w="0" w:type="dxa"/>
              <w:right w:w="28" w:type="dxa"/>
            </w:tcMar>
          </w:tcPr>
          <w:p w14:paraId="1EC5E451"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9.5</w:t>
            </w:r>
          </w:p>
        </w:tc>
      </w:tr>
      <w:tr w:rsidR="00052596" w14:paraId="13452608" w14:textId="77777777">
        <w:tblPrEx>
          <w:tblCellMar>
            <w:top w:w="0" w:type="dxa"/>
            <w:bottom w:w="0" w:type="dxa"/>
          </w:tblCellMar>
        </w:tblPrEx>
        <w:trPr>
          <w:trHeight w:val="1044"/>
          <w:jc w:val="center"/>
        </w:trPr>
        <w:tc>
          <w:tcPr>
            <w:tcW w:w="4047" w:type="dxa"/>
            <w:tcBorders>
              <w:bottom w:val="single" w:sz="4" w:space="0" w:color="000000"/>
              <w:right w:val="single" w:sz="4" w:space="0" w:color="000000"/>
            </w:tcBorders>
            <w:shd w:val="clear" w:color="auto" w:fill="auto"/>
            <w:noWrap/>
            <w:tcMar>
              <w:top w:w="0" w:type="dxa"/>
              <w:left w:w="28" w:type="dxa"/>
              <w:bottom w:w="0" w:type="dxa"/>
              <w:right w:w="28" w:type="dxa"/>
            </w:tcMar>
          </w:tcPr>
          <w:p w14:paraId="04ACAF10" w14:textId="77777777" w:rsidR="00052596" w:rsidRDefault="00000000">
            <w:pPr>
              <w:widowControl/>
              <w:overflowPunct w:val="0"/>
              <w:autoSpaceDE w:val="0"/>
              <w:spacing w:before="72" w:after="72" w:line="320" w:lineRule="exact"/>
              <w:ind w:left="504" w:hanging="192"/>
              <w:jc w:val="both"/>
            </w:pPr>
            <w:r>
              <w:rPr>
                <w:rFonts w:eastAsia="標楷體"/>
                <w:kern w:val="0"/>
                <w:szCs w:val="24"/>
              </w:rPr>
              <w:t>5.</w:t>
            </w:r>
            <w:r>
              <w:rPr>
                <w:rFonts w:eastAsia="標楷體"/>
                <w:kern w:val="0"/>
                <w:szCs w:val="24"/>
              </w:rPr>
              <w:t>各直轄市及縣</w:t>
            </w:r>
            <w:r>
              <w:rPr>
                <w:rFonts w:ascii="標楷體" w:eastAsia="標楷體" w:hAnsi="標楷體"/>
                <w:kern w:val="0"/>
                <w:szCs w:val="24"/>
              </w:rPr>
              <w:t>(</w:t>
            </w:r>
            <w:r>
              <w:rPr>
                <w:rFonts w:eastAsia="標楷體"/>
                <w:kern w:val="0"/>
                <w:szCs w:val="24"/>
              </w:rPr>
              <w:t>市</w:t>
            </w:r>
            <w:r>
              <w:rPr>
                <w:rFonts w:ascii="標楷體" w:eastAsia="標楷體" w:hAnsi="標楷體"/>
                <w:kern w:val="0"/>
                <w:szCs w:val="24"/>
              </w:rPr>
              <w:t>)</w:t>
            </w:r>
            <w:r>
              <w:rPr>
                <w:rFonts w:eastAsia="標楷體"/>
                <w:kern w:val="0"/>
                <w:szCs w:val="24"/>
              </w:rPr>
              <w:t>生涯發展績優學校比率</w:t>
            </w:r>
          </w:p>
        </w:tc>
        <w:tc>
          <w:tcPr>
            <w:tcW w:w="85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FC4B80D"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w:t>
            </w:r>
          </w:p>
        </w:tc>
        <w:tc>
          <w:tcPr>
            <w:tcW w:w="127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8D5B040"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50</w:t>
            </w:r>
          </w:p>
          <w:p w14:paraId="68D765E2" w14:textId="77777777" w:rsidR="00052596" w:rsidRDefault="00000000">
            <w:pPr>
              <w:widowControl/>
              <w:overflowPunct w:val="0"/>
              <w:autoSpaceDE w:val="0"/>
              <w:spacing w:after="120" w:line="320" w:lineRule="exact"/>
              <w:ind w:right="48"/>
              <w:jc w:val="right"/>
              <w:rPr>
                <w:rFonts w:eastAsia="標楷體"/>
                <w:kern w:val="0"/>
                <w:szCs w:val="24"/>
              </w:rPr>
            </w:pPr>
            <w:r>
              <w:rPr>
                <w:rFonts w:eastAsia="標楷體"/>
                <w:kern w:val="0"/>
                <w:szCs w:val="24"/>
              </w:rPr>
              <w:t>(</w:t>
            </w:r>
            <w:r>
              <w:rPr>
                <w:rFonts w:eastAsia="標楷體"/>
                <w:kern w:val="0"/>
                <w:szCs w:val="24"/>
              </w:rPr>
              <w:t>預估</w:t>
            </w:r>
            <w:r>
              <w:rPr>
                <w:rFonts w:eastAsia="標楷體"/>
                <w:kern w:val="0"/>
                <w:szCs w:val="24"/>
              </w:rPr>
              <w:t>)</w:t>
            </w:r>
          </w:p>
        </w:tc>
        <w:tc>
          <w:tcPr>
            <w:tcW w:w="130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2A6C78C1"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60</w:t>
            </w:r>
          </w:p>
        </w:tc>
        <w:tc>
          <w:tcPr>
            <w:tcW w:w="1300" w:type="dxa"/>
            <w:tcBorders>
              <w:left w:val="single" w:sz="4" w:space="0" w:color="000000"/>
              <w:bottom w:val="single" w:sz="4" w:space="0" w:color="000000"/>
            </w:tcBorders>
            <w:shd w:val="clear" w:color="auto" w:fill="auto"/>
            <w:noWrap/>
            <w:tcMar>
              <w:top w:w="0" w:type="dxa"/>
              <w:left w:w="28" w:type="dxa"/>
              <w:bottom w:w="0" w:type="dxa"/>
              <w:right w:w="28" w:type="dxa"/>
            </w:tcMar>
          </w:tcPr>
          <w:p w14:paraId="1E613BF0" w14:textId="77777777" w:rsidR="00052596" w:rsidRDefault="00000000">
            <w:pPr>
              <w:widowControl/>
              <w:overflowPunct w:val="0"/>
              <w:autoSpaceDE w:val="0"/>
              <w:spacing w:before="72" w:after="72" w:line="320" w:lineRule="exact"/>
              <w:jc w:val="right"/>
              <w:rPr>
                <w:rFonts w:eastAsia="標楷體"/>
                <w:kern w:val="0"/>
                <w:szCs w:val="24"/>
              </w:rPr>
            </w:pPr>
            <w:r>
              <w:rPr>
                <w:rFonts w:eastAsia="標楷體"/>
                <w:kern w:val="0"/>
                <w:szCs w:val="24"/>
              </w:rPr>
              <w:t>90</w:t>
            </w:r>
          </w:p>
        </w:tc>
      </w:tr>
    </w:tbl>
    <w:p w14:paraId="5ED0AB17" w14:textId="77777777" w:rsidR="00052596" w:rsidRDefault="00000000">
      <w:pPr>
        <w:pageBreakBefore/>
        <w:overflowPunct w:val="0"/>
        <w:autoSpaceDE w:val="0"/>
        <w:spacing w:before="240" w:after="240" w:line="360" w:lineRule="exact"/>
        <w:jc w:val="center"/>
        <w:textAlignment w:val="center"/>
      </w:pPr>
      <w:r>
        <w:rPr>
          <w:rFonts w:eastAsia="標楷體"/>
          <w:b/>
          <w:color w:val="0000FF"/>
          <w:spacing w:val="10"/>
          <w:kern w:val="0"/>
          <w:sz w:val="26"/>
          <w:szCs w:val="26"/>
        </w:rPr>
        <w:lastRenderedPageBreak/>
        <w:t>基礎建設與政府面</w:t>
      </w:r>
    </w:p>
    <w:tbl>
      <w:tblPr>
        <w:tblW w:w="8717" w:type="dxa"/>
        <w:jc w:val="center"/>
        <w:tblLayout w:type="fixed"/>
        <w:tblCellMar>
          <w:left w:w="10" w:type="dxa"/>
          <w:right w:w="10" w:type="dxa"/>
        </w:tblCellMar>
        <w:tblLook w:val="04A0" w:firstRow="1" w:lastRow="0" w:firstColumn="1" w:lastColumn="0" w:noHBand="0" w:noVBand="1"/>
      </w:tblPr>
      <w:tblGrid>
        <w:gridCol w:w="4274"/>
        <w:gridCol w:w="850"/>
        <w:gridCol w:w="1134"/>
        <w:gridCol w:w="1276"/>
        <w:gridCol w:w="1183"/>
      </w:tblGrid>
      <w:tr w:rsidR="00052596" w14:paraId="31A132AA" w14:textId="77777777">
        <w:tblPrEx>
          <w:tblCellMar>
            <w:top w:w="0" w:type="dxa"/>
            <w:bottom w:w="0" w:type="dxa"/>
          </w:tblCellMar>
        </w:tblPrEx>
        <w:trPr>
          <w:trHeight w:val="392"/>
          <w:jc w:val="center"/>
        </w:trPr>
        <w:tc>
          <w:tcPr>
            <w:tcW w:w="4274" w:type="dxa"/>
            <w:vMerge w:val="restart"/>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6407550" w14:textId="77777777" w:rsidR="00052596" w:rsidRDefault="00000000">
            <w:pPr>
              <w:widowControl/>
              <w:overflowPunct w:val="0"/>
              <w:autoSpaceDE w:val="0"/>
              <w:spacing w:before="192" w:line="320" w:lineRule="exact"/>
              <w:ind w:left="168" w:hanging="168"/>
              <w:jc w:val="center"/>
            </w:pPr>
            <w:r>
              <w:rPr>
                <w:noProof/>
              </w:rPr>
              <mc:AlternateContent>
                <mc:Choice Requires="wps">
                  <w:drawing>
                    <wp:anchor distT="0" distB="0" distL="114300" distR="114300" simplePos="0" relativeHeight="251696640" behindDoc="1" locked="0" layoutInCell="1" allowOverlap="1" wp14:anchorId="15BB1F27" wp14:editId="46A6D743">
                      <wp:simplePos x="0" y="0"/>
                      <wp:positionH relativeFrom="column">
                        <wp:posOffset>-88897</wp:posOffset>
                      </wp:positionH>
                      <wp:positionV relativeFrom="paragraph">
                        <wp:posOffset>-539111</wp:posOffset>
                      </wp:positionV>
                      <wp:extent cx="5720084" cy="8000369"/>
                      <wp:effectExtent l="0" t="0" r="0" b="631"/>
                      <wp:wrapNone/>
                      <wp:docPr id="203" name="矩形 42"/>
                      <wp:cNvGraphicFramePr/>
                      <a:graphic xmlns:a="http://schemas.openxmlformats.org/drawingml/2006/main">
                        <a:graphicData uri="http://schemas.microsoft.com/office/word/2010/wordprocessingShape">
                          <wps:wsp>
                            <wps:cNvSpPr/>
                            <wps:spPr>
                              <a:xfrm>
                                <a:off x="0" y="0"/>
                                <a:ext cx="5720084" cy="8000369"/>
                              </a:xfrm>
                              <a:prstGeom prst="rect">
                                <a:avLst/>
                              </a:prstGeom>
                              <a:gradFill>
                                <a:gsLst>
                                  <a:gs pos="0">
                                    <a:srgbClr val="FFFFFF"/>
                                  </a:gs>
                                  <a:gs pos="100000">
                                    <a:srgbClr val="FFFFD5"/>
                                  </a:gs>
                                </a:gsLst>
                                <a:path path="circle">
                                  <a:fillToRect l="50000" t="50000" r="50000" b="50000"/>
                                </a:path>
                              </a:gradFill>
                              <a:ln>
                                <a:noFill/>
                                <a:prstDash val="solid"/>
                              </a:ln>
                            </wps:spPr>
                            <wps:bodyPr lIns="0" tIns="0" rIns="0" bIns="0"/>
                          </wps:wsp>
                        </a:graphicData>
                      </a:graphic>
                    </wp:anchor>
                  </w:drawing>
                </mc:Choice>
                <mc:Fallback>
                  <w:pict>
                    <v:rect w14:anchorId="149E7F64" id="矩形 42" o:spid="_x0000_s1026" style="position:absolute;margin-left:-7pt;margin-top:-42.45pt;width:450.4pt;height:629.9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" stroked="f">
                      <v:fill color2="#ffffd5" focusposition=".5,.5" focussize="" focus="100%" type="gradientRadial"/>
                      <v:textbox inset="0,0,0,0"/>
                    </v:rect>
                  </w:pict>
                </mc:Fallback>
              </mc:AlternateContent>
            </w:r>
            <w:r>
              <w:rPr>
                <w:rFonts w:eastAsia="標楷體"/>
                <w:b/>
                <w:color w:val="0000FF"/>
                <w:kern w:val="0"/>
                <w:szCs w:val="24"/>
              </w:rPr>
              <w:t>項</w:t>
            </w:r>
            <w:r>
              <w:rPr>
                <w:rFonts w:eastAsia="標楷體"/>
                <w:b/>
                <w:color w:val="0000FF"/>
                <w:kern w:val="0"/>
                <w:szCs w:val="24"/>
              </w:rPr>
              <w:t xml:space="preserve"> </w:t>
            </w:r>
            <w:r>
              <w:rPr>
                <w:rFonts w:eastAsia="標楷體"/>
                <w:b/>
                <w:color w:val="0000FF"/>
                <w:kern w:val="0"/>
                <w:szCs w:val="24"/>
              </w:rPr>
              <w:t>目</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1E13D60"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單</w:t>
            </w:r>
            <w:r>
              <w:rPr>
                <w:rFonts w:eastAsia="標楷體"/>
                <w:b/>
                <w:color w:val="0000FF"/>
                <w:kern w:val="0"/>
                <w:szCs w:val="24"/>
              </w:rPr>
              <w:t xml:space="preserve"> </w:t>
            </w:r>
            <w:r>
              <w:rPr>
                <w:rFonts w:eastAsia="標楷體"/>
                <w:b/>
                <w:color w:val="0000FF"/>
                <w:kern w:val="0"/>
                <w:szCs w:val="24"/>
              </w:rPr>
              <w:t>位</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8FC785E"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現況值</w:t>
            </w:r>
          </w:p>
          <w:p w14:paraId="38A2AEF3"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(101</w:t>
            </w:r>
            <w:r>
              <w:rPr>
                <w:rFonts w:eastAsia="標楷體"/>
                <w:b/>
                <w:color w:val="0000FF"/>
                <w:kern w:val="0"/>
                <w:szCs w:val="24"/>
              </w:rPr>
              <w:t>年</w:t>
            </w:r>
            <w:r>
              <w:rPr>
                <w:rFonts w:eastAsia="標楷體"/>
                <w:b/>
                <w:color w:val="0000FF"/>
                <w:kern w:val="0"/>
                <w:szCs w:val="24"/>
              </w:rPr>
              <w:t>)</w:t>
            </w:r>
          </w:p>
        </w:tc>
        <w:tc>
          <w:tcPr>
            <w:tcW w:w="2459" w:type="dxa"/>
            <w:gridSpan w:val="2"/>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14:paraId="541E8355"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目標值</w:t>
            </w:r>
          </w:p>
        </w:tc>
      </w:tr>
      <w:tr w:rsidR="00052596" w14:paraId="72345D30" w14:textId="77777777">
        <w:tblPrEx>
          <w:tblCellMar>
            <w:top w:w="0" w:type="dxa"/>
            <w:bottom w:w="0" w:type="dxa"/>
          </w:tblCellMar>
        </w:tblPrEx>
        <w:trPr>
          <w:trHeight w:val="435"/>
          <w:jc w:val="center"/>
        </w:trPr>
        <w:tc>
          <w:tcPr>
            <w:tcW w:w="4274" w:type="dxa"/>
            <w:vMerge/>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02174FC" w14:textId="77777777" w:rsidR="00052596" w:rsidRDefault="00052596">
            <w:pPr>
              <w:widowControl/>
              <w:overflowPunct w:val="0"/>
              <w:autoSpaceDE w:val="0"/>
              <w:spacing w:line="320" w:lineRule="exact"/>
              <w:ind w:left="168" w:hanging="168"/>
              <w:jc w:val="both"/>
              <w:rPr>
                <w:rFonts w:eastAsia="標楷體"/>
                <w:color w:val="0000FF"/>
                <w:kern w:val="0"/>
                <w:szCs w:val="24"/>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E919720" w14:textId="77777777" w:rsidR="00052596" w:rsidRDefault="00052596">
            <w:pPr>
              <w:widowControl/>
              <w:overflowPunct w:val="0"/>
              <w:autoSpaceDE w:val="0"/>
              <w:spacing w:line="320" w:lineRule="exact"/>
              <w:jc w:val="center"/>
              <w:rPr>
                <w:rFonts w:eastAsia="標楷體"/>
                <w:color w:val="0000FF"/>
                <w:kern w:val="0"/>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5F8D93" w14:textId="77777777" w:rsidR="00052596" w:rsidRDefault="00052596">
            <w:pPr>
              <w:widowControl/>
              <w:overflowPunct w:val="0"/>
              <w:autoSpaceDE w:val="0"/>
              <w:spacing w:line="320" w:lineRule="exact"/>
              <w:jc w:val="center"/>
              <w:rPr>
                <w:rFonts w:eastAsia="標楷體"/>
                <w:color w:val="0000FF"/>
                <w:kern w:val="0"/>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6C7306D"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102</w:t>
            </w:r>
            <w:r>
              <w:rPr>
                <w:rFonts w:eastAsia="標楷體"/>
                <w:b/>
                <w:color w:val="0000FF"/>
                <w:kern w:val="0"/>
                <w:szCs w:val="24"/>
              </w:rPr>
              <w:t>年</w:t>
            </w:r>
          </w:p>
        </w:tc>
        <w:tc>
          <w:tcPr>
            <w:tcW w:w="1183"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14:paraId="229967EB"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105</w:t>
            </w:r>
            <w:r>
              <w:rPr>
                <w:rFonts w:eastAsia="標楷體"/>
                <w:b/>
                <w:color w:val="0000FF"/>
                <w:kern w:val="0"/>
                <w:szCs w:val="24"/>
              </w:rPr>
              <w:t>年</w:t>
            </w:r>
          </w:p>
        </w:tc>
      </w:tr>
      <w:tr w:rsidR="00052596" w14:paraId="7C5E4992" w14:textId="77777777">
        <w:tblPrEx>
          <w:tblCellMar>
            <w:top w:w="0" w:type="dxa"/>
            <w:bottom w:w="0" w:type="dxa"/>
          </w:tblCellMar>
        </w:tblPrEx>
        <w:trPr>
          <w:cantSplit/>
          <w:trHeight w:val="346"/>
          <w:jc w:val="center"/>
        </w:trPr>
        <w:tc>
          <w:tcPr>
            <w:tcW w:w="4274" w:type="dxa"/>
            <w:tcBorders>
              <w:top w:val="single" w:sz="4" w:space="0" w:color="000000"/>
              <w:right w:val="single" w:sz="4" w:space="0" w:color="000000"/>
            </w:tcBorders>
            <w:shd w:val="clear" w:color="auto" w:fill="auto"/>
            <w:noWrap/>
            <w:tcMar>
              <w:top w:w="0" w:type="dxa"/>
              <w:left w:w="28" w:type="dxa"/>
              <w:bottom w:w="0" w:type="dxa"/>
              <w:right w:w="28" w:type="dxa"/>
            </w:tcMar>
          </w:tcPr>
          <w:p w14:paraId="5DE7EAD4" w14:textId="77777777" w:rsidR="00052596" w:rsidRDefault="00000000">
            <w:pPr>
              <w:widowControl/>
              <w:overflowPunct w:val="0"/>
              <w:autoSpaceDE w:val="0"/>
              <w:spacing w:before="72" w:after="72" w:line="320" w:lineRule="exact"/>
              <w:ind w:left="168" w:hanging="168"/>
              <w:jc w:val="both"/>
              <w:rPr>
                <w:rFonts w:eastAsia="標楷體"/>
                <w:b/>
                <w:color w:val="800000"/>
                <w:kern w:val="0"/>
                <w:szCs w:val="24"/>
              </w:rPr>
            </w:pPr>
            <w:r>
              <w:rPr>
                <w:rFonts w:eastAsia="標楷體"/>
                <w:b/>
                <w:color w:val="800000"/>
                <w:kern w:val="0"/>
                <w:szCs w:val="24"/>
              </w:rPr>
              <w:t>基礎建設</w:t>
            </w:r>
          </w:p>
        </w:tc>
        <w:tc>
          <w:tcPr>
            <w:tcW w:w="850"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14:paraId="2528B28A" w14:textId="77777777" w:rsidR="00052596" w:rsidRDefault="00052596">
            <w:pPr>
              <w:widowControl/>
              <w:overflowPunct w:val="0"/>
              <w:autoSpaceDE w:val="0"/>
              <w:spacing w:before="72" w:after="72" w:line="320" w:lineRule="exact"/>
              <w:jc w:val="center"/>
              <w:rPr>
                <w:rFonts w:eastAsia="標楷體"/>
                <w:kern w:val="0"/>
                <w:szCs w:val="24"/>
              </w:rPr>
            </w:pPr>
          </w:p>
        </w:tc>
        <w:tc>
          <w:tcPr>
            <w:tcW w:w="1134"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14:paraId="255624B6" w14:textId="77777777" w:rsidR="00052596" w:rsidRDefault="00052596">
            <w:pPr>
              <w:widowControl/>
              <w:overflowPunct w:val="0"/>
              <w:autoSpaceDE w:val="0"/>
              <w:spacing w:before="72" w:after="72" w:line="320" w:lineRule="exact"/>
              <w:jc w:val="right"/>
              <w:rPr>
                <w:rFonts w:eastAsia="標楷體"/>
                <w:kern w:val="0"/>
                <w:szCs w:val="24"/>
              </w:rPr>
            </w:pPr>
          </w:p>
        </w:tc>
        <w:tc>
          <w:tcPr>
            <w:tcW w:w="1276"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14:paraId="74CB2604" w14:textId="77777777" w:rsidR="00052596" w:rsidRDefault="00052596">
            <w:pPr>
              <w:widowControl/>
              <w:overflowPunct w:val="0"/>
              <w:autoSpaceDE w:val="0"/>
              <w:spacing w:before="72" w:after="72" w:line="320" w:lineRule="exact"/>
              <w:jc w:val="right"/>
              <w:rPr>
                <w:rFonts w:eastAsia="標楷體"/>
                <w:kern w:val="0"/>
                <w:szCs w:val="24"/>
              </w:rPr>
            </w:pPr>
          </w:p>
        </w:tc>
        <w:tc>
          <w:tcPr>
            <w:tcW w:w="1183" w:type="dxa"/>
            <w:tcBorders>
              <w:top w:val="single" w:sz="4" w:space="0" w:color="000000"/>
              <w:left w:val="single" w:sz="4" w:space="0" w:color="000000"/>
            </w:tcBorders>
            <w:shd w:val="clear" w:color="auto" w:fill="auto"/>
            <w:noWrap/>
            <w:tcMar>
              <w:top w:w="0" w:type="dxa"/>
              <w:left w:w="28" w:type="dxa"/>
              <w:bottom w:w="0" w:type="dxa"/>
              <w:right w:w="28" w:type="dxa"/>
            </w:tcMar>
          </w:tcPr>
          <w:p w14:paraId="307E67BB" w14:textId="77777777" w:rsidR="00052596" w:rsidRDefault="00052596">
            <w:pPr>
              <w:widowControl/>
              <w:overflowPunct w:val="0"/>
              <w:autoSpaceDE w:val="0"/>
              <w:spacing w:before="72" w:after="72" w:line="320" w:lineRule="exact"/>
              <w:jc w:val="right"/>
              <w:rPr>
                <w:rFonts w:eastAsia="標楷體"/>
                <w:kern w:val="0"/>
                <w:szCs w:val="24"/>
              </w:rPr>
            </w:pPr>
          </w:p>
        </w:tc>
      </w:tr>
      <w:tr w:rsidR="00052596" w14:paraId="6A9CE1D9" w14:textId="77777777">
        <w:tblPrEx>
          <w:tblCellMar>
            <w:top w:w="0" w:type="dxa"/>
            <w:bottom w:w="0" w:type="dxa"/>
          </w:tblCellMar>
        </w:tblPrEx>
        <w:trPr>
          <w:cantSplit/>
          <w:trHeight w:val="335"/>
          <w:jc w:val="center"/>
        </w:trPr>
        <w:tc>
          <w:tcPr>
            <w:tcW w:w="4274" w:type="dxa"/>
            <w:tcBorders>
              <w:right w:val="single" w:sz="4" w:space="0" w:color="000000"/>
            </w:tcBorders>
            <w:shd w:val="clear" w:color="auto" w:fill="auto"/>
            <w:noWrap/>
            <w:tcMar>
              <w:top w:w="0" w:type="dxa"/>
              <w:left w:w="28" w:type="dxa"/>
              <w:bottom w:w="0" w:type="dxa"/>
              <w:right w:w="28" w:type="dxa"/>
            </w:tcMar>
          </w:tcPr>
          <w:p w14:paraId="483961AC"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1.</w:t>
            </w:r>
            <w:r>
              <w:rPr>
                <w:rFonts w:eastAsia="標楷體"/>
                <w:kern w:val="0"/>
                <w:szCs w:val="24"/>
              </w:rPr>
              <w:t>寬頻建設</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5C64D23C" w14:textId="77777777" w:rsidR="00052596" w:rsidRDefault="00052596">
            <w:pPr>
              <w:widowControl/>
              <w:overflowPunct w:val="0"/>
              <w:autoSpaceDE w:val="0"/>
              <w:spacing w:before="72" w:after="72" w:line="320" w:lineRule="exact"/>
              <w:jc w:val="center"/>
              <w:rPr>
                <w:rFonts w:eastAsia="標楷體"/>
                <w:kern w:val="0"/>
                <w:szCs w:val="24"/>
              </w:rPr>
            </w:pP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22E21DF7" w14:textId="77777777" w:rsidR="00052596" w:rsidRDefault="00052596">
            <w:pPr>
              <w:widowControl/>
              <w:overflowPunct w:val="0"/>
              <w:autoSpaceDE w:val="0"/>
              <w:spacing w:before="72" w:after="72" w:line="320" w:lineRule="exact"/>
              <w:jc w:val="right"/>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7A46239" w14:textId="77777777" w:rsidR="00052596" w:rsidRDefault="00052596">
            <w:pPr>
              <w:widowControl/>
              <w:overflowPunct w:val="0"/>
              <w:autoSpaceDE w:val="0"/>
              <w:spacing w:before="72" w:after="72" w:line="320" w:lineRule="exact"/>
              <w:jc w:val="right"/>
              <w:rPr>
                <w:rFonts w:eastAsia="標楷體"/>
                <w:kern w:val="0"/>
                <w:szCs w:val="24"/>
              </w:rPr>
            </w:pPr>
          </w:p>
        </w:tc>
        <w:tc>
          <w:tcPr>
            <w:tcW w:w="1183" w:type="dxa"/>
            <w:tcBorders>
              <w:left w:val="single" w:sz="4" w:space="0" w:color="000000"/>
            </w:tcBorders>
            <w:shd w:val="clear" w:color="auto" w:fill="auto"/>
            <w:noWrap/>
            <w:tcMar>
              <w:top w:w="0" w:type="dxa"/>
              <w:left w:w="28" w:type="dxa"/>
              <w:bottom w:w="0" w:type="dxa"/>
              <w:right w:w="28" w:type="dxa"/>
            </w:tcMar>
          </w:tcPr>
          <w:p w14:paraId="58590836" w14:textId="77777777" w:rsidR="00052596" w:rsidRDefault="00052596">
            <w:pPr>
              <w:widowControl/>
              <w:overflowPunct w:val="0"/>
              <w:autoSpaceDE w:val="0"/>
              <w:spacing w:before="72" w:after="72" w:line="320" w:lineRule="exact"/>
              <w:jc w:val="right"/>
              <w:rPr>
                <w:rFonts w:eastAsia="標楷體"/>
                <w:kern w:val="0"/>
                <w:szCs w:val="24"/>
              </w:rPr>
            </w:pPr>
          </w:p>
        </w:tc>
      </w:tr>
      <w:tr w:rsidR="00052596" w14:paraId="14B065F9" w14:textId="77777777">
        <w:tblPrEx>
          <w:tblCellMar>
            <w:top w:w="0" w:type="dxa"/>
            <w:bottom w:w="0" w:type="dxa"/>
          </w:tblCellMar>
        </w:tblPrEx>
        <w:trPr>
          <w:cantSplit/>
          <w:trHeight w:val="423"/>
          <w:jc w:val="center"/>
        </w:trPr>
        <w:tc>
          <w:tcPr>
            <w:tcW w:w="4274" w:type="dxa"/>
            <w:tcBorders>
              <w:right w:val="single" w:sz="4" w:space="0" w:color="000000"/>
            </w:tcBorders>
            <w:shd w:val="clear" w:color="auto" w:fill="auto"/>
            <w:noWrap/>
            <w:tcMar>
              <w:top w:w="0" w:type="dxa"/>
              <w:left w:w="28" w:type="dxa"/>
              <w:bottom w:w="0" w:type="dxa"/>
              <w:right w:w="28" w:type="dxa"/>
            </w:tcMar>
          </w:tcPr>
          <w:p w14:paraId="1F9120B2" w14:textId="77777777" w:rsidR="00052596" w:rsidRDefault="00000000">
            <w:pPr>
              <w:widowControl/>
              <w:overflowPunct w:val="0"/>
              <w:autoSpaceDE w:val="0"/>
              <w:spacing w:line="320" w:lineRule="exact"/>
              <w:ind w:left="768" w:hanging="240"/>
              <w:jc w:val="both"/>
            </w:pPr>
            <w:r>
              <w:rPr>
                <w:rFonts w:eastAsia="標楷體"/>
                <w:kern w:val="0"/>
                <w:szCs w:val="24"/>
              </w:rPr>
              <w:t>－非偏遠地區寬頻</w:t>
            </w:r>
            <w:r>
              <w:rPr>
                <w:rFonts w:ascii="標楷體" w:eastAsia="標楷體" w:hAnsi="標楷體"/>
                <w:kern w:val="0"/>
                <w:szCs w:val="24"/>
              </w:rPr>
              <w:t>(</w:t>
            </w:r>
            <w:r>
              <w:rPr>
                <w:rFonts w:eastAsia="標楷體"/>
                <w:kern w:val="0"/>
                <w:szCs w:val="24"/>
              </w:rPr>
              <w:t>100Mbps</w:t>
            </w:r>
            <w:r>
              <w:rPr>
                <w:rFonts w:ascii="標楷體" w:eastAsia="標楷體" w:hAnsi="標楷體"/>
                <w:kern w:val="0"/>
                <w:szCs w:val="24"/>
              </w:rPr>
              <w:t>)</w:t>
            </w:r>
            <w:r>
              <w:rPr>
                <w:rFonts w:eastAsia="標楷體"/>
                <w:kern w:val="0"/>
                <w:szCs w:val="24"/>
              </w:rPr>
              <w:t>覆</w:t>
            </w:r>
            <w:r>
              <w:rPr>
                <w:rFonts w:eastAsia="標楷體"/>
                <w:kern w:val="0"/>
                <w:szCs w:val="24"/>
              </w:rPr>
              <w:br/>
            </w:r>
            <w:r>
              <w:rPr>
                <w:rFonts w:eastAsia="標楷體"/>
                <w:kern w:val="0"/>
                <w:szCs w:val="24"/>
              </w:rPr>
              <w:t>蓋率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D9FFE7E"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1DF2F999"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72.57</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D5E238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100</w:t>
            </w:r>
          </w:p>
        </w:tc>
        <w:tc>
          <w:tcPr>
            <w:tcW w:w="1183" w:type="dxa"/>
            <w:tcBorders>
              <w:left w:val="single" w:sz="4" w:space="0" w:color="000000"/>
            </w:tcBorders>
            <w:shd w:val="clear" w:color="auto" w:fill="auto"/>
            <w:noWrap/>
            <w:tcMar>
              <w:top w:w="0" w:type="dxa"/>
              <w:left w:w="28" w:type="dxa"/>
              <w:bottom w:w="0" w:type="dxa"/>
              <w:right w:w="28" w:type="dxa"/>
            </w:tcMar>
          </w:tcPr>
          <w:p w14:paraId="6F8677D7"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100</w:t>
            </w:r>
          </w:p>
        </w:tc>
      </w:tr>
      <w:tr w:rsidR="00052596" w14:paraId="753A5B82" w14:textId="77777777">
        <w:tblPrEx>
          <w:tblCellMar>
            <w:top w:w="0" w:type="dxa"/>
            <w:bottom w:w="0" w:type="dxa"/>
          </w:tblCellMar>
        </w:tblPrEx>
        <w:trPr>
          <w:cantSplit/>
          <w:trHeight w:val="347"/>
          <w:jc w:val="center"/>
        </w:trPr>
        <w:tc>
          <w:tcPr>
            <w:tcW w:w="4274" w:type="dxa"/>
            <w:tcBorders>
              <w:right w:val="single" w:sz="4" w:space="0" w:color="000000"/>
            </w:tcBorders>
            <w:shd w:val="clear" w:color="auto" w:fill="auto"/>
            <w:noWrap/>
            <w:tcMar>
              <w:top w:w="0" w:type="dxa"/>
              <w:left w:w="28" w:type="dxa"/>
              <w:bottom w:w="0" w:type="dxa"/>
              <w:right w:w="28" w:type="dxa"/>
            </w:tcMar>
          </w:tcPr>
          <w:p w14:paraId="4E44C677" w14:textId="77777777" w:rsidR="00052596" w:rsidRDefault="00000000">
            <w:pPr>
              <w:widowControl/>
              <w:overflowPunct w:val="0"/>
              <w:autoSpaceDE w:val="0"/>
              <w:spacing w:line="320" w:lineRule="exact"/>
              <w:ind w:left="768" w:hanging="240"/>
              <w:jc w:val="both"/>
              <w:rPr>
                <w:rFonts w:eastAsia="標楷體"/>
                <w:kern w:val="0"/>
                <w:szCs w:val="24"/>
              </w:rPr>
            </w:pPr>
            <w:r>
              <w:rPr>
                <w:rFonts w:eastAsia="標楷體"/>
                <w:kern w:val="0"/>
                <w:szCs w:val="24"/>
              </w:rPr>
              <w:t>－光纖用戶數</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3F7EA83C"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萬戶</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7908D9F0"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381.23</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639DCBB7"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550</w:t>
            </w:r>
          </w:p>
        </w:tc>
        <w:tc>
          <w:tcPr>
            <w:tcW w:w="1183" w:type="dxa"/>
            <w:tcBorders>
              <w:left w:val="single" w:sz="4" w:space="0" w:color="000000"/>
            </w:tcBorders>
            <w:shd w:val="clear" w:color="auto" w:fill="auto"/>
            <w:noWrap/>
            <w:tcMar>
              <w:top w:w="0" w:type="dxa"/>
              <w:left w:w="28" w:type="dxa"/>
              <w:bottom w:w="0" w:type="dxa"/>
              <w:right w:w="28" w:type="dxa"/>
            </w:tcMar>
          </w:tcPr>
          <w:p w14:paraId="379D0B51"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720</w:t>
            </w:r>
          </w:p>
          <w:p w14:paraId="1EC7E21E" w14:textId="77777777" w:rsidR="00052596" w:rsidRDefault="00000000">
            <w:pPr>
              <w:widowControl/>
              <w:overflowPunct w:val="0"/>
              <w:autoSpaceDE w:val="0"/>
              <w:spacing w:after="72" w:line="320" w:lineRule="exact"/>
              <w:ind w:right="48"/>
              <w:jc w:val="right"/>
              <w:rPr>
                <w:rFonts w:eastAsia="標楷體"/>
                <w:kern w:val="0"/>
                <w:szCs w:val="24"/>
              </w:rPr>
            </w:pPr>
            <w:r>
              <w:rPr>
                <w:rFonts w:eastAsia="標楷體"/>
                <w:kern w:val="0"/>
                <w:szCs w:val="24"/>
              </w:rPr>
              <w:t>(104</w:t>
            </w:r>
            <w:r>
              <w:rPr>
                <w:rFonts w:eastAsia="標楷體"/>
                <w:kern w:val="0"/>
                <w:szCs w:val="24"/>
              </w:rPr>
              <w:t>年</w:t>
            </w:r>
            <w:r>
              <w:rPr>
                <w:rFonts w:eastAsia="標楷體"/>
                <w:kern w:val="0"/>
                <w:szCs w:val="24"/>
              </w:rPr>
              <w:t>)</w:t>
            </w:r>
          </w:p>
        </w:tc>
      </w:tr>
      <w:tr w:rsidR="00052596" w14:paraId="3FA883C0" w14:textId="77777777">
        <w:tblPrEx>
          <w:tblCellMar>
            <w:top w:w="0" w:type="dxa"/>
            <w:bottom w:w="0" w:type="dxa"/>
          </w:tblCellMar>
        </w:tblPrEx>
        <w:trPr>
          <w:cantSplit/>
          <w:trHeight w:val="414"/>
          <w:jc w:val="center"/>
        </w:trPr>
        <w:tc>
          <w:tcPr>
            <w:tcW w:w="4274" w:type="dxa"/>
            <w:tcBorders>
              <w:right w:val="single" w:sz="4" w:space="0" w:color="000000"/>
            </w:tcBorders>
            <w:shd w:val="clear" w:color="auto" w:fill="auto"/>
            <w:noWrap/>
            <w:tcMar>
              <w:top w:w="0" w:type="dxa"/>
              <w:left w:w="28" w:type="dxa"/>
              <w:bottom w:w="0" w:type="dxa"/>
              <w:right w:w="28" w:type="dxa"/>
            </w:tcMar>
          </w:tcPr>
          <w:p w14:paraId="5AD5766C" w14:textId="77777777" w:rsidR="00052596" w:rsidRDefault="00000000">
            <w:pPr>
              <w:widowControl/>
              <w:overflowPunct w:val="0"/>
              <w:autoSpaceDE w:val="0"/>
              <w:spacing w:line="320" w:lineRule="exact"/>
              <w:ind w:left="768" w:hanging="240"/>
              <w:jc w:val="both"/>
              <w:rPr>
                <w:rFonts w:eastAsia="標楷體"/>
                <w:kern w:val="0"/>
                <w:szCs w:val="24"/>
              </w:rPr>
            </w:pPr>
            <w:r>
              <w:rPr>
                <w:rFonts w:eastAsia="標楷體"/>
                <w:kern w:val="0"/>
                <w:szCs w:val="24"/>
              </w:rPr>
              <w:t>－無線寬頻網路帳號數</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4A2CF22A"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萬戶</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3953026F"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819.53</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091399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1,000</w:t>
            </w:r>
          </w:p>
        </w:tc>
        <w:tc>
          <w:tcPr>
            <w:tcW w:w="1183" w:type="dxa"/>
            <w:tcBorders>
              <w:left w:val="single" w:sz="4" w:space="0" w:color="000000"/>
            </w:tcBorders>
            <w:shd w:val="clear" w:color="auto" w:fill="auto"/>
            <w:noWrap/>
            <w:tcMar>
              <w:top w:w="0" w:type="dxa"/>
              <w:left w:w="28" w:type="dxa"/>
              <w:bottom w:w="0" w:type="dxa"/>
              <w:right w:w="28" w:type="dxa"/>
            </w:tcMar>
          </w:tcPr>
          <w:p w14:paraId="1E5BF4F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1,100</w:t>
            </w:r>
          </w:p>
          <w:p w14:paraId="48D21CD2"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(104</w:t>
            </w:r>
            <w:r>
              <w:rPr>
                <w:rFonts w:eastAsia="標楷體"/>
                <w:kern w:val="0"/>
                <w:szCs w:val="24"/>
              </w:rPr>
              <w:t>年</w:t>
            </w:r>
            <w:r>
              <w:rPr>
                <w:rFonts w:eastAsia="標楷體"/>
                <w:kern w:val="0"/>
                <w:szCs w:val="24"/>
              </w:rPr>
              <w:t>)</w:t>
            </w:r>
          </w:p>
        </w:tc>
      </w:tr>
      <w:tr w:rsidR="00052596" w14:paraId="2BFB750E" w14:textId="77777777">
        <w:tblPrEx>
          <w:tblCellMar>
            <w:top w:w="0" w:type="dxa"/>
            <w:bottom w:w="0" w:type="dxa"/>
          </w:tblCellMar>
        </w:tblPrEx>
        <w:trPr>
          <w:cantSplit/>
          <w:trHeight w:val="346"/>
          <w:jc w:val="center"/>
        </w:trPr>
        <w:tc>
          <w:tcPr>
            <w:tcW w:w="4274" w:type="dxa"/>
            <w:tcBorders>
              <w:right w:val="single" w:sz="4" w:space="0" w:color="000000"/>
            </w:tcBorders>
            <w:shd w:val="clear" w:color="auto" w:fill="auto"/>
            <w:noWrap/>
            <w:tcMar>
              <w:top w:w="0" w:type="dxa"/>
              <w:left w:w="28" w:type="dxa"/>
              <w:bottom w:w="0" w:type="dxa"/>
              <w:right w:w="28" w:type="dxa"/>
            </w:tcMar>
          </w:tcPr>
          <w:p w14:paraId="3ED31FF6"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2.</w:t>
            </w:r>
            <w:r>
              <w:rPr>
                <w:rFonts w:eastAsia="標楷體"/>
                <w:kern w:val="0"/>
                <w:szCs w:val="24"/>
              </w:rPr>
              <w:t>公共污水下水道</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447DF795" w14:textId="77777777" w:rsidR="00052596" w:rsidRDefault="00052596">
            <w:pPr>
              <w:widowControl/>
              <w:overflowPunct w:val="0"/>
              <w:autoSpaceDE w:val="0"/>
              <w:spacing w:before="72" w:after="72" w:line="320" w:lineRule="exact"/>
              <w:jc w:val="center"/>
              <w:rPr>
                <w:rFonts w:eastAsia="標楷體"/>
                <w:kern w:val="0"/>
                <w:szCs w:val="24"/>
              </w:rPr>
            </w:pP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2F8FF974"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161A750"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183" w:type="dxa"/>
            <w:tcBorders>
              <w:left w:val="single" w:sz="4" w:space="0" w:color="000000"/>
            </w:tcBorders>
            <w:shd w:val="clear" w:color="auto" w:fill="auto"/>
            <w:noWrap/>
            <w:tcMar>
              <w:top w:w="0" w:type="dxa"/>
              <w:left w:w="28" w:type="dxa"/>
              <w:bottom w:w="0" w:type="dxa"/>
              <w:right w:w="28" w:type="dxa"/>
            </w:tcMar>
          </w:tcPr>
          <w:p w14:paraId="5A5C8F8A" w14:textId="77777777" w:rsidR="00052596" w:rsidRDefault="00052596">
            <w:pPr>
              <w:widowControl/>
              <w:overflowPunct w:val="0"/>
              <w:autoSpaceDE w:val="0"/>
              <w:spacing w:before="72" w:after="72" w:line="320" w:lineRule="exact"/>
              <w:ind w:right="48"/>
              <w:jc w:val="right"/>
              <w:rPr>
                <w:rFonts w:eastAsia="標楷體"/>
                <w:kern w:val="0"/>
                <w:szCs w:val="24"/>
              </w:rPr>
            </w:pPr>
          </w:p>
        </w:tc>
      </w:tr>
      <w:tr w:rsidR="00052596" w14:paraId="1F420E5D" w14:textId="77777777">
        <w:tblPrEx>
          <w:tblCellMar>
            <w:top w:w="0" w:type="dxa"/>
            <w:bottom w:w="0" w:type="dxa"/>
          </w:tblCellMar>
        </w:tblPrEx>
        <w:trPr>
          <w:cantSplit/>
          <w:trHeight w:val="346"/>
          <w:jc w:val="center"/>
        </w:trPr>
        <w:tc>
          <w:tcPr>
            <w:tcW w:w="4274" w:type="dxa"/>
            <w:tcBorders>
              <w:right w:val="single" w:sz="4" w:space="0" w:color="000000"/>
            </w:tcBorders>
            <w:shd w:val="clear" w:color="auto" w:fill="auto"/>
            <w:noWrap/>
            <w:tcMar>
              <w:top w:w="0" w:type="dxa"/>
              <w:left w:w="28" w:type="dxa"/>
              <w:bottom w:w="0" w:type="dxa"/>
              <w:right w:w="28" w:type="dxa"/>
            </w:tcMar>
          </w:tcPr>
          <w:p w14:paraId="68C65E58" w14:textId="77777777" w:rsidR="00052596" w:rsidRDefault="00000000">
            <w:pPr>
              <w:widowControl/>
              <w:overflowPunct w:val="0"/>
              <w:autoSpaceDE w:val="0"/>
              <w:spacing w:line="320" w:lineRule="exact"/>
              <w:ind w:left="768" w:hanging="240"/>
              <w:jc w:val="both"/>
              <w:rPr>
                <w:rFonts w:eastAsia="標楷體"/>
                <w:kern w:val="0"/>
                <w:szCs w:val="24"/>
              </w:rPr>
            </w:pPr>
            <w:r>
              <w:rPr>
                <w:rFonts w:eastAsia="標楷體"/>
                <w:kern w:val="0"/>
                <w:szCs w:val="24"/>
              </w:rPr>
              <w:t>－用戶接管普及率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D1E4205"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2CD76A72"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31.64</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F1B6CD5"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32.77</w:t>
            </w:r>
          </w:p>
        </w:tc>
        <w:tc>
          <w:tcPr>
            <w:tcW w:w="1183" w:type="dxa"/>
            <w:tcBorders>
              <w:left w:val="single" w:sz="4" w:space="0" w:color="000000"/>
            </w:tcBorders>
            <w:shd w:val="clear" w:color="auto" w:fill="auto"/>
            <w:noWrap/>
            <w:tcMar>
              <w:top w:w="0" w:type="dxa"/>
              <w:left w:w="28" w:type="dxa"/>
              <w:bottom w:w="0" w:type="dxa"/>
              <w:right w:w="28" w:type="dxa"/>
            </w:tcMar>
          </w:tcPr>
          <w:p w14:paraId="3A2B03EB"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39.80</w:t>
            </w:r>
          </w:p>
        </w:tc>
      </w:tr>
      <w:tr w:rsidR="00052596" w14:paraId="070BE03C" w14:textId="77777777">
        <w:tblPrEx>
          <w:tblCellMar>
            <w:top w:w="0" w:type="dxa"/>
            <w:bottom w:w="0" w:type="dxa"/>
          </w:tblCellMar>
        </w:tblPrEx>
        <w:trPr>
          <w:cantSplit/>
          <w:trHeight w:val="335"/>
          <w:jc w:val="center"/>
        </w:trPr>
        <w:tc>
          <w:tcPr>
            <w:tcW w:w="4274" w:type="dxa"/>
            <w:tcBorders>
              <w:right w:val="single" w:sz="4" w:space="0" w:color="000000"/>
            </w:tcBorders>
            <w:shd w:val="clear" w:color="auto" w:fill="auto"/>
            <w:noWrap/>
            <w:tcMar>
              <w:top w:w="0" w:type="dxa"/>
              <w:left w:w="28" w:type="dxa"/>
              <w:bottom w:w="0" w:type="dxa"/>
              <w:right w:w="28" w:type="dxa"/>
            </w:tcMar>
          </w:tcPr>
          <w:p w14:paraId="442DBDE8" w14:textId="77777777" w:rsidR="00052596" w:rsidRDefault="00000000">
            <w:pPr>
              <w:widowControl/>
              <w:overflowPunct w:val="0"/>
              <w:autoSpaceDE w:val="0"/>
              <w:spacing w:line="320" w:lineRule="exact"/>
              <w:ind w:left="768" w:hanging="240"/>
              <w:jc w:val="both"/>
              <w:rPr>
                <w:rFonts w:eastAsia="標楷體"/>
                <w:kern w:val="0"/>
                <w:szCs w:val="24"/>
              </w:rPr>
            </w:pPr>
            <w:r>
              <w:rPr>
                <w:rFonts w:eastAsia="標楷體"/>
                <w:kern w:val="0"/>
                <w:szCs w:val="24"/>
              </w:rPr>
              <w:t>－整體污水處理率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9DB48FF"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5C8C1EB3"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62.14</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6829E7C"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65.14</w:t>
            </w:r>
          </w:p>
        </w:tc>
        <w:tc>
          <w:tcPr>
            <w:tcW w:w="1183" w:type="dxa"/>
            <w:tcBorders>
              <w:left w:val="single" w:sz="4" w:space="0" w:color="000000"/>
            </w:tcBorders>
            <w:shd w:val="clear" w:color="auto" w:fill="auto"/>
            <w:noWrap/>
            <w:tcMar>
              <w:top w:w="0" w:type="dxa"/>
              <w:left w:w="28" w:type="dxa"/>
              <w:bottom w:w="0" w:type="dxa"/>
              <w:right w:w="28" w:type="dxa"/>
            </w:tcMar>
          </w:tcPr>
          <w:p w14:paraId="5C06AC46"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69.00</w:t>
            </w:r>
          </w:p>
        </w:tc>
      </w:tr>
      <w:tr w:rsidR="00052596" w14:paraId="6A1A351C" w14:textId="77777777">
        <w:tblPrEx>
          <w:tblCellMar>
            <w:top w:w="0" w:type="dxa"/>
            <w:bottom w:w="0" w:type="dxa"/>
          </w:tblCellMar>
        </w:tblPrEx>
        <w:trPr>
          <w:cantSplit/>
          <w:trHeight w:val="346"/>
          <w:jc w:val="center"/>
        </w:trPr>
        <w:tc>
          <w:tcPr>
            <w:tcW w:w="4274" w:type="dxa"/>
            <w:tcBorders>
              <w:right w:val="single" w:sz="4" w:space="0" w:color="000000"/>
            </w:tcBorders>
            <w:shd w:val="clear" w:color="auto" w:fill="auto"/>
            <w:noWrap/>
            <w:tcMar>
              <w:top w:w="0" w:type="dxa"/>
              <w:left w:w="28" w:type="dxa"/>
              <w:bottom w:w="0" w:type="dxa"/>
              <w:right w:w="28" w:type="dxa"/>
            </w:tcMar>
          </w:tcPr>
          <w:p w14:paraId="6DA6195D"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3.</w:t>
            </w:r>
            <w:r>
              <w:rPr>
                <w:rFonts w:eastAsia="標楷體"/>
                <w:kern w:val="0"/>
                <w:szCs w:val="24"/>
              </w:rPr>
              <w:t>汰換自來水舊漏管線</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827EE23"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公里</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4EE7772D"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598</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20D3D79C"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600</w:t>
            </w:r>
          </w:p>
        </w:tc>
        <w:tc>
          <w:tcPr>
            <w:tcW w:w="1183" w:type="dxa"/>
            <w:tcBorders>
              <w:left w:val="single" w:sz="4" w:space="0" w:color="000000"/>
            </w:tcBorders>
            <w:shd w:val="clear" w:color="auto" w:fill="auto"/>
            <w:noWrap/>
            <w:tcMar>
              <w:top w:w="0" w:type="dxa"/>
              <w:left w:w="28" w:type="dxa"/>
              <w:bottom w:w="0" w:type="dxa"/>
              <w:right w:w="28" w:type="dxa"/>
            </w:tcMar>
          </w:tcPr>
          <w:p w14:paraId="7A03427A"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2,400</w:t>
            </w:r>
          </w:p>
        </w:tc>
      </w:tr>
      <w:tr w:rsidR="00052596" w14:paraId="268C0BB0" w14:textId="77777777">
        <w:tblPrEx>
          <w:tblCellMar>
            <w:top w:w="0" w:type="dxa"/>
            <w:bottom w:w="0" w:type="dxa"/>
          </w:tblCellMar>
        </w:tblPrEx>
        <w:trPr>
          <w:cantSplit/>
          <w:trHeight w:val="335"/>
          <w:jc w:val="center"/>
        </w:trPr>
        <w:tc>
          <w:tcPr>
            <w:tcW w:w="4274" w:type="dxa"/>
            <w:tcBorders>
              <w:right w:val="single" w:sz="4" w:space="0" w:color="000000"/>
            </w:tcBorders>
            <w:shd w:val="clear" w:color="auto" w:fill="auto"/>
            <w:noWrap/>
            <w:tcMar>
              <w:top w:w="0" w:type="dxa"/>
              <w:left w:w="28" w:type="dxa"/>
              <w:bottom w:w="0" w:type="dxa"/>
              <w:right w:w="28" w:type="dxa"/>
            </w:tcMar>
          </w:tcPr>
          <w:p w14:paraId="0A745781"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4.</w:t>
            </w:r>
            <w:r>
              <w:rPr>
                <w:rFonts w:eastAsia="標楷體"/>
                <w:kern w:val="0"/>
                <w:szCs w:val="24"/>
              </w:rPr>
              <w:t>學研機構與產業園區合作案件數</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C4DABA8"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案</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3ABF23EC"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24</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1D1F10C"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15</w:t>
            </w:r>
          </w:p>
        </w:tc>
        <w:tc>
          <w:tcPr>
            <w:tcW w:w="1183" w:type="dxa"/>
            <w:tcBorders>
              <w:left w:val="single" w:sz="4" w:space="0" w:color="000000"/>
            </w:tcBorders>
            <w:shd w:val="clear" w:color="auto" w:fill="auto"/>
            <w:noWrap/>
            <w:tcMar>
              <w:top w:w="0" w:type="dxa"/>
              <w:left w:w="28" w:type="dxa"/>
              <w:bottom w:w="0" w:type="dxa"/>
              <w:right w:w="28" w:type="dxa"/>
            </w:tcMar>
          </w:tcPr>
          <w:p w14:paraId="7E192ACE"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50</w:t>
            </w:r>
          </w:p>
        </w:tc>
      </w:tr>
      <w:tr w:rsidR="00052596" w14:paraId="773EFC03" w14:textId="77777777">
        <w:tblPrEx>
          <w:tblCellMar>
            <w:top w:w="0" w:type="dxa"/>
            <w:bottom w:w="0" w:type="dxa"/>
          </w:tblCellMar>
        </w:tblPrEx>
        <w:trPr>
          <w:cantSplit/>
          <w:trHeight w:val="335"/>
          <w:jc w:val="center"/>
        </w:trPr>
        <w:tc>
          <w:tcPr>
            <w:tcW w:w="4274" w:type="dxa"/>
            <w:tcBorders>
              <w:right w:val="single" w:sz="4" w:space="0" w:color="000000"/>
            </w:tcBorders>
            <w:shd w:val="clear" w:color="auto" w:fill="auto"/>
            <w:noWrap/>
            <w:tcMar>
              <w:top w:w="0" w:type="dxa"/>
              <w:left w:w="28" w:type="dxa"/>
              <w:bottom w:w="0" w:type="dxa"/>
              <w:right w:w="28" w:type="dxa"/>
            </w:tcMar>
          </w:tcPr>
          <w:p w14:paraId="65A9134F"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5.</w:t>
            </w:r>
            <w:r>
              <w:rPr>
                <w:rFonts w:eastAsia="標楷體"/>
                <w:kern w:val="0"/>
                <w:szCs w:val="24"/>
              </w:rPr>
              <w:t>國中小及高中職老舊校舍補強整建</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256BCA1" w14:textId="77777777" w:rsidR="00052596" w:rsidRDefault="00052596">
            <w:pPr>
              <w:widowControl/>
              <w:overflowPunct w:val="0"/>
              <w:autoSpaceDE w:val="0"/>
              <w:spacing w:before="72" w:after="72" w:line="320" w:lineRule="exact"/>
              <w:jc w:val="center"/>
              <w:rPr>
                <w:rFonts w:eastAsia="標楷體"/>
                <w:kern w:val="0"/>
                <w:szCs w:val="24"/>
              </w:rPr>
            </w:pP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748F3AC9"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35CF2A1B"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183" w:type="dxa"/>
            <w:tcBorders>
              <w:left w:val="single" w:sz="4" w:space="0" w:color="000000"/>
            </w:tcBorders>
            <w:shd w:val="clear" w:color="auto" w:fill="auto"/>
            <w:noWrap/>
            <w:tcMar>
              <w:top w:w="0" w:type="dxa"/>
              <w:left w:w="28" w:type="dxa"/>
              <w:bottom w:w="0" w:type="dxa"/>
              <w:right w:w="28" w:type="dxa"/>
            </w:tcMar>
          </w:tcPr>
          <w:p w14:paraId="678F15AA" w14:textId="77777777" w:rsidR="00052596" w:rsidRDefault="00052596">
            <w:pPr>
              <w:widowControl/>
              <w:overflowPunct w:val="0"/>
              <w:autoSpaceDE w:val="0"/>
              <w:spacing w:before="72" w:after="72" w:line="320" w:lineRule="exact"/>
              <w:ind w:right="48"/>
              <w:jc w:val="right"/>
              <w:rPr>
                <w:rFonts w:eastAsia="標楷體"/>
                <w:kern w:val="0"/>
                <w:szCs w:val="24"/>
              </w:rPr>
            </w:pPr>
          </w:p>
        </w:tc>
      </w:tr>
      <w:tr w:rsidR="00052596" w14:paraId="16D961DA" w14:textId="77777777">
        <w:tblPrEx>
          <w:tblCellMar>
            <w:top w:w="0" w:type="dxa"/>
            <w:bottom w:w="0" w:type="dxa"/>
          </w:tblCellMar>
        </w:tblPrEx>
        <w:trPr>
          <w:cantSplit/>
          <w:trHeight w:val="335"/>
          <w:jc w:val="center"/>
        </w:trPr>
        <w:tc>
          <w:tcPr>
            <w:tcW w:w="4274" w:type="dxa"/>
            <w:tcBorders>
              <w:right w:val="single" w:sz="4" w:space="0" w:color="000000"/>
            </w:tcBorders>
            <w:shd w:val="clear" w:color="auto" w:fill="auto"/>
            <w:noWrap/>
            <w:tcMar>
              <w:top w:w="0" w:type="dxa"/>
              <w:left w:w="28" w:type="dxa"/>
              <w:bottom w:w="0" w:type="dxa"/>
              <w:right w:w="28" w:type="dxa"/>
            </w:tcMar>
          </w:tcPr>
          <w:p w14:paraId="4656F673" w14:textId="77777777" w:rsidR="00052596" w:rsidRDefault="00000000">
            <w:pPr>
              <w:widowControl/>
              <w:overflowPunct w:val="0"/>
              <w:autoSpaceDE w:val="0"/>
              <w:spacing w:before="72" w:after="72" w:line="320" w:lineRule="exact"/>
              <w:ind w:left="768" w:hanging="240"/>
              <w:jc w:val="both"/>
              <w:rPr>
                <w:rFonts w:eastAsia="標楷體"/>
                <w:kern w:val="0"/>
                <w:szCs w:val="24"/>
              </w:rPr>
            </w:pPr>
            <w:r>
              <w:rPr>
                <w:rFonts w:eastAsia="標楷體"/>
                <w:kern w:val="0"/>
                <w:szCs w:val="24"/>
              </w:rPr>
              <w:t>－補強</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1398142"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棟</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66206E88"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211</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53D4208"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25</w:t>
            </w:r>
          </w:p>
        </w:tc>
        <w:tc>
          <w:tcPr>
            <w:tcW w:w="1183" w:type="dxa"/>
            <w:tcBorders>
              <w:left w:val="single" w:sz="4" w:space="0" w:color="000000"/>
            </w:tcBorders>
            <w:shd w:val="clear" w:color="auto" w:fill="auto"/>
            <w:noWrap/>
            <w:tcMar>
              <w:top w:w="0" w:type="dxa"/>
              <w:left w:w="28" w:type="dxa"/>
              <w:bottom w:w="0" w:type="dxa"/>
              <w:right w:w="28" w:type="dxa"/>
            </w:tcMar>
          </w:tcPr>
          <w:p w14:paraId="1A1AF298"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100</w:t>
            </w:r>
          </w:p>
        </w:tc>
      </w:tr>
      <w:tr w:rsidR="00052596" w14:paraId="0578FBAE" w14:textId="77777777">
        <w:tblPrEx>
          <w:tblCellMar>
            <w:top w:w="0" w:type="dxa"/>
            <w:bottom w:w="0" w:type="dxa"/>
          </w:tblCellMar>
        </w:tblPrEx>
        <w:trPr>
          <w:cantSplit/>
          <w:trHeight w:val="402"/>
          <w:jc w:val="center"/>
        </w:trPr>
        <w:tc>
          <w:tcPr>
            <w:tcW w:w="4274" w:type="dxa"/>
            <w:tcBorders>
              <w:right w:val="single" w:sz="4" w:space="0" w:color="000000"/>
            </w:tcBorders>
            <w:shd w:val="clear" w:color="auto" w:fill="auto"/>
            <w:noWrap/>
            <w:tcMar>
              <w:top w:w="0" w:type="dxa"/>
              <w:left w:w="28" w:type="dxa"/>
              <w:bottom w:w="0" w:type="dxa"/>
              <w:right w:w="28" w:type="dxa"/>
            </w:tcMar>
          </w:tcPr>
          <w:p w14:paraId="2C8B9740" w14:textId="77777777" w:rsidR="00052596" w:rsidRDefault="00000000">
            <w:pPr>
              <w:widowControl/>
              <w:overflowPunct w:val="0"/>
              <w:autoSpaceDE w:val="0"/>
              <w:spacing w:before="72" w:after="72" w:line="320" w:lineRule="exact"/>
              <w:ind w:left="768" w:hanging="240"/>
              <w:jc w:val="both"/>
              <w:rPr>
                <w:rFonts w:eastAsia="標楷體"/>
                <w:kern w:val="0"/>
                <w:szCs w:val="24"/>
              </w:rPr>
            </w:pPr>
            <w:r>
              <w:rPr>
                <w:rFonts w:eastAsia="標楷體"/>
                <w:kern w:val="0"/>
                <w:szCs w:val="24"/>
              </w:rPr>
              <w:t>－拆除重建</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2364ECA"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校</w:t>
            </w:r>
            <w:r>
              <w:rPr>
                <w:rFonts w:eastAsia="標楷體"/>
                <w:kern w:val="0"/>
                <w:szCs w:val="24"/>
              </w:rPr>
              <w:t>(</w:t>
            </w:r>
            <w:r>
              <w:rPr>
                <w:rFonts w:eastAsia="標楷體"/>
                <w:kern w:val="0"/>
                <w:szCs w:val="24"/>
              </w:rPr>
              <w:t>次</w:t>
            </w:r>
            <w:r>
              <w:rPr>
                <w:rFonts w:eastAsia="標楷體"/>
                <w:kern w:val="0"/>
                <w:szCs w:val="24"/>
              </w:rPr>
              <w:t>)</w:t>
            </w:r>
            <w:r>
              <w:rPr>
                <w:rFonts w:eastAsia="標楷體"/>
                <w:kern w:val="0"/>
                <w:szCs w:val="24"/>
              </w:rPr>
              <w:t>間</w:t>
            </w:r>
            <w:r>
              <w:rPr>
                <w:rFonts w:eastAsia="標楷體"/>
                <w:kern w:val="0"/>
                <w:szCs w:val="24"/>
              </w:rPr>
              <w:t>(</w:t>
            </w:r>
            <w:r>
              <w:rPr>
                <w:rFonts w:eastAsia="標楷體"/>
                <w:kern w:val="0"/>
                <w:szCs w:val="24"/>
              </w:rPr>
              <w:t>次</w:t>
            </w:r>
            <w:r>
              <w:rPr>
                <w:rFonts w:eastAsia="標楷體"/>
                <w:kern w:val="0"/>
                <w:szCs w:val="24"/>
              </w:rPr>
              <w:t>)</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78795B5E"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73</w:t>
            </w:r>
          </w:p>
          <w:p w14:paraId="62B329FF"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1,242</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E5F0E5B"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21</w:t>
            </w:r>
          </w:p>
          <w:p w14:paraId="6FB6700E"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525</w:t>
            </w:r>
          </w:p>
        </w:tc>
        <w:tc>
          <w:tcPr>
            <w:tcW w:w="1183" w:type="dxa"/>
            <w:tcBorders>
              <w:left w:val="single" w:sz="4" w:space="0" w:color="000000"/>
            </w:tcBorders>
            <w:shd w:val="clear" w:color="auto" w:fill="auto"/>
            <w:noWrap/>
            <w:tcMar>
              <w:top w:w="0" w:type="dxa"/>
              <w:left w:w="28" w:type="dxa"/>
              <w:bottom w:w="0" w:type="dxa"/>
              <w:right w:w="28" w:type="dxa"/>
            </w:tcMar>
          </w:tcPr>
          <w:p w14:paraId="44F5AF5D"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84</w:t>
            </w:r>
          </w:p>
          <w:p w14:paraId="20555A61"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2,100</w:t>
            </w:r>
          </w:p>
        </w:tc>
      </w:tr>
      <w:tr w:rsidR="00052596" w14:paraId="7CAFE2D6" w14:textId="77777777">
        <w:tblPrEx>
          <w:tblCellMar>
            <w:top w:w="0" w:type="dxa"/>
            <w:bottom w:w="0" w:type="dxa"/>
          </w:tblCellMar>
        </w:tblPrEx>
        <w:trPr>
          <w:cantSplit/>
          <w:trHeight w:val="226"/>
          <w:jc w:val="center"/>
        </w:trPr>
        <w:tc>
          <w:tcPr>
            <w:tcW w:w="4274" w:type="dxa"/>
            <w:tcBorders>
              <w:right w:val="single" w:sz="4" w:space="0" w:color="000000"/>
            </w:tcBorders>
            <w:shd w:val="clear" w:color="auto" w:fill="auto"/>
            <w:noWrap/>
            <w:tcMar>
              <w:top w:w="0" w:type="dxa"/>
              <w:left w:w="28" w:type="dxa"/>
              <w:bottom w:w="0" w:type="dxa"/>
              <w:right w:w="28" w:type="dxa"/>
            </w:tcMar>
          </w:tcPr>
          <w:p w14:paraId="0D5BFDC8" w14:textId="77777777" w:rsidR="00052596" w:rsidRDefault="00000000">
            <w:pPr>
              <w:widowControl/>
              <w:overflowPunct w:val="0"/>
              <w:autoSpaceDE w:val="0"/>
              <w:spacing w:before="72" w:after="72" w:line="320" w:lineRule="exact"/>
              <w:jc w:val="both"/>
              <w:rPr>
                <w:rFonts w:eastAsia="標楷體"/>
                <w:b/>
                <w:color w:val="800000"/>
                <w:kern w:val="0"/>
                <w:szCs w:val="24"/>
              </w:rPr>
            </w:pPr>
            <w:r>
              <w:rPr>
                <w:rFonts w:eastAsia="標楷體"/>
                <w:b/>
                <w:color w:val="800000"/>
                <w:kern w:val="0"/>
                <w:szCs w:val="24"/>
              </w:rPr>
              <w:t>廉政革新</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D23A4A5" w14:textId="77777777" w:rsidR="00052596" w:rsidRDefault="00052596">
            <w:pPr>
              <w:widowControl/>
              <w:overflowPunct w:val="0"/>
              <w:autoSpaceDE w:val="0"/>
              <w:spacing w:before="72" w:after="72" w:line="320" w:lineRule="exact"/>
              <w:jc w:val="center"/>
              <w:rPr>
                <w:rFonts w:eastAsia="標楷體"/>
                <w:kern w:val="0"/>
                <w:szCs w:val="24"/>
              </w:rPr>
            </w:pP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7B701040"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152C5DF0"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183" w:type="dxa"/>
            <w:tcBorders>
              <w:left w:val="single" w:sz="4" w:space="0" w:color="000000"/>
            </w:tcBorders>
            <w:shd w:val="clear" w:color="auto" w:fill="auto"/>
            <w:noWrap/>
            <w:tcMar>
              <w:top w:w="0" w:type="dxa"/>
              <w:left w:w="28" w:type="dxa"/>
              <w:bottom w:w="0" w:type="dxa"/>
              <w:right w:w="28" w:type="dxa"/>
            </w:tcMar>
          </w:tcPr>
          <w:p w14:paraId="621C8F3C" w14:textId="77777777" w:rsidR="00052596" w:rsidRDefault="00052596">
            <w:pPr>
              <w:widowControl/>
              <w:overflowPunct w:val="0"/>
              <w:autoSpaceDE w:val="0"/>
              <w:spacing w:before="72" w:after="72" w:line="320" w:lineRule="exact"/>
              <w:ind w:right="48"/>
              <w:jc w:val="right"/>
              <w:rPr>
                <w:rFonts w:eastAsia="標楷體"/>
                <w:kern w:val="0"/>
                <w:szCs w:val="24"/>
              </w:rPr>
            </w:pPr>
          </w:p>
        </w:tc>
      </w:tr>
      <w:tr w:rsidR="00052596" w14:paraId="5ACD6668" w14:textId="77777777">
        <w:tblPrEx>
          <w:tblCellMar>
            <w:top w:w="0" w:type="dxa"/>
            <w:bottom w:w="0" w:type="dxa"/>
          </w:tblCellMar>
        </w:tblPrEx>
        <w:trPr>
          <w:cantSplit/>
          <w:trHeight w:val="63"/>
          <w:jc w:val="center"/>
        </w:trPr>
        <w:tc>
          <w:tcPr>
            <w:tcW w:w="4274" w:type="dxa"/>
            <w:tcBorders>
              <w:right w:val="single" w:sz="4" w:space="0" w:color="000000"/>
            </w:tcBorders>
            <w:shd w:val="clear" w:color="auto" w:fill="auto"/>
            <w:noWrap/>
            <w:tcMar>
              <w:top w:w="0" w:type="dxa"/>
              <w:left w:w="28" w:type="dxa"/>
              <w:bottom w:w="0" w:type="dxa"/>
              <w:right w:w="28" w:type="dxa"/>
            </w:tcMar>
          </w:tcPr>
          <w:p w14:paraId="029E171E"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1.</w:t>
            </w:r>
            <w:r>
              <w:rPr>
                <w:rFonts w:eastAsia="標楷體"/>
                <w:kern w:val="0"/>
                <w:szCs w:val="24"/>
              </w:rPr>
              <w:t>貪瀆案件定罪率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5E9989E"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6D909A26"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F768FD7"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70</w:t>
            </w:r>
          </w:p>
        </w:tc>
        <w:tc>
          <w:tcPr>
            <w:tcW w:w="1183" w:type="dxa"/>
            <w:tcBorders>
              <w:left w:val="single" w:sz="4" w:space="0" w:color="000000"/>
            </w:tcBorders>
            <w:shd w:val="clear" w:color="auto" w:fill="auto"/>
            <w:noWrap/>
            <w:tcMar>
              <w:top w:w="0" w:type="dxa"/>
              <w:left w:w="28" w:type="dxa"/>
              <w:bottom w:w="0" w:type="dxa"/>
              <w:right w:w="28" w:type="dxa"/>
            </w:tcMar>
          </w:tcPr>
          <w:p w14:paraId="62791953"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73</w:t>
            </w:r>
          </w:p>
        </w:tc>
      </w:tr>
      <w:tr w:rsidR="00052596" w14:paraId="612939A1" w14:textId="77777777">
        <w:tblPrEx>
          <w:tblCellMar>
            <w:top w:w="0" w:type="dxa"/>
            <w:bottom w:w="0" w:type="dxa"/>
          </w:tblCellMar>
        </w:tblPrEx>
        <w:trPr>
          <w:cantSplit/>
          <w:trHeight w:val="419"/>
          <w:jc w:val="center"/>
        </w:trPr>
        <w:tc>
          <w:tcPr>
            <w:tcW w:w="4274" w:type="dxa"/>
            <w:tcBorders>
              <w:right w:val="single" w:sz="4" w:space="0" w:color="000000"/>
            </w:tcBorders>
            <w:shd w:val="clear" w:color="auto" w:fill="auto"/>
            <w:noWrap/>
            <w:tcMar>
              <w:top w:w="0" w:type="dxa"/>
              <w:left w:w="28" w:type="dxa"/>
              <w:bottom w:w="0" w:type="dxa"/>
              <w:right w:w="28" w:type="dxa"/>
            </w:tcMar>
          </w:tcPr>
          <w:p w14:paraId="14DE9B25"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2.</w:t>
            </w:r>
            <w:r>
              <w:rPr>
                <w:rFonts w:eastAsia="標楷體"/>
                <w:kern w:val="0"/>
                <w:szCs w:val="24"/>
              </w:rPr>
              <w:t>檢察官辦案平均每一偵字案件終結所需日數</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3AF29B7B"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日</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08438AA4"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w:t>
            </w:r>
          </w:p>
          <w:p w14:paraId="222A5799" w14:textId="77777777" w:rsidR="00052596" w:rsidRDefault="00052596">
            <w:pPr>
              <w:widowControl/>
              <w:overflowPunct w:val="0"/>
              <w:autoSpaceDE w:val="0"/>
              <w:spacing w:before="72" w:after="72" w:line="320" w:lineRule="exact"/>
              <w:ind w:right="48"/>
              <w:jc w:val="right"/>
              <w:rPr>
                <w:rFonts w:eastAsia="標楷體"/>
                <w:spacing w:val="-10"/>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D6F4DE4"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55.0</w:t>
            </w:r>
            <w:r>
              <w:rPr>
                <w:rFonts w:eastAsia="標楷體"/>
                <w:kern w:val="0"/>
                <w:szCs w:val="24"/>
              </w:rPr>
              <w:t>以下</w:t>
            </w:r>
          </w:p>
        </w:tc>
        <w:tc>
          <w:tcPr>
            <w:tcW w:w="1183" w:type="dxa"/>
            <w:tcBorders>
              <w:left w:val="single" w:sz="4" w:space="0" w:color="000000"/>
            </w:tcBorders>
            <w:shd w:val="clear" w:color="auto" w:fill="auto"/>
            <w:noWrap/>
            <w:tcMar>
              <w:top w:w="0" w:type="dxa"/>
              <w:left w:w="28" w:type="dxa"/>
              <w:bottom w:w="0" w:type="dxa"/>
              <w:right w:w="28" w:type="dxa"/>
            </w:tcMar>
          </w:tcPr>
          <w:p w14:paraId="420BFE57"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53.5</w:t>
            </w:r>
            <w:r>
              <w:rPr>
                <w:rFonts w:eastAsia="標楷體"/>
                <w:kern w:val="0"/>
                <w:szCs w:val="24"/>
              </w:rPr>
              <w:t>以下</w:t>
            </w:r>
          </w:p>
        </w:tc>
      </w:tr>
      <w:tr w:rsidR="00052596" w14:paraId="5440D5BD" w14:textId="77777777">
        <w:tblPrEx>
          <w:tblCellMar>
            <w:top w:w="0" w:type="dxa"/>
            <w:bottom w:w="0" w:type="dxa"/>
          </w:tblCellMar>
        </w:tblPrEx>
        <w:trPr>
          <w:cantSplit/>
          <w:trHeight w:val="463"/>
          <w:jc w:val="center"/>
        </w:trPr>
        <w:tc>
          <w:tcPr>
            <w:tcW w:w="4274" w:type="dxa"/>
            <w:tcBorders>
              <w:right w:val="single" w:sz="4" w:space="0" w:color="000000"/>
            </w:tcBorders>
            <w:shd w:val="clear" w:color="auto" w:fill="auto"/>
            <w:noWrap/>
            <w:tcMar>
              <w:top w:w="0" w:type="dxa"/>
              <w:left w:w="28" w:type="dxa"/>
              <w:bottom w:w="0" w:type="dxa"/>
              <w:right w:w="28" w:type="dxa"/>
            </w:tcMar>
          </w:tcPr>
          <w:p w14:paraId="0594B028" w14:textId="77777777" w:rsidR="00052596" w:rsidRDefault="00000000">
            <w:pPr>
              <w:widowControl/>
              <w:overflowPunct w:val="0"/>
              <w:autoSpaceDE w:val="0"/>
              <w:spacing w:before="120" w:line="320" w:lineRule="exact"/>
              <w:ind w:left="168" w:hanging="168"/>
              <w:jc w:val="both"/>
              <w:rPr>
                <w:rFonts w:eastAsia="標楷體"/>
                <w:b/>
                <w:color w:val="800000"/>
                <w:kern w:val="0"/>
                <w:szCs w:val="24"/>
              </w:rPr>
            </w:pPr>
            <w:r>
              <w:rPr>
                <w:rFonts w:eastAsia="標楷體"/>
                <w:b/>
                <w:color w:val="800000"/>
                <w:kern w:val="0"/>
                <w:szCs w:val="24"/>
              </w:rPr>
              <w:t>效能躍升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343699C4" w14:textId="77777777" w:rsidR="00052596" w:rsidRDefault="00052596">
            <w:pPr>
              <w:widowControl/>
              <w:overflowPunct w:val="0"/>
              <w:autoSpaceDE w:val="0"/>
              <w:spacing w:line="320" w:lineRule="exact"/>
              <w:jc w:val="center"/>
              <w:rPr>
                <w:rFonts w:eastAsia="標楷體"/>
                <w:kern w:val="0"/>
                <w:szCs w:val="24"/>
              </w:rPr>
            </w:pP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2DB5C6A0" w14:textId="77777777" w:rsidR="00052596" w:rsidRDefault="00052596">
            <w:pPr>
              <w:widowControl/>
              <w:overflowPunct w:val="0"/>
              <w:autoSpaceDE w:val="0"/>
              <w:spacing w:line="320" w:lineRule="exact"/>
              <w:ind w:right="48"/>
              <w:jc w:val="right"/>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3191BA79" w14:textId="77777777" w:rsidR="00052596" w:rsidRDefault="00052596">
            <w:pPr>
              <w:widowControl/>
              <w:overflowPunct w:val="0"/>
              <w:autoSpaceDE w:val="0"/>
              <w:spacing w:line="320" w:lineRule="exact"/>
              <w:ind w:right="48"/>
              <w:jc w:val="right"/>
              <w:rPr>
                <w:rFonts w:eastAsia="標楷體"/>
                <w:kern w:val="0"/>
                <w:szCs w:val="24"/>
              </w:rPr>
            </w:pPr>
          </w:p>
        </w:tc>
        <w:tc>
          <w:tcPr>
            <w:tcW w:w="1183" w:type="dxa"/>
            <w:tcBorders>
              <w:left w:val="single" w:sz="4" w:space="0" w:color="000000"/>
            </w:tcBorders>
            <w:shd w:val="clear" w:color="auto" w:fill="auto"/>
            <w:noWrap/>
            <w:tcMar>
              <w:top w:w="0" w:type="dxa"/>
              <w:left w:w="28" w:type="dxa"/>
              <w:bottom w:w="0" w:type="dxa"/>
              <w:right w:w="28" w:type="dxa"/>
            </w:tcMar>
          </w:tcPr>
          <w:p w14:paraId="3EAB7F56" w14:textId="77777777" w:rsidR="00052596" w:rsidRDefault="00052596">
            <w:pPr>
              <w:widowControl/>
              <w:overflowPunct w:val="0"/>
              <w:autoSpaceDE w:val="0"/>
              <w:spacing w:line="320" w:lineRule="exact"/>
              <w:ind w:right="48"/>
              <w:jc w:val="right"/>
              <w:rPr>
                <w:rFonts w:eastAsia="標楷體"/>
                <w:kern w:val="0"/>
                <w:szCs w:val="24"/>
              </w:rPr>
            </w:pPr>
          </w:p>
        </w:tc>
      </w:tr>
      <w:tr w:rsidR="00052596" w14:paraId="69F364FB" w14:textId="77777777">
        <w:tblPrEx>
          <w:tblCellMar>
            <w:top w:w="0" w:type="dxa"/>
            <w:bottom w:w="0" w:type="dxa"/>
          </w:tblCellMar>
        </w:tblPrEx>
        <w:trPr>
          <w:cantSplit/>
          <w:trHeight w:val="180"/>
          <w:jc w:val="center"/>
        </w:trPr>
        <w:tc>
          <w:tcPr>
            <w:tcW w:w="4274" w:type="dxa"/>
            <w:tcBorders>
              <w:right w:val="single" w:sz="4" w:space="0" w:color="000000"/>
            </w:tcBorders>
            <w:shd w:val="clear" w:color="auto" w:fill="auto"/>
            <w:noWrap/>
            <w:tcMar>
              <w:top w:w="0" w:type="dxa"/>
              <w:left w:w="28" w:type="dxa"/>
              <w:bottom w:w="0" w:type="dxa"/>
              <w:right w:w="28" w:type="dxa"/>
            </w:tcMar>
          </w:tcPr>
          <w:p w14:paraId="5654A926"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1.</w:t>
            </w:r>
            <w:r>
              <w:rPr>
                <w:rFonts w:eastAsia="標楷體"/>
                <w:kern w:val="0"/>
                <w:szCs w:val="24"/>
              </w:rPr>
              <w:t>實施公文線上簽核機關比率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8E9E974"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w:t>
            </w:r>
          </w:p>
        </w:tc>
        <w:tc>
          <w:tcPr>
            <w:tcW w:w="1134" w:type="dxa"/>
            <w:tcBorders>
              <w:left w:val="single" w:sz="4" w:space="0" w:color="000000"/>
              <w:right w:val="single" w:sz="4" w:space="0" w:color="000000"/>
            </w:tcBorders>
            <w:shd w:val="clear" w:color="auto" w:fill="auto"/>
            <w:noWrap/>
            <w:tcMar>
              <w:top w:w="0" w:type="dxa"/>
              <w:left w:w="28" w:type="dxa"/>
              <w:bottom w:w="0" w:type="dxa"/>
              <w:right w:w="28" w:type="dxa"/>
            </w:tcMar>
          </w:tcPr>
          <w:p w14:paraId="10ADC808"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30</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5DF99EB"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40</w:t>
            </w:r>
          </w:p>
        </w:tc>
        <w:tc>
          <w:tcPr>
            <w:tcW w:w="1183" w:type="dxa"/>
            <w:tcBorders>
              <w:left w:val="single" w:sz="4" w:space="0" w:color="000000"/>
            </w:tcBorders>
            <w:shd w:val="clear" w:color="auto" w:fill="auto"/>
            <w:noWrap/>
            <w:tcMar>
              <w:top w:w="0" w:type="dxa"/>
              <w:left w:w="28" w:type="dxa"/>
              <w:bottom w:w="0" w:type="dxa"/>
              <w:right w:w="28" w:type="dxa"/>
            </w:tcMar>
          </w:tcPr>
          <w:p w14:paraId="1E20C35C"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70</w:t>
            </w:r>
          </w:p>
        </w:tc>
      </w:tr>
      <w:tr w:rsidR="00052596" w14:paraId="35BA3D13" w14:textId="77777777">
        <w:tblPrEx>
          <w:tblCellMar>
            <w:top w:w="0" w:type="dxa"/>
            <w:bottom w:w="0" w:type="dxa"/>
          </w:tblCellMar>
        </w:tblPrEx>
        <w:trPr>
          <w:cantSplit/>
          <w:trHeight w:val="142"/>
          <w:jc w:val="center"/>
        </w:trPr>
        <w:tc>
          <w:tcPr>
            <w:tcW w:w="4274" w:type="dxa"/>
            <w:tcBorders>
              <w:bottom w:val="single" w:sz="4" w:space="0" w:color="000000"/>
              <w:right w:val="single" w:sz="4" w:space="0" w:color="000000"/>
            </w:tcBorders>
            <w:shd w:val="clear" w:color="auto" w:fill="auto"/>
            <w:noWrap/>
            <w:tcMar>
              <w:top w:w="0" w:type="dxa"/>
              <w:left w:w="28" w:type="dxa"/>
              <w:bottom w:w="0" w:type="dxa"/>
              <w:right w:w="28" w:type="dxa"/>
            </w:tcMar>
          </w:tcPr>
          <w:p w14:paraId="3975D2BE" w14:textId="77777777" w:rsidR="00052596" w:rsidRDefault="00000000">
            <w:pPr>
              <w:widowControl/>
              <w:overflowPunct w:val="0"/>
              <w:autoSpaceDE w:val="0"/>
              <w:spacing w:before="72" w:after="72" w:line="320" w:lineRule="exact"/>
              <w:ind w:left="504" w:hanging="192"/>
              <w:jc w:val="both"/>
              <w:rPr>
                <w:rFonts w:eastAsia="標楷體"/>
                <w:kern w:val="0"/>
                <w:szCs w:val="24"/>
              </w:rPr>
            </w:pPr>
            <w:r>
              <w:rPr>
                <w:rFonts w:eastAsia="標楷體"/>
                <w:kern w:val="0"/>
                <w:szCs w:val="24"/>
              </w:rPr>
              <w:t>2.</w:t>
            </w:r>
            <w:r>
              <w:rPr>
                <w:rFonts w:eastAsia="標楷體"/>
                <w:kern w:val="0"/>
                <w:szCs w:val="24"/>
              </w:rPr>
              <w:t>申辦案件平均核章數減少比率</w:t>
            </w:r>
          </w:p>
        </w:tc>
        <w:tc>
          <w:tcPr>
            <w:tcW w:w="85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8228987" w14:textId="77777777" w:rsidR="00052596" w:rsidRDefault="00000000">
            <w:pPr>
              <w:widowControl/>
              <w:overflowPunct w:val="0"/>
              <w:autoSpaceDE w:val="0"/>
              <w:spacing w:before="72" w:after="72" w:line="320" w:lineRule="exact"/>
              <w:jc w:val="center"/>
              <w:rPr>
                <w:rFonts w:eastAsia="標楷體"/>
                <w:kern w:val="0"/>
                <w:szCs w:val="24"/>
              </w:rPr>
            </w:pPr>
            <w:r>
              <w:rPr>
                <w:rFonts w:eastAsia="標楷體"/>
                <w:kern w:val="0"/>
                <w:szCs w:val="24"/>
              </w:rPr>
              <w:t>%</w:t>
            </w:r>
          </w:p>
        </w:tc>
        <w:tc>
          <w:tcPr>
            <w:tcW w:w="113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002FD52"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 xml:space="preserve"> </w:t>
            </w:r>
            <w:r>
              <w:rPr>
                <w:rFonts w:eastAsia="標楷體"/>
                <w:kern w:val="0"/>
                <w:szCs w:val="24"/>
              </w:rPr>
              <w:t>－</w:t>
            </w:r>
          </w:p>
        </w:tc>
        <w:tc>
          <w:tcPr>
            <w:tcW w:w="127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DBD279A" w14:textId="77777777" w:rsidR="00052596" w:rsidRDefault="00000000">
            <w:pPr>
              <w:widowControl/>
              <w:overflowPunct w:val="0"/>
              <w:autoSpaceDE w:val="0"/>
              <w:spacing w:before="72" w:after="72" w:line="320" w:lineRule="exact"/>
              <w:ind w:right="48"/>
              <w:jc w:val="right"/>
              <w:rPr>
                <w:rFonts w:eastAsia="標楷體"/>
                <w:kern w:val="0"/>
                <w:szCs w:val="24"/>
              </w:rPr>
            </w:pPr>
            <w:r>
              <w:rPr>
                <w:rFonts w:eastAsia="標楷體"/>
                <w:kern w:val="0"/>
                <w:szCs w:val="24"/>
              </w:rPr>
              <w:t>5</w:t>
            </w:r>
          </w:p>
        </w:tc>
        <w:tc>
          <w:tcPr>
            <w:tcW w:w="1183" w:type="dxa"/>
            <w:tcBorders>
              <w:left w:val="single" w:sz="4" w:space="0" w:color="000000"/>
              <w:bottom w:val="single" w:sz="4" w:space="0" w:color="000000"/>
            </w:tcBorders>
            <w:shd w:val="clear" w:color="auto" w:fill="auto"/>
            <w:noWrap/>
            <w:tcMar>
              <w:top w:w="0" w:type="dxa"/>
              <w:left w:w="28" w:type="dxa"/>
              <w:bottom w:w="0" w:type="dxa"/>
              <w:right w:w="28" w:type="dxa"/>
            </w:tcMar>
          </w:tcPr>
          <w:p w14:paraId="0CA51F9B" w14:textId="77777777" w:rsidR="00052596" w:rsidRDefault="00000000">
            <w:pPr>
              <w:widowControl/>
              <w:overflowPunct w:val="0"/>
              <w:autoSpaceDE w:val="0"/>
              <w:spacing w:before="72" w:after="72" w:line="320" w:lineRule="exact"/>
              <w:ind w:right="48"/>
              <w:jc w:val="right"/>
            </w:pPr>
            <w:r>
              <w:rPr>
                <w:rFonts w:eastAsia="標楷體"/>
                <w:kern w:val="0"/>
                <w:szCs w:val="24"/>
              </w:rPr>
              <w:t>20</w:t>
            </w:r>
            <w:r>
              <w:rPr>
                <w:rFonts w:eastAsia="標楷體"/>
                <w:kern w:val="0"/>
                <w:szCs w:val="24"/>
                <w:vertAlign w:val="superscript"/>
              </w:rPr>
              <w:t>1</w:t>
            </w:r>
          </w:p>
        </w:tc>
      </w:tr>
    </w:tbl>
    <w:p w14:paraId="44C5CB7B" w14:textId="77777777" w:rsidR="00052596" w:rsidRDefault="00000000">
      <w:pPr>
        <w:widowControl/>
        <w:overflowPunct w:val="0"/>
        <w:autoSpaceDE w:val="0"/>
        <w:spacing w:before="72" w:line="300" w:lineRule="exact"/>
        <w:ind w:left="365" w:hanging="365"/>
      </w:pPr>
      <w:r>
        <w:rPr>
          <w:rFonts w:eastAsia="標楷體"/>
          <w:kern w:val="0"/>
          <w:szCs w:val="26"/>
          <w:vertAlign w:val="superscript"/>
        </w:rPr>
        <w:t>1</w:t>
      </w:r>
      <w:r>
        <w:rPr>
          <w:rFonts w:eastAsia="標楷體"/>
          <w:kern w:val="0"/>
          <w:sz w:val="16"/>
          <w:szCs w:val="16"/>
          <w:vertAlign w:val="superscript"/>
        </w:rPr>
        <w:t xml:space="preserve">  </w:t>
      </w:r>
      <w:r>
        <w:rPr>
          <w:rFonts w:eastAsia="標楷體"/>
          <w:kern w:val="0"/>
          <w:szCs w:val="26"/>
        </w:rPr>
        <w:t>102-105</w:t>
      </w:r>
      <w:r>
        <w:rPr>
          <w:rFonts w:eastAsia="標楷體"/>
          <w:kern w:val="0"/>
          <w:szCs w:val="26"/>
        </w:rPr>
        <w:t>年累計數據。</w:t>
      </w:r>
    </w:p>
    <w:p w14:paraId="731C15C2" w14:textId="77777777" w:rsidR="00052596" w:rsidRDefault="00000000">
      <w:pPr>
        <w:pageBreakBefore/>
        <w:overflowPunct w:val="0"/>
        <w:autoSpaceDE w:val="0"/>
        <w:spacing w:before="120" w:after="240" w:line="360" w:lineRule="exact"/>
        <w:jc w:val="center"/>
        <w:textAlignment w:val="center"/>
      </w:pPr>
      <w:r>
        <w:rPr>
          <w:rFonts w:eastAsia="標楷體"/>
          <w:b/>
          <w:color w:val="0000FF"/>
          <w:spacing w:val="10"/>
          <w:kern w:val="0"/>
          <w:sz w:val="26"/>
          <w:szCs w:val="26"/>
        </w:rPr>
        <w:lastRenderedPageBreak/>
        <w:t>環境面</w:t>
      </w:r>
    </w:p>
    <w:tbl>
      <w:tblPr>
        <w:tblW w:w="8700" w:type="dxa"/>
        <w:jc w:val="center"/>
        <w:tblLayout w:type="fixed"/>
        <w:tblCellMar>
          <w:left w:w="10" w:type="dxa"/>
          <w:right w:w="10" w:type="dxa"/>
        </w:tblCellMar>
        <w:tblLook w:val="04A0" w:firstRow="1" w:lastRow="0" w:firstColumn="1" w:lastColumn="0" w:noHBand="0" w:noVBand="1"/>
      </w:tblPr>
      <w:tblGrid>
        <w:gridCol w:w="4011"/>
        <w:gridCol w:w="850"/>
        <w:gridCol w:w="1276"/>
        <w:gridCol w:w="1276"/>
        <w:gridCol w:w="1287"/>
      </w:tblGrid>
      <w:tr w:rsidR="00052596" w14:paraId="163E1576" w14:textId="77777777">
        <w:tblPrEx>
          <w:tblCellMar>
            <w:top w:w="0" w:type="dxa"/>
            <w:bottom w:w="0" w:type="dxa"/>
          </w:tblCellMar>
        </w:tblPrEx>
        <w:trPr>
          <w:trHeight w:val="378"/>
          <w:jc w:val="center"/>
        </w:trPr>
        <w:tc>
          <w:tcPr>
            <w:tcW w:w="4011" w:type="dxa"/>
            <w:vMerge w:val="restart"/>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77B98C8" w14:textId="77777777" w:rsidR="00052596" w:rsidRDefault="00000000">
            <w:pPr>
              <w:widowControl/>
              <w:overflowPunct w:val="0"/>
              <w:autoSpaceDE w:val="0"/>
              <w:spacing w:before="192" w:line="320" w:lineRule="exact"/>
              <w:ind w:left="168" w:hanging="168"/>
              <w:jc w:val="center"/>
            </w:pPr>
            <w:r>
              <w:rPr>
                <w:noProof/>
              </w:rPr>
              <mc:AlternateContent>
                <mc:Choice Requires="wps">
                  <w:drawing>
                    <wp:anchor distT="0" distB="0" distL="114300" distR="114300" simplePos="0" relativeHeight="251697664" behindDoc="1" locked="0" layoutInCell="1" allowOverlap="1" wp14:anchorId="099CF2BF" wp14:editId="65192ED9">
                      <wp:simplePos x="0" y="0"/>
                      <wp:positionH relativeFrom="column">
                        <wp:posOffset>-140973</wp:posOffset>
                      </wp:positionH>
                      <wp:positionV relativeFrom="paragraph">
                        <wp:posOffset>-487046</wp:posOffset>
                      </wp:positionV>
                      <wp:extent cx="5720084" cy="8178795"/>
                      <wp:effectExtent l="0" t="0" r="0" b="0"/>
                      <wp:wrapNone/>
                      <wp:docPr id="204" name="矩形 41"/>
                      <wp:cNvGraphicFramePr/>
                      <a:graphic xmlns:a="http://schemas.openxmlformats.org/drawingml/2006/main">
                        <a:graphicData uri="http://schemas.microsoft.com/office/word/2010/wordprocessingShape">
                          <wps:wsp>
                            <wps:cNvSpPr/>
                            <wps:spPr>
                              <a:xfrm>
                                <a:off x="0" y="0"/>
                                <a:ext cx="5720084" cy="8178795"/>
                              </a:xfrm>
                              <a:prstGeom prst="rect">
                                <a:avLst/>
                              </a:prstGeom>
                              <a:gradFill>
                                <a:gsLst>
                                  <a:gs pos="0">
                                    <a:srgbClr val="FFFFFF"/>
                                  </a:gs>
                                  <a:gs pos="100000">
                                    <a:srgbClr val="EFFFEF"/>
                                  </a:gs>
                                </a:gsLst>
                                <a:path path="circle">
                                  <a:fillToRect l="50000" t="50000" r="50000" b="50000"/>
                                </a:path>
                              </a:gradFill>
                              <a:ln>
                                <a:noFill/>
                                <a:prstDash val="solid"/>
                              </a:ln>
                            </wps:spPr>
                            <wps:bodyPr lIns="0" tIns="0" rIns="0" bIns="0"/>
                          </wps:wsp>
                        </a:graphicData>
                      </a:graphic>
                    </wp:anchor>
                  </w:drawing>
                </mc:Choice>
                <mc:Fallback>
                  <w:pict>
                    <v:rect w14:anchorId="6931908A" id="矩形 41" o:spid="_x0000_s1026" style="position:absolute;margin-left:-11.1pt;margin-top:-38.35pt;width:450.4pt;height:644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" stroked="f">
                      <v:fill color2="#efffef" focusposition=".5,.5" focussize="" focus="100%" type="gradientRadial"/>
                      <v:textbox inset="0,0,0,0"/>
                    </v:rect>
                  </w:pict>
                </mc:Fallback>
              </mc:AlternateContent>
            </w:r>
            <w:r>
              <w:rPr>
                <w:rFonts w:eastAsia="標楷體"/>
                <w:b/>
                <w:color w:val="0000FF"/>
                <w:kern w:val="0"/>
                <w:szCs w:val="24"/>
              </w:rPr>
              <w:t>項</w:t>
            </w:r>
            <w:r>
              <w:rPr>
                <w:rFonts w:eastAsia="標楷體"/>
                <w:b/>
                <w:color w:val="0000FF"/>
                <w:kern w:val="0"/>
                <w:szCs w:val="24"/>
              </w:rPr>
              <w:t xml:space="preserve"> </w:t>
            </w:r>
            <w:r>
              <w:rPr>
                <w:rFonts w:eastAsia="標楷體"/>
                <w:b/>
                <w:color w:val="0000FF"/>
                <w:kern w:val="0"/>
                <w:szCs w:val="24"/>
              </w:rPr>
              <w:t>目</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BA0FA4F"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單</w:t>
            </w:r>
            <w:r>
              <w:rPr>
                <w:rFonts w:eastAsia="標楷體"/>
                <w:b/>
                <w:color w:val="0000FF"/>
                <w:kern w:val="0"/>
                <w:szCs w:val="24"/>
              </w:rPr>
              <w:t xml:space="preserve"> </w:t>
            </w:r>
            <w:r>
              <w:rPr>
                <w:rFonts w:eastAsia="標楷體"/>
                <w:b/>
                <w:color w:val="0000FF"/>
                <w:kern w:val="0"/>
                <w:szCs w:val="24"/>
              </w:rPr>
              <w:t>位</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9AF97BE"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現況值</w:t>
            </w:r>
          </w:p>
          <w:p w14:paraId="105D355C"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(101</w:t>
            </w:r>
            <w:r>
              <w:rPr>
                <w:rFonts w:eastAsia="標楷體"/>
                <w:b/>
                <w:color w:val="0000FF"/>
                <w:kern w:val="0"/>
                <w:szCs w:val="24"/>
              </w:rPr>
              <w:t>年</w:t>
            </w:r>
            <w:r>
              <w:rPr>
                <w:rFonts w:eastAsia="標楷體"/>
                <w:b/>
                <w:color w:val="0000FF"/>
                <w:kern w:val="0"/>
                <w:szCs w:val="24"/>
              </w:rPr>
              <w:t>)</w:t>
            </w:r>
          </w:p>
        </w:tc>
        <w:tc>
          <w:tcPr>
            <w:tcW w:w="2563" w:type="dxa"/>
            <w:gridSpan w:val="2"/>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14:paraId="62D4BC06"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目標值</w:t>
            </w:r>
          </w:p>
        </w:tc>
      </w:tr>
      <w:tr w:rsidR="00052596" w14:paraId="6D02C30D" w14:textId="77777777">
        <w:tblPrEx>
          <w:tblCellMar>
            <w:top w:w="0" w:type="dxa"/>
            <w:bottom w:w="0" w:type="dxa"/>
          </w:tblCellMar>
        </w:tblPrEx>
        <w:trPr>
          <w:trHeight w:val="407"/>
          <w:jc w:val="center"/>
        </w:trPr>
        <w:tc>
          <w:tcPr>
            <w:tcW w:w="4011" w:type="dxa"/>
            <w:vMerge/>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6CA1D31" w14:textId="77777777" w:rsidR="00052596" w:rsidRDefault="00052596">
            <w:pPr>
              <w:widowControl/>
              <w:overflowPunct w:val="0"/>
              <w:autoSpaceDE w:val="0"/>
              <w:spacing w:line="320" w:lineRule="exact"/>
              <w:ind w:left="168" w:hanging="168"/>
              <w:jc w:val="both"/>
              <w:rPr>
                <w:rFonts w:eastAsia="標楷體"/>
                <w:color w:val="0000FF"/>
                <w:kern w:val="0"/>
                <w:szCs w:val="24"/>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2CECC05" w14:textId="77777777" w:rsidR="00052596" w:rsidRDefault="00052596">
            <w:pPr>
              <w:widowControl/>
              <w:overflowPunct w:val="0"/>
              <w:autoSpaceDE w:val="0"/>
              <w:spacing w:line="320" w:lineRule="exact"/>
              <w:jc w:val="center"/>
              <w:rPr>
                <w:rFonts w:eastAsia="標楷體"/>
                <w:color w:val="0000FF"/>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275D940" w14:textId="77777777" w:rsidR="00052596" w:rsidRDefault="00052596">
            <w:pPr>
              <w:widowControl/>
              <w:overflowPunct w:val="0"/>
              <w:autoSpaceDE w:val="0"/>
              <w:spacing w:line="320" w:lineRule="exact"/>
              <w:jc w:val="center"/>
              <w:rPr>
                <w:rFonts w:eastAsia="標楷體"/>
                <w:color w:val="0000FF"/>
                <w:kern w:val="0"/>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E1C226B"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102</w:t>
            </w:r>
            <w:r>
              <w:rPr>
                <w:rFonts w:eastAsia="標楷體"/>
                <w:b/>
                <w:color w:val="0000FF"/>
                <w:kern w:val="0"/>
                <w:szCs w:val="24"/>
              </w:rPr>
              <w:t>年</w:t>
            </w:r>
          </w:p>
        </w:tc>
        <w:tc>
          <w:tcPr>
            <w:tcW w:w="1287"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14:paraId="18616F97" w14:textId="77777777" w:rsidR="00052596" w:rsidRDefault="00000000">
            <w:pPr>
              <w:widowControl/>
              <w:overflowPunct w:val="0"/>
              <w:autoSpaceDE w:val="0"/>
              <w:spacing w:line="320" w:lineRule="exact"/>
              <w:jc w:val="center"/>
              <w:rPr>
                <w:rFonts w:eastAsia="標楷體"/>
                <w:b/>
                <w:color w:val="0000FF"/>
                <w:kern w:val="0"/>
                <w:szCs w:val="24"/>
              </w:rPr>
            </w:pPr>
            <w:r>
              <w:rPr>
                <w:rFonts w:eastAsia="標楷體"/>
                <w:b/>
                <w:color w:val="0000FF"/>
                <w:kern w:val="0"/>
                <w:szCs w:val="24"/>
              </w:rPr>
              <w:t>105</w:t>
            </w:r>
            <w:r>
              <w:rPr>
                <w:rFonts w:eastAsia="標楷體"/>
                <w:b/>
                <w:color w:val="0000FF"/>
                <w:kern w:val="0"/>
                <w:szCs w:val="24"/>
              </w:rPr>
              <w:t>年</w:t>
            </w:r>
          </w:p>
        </w:tc>
      </w:tr>
      <w:tr w:rsidR="00052596" w14:paraId="083128B3" w14:textId="77777777">
        <w:tblPrEx>
          <w:tblCellMar>
            <w:top w:w="0" w:type="dxa"/>
            <w:bottom w:w="0" w:type="dxa"/>
          </w:tblCellMar>
        </w:tblPrEx>
        <w:trPr>
          <w:cantSplit/>
          <w:trHeight w:val="346"/>
          <w:jc w:val="center"/>
        </w:trPr>
        <w:tc>
          <w:tcPr>
            <w:tcW w:w="4011" w:type="dxa"/>
            <w:tcBorders>
              <w:top w:val="single" w:sz="4" w:space="0" w:color="000000"/>
              <w:right w:val="single" w:sz="4" w:space="0" w:color="000000"/>
            </w:tcBorders>
            <w:shd w:val="clear" w:color="auto" w:fill="auto"/>
            <w:noWrap/>
            <w:tcMar>
              <w:top w:w="0" w:type="dxa"/>
              <w:left w:w="28" w:type="dxa"/>
              <w:bottom w:w="0" w:type="dxa"/>
              <w:right w:w="28" w:type="dxa"/>
            </w:tcMar>
          </w:tcPr>
          <w:p w14:paraId="1E01C9B4" w14:textId="77777777" w:rsidR="00052596" w:rsidRDefault="00000000">
            <w:pPr>
              <w:widowControl/>
              <w:overflowPunct w:val="0"/>
              <w:autoSpaceDE w:val="0"/>
              <w:spacing w:before="72" w:line="320" w:lineRule="exact"/>
              <w:ind w:left="168" w:hanging="168"/>
              <w:jc w:val="both"/>
              <w:rPr>
                <w:rFonts w:eastAsia="標楷體"/>
                <w:b/>
                <w:color w:val="800000"/>
                <w:kern w:val="0"/>
                <w:szCs w:val="24"/>
              </w:rPr>
            </w:pPr>
            <w:r>
              <w:rPr>
                <w:rFonts w:eastAsia="標楷體"/>
                <w:b/>
                <w:color w:val="800000"/>
                <w:kern w:val="0"/>
                <w:szCs w:val="24"/>
              </w:rPr>
              <w:t>綠能減碳</w:t>
            </w:r>
          </w:p>
        </w:tc>
        <w:tc>
          <w:tcPr>
            <w:tcW w:w="850"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14:paraId="45A3BB28" w14:textId="77777777" w:rsidR="00052596" w:rsidRDefault="00052596">
            <w:pPr>
              <w:widowControl/>
              <w:overflowPunct w:val="0"/>
              <w:autoSpaceDE w:val="0"/>
              <w:spacing w:before="72" w:line="320" w:lineRule="exact"/>
              <w:jc w:val="center"/>
              <w:rPr>
                <w:rFonts w:eastAsia="標楷體"/>
                <w:kern w:val="0"/>
                <w:szCs w:val="24"/>
              </w:rPr>
            </w:pPr>
          </w:p>
        </w:tc>
        <w:tc>
          <w:tcPr>
            <w:tcW w:w="1276"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14:paraId="354FD349" w14:textId="77777777" w:rsidR="00052596" w:rsidRDefault="00052596">
            <w:pPr>
              <w:widowControl/>
              <w:overflowPunct w:val="0"/>
              <w:autoSpaceDE w:val="0"/>
              <w:spacing w:before="72" w:line="320" w:lineRule="exact"/>
              <w:jc w:val="right"/>
              <w:rPr>
                <w:rFonts w:eastAsia="標楷體"/>
                <w:kern w:val="0"/>
                <w:szCs w:val="24"/>
              </w:rPr>
            </w:pPr>
          </w:p>
        </w:tc>
        <w:tc>
          <w:tcPr>
            <w:tcW w:w="1276"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14:paraId="5269649F" w14:textId="77777777" w:rsidR="00052596" w:rsidRDefault="00052596">
            <w:pPr>
              <w:widowControl/>
              <w:overflowPunct w:val="0"/>
              <w:autoSpaceDE w:val="0"/>
              <w:spacing w:before="72" w:line="320" w:lineRule="exact"/>
              <w:jc w:val="right"/>
              <w:rPr>
                <w:rFonts w:eastAsia="標楷體"/>
                <w:kern w:val="0"/>
                <w:szCs w:val="24"/>
              </w:rPr>
            </w:pPr>
          </w:p>
        </w:tc>
        <w:tc>
          <w:tcPr>
            <w:tcW w:w="1287" w:type="dxa"/>
            <w:tcBorders>
              <w:top w:val="single" w:sz="4" w:space="0" w:color="000000"/>
              <w:left w:val="single" w:sz="4" w:space="0" w:color="000000"/>
            </w:tcBorders>
            <w:shd w:val="clear" w:color="auto" w:fill="auto"/>
            <w:noWrap/>
            <w:tcMar>
              <w:top w:w="0" w:type="dxa"/>
              <w:left w:w="28" w:type="dxa"/>
              <w:bottom w:w="0" w:type="dxa"/>
              <w:right w:w="28" w:type="dxa"/>
            </w:tcMar>
          </w:tcPr>
          <w:p w14:paraId="3045FE15" w14:textId="77777777" w:rsidR="00052596" w:rsidRDefault="00052596">
            <w:pPr>
              <w:widowControl/>
              <w:overflowPunct w:val="0"/>
              <w:autoSpaceDE w:val="0"/>
              <w:spacing w:before="72" w:line="320" w:lineRule="exact"/>
              <w:jc w:val="right"/>
              <w:rPr>
                <w:rFonts w:eastAsia="標楷體"/>
                <w:kern w:val="0"/>
                <w:szCs w:val="24"/>
              </w:rPr>
            </w:pPr>
          </w:p>
        </w:tc>
      </w:tr>
      <w:tr w:rsidR="00052596" w14:paraId="052DEFAC" w14:textId="77777777">
        <w:tblPrEx>
          <w:tblCellMar>
            <w:top w:w="0" w:type="dxa"/>
            <w:bottom w:w="0" w:type="dxa"/>
          </w:tblCellMar>
        </w:tblPrEx>
        <w:trPr>
          <w:cantSplit/>
          <w:trHeight w:val="486"/>
          <w:jc w:val="center"/>
        </w:trPr>
        <w:tc>
          <w:tcPr>
            <w:tcW w:w="4011" w:type="dxa"/>
            <w:tcBorders>
              <w:right w:val="single" w:sz="4" w:space="0" w:color="000000"/>
            </w:tcBorders>
            <w:shd w:val="clear" w:color="auto" w:fill="auto"/>
            <w:noWrap/>
            <w:tcMar>
              <w:top w:w="0" w:type="dxa"/>
              <w:left w:w="28" w:type="dxa"/>
              <w:bottom w:w="0" w:type="dxa"/>
              <w:right w:w="28" w:type="dxa"/>
            </w:tcMar>
          </w:tcPr>
          <w:p w14:paraId="60F30FED" w14:textId="77777777" w:rsidR="00052596" w:rsidRDefault="00000000">
            <w:pPr>
              <w:widowControl/>
              <w:overflowPunct w:val="0"/>
              <w:autoSpaceDE w:val="0"/>
              <w:spacing w:before="72" w:line="320" w:lineRule="exact"/>
              <w:ind w:left="504" w:hanging="192"/>
              <w:jc w:val="both"/>
              <w:rPr>
                <w:rFonts w:eastAsia="標楷體"/>
                <w:kern w:val="0"/>
                <w:szCs w:val="24"/>
              </w:rPr>
            </w:pPr>
            <w:r>
              <w:rPr>
                <w:rFonts w:eastAsia="標楷體"/>
                <w:kern w:val="0"/>
                <w:szCs w:val="24"/>
              </w:rPr>
              <w:t>1.</w:t>
            </w:r>
            <w:r>
              <w:rPr>
                <w:rFonts w:eastAsia="標楷體"/>
                <w:kern w:val="0"/>
                <w:szCs w:val="24"/>
              </w:rPr>
              <w:t>提高能源使用效率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67B6DA13" w14:textId="77777777" w:rsidR="00052596" w:rsidRDefault="00000000">
            <w:pPr>
              <w:widowControl/>
              <w:overflowPunct w:val="0"/>
              <w:autoSpaceDE w:val="0"/>
              <w:spacing w:before="72" w:line="320" w:lineRule="exact"/>
              <w:ind w:left="192" w:hanging="192"/>
              <w:jc w:val="center"/>
              <w:rPr>
                <w:rFonts w:eastAsia="標楷體"/>
                <w:kern w:val="0"/>
                <w:szCs w:val="24"/>
              </w:rPr>
            </w:pP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6CD90914"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4.67</w:t>
            </w:r>
          </w:p>
          <w:p w14:paraId="5D3E3FF9"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(100</w:t>
            </w:r>
            <w:r>
              <w:rPr>
                <w:rFonts w:eastAsia="標楷體"/>
                <w:kern w:val="0"/>
                <w:szCs w:val="24"/>
              </w:rPr>
              <w:t>年</w:t>
            </w: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3829091A"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2</w:t>
            </w:r>
          </w:p>
        </w:tc>
        <w:tc>
          <w:tcPr>
            <w:tcW w:w="1287" w:type="dxa"/>
            <w:tcBorders>
              <w:left w:val="single" w:sz="4" w:space="0" w:color="000000"/>
            </w:tcBorders>
            <w:shd w:val="clear" w:color="auto" w:fill="auto"/>
            <w:noWrap/>
            <w:tcMar>
              <w:top w:w="0" w:type="dxa"/>
              <w:left w:w="28" w:type="dxa"/>
              <w:bottom w:w="0" w:type="dxa"/>
              <w:right w:w="28" w:type="dxa"/>
            </w:tcMar>
          </w:tcPr>
          <w:p w14:paraId="194EF587" w14:textId="77777777" w:rsidR="00052596" w:rsidRDefault="00000000">
            <w:pPr>
              <w:widowControl/>
              <w:overflowPunct w:val="0"/>
              <w:autoSpaceDE w:val="0"/>
              <w:spacing w:before="72" w:line="320" w:lineRule="exact"/>
              <w:ind w:left="504" w:right="48" w:hanging="192"/>
              <w:jc w:val="right"/>
            </w:pPr>
            <w:r>
              <w:rPr>
                <w:rFonts w:eastAsia="標楷體"/>
                <w:kern w:val="0"/>
                <w:szCs w:val="24"/>
              </w:rPr>
              <w:t>8</w:t>
            </w:r>
            <w:r>
              <w:rPr>
                <w:rFonts w:eastAsia="標楷體"/>
                <w:kern w:val="0"/>
                <w:szCs w:val="24"/>
                <w:vertAlign w:val="superscript"/>
              </w:rPr>
              <w:t>1</w:t>
            </w:r>
          </w:p>
        </w:tc>
      </w:tr>
      <w:tr w:rsidR="00052596" w14:paraId="3EBADBD3" w14:textId="77777777">
        <w:tblPrEx>
          <w:tblCellMar>
            <w:top w:w="0" w:type="dxa"/>
            <w:bottom w:w="0" w:type="dxa"/>
          </w:tblCellMar>
        </w:tblPrEx>
        <w:trPr>
          <w:cantSplit/>
          <w:trHeight w:val="83"/>
          <w:jc w:val="center"/>
        </w:trPr>
        <w:tc>
          <w:tcPr>
            <w:tcW w:w="4011" w:type="dxa"/>
            <w:tcBorders>
              <w:right w:val="single" w:sz="4" w:space="0" w:color="000000"/>
            </w:tcBorders>
            <w:shd w:val="clear" w:color="auto" w:fill="auto"/>
            <w:noWrap/>
            <w:tcMar>
              <w:top w:w="0" w:type="dxa"/>
              <w:left w:w="28" w:type="dxa"/>
              <w:bottom w:w="0" w:type="dxa"/>
              <w:right w:w="28" w:type="dxa"/>
            </w:tcMar>
          </w:tcPr>
          <w:p w14:paraId="4E5052BB"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2.</w:t>
            </w:r>
            <w:r>
              <w:rPr>
                <w:rFonts w:eastAsia="標楷體"/>
                <w:kern w:val="0"/>
                <w:szCs w:val="24"/>
              </w:rPr>
              <w:t>推動綠色能源產業</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7A82A114" w14:textId="77777777" w:rsidR="00052596" w:rsidRDefault="00052596">
            <w:pPr>
              <w:widowControl/>
              <w:overflowPunct w:val="0"/>
              <w:autoSpaceDE w:val="0"/>
              <w:spacing w:line="320" w:lineRule="exact"/>
              <w:ind w:left="192" w:hanging="192"/>
              <w:jc w:val="center"/>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06A719C" w14:textId="77777777" w:rsidR="00052596" w:rsidRDefault="00052596">
            <w:pPr>
              <w:widowControl/>
              <w:overflowPunct w:val="0"/>
              <w:autoSpaceDE w:val="0"/>
              <w:spacing w:line="320" w:lineRule="exact"/>
              <w:ind w:left="504" w:right="48" w:hanging="192"/>
              <w:jc w:val="right"/>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E950C2C" w14:textId="77777777" w:rsidR="00052596" w:rsidRDefault="00052596">
            <w:pPr>
              <w:widowControl/>
              <w:overflowPunct w:val="0"/>
              <w:autoSpaceDE w:val="0"/>
              <w:spacing w:line="320" w:lineRule="exact"/>
              <w:ind w:left="504" w:right="48" w:hanging="192"/>
              <w:jc w:val="right"/>
              <w:rPr>
                <w:rFonts w:eastAsia="標楷體"/>
                <w:kern w:val="0"/>
                <w:szCs w:val="24"/>
              </w:rPr>
            </w:pPr>
          </w:p>
        </w:tc>
        <w:tc>
          <w:tcPr>
            <w:tcW w:w="1287" w:type="dxa"/>
            <w:tcBorders>
              <w:left w:val="single" w:sz="4" w:space="0" w:color="000000"/>
            </w:tcBorders>
            <w:shd w:val="clear" w:color="auto" w:fill="auto"/>
            <w:noWrap/>
            <w:tcMar>
              <w:top w:w="0" w:type="dxa"/>
              <w:left w:w="28" w:type="dxa"/>
              <w:bottom w:w="0" w:type="dxa"/>
              <w:right w:w="28" w:type="dxa"/>
            </w:tcMar>
          </w:tcPr>
          <w:p w14:paraId="0700A4B1" w14:textId="77777777" w:rsidR="00052596" w:rsidRDefault="00052596">
            <w:pPr>
              <w:widowControl/>
              <w:overflowPunct w:val="0"/>
              <w:autoSpaceDE w:val="0"/>
              <w:spacing w:line="320" w:lineRule="exact"/>
              <w:ind w:left="504" w:right="48" w:hanging="192"/>
              <w:jc w:val="right"/>
              <w:rPr>
                <w:rFonts w:eastAsia="標楷體"/>
                <w:kern w:val="0"/>
                <w:szCs w:val="24"/>
              </w:rPr>
            </w:pPr>
          </w:p>
        </w:tc>
      </w:tr>
      <w:tr w:rsidR="00052596" w14:paraId="320821F5" w14:textId="77777777">
        <w:tblPrEx>
          <w:tblCellMar>
            <w:top w:w="0" w:type="dxa"/>
            <w:bottom w:w="0" w:type="dxa"/>
          </w:tblCellMar>
        </w:tblPrEx>
        <w:trPr>
          <w:cantSplit/>
          <w:trHeight w:val="83"/>
          <w:jc w:val="center"/>
        </w:trPr>
        <w:tc>
          <w:tcPr>
            <w:tcW w:w="4011" w:type="dxa"/>
            <w:tcBorders>
              <w:right w:val="single" w:sz="4" w:space="0" w:color="000000"/>
            </w:tcBorders>
            <w:shd w:val="clear" w:color="auto" w:fill="auto"/>
            <w:noWrap/>
            <w:tcMar>
              <w:top w:w="0" w:type="dxa"/>
              <w:left w:w="28" w:type="dxa"/>
              <w:bottom w:w="0" w:type="dxa"/>
              <w:right w:w="28" w:type="dxa"/>
            </w:tcMar>
          </w:tcPr>
          <w:p w14:paraId="219014B8" w14:textId="77777777" w:rsidR="00052596" w:rsidRDefault="00000000">
            <w:pPr>
              <w:widowControl/>
              <w:overflowPunct w:val="0"/>
              <w:autoSpaceDE w:val="0"/>
              <w:spacing w:before="72" w:line="320" w:lineRule="exact"/>
              <w:ind w:left="768" w:hanging="240"/>
              <w:jc w:val="both"/>
              <w:rPr>
                <w:rFonts w:eastAsia="標楷體"/>
                <w:kern w:val="0"/>
                <w:szCs w:val="24"/>
              </w:rPr>
            </w:pPr>
            <w:r>
              <w:rPr>
                <w:rFonts w:eastAsia="標楷體"/>
                <w:kern w:val="0"/>
                <w:szCs w:val="24"/>
              </w:rPr>
              <w:t>－產值</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F779795" w14:textId="77777777" w:rsidR="00052596" w:rsidRDefault="00000000">
            <w:pPr>
              <w:widowControl/>
              <w:overflowPunct w:val="0"/>
              <w:autoSpaceDE w:val="0"/>
              <w:spacing w:before="72" w:line="320" w:lineRule="exact"/>
              <w:jc w:val="center"/>
              <w:rPr>
                <w:rFonts w:eastAsia="標楷體"/>
                <w:kern w:val="0"/>
                <w:szCs w:val="24"/>
              </w:rPr>
            </w:pPr>
            <w:r>
              <w:rPr>
                <w:rFonts w:eastAsia="標楷體"/>
                <w:kern w:val="0"/>
                <w:szCs w:val="24"/>
              </w:rPr>
              <w:t>億元</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19FF0693"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3,452</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67ABE7E7"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 xml:space="preserve">3,805 </w:t>
            </w:r>
          </w:p>
        </w:tc>
        <w:tc>
          <w:tcPr>
            <w:tcW w:w="1287" w:type="dxa"/>
            <w:tcBorders>
              <w:left w:val="single" w:sz="4" w:space="0" w:color="000000"/>
            </w:tcBorders>
            <w:shd w:val="clear" w:color="auto" w:fill="auto"/>
            <w:noWrap/>
            <w:tcMar>
              <w:top w:w="0" w:type="dxa"/>
              <w:left w:w="28" w:type="dxa"/>
              <w:bottom w:w="0" w:type="dxa"/>
              <w:right w:w="28" w:type="dxa"/>
            </w:tcMar>
          </w:tcPr>
          <w:p w14:paraId="48EC7317"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6,580</w:t>
            </w:r>
          </w:p>
        </w:tc>
      </w:tr>
      <w:tr w:rsidR="00052596" w14:paraId="2CC006F7" w14:textId="77777777">
        <w:tblPrEx>
          <w:tblCellMar>
            <w:top w:w="0" w:type="dxa"/>
            <w:bottom w:w="0" w:type="dxa"/>
          </w:tblCellMar>
        </w:tblPrEx>
        <w:trPr>
          <w:cantSplit/>
          <w:trHeight w:val="167"/>
          <w:jc w:val="center"/>
        </w:trPr>
        <w:tc>
          <w:tcPr>
            <w:tcW w:w="4011" w:type="dxa"/>
            <w:tcBorders>
              <w:right w:val="single" w:sz="4" w:space="0" w:color="000000"/>
            </w:tcBorders>
            <w:shd w:val="clear" w:color="auto" w:fill="auto"/>
            <w:noWrap/>
            <w:tcMar>
              <w:top w:w="0" w:type="dxa"/>
              <w:left w:w="28" w:type="dxa"/>
              <w:bottom w:w="0" w:type="dxa"/>
              <w:right w:w="28" w:type="dxa"/>
            </w:tcMar>
          </w:tcPr>
          <w:p w14:paraId="7D0B7D5B" w14:textId="77777777" w:rsidR="00052596" w:rsidRDefault="00000000">
            <w:pPr>
              <w:widowControl/>
              <w:overflowPunct w:val="0"/>
              <w:autoSpaceDE w:val="0"/>
              <w:spacing w:before="72" w:line="320" w:lineRule="exact"/>
              <w:ind w:left="768" w:hanging="240"/>
              <w:jc w:val="both"/>
              <w:rPr>
                <w:rFonts w:eastAsia="標楷體"/>
                <w:kern w:val="0"/>
                <w:szCs w:val="24"/>
              </w:rPr>
            </w:pPr>
            <w:r>
              <w:rPr>
                <w:rFonts w:eastAsia="標楷體"/>
                <w:kern w:val="0"/>
                <w:szCs w:val="24"/>
              </w:rPr>
              <w:t>－創造之就業機會</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3CD50598" w14:textId="77777777" w:rsidR="00052596" w:rsidRDefault="00000000">
            <w:pPr>
              <w:widowControl/>
              <w:overflowPunct w:val="0"/>
              <w:autoSpaceDE w:val="0"/>
              <w:spacing w:before="72" w:line="320" w:lineRule="exact"/>
              <w:ind w:left="192" w:hanging="192"/>
              <w:jc w:val="center"/>
              <w:rPr>
                <w:rFonts w:eastAsia="標楷體"/>
                <w:kern w:val="0"/>
                <w:szCs w:val="24"/>
              </w:rPr>
            </w:pPr>
            <w:r>
              <w:rPr>
                <w:rFonts w:eastAsia="標楷體"/>
                <w:kern w:val="0"/>
                <w:szCs w:val="24"/>
              </w:rPr>
              <w:t>萬</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34463AC"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5.78</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1B093F5"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6.23</w:t>
            </w:r>
          </w:p>
        </w:tc>
        <w:tc>
          <w:tcPr>
            <w:tcW w:w="1287" w:type="dxa"/>
            <w:tcBorders>
              <w:left w:val="single" w:sz="4" w:space="0" w:color="000000"/>
            </w:tcBorders>
            <w:shd w:val="clear" w:color="auto" w:fill="auto"/>
            <w:noWrap/>
            <w:tcMar>
              <w:top w:w="0" w:type="dxa"/>
              <w:left w:w="28" w:type="dxa"/>
              <w:bottom w:w="0" w:type="dxa"/>
              <w:right w:w="28" w:type="dxa"/>
            </w:tcMar>
          </w:tcPr>
          <w:p w14:paraId="6E28C2A4"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7.90</w:t>
            </w:r>
          </w:p>
        </w:tc>
      </w:tr>
      <w:tr w:rsidR="00052596" w14:paraId="795711E7" w14:textId="77777777">
        <w:tblPrEx>
          <w:tblCellMar>
            <w:top w:w="0" w:type="dxa"/>
            <w:bottom w:w="0" w:type="dxa"/>
          </w:tblCellMar>
        </w:tblPrEx>
        <w:trPr>
          <w:cantSplit/>
          <w:trHeight w:val="77"/>
          <w:jc w:val="center"/>
        </w:trPr>
        <w:tc>
          <w:tcPr>
            <w:tcW w:w="4011" w:type="dxa"/>
            <w:tcBorders>
              <w:right w:val="single" w:sz="4" w:space="0" w:color="000000"/>
            </w:tcBorders>
            <w:shd w:val="clear" w:color="auto" w:fill="auto"/>
            <w:noWrap/>
            <w:tcMar>
              <w:top w:w="0" w:type="dxa"/>
              <w:left w:w="28" w:type="dxa"/>
              <w:bottom w:w="0" w:type="dxa"/>
              <w:right w:w="28" w:type="dxa"/>
            </w:tcMar>
          </w:tcPr>
          <w:p w14:paraId="5DD8062C" w14:textId="77777777" w:rsidR="00052596" w:rsidRDefault="00000000">
            <w:pPr>
              <w:widowControl/>
              <w:overflowPunct w:val="0"/>
              <w:autoSpaceDE w:val="0"/>
              <w:spacing w:before="72" w:line="320" w:lineRule="exact"/>
              <w:ind w:left="504" w:hanging="192"/>
              <w:jc w:val="both"/>
              <w:rPr>
                <w:rFonts w:eastAsia="標楷體"/>
                <w:kern w:val="0"/>
                <w:szCs w:val="24"/>
              </w:rPr>
            </w:pPr>
            <w:r>
              <w:rPr>
                <w:rFonts w:eastAsia="標楷體"/>
                <w:kern w:val="0"/>
                <w:szCs w:val="24"/>
              </w:rPr>
              <w:t>3.</w:t>
            </w:r>
            <w:r>
              <w:rPr>
                <w:rFonts w:eastAsia="標楷體"/>
                <w:kern w:val="0"/>
                <w:szCs w:val="24"/>
              </w:rPr>
              <w:t>再生能源發電裝置容量</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4371BB06" w14:textId="77777777" w:rsidR="00052596" w:rsidRDefault="00000000">
            <w:pPr>
              <w:widowControl/>
              <w:overflowPunct w:val="0"/>
              <w:autoSpaceDE w:val="0"/>
              <w:spacing w:before="72" w:line="320" w:lineRule="exact"/>
              <w:jc w:val="center"/>
              <w:rPr>
                <w:rFonts w:eastAsia="標楷體"/>
                <w:kern w:val="0"/>
                <w:szCs w:val="24"/>
              </w:rPr>
            </w:pPr>
            <w:r>
              <w:rPr>
                <w:rFonts w:eastAsia="標楷體"/>
                <w:kern w:val="0"/>
                <w:szCs w:val="24"/>
              </w:rPr>
              <w:t>萬瓩</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D20A460"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368</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684EF6DA"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396</w:t>
            </w:r>
          </w:p>
        </w:tc>
        <w:tc>
          <w:tcPr>
            <w:tcW w:w="1287" w:type="dxa"/>
            <w:tcBorders>
              <w:left w:val="single" w:sz="4" w:space="0" w:color="000000"/>
            </w:tcBorders>
            <w:shd w:val="clear" w:color="auto" w:fill="auto"/>
            <w:noWrap/>
            <w:tcMar>
              <w:top w:w="0" w:type="dxa"/>
              <w:left w:w="28" w:type="dxa"/>
              <w:bottom w:w="0" w:type="dxa"/>
              <w:right w:w="28" w:type="dxa"/>
            </w:tcMar>
          </w:tcPr>
          <w:p w14:paraId="3860EC54" w14:textId="77777777" w:rsidR="00052596" w:rsidRDefault="00000000">
            <w:pPr>
              <w:widowControl/>
              <w:overflowPunct w:val="0"/>
              <w:autoSpaceDE w:val="0"/>
              <w:spacing w:before="72" w:line="320" w:lineRule="exact"/>
              <w:ind w:left="504" w:right="48" w:hanging="192"/>
              <w:jc w:val="right"/>
              <w:rPr>
                <w:rFonts w:eastAsia="標楷體"/>
                <w:kern w:val="0"/>
                <w:szCs w:val="24"/>
              </w:rPr>
            </w:pPr>
            <w:r>
              <w:rPr>
                <w:rFonts w:eastAsia="標楷體"/>
                <w:kern w:val="0"/>
                <w:szCs w:val="24"/>
              </w:rPr>
              <w:t>458</w:t>
            </w:r>
          </w:p>
        </w:tc>
      </w:tr>
      <w:tr w:rsidR="00052596" w14:paraId="37AB2DFB" w14:textId="77777777">
        <w:tblPrEx>
          <w:tblCellMar>
            <w:top w:w="0" w:type="dxa"/>
            <w:bottom w:w="0" w:type="dxa"/>
          </w:tblCellMar>
        </w:tblPrEx>
        <w:trPr>
          <w:cantSplit/>
          <w:trHeight w:val="335"/>
          <w:jc w:val="center"/>
        </w:trPr>
        <w:tc>
          <w:tcPr>
            <w:tcW w:w="4011" w:type="dxa"/>
            <w:tcBorders>
              <w:right w:val="single" w:sz="4" w:space="0" w:color="000000"/>
            </w:tcBorders>
            <w:shd w:val="clear" w:color="auto" w:fill="auto"/>
            <w:noWrap/>
            <w:tcMar>
              <w:top w:w="0" w:type="dxa"/>
              <w:left w:w="28" w:type="dxa"/>
              <w:bottom w:w="0" w:type="dxa"/>
              <w:right w:w="28" w:type="dxa"/>
            </w:tcMar>
          </w:tcPr>
          <w:p w14:paraId="1C56BE63" w14:textId="77777777" w:rsidR="00052596" w:rsidRDefault="00000000">
            <w:pPr>
              <w:widowControl/>
              <w:overflowPunct w:val="0"/>
              <w:autoSpaceDE w:val="0"/>
              <w:spacing w:before="72" w:after="72" w:line="320" w:lineRule="exact"/>
              <w:jc w:val="both"/>
            </w:pPr>
            <w:r>
              <w:rPr>
                <w:rFonts w:eastAsia="標楷體"/>
                <w:b/>
                <w:color w:val="800000"/>
                <w:kern w:val="0"/>
                <w:szCs w:val="24"/>
              </w:rPr>
              <w:t>生態家園</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46D28BFE" w14:textId="77777777" w:rsidR="00052596" w:rsidRDefault="00052596">
            <w:pPr>
              <w:widowControl/>
              <w:overflowPunct w:val="0"/>
              <w:autoSpaceDE w:val="0"/>
              <w:spacing w:before="72" w:after="72" w:line="320" w:lineRule="exact"/>
              <w:jc w:val="center"/>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165179AD"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EB592A0" w14:textId="77777777" w:rsidR="00052596" w:rsidRDefault="00052596">
            <w:pPr>
              <w:widowControl/>
              <w:overflowPunct w:val="0"/>
              <w:autoSpaceDE w:val="0"/>
              <w:spacing w:before="72" w:after="72" w:line="320" w:lineRule="exact"/>
              <w:ind w:right="48"/>
              <w:jc w:val="right"/>
              <w:rPr>
                <w:rFonts w:eastAsia="標楷體"/>
                <w:kern w:val="0"/>
                <w:szCs w:val="24"/>
              </w:rPr>
            </w:pPr>
          </w:p>
        </w:tc>
        <w:tc>
          <w:tcPr>
            <w:tcW w:w="1287" w:type="dxa"/>
            <w:tcBorders>
              <w:left w:val="single" w:sz="4" w:space="0" w:color="000000"/>
            </w:tcBorders>
            <w:shd w:val="clear" w:color="auto" w:fill="auto"/>
            <w:noWrap/>
            <w:tcMar>
              <w:top w:w="0" w:type="dxa"/>
              <w:left w:w="28" w:type="dxa"/>
              <w:bottom w:w="0" w:type="dxa"/>
              <w:right w:w="28" w:type="dxa"/>
            </w:tcMar>
          </w:tcPr>
          <w:p w14:paraId="26C6E77B" w14:textId="77777777" w:rsidR="00052596" w:rsidRDefault="00052596">
            <w:pPr>
              <w:widowControl/>
              <w:overflowPunct w:val="0"/>
              <w:autoSpaceDE w:val="0"/>
              <w:spacing w:before="72" w:after="72" w:line="320" w:lineRule="exact"/>
              <w:ind w:right="48"/>
              <w:jc w:val="right"/>
              <w:rPr>
                <w:rFonts w:eastAsia="標楷體"/>
                <w:kern w:val="0"/>
                <w:szCs w:val="24"/>
              </w:rPr>
            </w:pPr>
          </w:p>
        </w:tc>
      </w:tr>
      <w:tr w:rsidR="00052596" w14:paraId="2E0944C6" w14:textId="77777777">
        <w:tblPrEx>
          <w:tblCellMar>
            <w:top w:w="0" w:type="dxa"/>
            <w:bottom w:w="0" w:type="dxa"/>
          </w:tblCellMar>
        </w:tblPrEx>
        <w:trPr>
          <w:cantSplit/>
          <w:trHeight w:val="335"/>
          <w:jc w:val="center"/>
        </w:trPr>
        <w:tc>
          <w:tcPr>
            <w:tcW w:w="4011" w:type="dxa"/>
            <w:tcBorders>
              <w:right w:val="single" w:sz="4" w:space="0" w:color="000000"/>
            </w:tcBorders>
            <w:shd w:val="clear" w:color="auto" w:fill="auto"/>
            <w:noWrap/>
            <w:tcMar>
              <w:top w:w="0" w:type="dxa"/>
              <w:left w:w="28" w:type="dxa"/>
              <w:bottom w:w="0" w:type="dxa"/>
              <w:right w:w="28" w:type="dxa"/>
            </w:tcMar>
          </w:tcPr>
          <w:p w14:paraId="3D0FB6EC" w14:textId="77777777" w:rsidR="00052596" w:rsidRDefault="00000000">
            <w:pPr>
              <w:widowControl/>
              <w:overflowPunct w:val="0"/>
              <w:autoSpaceDE w:val="0"/>
              <w:spacing w:before="72" w:line="320" w:lineRule="exact"/>
              <w:ind w:left="504" w:hanging="192"/>
              <w:jc w:val="both"/>
            </w:pPr>
            <w:r>
              <w:rPr>
                <w:rFonts w:eastAsia="標楷體"/>
                <w:kern w:val="0"/>
                <w:szCs w:val="24"/>
              </w:rPr>
              <w:t>1.</w:t>
            </w:r>
            <w:r>
              <w:rPr>
                <w:rFonts w:eastAsia="標楷體"/>
                <w:kern w:val="0"/>
                <w:szCs w:val="24"/>
              </w:rPr>
              <w:t>全國細懸浮微粒</w:t>
            </w:r>
            <w:r>
              <w:rPr>
                <w:rFonts w:ascii="標楷體" w:eastAsia="標楷體" w:hAnsi="標楷體"/>
                <w:kern w:val="0"/>
                <w:szCs w:val="24"/>
              </w:rPr>
              <w:t>(</w:t>
            </w:r>
            <w:r>
              <w:rPr>
                <w:rFonts w:eastAsia="標楷體"/>
                <w:kern w:val="0"/>
                <w:szCs w:val="24"/>
              </w:rPr>
              <w:t>PM</w:t>
            </w:r>
            <w:r>
              <w:rPr>
                <w:rFonts w:eastAsia="標楷體"/>
                <w:kern w:val="0"/>
                <w:szCs w:val="24"/>
                <w:vertAlign w:val="subscript"/>
              </w:rPr>
              <w:t>2.5</w:t>
            </w:r>
            <w:r>
              <w:rPr>
                <w:rFonts w:ascii="標楷體" w:eastAsia="標楷體" w:hAnsi="標楷體"/>
                <w:kern w:val="0"/>
                <w:szCs w:val="24"/>
              </w:rPr>
              <w:t>)</w:t>
            </w:r>
            <w:r>
              <w:rPr>
                <w:rFonts w:eastAsia="標楷體"/>
                <w:kern w:val="0"/>
                <w:szCs w:val="24"/>
              </w:rPr>
              <w:t>年平均濃度</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EE9532E" w14:textId="77777777" w:rsidR="00052596" w:rsidRDefault="00000000">
            <w:pPr>
              <w:widowControl/>
              <w:overflowPunct w:val="0"/>
              <w:autoSpaceDE w:val="0"/>
              <w:spacing w:before="72" w:line="320" w:lineRule="exact"/>
              <w:jc w:val="center"/>
            </w:pPr>
            <w:r>
              <w:rPr>
                <w:rFonts w:eastAsia="標楷體"/>
                <w:kern w:val="0"/>
                <w:szCs w:val="24"/>
              </w:rPr>
              <w:t>μg/m</w:t>
            </w:r>
            <w:r>
              <w:rPr>
                <w:rFonts w:eastAsia="標楷體"/>
                <w:kern w:val="0"/>
                <w:szCs w:val="24"/>
                <w:vertAlign w:val="superscript"/>
              </w:rPr>
              <w:t>3</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828BE36" w14:textId="77777777" w:rsidR="00052596" w:rsidRDefault="00000000">
            <w:pPr>
              <w:widowControl/>
              <w:overflowPunct w:val="0"/>
              <w:autoSpaceDE w:val="0"/>
              <w:spacing w:before="72" w:line="320" w:lineRule="exact"/>
              <w:ind w:right="48"/>
              <w:jc w:val="right"/>
            </w:pPr>
            <w:r>
              <w:rPr>
                <w:rFonts w:eastAsia="標楷體"/>
                <w:kern w:val="0"/>
                <w:szCs w:val="24"/>
              </w:rPr>
              <w:t>－</w:t>
            </w:r>
            <w:r>
              <w:rPr>
                <w:rFonts w:eastAsia="標楷體"/>
                <w:kern w:val="0"/>
                <w:szCs w:val="24"/>
                <w:vertAlign w:val="superscript"/>
              </w:rPr>
              <w:t>2</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E1607CA"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22.5</w:t>
            </w:r>
            <w:r>
              <w:rPr>
                <w:rFonts w:eastAsia="標楷體"/>
                <w:kern w:val="0"/>
                <w:szCs w:val="24"/>
              </w:rPr>
              <w:t>以下</w:t>
            </w:r>
          </w:p>
        </w:tc>
        <w:tc>
          <w:tcPr>
            <w:tcW w:w="1287" w:type="dxa"/>
            <w:tcBorders>
              <w:left w:val="single" w:sz="4" w:space="0" w:color="000000"/>
            </w:tcBorders>
            <w:shd w:val="clear" w:color="auto" w:fill="auto"/>
            <w:noWrap/>
            <w:tcMar>
              <w:top w:w="0" w:type="dxa"/>
              <w:left w:w="28" w:type="dxa"/>
              <w:bottom w:w="0" w:type="dxa"/>
              <w:right w:w="28" w:type="dxa"/>
            </w:tcMar>
          </w:tcPr>
          <w:p w14:paraId="3E35B90F"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20.0</w:t>
            </w:r>
            <w:r>
              <w:rPr>
                <w:rFonts w:eastAsia="標楷體"/>
                <w:kern w:val="0"/>
                <w:szCs w:val="24"/>
              </w:rPr>
              <w:t>以下</w:t>
            </w:r>
          </w:p>
        </w:tc>
      </w:tr>
      <w:tr w:rsidR="00052596" w14:paraId="76E5113F" w14:textId="77777777">
        <w:tblPrEx>
          <w:tblCellMar>
            <w:top w:w="0" w:type="dxa"/>
            <w:bottom w:w="0" w:type="dxa"/>
          </w:tblCellMar>
        </w:tblPrEx>
        <w:trPr>
          <w:cantSplit/>
          <w:trHeight w:val="538"/>
          <w:jc w:val="center"/>
        </w:trPr>
        <w:tc>
          <w:tcPr>
            <w:tcW w:w="4011" w:type="dxa"/>
            <w:tcBorders>
              <w:right w:val="single" w:sz="4" w:space="0" w:color="000000"/>
            </w:tcBorders>
            <w:shd w:val="clear" w:color="auto" w:fill="auto"/>
            <w:noWrap/>
            <w:tcMar>
              <w:top w:w="0" w:type="dxa"/>
              <w:left w:w="28" w:type="dxa"/>
              <w:bottom w:w="0" w:type="dxa"/>
              <w:right w:w="28" w:type="dxa"/>
            </w:tcMar>
          </w:tcPr>
          <w:p w14:paraId="34A02EFB" w14:textId="77777777" w:rsidR="00052596" w:rsidRDefault="00000000">
            <w:pPr>
              <w:widowControl/>
              <w:overflowPunct w:val="0"/>
              <w:autoSpaceDE w:val="0"/>
              <w:spacing w:before="72" w:line="320" w:lineRule="exact"/>
              <w:ind w:left="504" w:hanging="192"/>
              <w:jc w:val="both"/>
              <w:rPr>
                <w:rFonts w:eastAsia="標楷體"/>
                <w:kern w:val="0"/>
                <w:szCs w:val="24"/>
              </w:rPr>
            </w:pPr>
            <w:r>
              <w:rPr>
                <w:rFonts w:eastAsia="標楷體"/>
                <w:kern w:val="0"/>
                <w:szCs w:val="24"/>
              </w:rPr>
              <w:t>2.</w:t>
            </w:r>
            <w:r>
              <w:rPr>
                <w:rFonts w:eastAsia="標楷體"/>
                <w:kern w:val="0"/>
                <w:szCs w:val="24"/>
              </w:rPr>
              <w:t>資源回收再利用率</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0371EDE" w14:textId="77777777" w:rsidR="00052596" w:rsidRDefault="00000000">
            <w:pPr>
              <w:widowControl/>
              <w:overflowPunct w:val="0"/>
              <w:autoSpaceDE w:val="0"/>
              <w:spacing w:before="72" w:line="320" w:lineRule="exact"/>
              <w:jc w:val="center"/>
              <w:rPr>
                <w:rFonts w:eastAsia="標楷體"/>
                <w:kern w:val="0"/>
                <w:szCs w:val="24"/>
              </w:rPr>
            </w:pP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5DA7C94B"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62.16</w:t>
            </w:r>
          </w:p>
          <w:p w14:paraId="08E22741" w14:textId="77777777" w:rsidR="00052596" w:rsidRDefault="00000000">
            <w:pPr>
              <w:widowControl/>
              <w:overflowPunct w:val="0"/>
              <w:autoSpaceDE w:val="0"/>
              <w:spacing w:after="72" w:line="320" w:lineRule="exact"/>
              <w:ind w:right="48"/>
              <w:jc w:val="right"/>
              <w:rPr>
                <w:rFonts w:eastAsia="標楷體"/>
                <w:kern w:val="0"/>
                <w:szCs w:val="24"/>
              </w:rPr>
            </w:pPr>
            <w:r>
              <w:rPr>
                <w:rFonts w:eastAsia="標楷體"/>
                <w:kern w:val="0"/>
                <w:szCs w:val="24"/>
              </w:rPr>
              <w:t>(1-10</w:t>
            </w:r>
            <w:r>
              <w:rPr>
                <w:rFonts w:eastAsia="標楷體"/>
                <w:kern w:val="0"/>
                <w:szCs w:val="24"/>
              </w:rPr>
              <w:t>月</w:t>
            </w: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6708A4C7"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 xml:space="preserve">63 </w:t>
            </w:r>
          </w:p>
        </w:tc>
        <w:tc>
          <w:tcPr>
            <w:tcW w:w="1287" w:type="dxa"/>
            <w:tcBorders>
              <w:left w:val="single" w:sz="4" w:space="0" w:color="000000"/>
            </w:tcBorders>
            <w:shd w:val="clear" w:color="auto" w:fill="auto"/>
            <w:noWrap/>
            <w:tcMar>
              <w:top w:w="0" w:type="dxa"/>
              <w:left w:w="28" w:type="dxa"/>
              <w:bottom w:w="0" w:type="dxa"/>
              <w:right w:w="28" w:type="dxa"/>
            </w:tcMar>
          </w:tcPr>
          <w:p w14:paraId="51A66106"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 xml:space="preserve">64.5 </w:t>
            </w:r>
          </w:p>
        </w:tc>
      </w:tr>
      <w:tr w:rsidR="00052596" w14:paraId="45743B33" w14:textId="77777777">
        <w:tblPrEx>
          <w:tblCellMar>
            <w:top w:w="0" w:type="dxa"/>
            <w:bottom w:w="0" w:type="dxa"/>
          </w:tblCellMar>
        </w:tblPrEx>
        <w:trPr>
          <w:cantSplit/>
          <w:trHeight w:val="593"/>
          <w:jc w:val="center"/>
        </w:trPr>
        <w:tc>
          <w:tcPr>
            <w:tcW w:w="4011" w:type="dxa"/>
            <w:tcBorders>
              <w:right w:val="single" w:sz="4" w:space="0" w:color="000000"/>
            </w:tcBorders>
            <w:shd w:val="clear" w:color="auto" w:fill="auto"/>
            <w:noWrap/>
            <w:tcMar>
              <w:top w:w="0" w:type="dxa"/>
              <w:left w:w="28" w:type="dxa"/>
              <w:bottom w:w="0" w:type="dxa"/>
              <w:right w:w="28" w:type="dxa"/>
            </w:tcMar>
          </w:tcPr>
          <w:p w14:paraId="4CD39792" w14:textId="77777777" w:rsidR="00052596" w:rsidRDefault="00000000">
            <w:pPr>
              <w:widowControl/>
              <w:overflowPunct w:val="0"/>
              <w:autoSpaceDE w:val="0"/>
              <w:spacing w:before="72" w:line="320" w:lineRule="exact"/>
              <w:ind w:left="504" w:hanging="192"/>
              <w:jc w:val="both"/>
              <w:rPr>
                <w:rFonts w:eastAsia="標楷體"/>
                <w:kern w:val="0"/>
                <w:szCs w:val="24"/>
              </w:rPr>
            </w:pPr>
            <w:r>
              <w:rPr>
                <w:rFonts w:eastAsia="標楷體"/>
                <w:kern w:val="0"/>
                <w:szCs w:val="24"/>
              </w:rPr>
              <w:t>3.</w:t>
            </w:r>
            <w:r>
              <w:rPr>
                <w:rFonts w:eastAsia="標楷體"/>
                <w:kern w:val="0"/>
                <w:szCs w:val="24"/>
              </w:rPr>
              <w:t>核發環保標章、第</w:t>
            </w:r>
            <w:r>
              <w:rPr>
                <w:rFonts w:eastAsia="標楷體"/>
                <w:kern w:val="0"/>
                <w:szCs w:val="24"/>
              </w:rPr>
              <w:t>2</w:t>
            </w:r>
            <w:r>
              <w:rPr>
                <w:rFonts w:eastAsia="標楷體"/>
                <w:kern w:val="0"/>
                <w:szCs w:val="24"/>
              </w:rPr>
              <w:t>類環境保護與碳標籤產品</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6C6A9547" w14:textId="77777777" w:rsidR="00052596" w:rsidRDefault="00000000">
            <w:pPr>
              <w:widowControl/>
              <w:overflowPunct w:val="0"/>
              <w:autoSpaceDE w:val="0"/>
              <w:spacing w:before="72" w:line="320" w:lineRule="exact"/>
              <w:jc w:val="center"/>
              <w:rPr>
                <w:rFonts w:eastAsia="標楷體"/>
                <w:kern w:val="0"/>
                <w:szCs w:val="24"/>
              </w:rPr>
            </w:pPr>
            <w:r>
              <w:rPr>
                <w:rFonts w:eastAsia="標楷體"/>
                <w:kern w:val="0"/>
                <w:szCs w:val="24"/>
              </w:rPr>
              <w:t>件</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FEDAB72"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1,502</w:t>
            </w:r>
          </w:p>
          <w:p w14:paraId="6BD7088E" w14:textId="77777777" w:rsidR="00052596" w:rsidRDefault="00000000">
            <w:pPr>
              <w:widowControl/>
              <w:overflowPunct w:val="0"/>
              <w:autoSpaceDE w:val="0"/>
              <w:spacing w:after="72" w:line="320" w:lineRule="exact"/>
              <w:ind w:right="48"/>
              <w:jc w:val="right"/>
              <w:rPr>
                <w:rFonts w:eastAsia="標楷體"/>
                <w:kern w:val="0"/>
                <w:szCs w:val="24"/>
              </w:rPr>
            </w:pPr>
            <w:r>
              <w:rPr>
                <w:rFonts w:eastAsia="標楷體"/>
                <w:kern w:val="0"/>
                <w:szCs w:val="24"/>
              </w:rPr>
              <w:t>(1-10</w:t>
            </w:r>
            <w:r>
              <w:rPr>
                <w:rFonts w:eastAsia="標楷體"/>
                <w:kern w:val="0"/>
                <w:szCs w:val="24"/>
              </w:rPr>
              <w:t>月</w:t>
            </w: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33702F1D"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1,000</w:t>
            </w:r>
          </w:p>
        </w:tc>
        <w:tc>
          <w:tcPr>
            <w:tcW w:w="1287" w:type="dxa"/>
            <w:tcBorders>
              <w:left w:val="single" w:sz="4" w:space="0" w:color="000000"/>
            </w:tcBorders>
            <w:shd w:val="clear" w:color="auto" w:fill="auto"/>
            <w:noWrap/>
            <w:tcMar>
              <w:top w:w="0" w:type="dxa"/>
              <w:left w:w="28" w:type="dxa"/>
              <w:bottom w:w="0" w:type="dxa"/>
              <w:right w:w="28" w:type="dxa"/>
            </w:tcMar>
          </w:tcPr>
          <w:p w14:paraId="71CC4B5E" w14:textId="77777777" w:rsidR="00052596" w:rsidRDefault="00000000">
            <w:pPr>
              <w:widowControl/>
              <w:overflowPunct w:val="0"/>
              <w:autoSpaceDE w:val="0"/>
              <w:spacing w:before="72" w:line="320" w:lineRule="exact"/>
              <w:ind w:right="48"/>
              <w:jc w:val="right"/>
            </w:pPr>
            <w:r>
              <w:rPr>
                <w:rFonts w:eastAsia="標楷體"/>
                <w:kern w:val="0"/>
                <w:szCs w:val="24"/>
              </w:rPr>
              <w:t>4,000</w:t>
            </w:r>
            <w:r>
              <w:rPr>
                <w:rFonts w:eastAsia="標楷體"/>
                <w:kern w:val="0"/>
                <w:szCs w:val="24"/>
                <w:vertAlign w:val="superscript"/>
              </w:rPr>
              <w:t>1</w:t>
            </w:r>
          </w:p>
        </w:tc>
      </w:tr>
      <w:tr w:rsidR="00052596" w14:paraId="2F0F2E3C" w14:textId="77777777">
        <w:tblPrEx>
          <w:tblCellMar>
            <w:top w:w="0" w:type="dxa"/>
            <w:bottom w:w="0" w:type="dxa"/>
          </w:tblCellMar>
        </w:tblPrEx>
        <w:trPr>
          <w:cantSplit/>
          <w:trHeight w:val="363"/>
          <w:jc w:val="center"/>
        </w:trPr>
        <w:tc>
          <w:tcPr>
            <w:tcW w:w="4011" w:type="dxa"/>
            <w:tcBorders>
              <w:right w:val="single" w:sz="4" w:space="0" w:color="000000"/>
            </w:tcBorders>
            <w:shd w:val="clear" w:color="auto" w:fill="auto"/>
            <w:noWrap/>
            <w:tcMar>
              <w:top w:w="0" w:type="dxa"/>
              <w:left w:w="28" w:type="dxa"/>
              <w:bottom w:w="0" w:type="dxa"/>
              <w:right w:w="28" w:type="dxa"/>
            </w:tcMar>
          </w:tcPr>
          <w:p w14:paraId="170FFCA8" w14:textId="77777777" w:rsidR="00052596" w:rsidRDefault="00000000">
            <w:pPr>
              <w:widowControl/>
              <w:overflowPunct w:val="0"/>
              <w:autoSpaceDE w:val="0"/>
              <w:spacing w:before="72" w:line="320" w:lineRule="exact"/>
              <w:ind w:left="504" w:hanging="192"/>
              <w:jc w:val="both"/>
              <w:rPr>
                <w:rFonts w:eastAsia="標楷體"/>
                <w:kern w:val="0"/>
                <w:szCs w:val="24"/>
              </w:rPr>
            </w:pPr>
            <w:r>
              <w:rPr>
                <w:rFonts w:eastAsia="標楷體"/>
                <w:kern w:val="0"/>
                <w:szCs w:val="24"/>
              </w:rPr>
              <w:t>4.</w:t>
            </w:r>
            <w:r>
              <w:rPr>
                <w:rFonts w:eastAsia="標楷體"/>
                <w:kern w:val="0"/>
                <w:szCs w:val="24"/>
              </w:rPr>
              <w:t>補注地下水量</w:t>
            </w:r>
            <w:r>
              <w:rPr>
                <w:rFonts w:eastAsia="標楷體"/>
                <w:kern w:val="0"/>
                <w:szCs w:val="24"/>
              </w:rPr>
              <w:t xml:space="preserve"> </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5B5C6670" w14:textId="77777777" w:rsidR="00052596" w:rsidRDefault="00000000">
            <w:pPr>
              <w:widowControl/>
              <w:overflowPunct w:val="0"/>
              <w:autoSpaceDE w:val="0"/>
              <w:spacing w:before="72" w:line="320" w:lineRule="exact"/>
              <w:jc w:val="center"/>
              <w:rPr>
                <w:rFonts w:eastAsia="標楷體"/>
                <w:kern w:val="0"/>
                <w:szCs w:val="24"/>
              </w:rPr>
            </w:pPr>
            <w:r>
              <w:rPr>
                <w:rFonts w:eastAsia="標楷體"/>
                <w:kern w:val="0"/>
                <w:szCs w:val="24"/>
              </w:rPr>
              <w:t>萬噸</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2D2B361"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4,080</w:t>
            </w:r>
          </w:p>
          <w:p w14:paraId="683837CC" w14:textId="77777777" w:rsidR="00052596" w:rsidRDefault="00000000">
            <w:pPr>
              <w:widowControl/>
              <w:overflowPunct w:val="0"/>
              <w:autoSpaceDE w:val="0"/>
              <w:spacing w:after="72" w:line="320" w:lineRule="exact"/>
              <w:ind w:right="48"/>
              <w:jc w:val="right"/>
              <w:rPr>
                <w:rFonts w:eastAsia="標楷體"/>
                <w:kern w:val="0"/>
                <w:szCs w:val="24"/>
              </w:rPr>
            </w:pPr>
            <w:r>
              <w:rPr>
                <w:rFonts w:eastAsia="標楷體"/>
                <w:kern w:val="0"/>
                <w:szCs w:val="24"/>
              </w:rPr>
              <w:t>(1-10</w:t>
            </w:r>
            <w:r>
              <w:rPr>
                <w:rFonts w:eastAsia="標楷體"/>
                <w:kern w:val="0"/>
                <w:szCs w:val="24"/>
              </w:rPr>
              <w:t>月</w:t>
            </w: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4FC189B8"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4,800</w:t>
            </w:r>
          </w:p>
        </w:tc>
        <w:tc>
          <w:tcPr>
            <w:tcW w:w="1287" w:type="dxa"/>
            <w:tcBorders>
              <w:left w:val="single" w:sz="4" w:space="0" w:color="000000"/>
            </w:tcBorders>
            <w:shd w:val="clear" w:color="auto" w:fill="auto"/>
            <w:noWrap/>
            <w:tcMar>
              <w:top w:w="0" w:type="dxa"/>
              <w:left w:w="28" w:type="dxa"/>
              <w:bottom w:w="0" w:type="dxa"/>
              <w:right w:w="28" w:type="dxa"/>
            </w:tcMar>
          </w:tcPr>
          <w:p w14:paraId="4ECD24F2"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10,000</w:t>
            </w:r>
          </w:p>
        </w:tc>
      </w:tr>
      <w:tr w:rsidR="00052596" w14:paraId="756AC096" w14:textId="77777777">
        <w:tblPrEx>
          <w:tblCellMar>
            <w:top w:w="0" w:type="dxa"/>
            <w:bottom w:w="0" w:type="dxa"/>
          </w:tblCellMar>
        </w:tblPrEx>
        <w:trPr>
          <w:cantSplit/>
          <w:trHeight w:val="335"/>
          <w:jc w:val="center"/>
        </w:trPr>
        <w:tc>
          <w:tcPr>
            <w:tcW w:w="4011" w:type="dxa"/>
            <w:tcBorders>
              <w:right w:val="single" w:sz="4" w:space="0" w:color="000000"/>
            </w:tcBorders>
            <w:shd w:val="clear" w:color="auto" w:fill="auto"/>
            <w:noWrap/>
            <w:tcMar>
              <w:top w:w="0" w:type="dxa"/>
              <w:left w:w="28" w:type="dxa"/>
              <w:bottom w:w="0" w:type="dxa"/>
              <w:right w:w="28" w:type="dxa"/>
            </w:tcMar>
          </w:tcPr>
          <w:p w14:paraId="746D70DC" w14:textId="77777777" w:rsidR="00052596" w:rsidRDefault="00000000">
            <w:pPr>
              <w:widowControl/>
              <w:overflowPunct w:val="0"/>
              <w:autoSpaceDE w:val="0"/>
              <w:spacing w:before="72" w:line="320" w:lineRule="exact"/>
              <w:ind w:left="504" w:hanging="192"/>
              <w:jc w:val="both"/>
              <w:rPr>
                <w:rFonts w:eastAsia="標楷體"/>
                <w:kern w:val="0"/>
                <w:szCs w:val="24"/>
              </w:rPr>
            </w:pPr>
            <w:r>
              <w:rPr>
                <w:rFonts w:eastAsia="標楷體"/>
                <w:kern w:val="0"/>
                <w:szCs w:val="24"/>
              </w:rPr>
              <w:t>5.</w:t>
            </w:r>
            <w:r>
              <w:rPr>
                <w:rFonts w:eastAsia="標楷體"/>
                <w:kern w:val="0"/>
                <w:szCs w:val="24"/>
              </w:rPr>
              <w:t>推動彰雲地區年地下水減抽量</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258FA98D" w14:textId="77777777" w:rsidR="00052596" w:rsidRDefault="00000000">
            <w:pPr>
              <w:widowControl/>
              <w:overflowPunct w:val="0"/>
              <w:autoSpaceDE w:val="0"/>
              <w:spacing w:before="72" w:line="320" w:lineRule="exact"/>
              <w:jc w:val="center"/>
              <w:rPr>
                <w:rFonts w:eastAsia="標楷體"/>
                <w:kern w:val="0"/>
                <w:szCs w:val="24"/>
              </w:rPr>
            </w:pPr>
            <w:r>
              <w:rPr>
                <w:rFonts w:eastAsia="標楷體"/>
                <w:kern w:val="0"/>
                <w:szCs w:val="24"/>
              </w:rPr>
              <w:t>億噸</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136842FE"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0.05</w:t>
            </w:r>
          </w:p>
          <w:p w14:paraId="21DEC9AA" w14:textId="77777777" w:rsidR="00052596" w:rsidRDefault="00000000">
            <w:pPr>
              <w:widowControl/>
              <w:overflowPunct w:val="0"/>
              <w:autoSpaceDE w:val="0"/>
              <w:spacing w:after="72" w:line="320" w:lineRule="exact"/>
              <w:ind w:right="48"/>
              <w:jc w:val="right"/>
              <w:rPr>
                <w:rFonts w:eastAsia="標楷體"/>
                <w:kern w:val="0"/>
                <w:szCs w:val="24"/>
              </w:rPr>
            </w:pPr>
            <w:r>
              <w:rPr>
                <w:rFonts w:eastAsia="標楷體"/>
                <w:kern w:val="0"/>
                <w:szCs w:val="24"/>
              </w:rPr>
              <w:t>(1-10</w:t>
            </w:r>
            <w:r>
              <w:rPr>
                <w:rFonts w:eastAsia="標楷體"/>
                <w:kern w:val="0"/>
                <w:szCs w:val="24"/>
              </w:rPr>
              <w:t>月</w:t>
            </w: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AEB4BDB"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0.13</w:t>
            </w:r>
          </w:p>
        </w:tc>
        <w:tc>
          <w:tcPr>
            <w:tcW w:w="1287" w:type="dxa"/>
            <w:tcBorders>
              <w:left w:val="single" w:sz="4" w:space="0" w:color="000000"/>
            </w:tcBorders>
            <w:shd w:val="clear" w:color="auto" w:fill="auto"/>
            <w:noWrap/>
            <w:tcMar>
              <w:top w:w="0" w:type="dxa"/>
              <w:left w:w="28" w:type="dxa"/>
              <w:bottom w:w="0" w:type="dxa"/>
              <w:right w:w="28" w:type="dxa"/>
            </w:tcMar>
          </w:tcPr>
          <w:p w14:paraId="2FCA0D3E" w14:textId="77777777" w:rsidR="00052596" w:rsidRDefault="00000000">
            <w:pPr>
              <w:widowControl/>
              <w:overflowPunct w:val="0"/>
              <w:autoSpaceDE w:val="0"/>
              <w:spacing w:before="72" w:line="320" w:lineRule="exact"/>
              <w:ind w:right="48"/>
              <w:jc w:val="right"/>
            </w:pPr>
            <w:r>
              <w:rPr>
                <w:rFonts w:eastAsia="標楷體"/>
                <w:kern w:val="0"/>
                <w:szCs w:val="24"/>
              </w:rPr>
              <w:t>0.47</w:t>
            </w:r>
            <w:r>
              <w:rPr>
                <w:rFonts w:eastAsia="標楷體"/>
                <w:kern w:val="0"/>
                <w:szCs w:val="24"/>
                <w:vertAlign w:val="superscript"/>
              </w:rPr>
              <w:t>1</w:t>
            </w:r>
          </w:p>
        </w:tc>
      </w:tr>
      <w:tr w:rsidR="00052596" w14:paraId="77AF168A" w14:textId="77777777">
        <w:tblPrEx>
          <w:tblCellMar>
            <w:top w:w="0" w:type="dxa"/>
            <w:bottom w:w="0" w:type="dxa"/>
          </w:tblCellMar>
        </w:tblPrEx>
        <w:trPr>
          <w:cantSplit/>
          <w:trHeight w:val="83"/>
          <w:jc w:val="center"/>
        </w:trPr>
        <w:tc>
          <w:tcPr>
            <w:tcW w:w="4011" w:type="dxa"/>
            <w:tcBorders>
              <w:right w:val="single" w:sz="4" w:space="0" w:color="000000"/>
            </w:tcBorders>
            <w:shd w:val="clear" w:color="auto" w:fill="auto"/>
            <w:noWrap/>
            <w:tcMar>
              <w:top w:w="0" w:type="dxa"/>
              <w:left w:w="28" w:type="dxa"/>
              <w:bottom w:w="0" w:type="dxa"/>
              <w:right w:w="28" w:type="dxa"/>
            </w:tcMar>
          </w:tcPr>
          <w:p w14:paraId="1B6B3C1F"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6.</w:t>
            </w:r>
            <w:r>
              <w:rPr>
                <w:rFonts w:eastAsia="標楷體"/>
                <w:kern w:val="0"/>
                <w:szCs w:val="24"/>
              </w:rPr>
              <w:t>新增劃設自然保護區域</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7BEE2E06"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處</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B68A84B"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2</w:t>
            </w:r>
          </w:p>
          <w:p w14:paraId="790D38DB" w14:textId="77777777" w:rsidR="00052596" w:rsidRDefault="00000000">
            <w:pPr>
              <w:widowControl/>
              <w:overflowPunct w:val="0"/>
              <w:autoSpaceDE w:val="0"/>
              <w:spacing w:after="72" w:line="320" w:lineRule="exact"/>
              <w:ind w:right="48"/>
              <w:jc w:val="right"/>
              <w:rPr>
                <w:rFonts w:eastAsia="標楷體"/>
                <w:kern w:val="0"/>
                <w:szCs w:val="24"/>
              </w:rPr>
            </w:pPr>
            <w:r>
              <w:rPr>
                <w:rFonts w:eastAsia="標楷體"/>
                <w:kern w:val="0"/>
                <w:szCs w:val="24"/>
              </w:rPr>
              <w:t>(1-10</w:t>
            </w:r>
            <w:r>
              <w:rPr>
                <w:rFonts w:eastAsia="標楷體"/>
                <w:kern w:val="0"/>
                <w:szCs w:val="24"/>
              </w:rPr>
              <w:t>月</w:t>
            </w: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B4B3441"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w:t>
            </w:r>
          </w:p>
        </w:tc>
        <w:tc>
          <w:tcPr>
            <w:tcW w:w="1287" w:type="dxa"/>
            <w:tcBorders>
              <w:left w:val="single" w:sz="4" w:space="0" w:color="000000"/>
            </w:tcBorders>
            <w:shd w:val="clear" w:color="auto" w:fill="auto"/>
            <w:noWrap/>
            <w:tcMar>
              <w:top w:w="0" w:type="dxa"/>
              <w:left w:w="28" w:type="dxa"/>
              <w:bottom w:w="0" w:type="dxa"/>
              <w:right w:w="28" w:type="dxa"/>
            </w:tcMar>
          </w:tcPr>
          <w:p w14:paraId="5F205D7B"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5</w:t>
            </w:r>
          </w:p>
        </w:tc>
      </w:tr>
      <w:tr w:rsidR="00052596" w14:paraId="583B3BE5" w14:textId="77777777">
        <w:tblPrEx>
          <w:tblCellMar>
            <w:top w:w="0" w:type="dxa"/>
            <w:bottom w:w="0" w:type="dxa"/>
          </w:tblCellMar>
        </w:tblPrEx>
        <w:trPr>
          <w:cantSplit/>
          <w:trHeight w:val="83"/>
          <w:jc w:val="center"/>
        </w:trPr>
        <w:tc>
          <w:tcPr>
            <w:tcW w:w="4011" w:type="dxa"/>
            <w:tcBorders>
              <w:right w:val="single" w:sz="4" w:space="0" w:color="000000"/>
            </w:tcBorders>
            <w:shd w:val="clear" w:color="auto" w:fill="auto"/>
            <w:noWrap/>
            <w:tcMar>
              <w:top w:w="0" w:type="dxa"/>
              <w:left w:w="28" w:type="dxa"/>
              <w:bottom w:w="0" w:type="dxa"/>
              <w:right w:w="28" w:type="dxa"/>
            </w:tcMar>
          </w:tcPr>
          <w:p w14:paraId="1300AAB1"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7.</w:t>
            </w:r>
            <w:r>
              <w:rPr>
                <w:rFonts w:eastAsia="標楷體"/>
                <w:kern w:val="0"/>
                <w:szCs w:val="24"/>
              </w:rPr>
              <w:t>加強植樹造林，新增造林面積</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1BA0F3D6"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公頃</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8B720AD"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4,960</w:t>
            </w:r>
          </w:p>
          <w:p w14:paraId="746D4EB5" w14:textId="77777777" w:rsidR="00052596" w:rsidRDefault="00000000">
            <w:pPr>
              <w:widowControl/>
              <w:overflowPunct w:val="0"/>
              <w:autoSpaceDE w:val="0"/>
              <w:spacing w:after="72" w:line="320" w:lineRule="exact"/>
              <w:ind w:right="48"/>
              <w:jc w:val="right"/>
              <w:rPr>
                <w:rFonts w:eastAsia="標楷體"/>
                <w:kern w:val="0"/>
                <w:szCs w:val="24"/>
              </w:rPr>
            </w:pPr>
            <w:r>
              <w:rPr>
                <w:rFonts w:eastAsia="標楷體"/>
                <w:kern w:val="0"/>
                <w:szCs w:val="24"/>
              </w:rPr>
              <w:t>(1-10</w:t>
            </w:r>
            <w:r>
              <w:rPr>
                <w:rFonts w:eastAsia="標楷體"/>
                <w:kern w:val="0"/>
                <w:szCs w:val="24"/>
              </w:rPr>
              <w:t>月</w:t>
            </w: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207168FF"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2,970</w:t>
            </w:r>
          </w:p>
        </w:tc>
        <w:tc>
          <w:tcPr>
            <w:tcW w:w="1287" w:type="dxa"/>
            <w:tcBorders>
              <w:left w:val="single" w:sz="4" w:space="0" w:color="000000"/>
            </w:tcBorders>
            <w:shd w:val="clear" w:color="auto" w:fill="auto"/>
            <w:noWrap/>
            <w:tcMar>
              <w:top w:w="0" w:type="dxa"/>
              <w:left w:w="28" w:type="dxa"/>
              <w:bottom w:w="0" w:type="dxa"/>
              <w:right w:w="28" w:type="dxa"/>
            </w:tcMar>
          </w:tcPr>
          <w:p w14:paraId="39D5C033" w14:textId="77777777" w:rsidR="00052596" w:rsidRDefault="00000000">
            <w:pPr>
              <w:widowControl/>
              <w:overflowPunct w:val="0"/>
              <w:autoSpaceDE w:val="0"/>
              <w:spacing w:line="320" w:lineRule="exact"/>
              <w:ind w:right="48"/>
              <w:jc w:val="right"/>
            </w:pPr>
            <w:r>
              <w:rPr>
                <w:rFonts w:eastAsia="標楷體"/>
                <w:kern w:val="0"/>
                <w:szCs w:val="24"/>
              </w:rPr>
              <w:t>12,050</w:t>
            </w:r>
            <w:r>
              <w:rPr>
                <w:rFonts w:eastAsia="標楷體"/>
                <w:kern w:val="0"/>
                <w:szCs w:val="24"/>
                <w:vertAlign w:val="superscript"/>
              </w:rPr>
              <w:t>1</w:t>
            </w:r>
          </w:p>
        </w:tc>
      </w:tr>
      <w:tr w:rsidR="00052596" w14:paraId="29CC50E4" w14:textId="77777777">
        <w:tblPrEx>
          <w:tblCellMar>
            <w:top w:w="0" w:type="dxa"/>
            <w:bottom w:w="0" w:type="dxa"/>
          </w:tblCellMar>
        </w:tblPrEx>
        <w:trPr>
          <w:cantSplit/>
          <w:trHeight w:val="462"/>
          <w:jc w:val="center"/>
        </w:trPr>
        <w:tc>
          <w:tcPr>
            <w:tcW w:w="4011" w:type="dxa"/>
            <w:tcBorders>
              <w:right w:val="single" w:sz="4" w:space="0" w:color="000000"/>
            </w:tcBorders>
            <w:shd w:val="clear" w:color="auto" w:fill="auto"/>
            <w:noWrap/>
            <w:tcMar>
              <w:top w:w="0" w:type="dxa"/>
              <w:left w:w="28" w:type="dxa"/>
              <w:bottom w:w="0" w:type="dxa"/>
              <w:right w:w="28" w:type="dxa"/>
            </w:tcMar>
          </w:tcPr>
          <w:p w14:paraId="73759216" w14:textId="77777777" w:rsidR="00052596" w:rsidRDefault="00000000">
            <w:pPr>
              <w:widowControl/>
              <w:overflowPunct w:val="0"/>
              <w:autoSpaceDE w:val="0"/>
              <w:spacing w:line="320" w:lineRule="exact"/>
              <w:ind w:left="504" w:hanging="192"/>
              <w:jc w:val="both"/>
              <w:rPr>
                <w:rFonts w:eastAsia="標楷體"/>
                <w:kern w:val="0"/>
                <w:szCs w:val="24"/>
              </w:rPr>
            </w:pPr>
            <w:r>
              <w:rPr>
                <w:rFonts w:eastAsia="標楷體"/>
                <w:kern w:val="0"/>
                <w:szCs w:val="24"/>
              </w:rPr>
              <w:t>8.</w:t>
            </w:r>
            <w:r>
              <w:rPr>
                <w:rFonts w:eastAsia="標楷體"/>
                <w:kern w:val="0"/>
                <w:szCs w:val="24"/>
              </w:rPr>
              <w:t>完成湖山水庫進度</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0072444A" w14:textId="77777777" w:rsidR="00052596" w:rsidRDefault="00000000">
            <w:pPr>
              <w:widowControl/>
              <w:overflowPunct w:val="0"/>
              <w:autoSpaceDE w:val="0"/>
              <w:spacing w:line="320" w:lineRule="exact"/>
              <w:jc w:val="center"/>
              <w:rPr>
                <w:rFonts w:eastAsia="標楷體"/>
                <w:kern w:val="0"/>
                <w:szCs w:val="24"/>
              </w:rPr>
            </w:pP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3AB28CBF"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79</w:t>
            </w:r>
          </w:p>
          <w:p w14:paraId="6ECE4843" w14:textId="77777777" w:rsidR="00052596" w:rsidRDefault="00000000">
            <w:pPr>
              <w:widowControl/>
              <w:overflowPunct w:val="0"/>
              <w:autoSpaceDE w:val="0"/>
              <w:spacing w:after="72" w:line="320" w:lineRule="exact"/>
              <w:ind w:right="48"/>
              <w:jc w:val="right"/>
            </w:pPr>
            <w:r>
              <w:rPr>
                <w:rFonts w:eastAsia="標楷體"/>
                <w:kern w:val="0"/>
                <w:szCs w:val="24"/>
              </w:rPr>
              <w:t>(1-10</w:t>
            </w:r>
            <w:r>
              <w:rPr>
                <w:rFonts w:eastAsia="標楷體"/>
                <w:kern w:val="0"/>
                <w:szCs w:val="24"/>
              </w:rPr>
              <w:t>月</w:t>
            </w:r>
            <w:r>
              <w:rPr>
                <w:rFonts w:eastAsia="標楷體"/>
                <w:kern w:val="0"/>
                <w:szCs w:val="24"/>
              </w:rPr>
              <w:t>)</w:t>
            </w: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AB72594"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88</w:t>
            </w:r>
          </w:p>
        </w:tc>
        <w:tc>
          <w:tcPr>
            <w:tcW w:w="1287" w:type="dxa"/>
            <w:tcBorders>
              <w:left w:val="single" w:sz="4" w:space="0" w:color="000000"/>
            </w:tcBorders>
            <w:shd w:val="clear" w:color="auto" w:fill="auto"/>
            <w:noWrap/>
            <w:tcMar>
              <w:top w:w="0" w:type="dxa"/>
              <w:left w:w="28" w:type="dxa"/>
              <w:bottom w:w="0" w:type="dxa"/>
              <w:right w:w="28" w:type="dxa"/>
            </w:tcMar>
          </w:tcPr>
          <w:p w14:paraId="5F2986B1" w14:textId="77777777" w:rsidR="00052596" w:rsidRDefault="00000000">
            <w:pPr>
              <w:widowControl/>
              <w:overflowPunct w:val="0"/>
              <w:autoSpaceDE w:val="0"/>
              <w:spacing w:line="320" w:lineRule="exact"/>
              <w:ind w:right="48"/>
              <w:jc w:val="right"/>
            </w:pPr>
            <w:r>
              <w:rPr>
                <w:rFonts w:eastAsia="標楷體"/>
                <w:kern w:val="0"/>
                <w:szCs w:val="24"/>
              </w:rPr>
              <w:t>100</w:t>
            </w:r>
          </w:p>
          <w:p w14:paraId="57210BBE" w14:textId="77777777" w:rsidR="00052596" w:rsidRDefault="00000000">
            <w:pPr>
              <w:widowControl/>
              <w:overflowPunct w:val="0"/>
              <w:autoSpaceDE w:val="0"/>
              <w:spacing w:line="320" w:lineRule="exact"/>
              <w:ind w:right="48"/>
              <w:jc w:val="right"/>
              <w:rPr>
                <w:rFonts w:eastAsia="標楷體"/>
                <w:kern w:val="0"/>
                <w:szCs w:val="24"/>
              </w:rPr>
            </w:pPr>
            <w:r>
              <w:rPr>
                <w:rFonts w:eastAsia="標楷體"/>
                <w:kern w:val="0"/>
                <w:szCs w:val="24"/>
              </w:rPr>
              <w:t>(104</w:t>
            </w:r>
            <w:r>
              <w:rPr>
                <w:rFonts w:eastAsia="標楷體"/>
                <w:kern w:val="0"/>
                <w:szCs w:val="24"/>
              </w:rPr>
              <w:t>年</w:t>
            </w:r>
            <w:r>
              <w:rPr>
                <w:rFonts w:eastAsia="標楷體"/>
                <w:kern w:val="0"/>
                <w:szCs w:val="24"/>
              </w:rPr>
              <w:t>)</w:t>
            </w:r>
          </w:p>
        </w:tc>
      </w:tr>
      <w:tr w:rsidR="00052596" w14:paraId="27139490" w14:textId="77777777">
        <w:tblPrEx>
          <w:tblCellMar>
            <w:top w:w="0" w:type="dxa"/>
            <w:bottom w:w="0" w:type="dxa"/>
          </w:tblCellMar>
        </w:tblPrEx>
        <w:trPr>
          <w:cantSplit/>
          <w:trHeight w:val="213"/>
          <w:jc w:val="center"/>
        </w:trPr>
        <w:tc>
          <w:tcPr>
            <w:tcW w:w="4011" w:type="dxa"/>
            <w:tcBorders>
              <w:right w:val="single" w:sz="4" w:space="0" w:color="000000"/>
            </w:tcBorders>
            <w:shd w:val="clear" w:color="auto" w:fill="auto"/>
            <w:noWrap/>
            <w:tcMar>
              <w:top w:w="0" w:type="dxa"/>
              <w:left w:w="28" w:type="dxa"/>
              <w:bottom w:w="0" w:type="dxa"/>
              <w:right w:w="28" w:type="dxa"/>
            </w:tcMar>
          </w:tcPr>
          <w:p w14:paraId="1E47FEA4" w14:textId="77777777" w:rsidR="00052596" w:rsidRDefault="00000000">
            <w:pPr>
              <w:widowControl/>
              <w:overflowPunct w:val="0"/>
              <w:autoSpaceDE w:val="0"/>
              <w:spacing w:before="72" w:line="320" w:lineRule="exact"/>
              <w:jc w:val="both"/>
              <w:rPr>
                <w:rFonts w:eastAsia="標楷體"/>
                <w:b/>
                <w:color w:val="800000"/>
                <w:kern w:val="0"/>
                <w:szCs w:val="24"/>
              </w:rPr>
            </w:pPr>
            <w:r>
              <w:rPr>
                <w:rFonts w:eastAsia="標楷體"/>
                <w:b/>
                <w:color w:val="800000"/>
                <w:kern w:val="0"/>
                <w:szCs w:val="24"/>
              </w:rPr>
              <w:t>災害防救</w:t>
            </w:r>
          </w:p>
        </w:tc>
        <w:tc>
          <w:tcPr>
            <w:tcW w:w="850" w:type="dxa"/>
            <w:tcBorders>
              <w:left w:val="single" w:sz="4" w:space="0" w:color="000000"/>
              <w:right w:val="single" w:sz="4" w:space="0" w:color="000000"/>
            </w:tcBorders>
            <w:shd w:val="clear" w:color="auto" w:fill="auto"/>
            <w:noWrap/>
            <w:tcMar>
              <w:top w:w="0" w:type="dxa"/>
              <w:left w:w="28" w:type="dxa"/>
              <w:bottom w:w="0" w:type="dxa"/>
              <w:right w:w="28" w:type="dxa"/>
            </w:tcMar>
          </w:tcPr>
          <w:p w14:paraId="4B009BD0" w14:textId="77777777" w:rsidR="00052596" w:rsidRDefault="00052596">
            <w:pPr>
              <w:widowControl/>
              <w:overflowPunct w:val="0"/>
              <w:autoSpaceDE w:val="0"/>
              <w:spacing w:before="72" w:line="320" w:lineRule="exact"/>
              <w:jc w:val="center"/>
              <w:rPr>
                <w:rFonts w:eastAsia="標楷體"/>
                <w:b/>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71666A47" w14:textId="77777777" w:rsidR="00052596" w:rsidRDefault="00052596">
            <w:pPr>
              <w:widowControl/>
              <w:overflowPunct w:val="0"/>
              <w:autoSpaceDE w:val="0"/>
              <w:spacing w:before="72" w:line="320" w:lineRule="exact"/>
              <w:ind w:right="48"/>
              <w:jc w:val="right"/>
              <w:rPr>
                <w:rFonts w:eastAsia="標楷體"/>
                <w:b/>
                <w:kern w:val="0"/>
                <w:szCs w:val="24"/>
              </w:rPr>
            </w:pPr>
          </w:p>
        </w:tc>
        <w:tc>
          <w:tcPr>
            <w:tcW w:w="1276" w:type="dxa"/>
            <w:tcBorders>
              <w:left w:val="single" w:sz="4" w:space="0" w:color="000000"/>
              <w:right w:val="single" w:sz="4" w:space="0" w:color="000000"/>
            </w:tcBorders>
            <w:shd w:val="clear" w:color="auto" w:fill="auto"/>
            <w:noWrap/>
            <w:tcMar>
              <w:top w:w="0" w:type="dxa"/>
              <w:left w:w="28" w:type="dxa"/>
              <w:bottom w:w="0" w:type="dxa"/>
              <w:right w:w="28" w:type="dxa"/>
            </w:tcMar>
          </w:tcPr>
          <w:p w14:paraId="01081F55" w14:textId="77777777" w:rsidR="00052596" w:rsidRDefault="00052596">
            <w:pPr>
              <w:widowControl/>
              <w:overflowPunct w:val="0"/>
              <w:autoSpaceDE w:val="0"/>
              <w:spacing w:before="72" w:line="320" w:lineRule="exact"/>
              <w:ind w:right="48"/>
              <w:jc w:val="right"/>
              <w:rPr>
                <w:rFonts w:eastAsia="標楷體"/>
                <w:kern w:val="0"/>
                <w:szCs w:val="24"/>
              </w:rPr>
            </w:pPr>
          </w:p>
        </w:tc>
        <w:tc>
          <w:tcPr>
            <w:tcW w:w="1287" w:type="dxa"/>
            <w:tcBorders>
              <w:left w:val="single" w:sz="4" w:space="0" w:color="000000"/>
            </w:tcBorders>
            <w:shd w:val="clear" w:color="auto" w:fill="auto"/>
            <w:noWrap/>
            <w:tcMar>
              <w:top w:w="0" w:type="dxa"/>
              <w:left w:w="28" w:type="dxa"/>
              <w:bottom w:w="0" w:type="dxa"/>
              <w:right w:w="28" w:type="dxa"/>
            </w:tcMar>
          </w:tcPr>
          <w:p w14:paraId="2FA6A4F8" w14:textId="77777777" w:rsidR="00052596" w:rsidRDefault="00052596">
            <w:pPr>
              <w:widowControl/>
              <w:overflowPunct w:val="0"/>
              <w:autoSpaceDE w:val="0"/>
              <w:spacing w:before="72" w:line="320" w:lineRule="exact"/>
              <w:ind w:right="48"/>
              <w:jc w:val="right"/>
              <w:rPr>
                <w:rFonts w:eastAsia="標楷體"/>
                <w:kern w:val="0"/>
                <w:szCs w:val="24"/>
              </w:rPr>
            </w:pPr>
          </w:p>
        </w:tc>
      </w:tr>
      <w:tr w:rsidR="00052596" w14:paraId="1203F5D7" w14:textId="77777777">
        <w:tblPrEx>
          <w:tblCellMar>
            <w:top w:w="0" w:type="dxa"/>
            <w:bottom w:w="0" w:type="dxa"/>
          </w:tblCellMar>
        </w:tblPrEx>
        <w:trPr>
          <w:cantSplit/>
          <w:trHeight w:val="83"/>
          <w:jc w:val="center"/>
        </w:trPr>
        <w:tc>
          <w:tcPr>
            <w:tcW w:w="4011" w:type="dxa"/>
            <w:tcBorders>
              <w:bottom w:val="single" w:sz="4" w:space="0" w:color="000000"/>
              <w:right w:val="single" w:sz="4" w:space="0" w:color="000000"/>
            </w:tcBorders>
            <w:shd w:val="clear" w:color="auto" w:fill="auto"/>
            <w:noWrap/>
            <w:tcMar>
              <w:top w:w="0" w:type="dxa"/>
              <w:left w:w="28" w:type="dxa"/>
              <w:bottom w:w="0" w:type="dxa"/>
              <w:right w:w="28" w:type="dxa"/>
            </w:tcMar>
          </w:tcPr>
          <w:p w14:paraId="35372ED1" w14:textId="77777777" w:rsidR="00052596" w:rsidRDefault="00000000">
            <w:pPr>
              <w:widowControl/>
              <w:overflowPunct w:val="0"/>
              <w:autoSpaceDE w:val="0"/>
              <w:spacing w:before="72" w:after="120" w:line="320" w:lineRule="exact"/>
              <w:ind w:left="312"/>
              <w:jc w:val="both"/>
            </w:pPr>
            <w:r>
              <w:rPr>
                <w:rFonts w:eastAsia="標楷體"/>
                <w:kern w:val="0"/>
                <w:szCs w:val="24"/>
              </w:rPr>
              <w:t>完成全國直轄市、縣</w:t>
            </w:r>
            <w:r>
              <w:rPr>
                <w:rFonts w:ascii="標楷體" w:eastAsia="標楷體" w:hAnsi="標楷體"/>
                <w:kern w:val="0"/>
                <w:szCs w:val="24"/>
              </w:rPr>
              <w:t>(</w:t>
            </w:r>
            <w:r>
              <w:rPr>
                <w:rFonts w:eastAsia="標楷體"/>
                <w:kern w:val="0"/>
                <w:szCs w:val="24"/>
              </w:rPr>
              <w:t>市</w:t>
            </w:r>
            <w:r>
              <w:rPr>
                <w:rFonts w:ascii="標楷體" w:eastAsia="標楷體" w:hAnsi="標楷體"/>
                <w:kern w:val="0"/>
                <w:szCs w:val="24"/>
              </w:rPr>
              <w:t>)</w:t>
            </w:r>
            <w:r>
              <w:rPr>
                <w:rFonts w:eastAsia="標楷體"/>
                <w:kern w:val="0"/>
                <w:szCs w:val="24"/>
              </w:rPr>
              <w:t>水災自主防災社區</w:t>
            </w:r>
          </w:p>
        </w:tc>
        <w:tc>
          <w:tcPr>
            <w:tcW w:w="85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210BE999" w14:textId="77777777" w:rsidR="00052596" w:rsidRDefault="00000000">
            <w:pPr>
              <w:widowControl/>
              <w:overflowPunct w:val="0"/>
              <w:autoSpaceDE w:val="0"/>
              <w:spacing w:before="72" w:line="320" w:lineRule="exact"/>
              <w:jc w:val="center"/>
              <w:rPr>
                <w:rFonts w:eastAsia="標楷體"/>
                <w:kern w:val="0"/>
                <w:szCs w:val="24"/>
              </w:rPr>
            </w:pPr>
            <w:r>
              <w:rPr>
                <w:rFonts w:eastAsia="標楷體"/>
                <w:kern w:val="0"/>
                <w:szCs w:val="24"/>
              </w:rPr>
              <w:t>個</w:t>
            </w:r>
          </w:p>
        </w:tc>
        <w:tc>
          <w:tcPr>
            <w:tcW w:w="127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10D505C"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99</w:t>
            </w:r>
          </w:p>
        </w:tc>
        <w:tc>
          <w:tcPr>
            <w:tcW w:w="127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6D0BD56" w14:textId="77777777" w:rsidR="00052596" w:rsidRDefault="00000000">
            <w:pPr>
              <w:widowControl/>
              <w:overflowPunct w:val="0"/>
              <w:autoSpaceDE w:val="0"/>
              <w:spacing w:before="72" w:line="320" w:lineRule="exact"/>
              <w:ind w:right="48"/>
              <w:jc w:val="right"/>
              <w:rPr>
                <w:rFonts w:eastAsia="標楷體"/>
                <w:kern w:val="0"/>
                <w:szCs w:val="24"/>
              </w:rPr>
            </w:pPr>
            <w:r>
              <w:rPr>
                <w:rFonts w:eastAsia="標楷體"/>
                <w:kern w:val="0"/>
                <w:szCs w:val="24"/>
              </w:rPr>
              <w:t>100</w:t>
            </w:r>
          </w:p>
        </w:tc>
        <w:tc>
          <w:tcPr>
            <w:tcW w:w="1287" w:type="dxa"/>
            <w:tcBorders>
              <w:left w:val="single" w:sz="4" w:space="0" w:color="000000"/>
              <w:bottom w:val="single" w:sz="4" w:space="0" w:color="000000"/>
            </w:tcBorders>
            <w:shd w:val="clear" w:color="auto" w:fill="auto"/>
            <w:noWrap/>
            <w:tcMar>
              <w:top w:w="0" w:type="dxa"/>
              <w:left w:w="28" w:type="dxa"/>
              <w:bottom w:w="0" w:type="dxa"/>
              <w:right w:w="28" w:type="dxa"/>
            </w:tcMar>
          </w:tcPr>
          <w:p w14:paraId="20FC8195" w14:textId="77777777" w:rsidR="00052596" w:rsidRDefault="00000000">
            <w:pPr>
              <w:widowControl/>
              <w:overflowPunct w:val="0"/>
              <w:autoSpaceDE w:val="0"/>
              <w:spacing w:before="72" w:line="320" w:lineRule="exact"/>
              <w:ind w:right="48"/>
              <w:jc w:val="right"/>
            </w:pPr>
            <w:r>
              <w:rPr>
                <w:rFonts w:eastAsia="標楷體"/>
                <w:kern w:val="0"/>
                <w:szCs w:val="24"/>
              </w:rPr>
              <w:t>200</w:t>
            </w:r>
            <w:r>
              <w:rPr>
                <w:rFonts w:eastAsia="標楷體"/>
                <w:kern w:val="0"/>
                <w:szCs w:val="24"/>
                <w:vertAlign w:val="superscript"/>
              </w:rPr>
              <w:t>1</w:t>
            </w:r>
          </w:p>
        </w:tc>
      </w:tr>
    </w:tbl>
    <w:p w14:paraId="3CFB023C" w14:textId="77777777" w:rsidR="00052596" w:rsidRDefault="00000000">
      <w:pPr>
        <w:widowControl/>
        <w:overflowPunct w:val="0"/>
        <w:autoSpaceDE w:val="0"/>
        <w:spacing w:before="72" w:line="300" w:lineRule="exact"/>
      </w:pPr>
      <w:r>
        <w:rPr>
          <w:rFonts w:eastAsia="標楷體"/>
          <w:kern w:val="0"/>
          <w:szCs w:val="26"/>
          <w:vertAlign w:val="superscript"/>
        </w:rPr>
        <w:t xml:space="preserve">1 </w:t>
      </w:r>
      <w:r>
        <w:rPr>
          <w:rFonts w:eastAsia="標楷體"/>
          <w:kern w:val="0"/>
          <w:szCs w:val="26"/>
        </w:rPr>
        <w:t>102-105</w:t>
      </w:r>
      <w:r>
        <w:rPr>
          <w:rFonts w:eastAsia="標楷體"/>
          <w:kern w:val="0"/>
          <w:szCs w:val="26"/>
        </w:rPr>
        <w:t>年累計數據。</w:t>
      </w:r>
    </w:p>
    <w:p w14:paraId="04919C6E" w14:textId="77777777" w:rsidR="00052596" w:rsidRDefault="00000000">
      <w:pPr>
        <w:widowControl/>
        <w:overflowPunct w:val="0"/>
        <w:autoSpaceDE w:val="0"/>
        <w:spacing w:before="72" w:line="300" w:lineRule="exact"/>
        <w:sectPr w:rsidR="00052596">
          <w:headerReference w:type="even" r:id="rId68"/>
          <w:headerReference w:type="default" r:id="rId69"/>
          <w:footerReference w:type="even" r:id="rId70"/>
          <w:footerReference w:type="default" r:id="rId71"/>
          <w:pgSz w:w="11907" w:h="16840"/>
          <w:pgMar w:top="2268" w:right="1701" w:bottom="1701" w:left="1701" w:header="680" w:footer="737" w:gutter="0"/>
          <w:pgNumType w:start="79"/>
          <w:cols w:space="720"/>
        </w:sectPr>
      </w:pPr>
      <w:r>
        <w:rPr>
          <w:rFonts w:eastAsia="標楷體"/>
          <w:kern w:val="0"/>
          <w:szCs w:val="26"/>
          <w:vertAlign w:val="superscript"/>
        </w:rPr>
        <w:t>2</w:t>
      </w:r>
      <w:r>
        <w:rPr>
          <w:rFonts w:eastAsia="標楷體"/>
          <w:kern w:val="0"/>
          <w:szCs w:val="26"/>
        </w:rPr>
        <w:t>尚未開始進行</w:t>
      </w:r>
      <w:r>
        <w:rPr>
          <w:rFonts w:eastAsia="標楷體"/>
          <w:kern w:val="0"/>
          <w:szCs w:val="26"/>
        </w:rPr>
        <w:t>PM</w:t>
      </w:r>
      <w:r>
        <w:rPr>
          <w:rFonts w:eastAsia="標楷體"/>
          <w:kern w:val="0"/>
          <w:szCs w:val="26"/>
          <w:vertAlign w:val="subscript"/>
        </w:rPr>
        <w:t>2.5</w:t>
      </w:r>
      <w:r>
        <w:rPr>
          <w:rFonts w:eastAsia="標楷體"/>
          <w:kern w:val="0"/>
          <w:szCs w:val="26"/>
        </w:rPr>
        <w:t>手動檢測作業，未有</w:t>
      </w:r>
      <w:r>
        <w:rPr>
          <w:rFonts w:eastAsia="標楷體"/>
          <w:kern w:val="0"/>
          <w:szCs w:val="26"/>
        </w:rPr>
        <w:t>PM</w:t>
      </w:r>
      <w:r>
        <w:rPr>
          <w:rFonts w:eastAsia="標楷體"/>
          <w:kern w:val="0"/>
          <w:szCs w:val="26"/>
          <w:vertAlign w:val="subscript"/>
        </w:rPr>
        <w:t>2.5</w:t>
      </w:r>
      <w:r>
        <w:rPr>
          <w:rFonts w:eastAsia="標楷體"/>
          <w:kern w:val="0"/>
          <w:szCs w:val="26"/>
        </w:rPr>
        <w:t>年平均濃度數據。</w:t>
      </w:r>
    </w:p>
    <w:p w14:paraId="612AD943"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kern w:val="0"/>
          <w:sz w:val="32"/>
          <w:szCs w:val="22"/>
        </w:rPr>
      </w:pPr>
      <w:r>
        <w:rPr>
          <w:rFonts w:eastAsia="標楷體"/>
          <w:b/>
          <w:color w:val="0000FF"/>
          <w:kern w:val="0"/>
          <w:sz w:val="32"/>
          <w:szCs w:val="22"/>
        </w:rPr>
        <w:lastRenderedPageBreak/>
        <w:t>第三章　國家發展政策主軸</w:t>
      </w:r>
    </w:p>
    <w:p w14:paraId="43DDCD1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F1288F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因應國內、外主客觀情勢與挑戰，未來四年政府將秉持「黃金十年　國家願景」揭示之「繁榮、和諧、永續」施政理念，落實推動「經濟動能推升方案」、「加強推動臺商回臺投資方案」等計畫，全力開展全方位國家建設，加速體制調整與法規鬆綁，提升經濟成長潛力，並使經濟成長更具包容性與永續性，逐步達成黃金十年幸福臺灣之國家願景。</w:t>
      </w:r>
    </w:p>
    <w:p w14:paraId="751DEEE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8631F70"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pPr>
      <w:r>
        <w:rPr>
          <w:rFonts w:ascii="Wingdings" w:eastAsia="Wingdings" w:hAnsi="Wingdings" w:cs="Wingdings"/>
          <w:b/>
          <w:color w:val="0000FF"/>
          <w:spacing w:val="10"/>
          <w:kern w:val="0"/>
          <w:sz w:val="30"/>
          <w:szCs w:val="28"/>
        </w:rPr>
        <w:t></w:t>
      </w:r>
      <w:r>
        <w:rPr>
          <w:rFonts w:eastAsia="標楷體"/>
          <w:b/>
          <w:color w:val="0000FF"/>
          <w:spacing w:val="10"/>
          <w:kern w:val="0"/>
          <w:sz w:val="16"/>
          <w:szCs w:val="16"/>
        </w:rPr>
        <w:t xml:space="preserve"> </w:t>
      </w:r>
      <w:r>
        <w:rPr>
          <w:rFonts w:eastAsia="標楷體"/>
          <w:b/>
          <w:color w:val="0000FF"/>
          <w:spacing w:val="10"/>
          <w:kern w:val="0"/>
          <w:sz w:val="30"/>
          <w:szCs w:val="28"/>
        </w:rPr>
        <w:t>全方位建設－落實「黃金十年</w:t>
      </w:r>
      <w:r>
        <w:rPr>
          <w:rFonts w:eastAsia="標楷體"/>
          <w:b/>
          <w:color w:val="0000FF"/>
          <w:spacing w:val="10"/>
          <w:kern w:val="0"/>
          <w:sz w:val="30"/>
          <w:szCs w:val="28"/>
        </w:rPr>
        <w:t xml:space="preserve"> </w:t>
      </w:r>
      <w:r>
        <w:rPr>
          <w:rFonts w:eastAsia="標楷體"/>
          <w:b/>
          <w:color w:val="0000FF"/>
          <w:spacing w:val="10"/>
          <w:kern w:val="0"/>
          <w:sz w:val="30"/>
          <w:szCs w:val="28"/>
        </w:rPr>
        <w:t>國家願景</w:t>
      </w:r>
      <w:r>
        <w:rPr>
          <w:rFonts w:eastAsia="標楷體"/>
          <w:b/>
          <w:color w:val="0000FF"/>
          <w:spacing w:val="10"/>
          <w:kern w:val="0"/>
          <w:sz w:val="16"/>
          <w:szCs w:val="16"/>
        </w:rPr>
        <w:t>」</w:t>
      </w:r>
      <w:r>
        <w:rPr>
          <w:rFonts w:eastAsia="標楷體"/>
          <w:b/>
          <w:color w:val="0000FF"/>
          <w:spacing w:val="10"/>
          <w:kern w:val="0"/>
          <w:sz w:val="16"/>
          <w:szCs w:val="16"/>
        </w:rPr>
        <w:t xml:space="preserve"> </w:t>
      </w:r>
      <w:r>
        <w:rPr>
          <w:rFonts w:ascii="Wingdings" w:eastAsia="Wingdings" w:hAnsi="Wingdings" w:cs="Wingdings"/>
          <w:b/>
          <w:color w:val="0000FF"/>
          <w:spacing w:val="10"/>
          <w:kern w:val="0"/>
          <w:sz w:val="30"/>
          <w:szCs w:val="28"/>
        </w:rPr>
        <w:t></w:t>
      </w:r>
    </w:p>
    <w:p w14:paraId="2DB9C78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B297172"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第一節　活力經濟</w:t>
      </w:r>
    </w:p>
    <w:p w14:paraId="0FF1FA9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127DE2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未來四年，政府將以</w:t>
      </w:r>
      <w:r>
        <w:rPr>
          <w:rFonts w:ascii="標楷體" w:eastAsia="標楷體" w:hAnsi="標楷體"/>
          <w:spacing w:val="4"/>
          <w:kern w:val="0"/>
          <w:sz w:val="28"/>
          <w:szCs w:val="26"/>
        </w:rPr>
        <w:t>「</w:t>
      </w:r>
      <w:r>
        <w:rPr>
          <w:rFonts w:eastAsia="標楷體"/>
          <w:spacing w:val="4"/>
          <w:kern w:val="0"/>
          <w:sz w:val="28"/>
          <w:szCs w:val="26"/>
        </w:rPr>
        <w:t>壯大臺灣、連結亞太、布局全球</w:t>
      </w:r>
      <w:r>
        <w:rPr>
          <w:rFonts w:ascii="標楷體" w:eastAsia="標楷體" w:hAnsi="標楷體"/>
          <w:spacing w:val="4"/>
          <w:kern w:val="0"/>
          <w:sz w:val="28"/>
          <w:szCs w:val="26"/>
        </w:rPr>
        <w:t>」的</w:t>
      </w:r>
      <w:r>
        <w:rPr>
          <w:rFonts w:eastAsia="標楷體"/>
          <w:spacing w:val="4"/>
          <w:kern w:val="0"/>
          <w:sz w:val="28"/>
          <w:szCs w:val="26"/>
        </w:rPr>
        <w:t>戰略，秉持經濟繁榮及成果共享的政策理念，透過「開放布局」、「科技創新」、「樂活農業」、「結構調整」、「促進就業」，以及「穩定物價」等六項施政主軸，全力打造活力經濟臺灣。在開放布局方面，推動經濟自由化，逐步創造有利加入跨太平洋夥伴協定</w:t>
      </w:r>
      <w:r>
        <w:rPr>
          <w:rFonts w:ascii="標楷體" w:eastAsia="標楷體" w:hAnsi="標楷體"/>
          <w:spacing w:val="4"/>
          <w:kern w:val="0"/>
          <w:sz w:val="28"/>
          <w:szCs w:val="26"/>
        </w:rPr>
        <w:t>(</w:t>
      </w:r>
      <w:r>
        <w:rPr>
          <w:rFonts w:eastAsia="標楷體"/>
          <w:spacing w:val="4"/>
          <w:kern w:val="0"/>
          <w:sz w:val="28"/>
          <w:szCs w:val="26"/>
        </w:rPr>
        <w:t>TPP</w:t>
      </w:r>
      <w:r>
        <w:rPr>
          <w:rFonts w:ascii="標楷體" w:eastAsia="標楷體" w:hAnsi="標楷體"/>
          <w:spacing w:val="4"/>
          <w:kern w:val="0"/>
          <w:sz w:val="28"/>
          <w:szCs w:val="26"/>
        </w:rPr>
        <w:t>)</w:t>
      </w:r>
      <w:r>
        <w:rPr>
          <w:rFonts w:eastAsia="標楷體"/>
          <w:spacing w:val="4"/>
          <w:kern w:val="0"/>
          <w:sz w:val="28"/>
          <w:szCs w:val="26"/>
        </w:rPr>
        <w:t>的條件，以落實與全球接軌。科技創新方面，透過深化基礎關鍵技術研發，塑造產業創新環境，全面提升科技創新之國際競爭力。樂活農業方面，發展高效、綠能、新型態的農業，兼顧經營效益與資源永續利用，形塑有活力的樂活農業。在結構調整方面，將朝</w:t>
      </w:r>
      <w:r>
        <w:rPr>
          <w:rFonts w:ascii="標楷體" w:eastAsia="標楷體" w:hAnsi="標楷體"/>
          <w:spacing w:val="4"/>
          <w:kern w:val="0"/>
          <w:sz w:val="28"/>
          <w:szCs w:val="26"/>
        </w:rPr>
        <w:t>「</w:t>
      </w:r>
      <w:r>
        <w:rPr>
          <w:rFonts w:eastAsia="標楷體"/>
          <w:spacing w:val="4"/>
          <w:kern w:val="0"/>
          <w:sz w:val="28"/>
          <w:szCs w:val="26"/>
        </w:rPr>
        <w:t>投資</w:t>
      </w:r>
      <w:r>
        <w:rPr>
          <w:rFonts w:ascii="標楷體" w:eastAsia="標楷體" w:hAnsi="標楷體"/>
          <w:spacing w:val="4"/>
          <w:kern w:val="0"/>
          <w:sz w:val="28"/>
          <w:szCs w:val="26"/>
        </w:rPr>
        <w:t>」</w:t>
      </w:r>
      <w:r>
        <w:rPr>
          <w:rFonts w:ascii="新細明體" w:hAnsi="新細明體"/>
          <w:spacing w:val="4"/>
          <w:kern w:val="0"/>
          <w:sz w:val="28"/>
          <w:szCs w:val="26"/>
        </w:rPr>
        <w:t>、</w:t>
      </w:r>
      <w:r>
        <w:rPr>
          <w:rFonts w:ascii="標楷體" w:eastAsia="標楷體" w:hAnsi="標楷體"/>
          <w:spacing w:val="4"/>
          <w:kern w:val="0"/>
          <w:sz w:val="28"/>
          <w:szCs w:val="26"/>
        </w:rPr>
        <w:t>「消費」</w:t>
      </w:r>
      <w:r>
        <w:rPr>
          <w:rFonts w:ascii="新細明體" w:hAnsi="新細明體"/>
          <w:spacing w:val="4"/>
          <w:kern w:val="0"/>
          <w:sz w:val="28"/>
          <w:szCs w:val="26"/>
        </w:rPr>
        <w:t>、</w:t>
      </w:r>
      <w:r>
        <w:rPr>
          <w:rFonts w:ascii="標楷體" w:eastAsia="標楷體" w:hAnsi="標楷體"/>
          <w:spacing w:val="4"/>
          <w:kern w:val="0"/>
          <w:sz w:val="28"/>
          <w:szCs w:val="26"/>
        </w:rPr>
        <w:t>「出口」三引擎之模式發展，促進產業結構多元化，「製造」與「服務」雙軌並進。至於</w:t>
      </w:r>
      <w:r>
        <w:rPr>
          <w:rFonts w:eastAsia="標楷體"/>
          <w:spacing w:val="4"/>
          <w:kern w:val="0"/>
          <w:sz w:val="28"/>
          <w:szCs w:val="26"/>
        </w:rPr>
        <w:t>促進就業方面，則將致力提高勞動參與率，活絡勞動市場機制，促進人力資源有效運用。另穩定物價方面，則持續監控</w:t>
      </w:r>
      <w:r>
        <w:rPr>
          <w:rFonts w:ascii="新細明體" w:hAnsi="新細明體"/>
          <w:spacing w:val="4"/>
          <w:kern w:val="0"/>
          <w:sz w:val="28"/>
          <w:szCs w:val="26"/>
        </w:rPr>
        <w:t>、</w:t>
      </w:r>
      <w:r>
        <w:rPr>
          <w:rFonts w:eastAsia="標楷體"/>
          <w:spacing w:val="4"/>
          <w:kern w:val="0"/>
          <w:sz w:val="28"/>
          <w:szCs w:val="26"/>
        </w:rPr>
        <w:t>維持國內重要民生物資供應及物價穩定。</w:t>
      </w:r>
    </w:p>
    <w:p w14:paraId="01817F52"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FFE0C68"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壹、開放布局</w:t>
      </w:r>
    </w:p>
    <w:p w14:paraId="302EE4A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20684B5"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鑒於「世界貿易組織」</w:t>
      </w:r>
      <w:r>
        <w:rPr>
          <w:rFonts w:ascii="標楷體" w:eastAsia="標楷體" w:hAnsi="標楷體"/>
          <w:spacing w:val="4"/>
          <w:kern w:val="0"/>
          <w:sz w:val="28"/>
          <w:szCs w:val="26"/>
        </w:rPr>
        <w:t>(</w:t>
      </w:r>
      <w:r>
        <w:rPr>
          <w:rFonts w:eastAsia="標楷體"/>
          <w:spacing w:val="4"/>
          <w:kern w:val="0"/>
          <w:sz w:val="28"/>
          <w:szCs w:val="26"/>
        </w:rPr>
        <w:t>WTO</w:t>
      </w:r>
      <w:r>
        <w:rPr>
          <w:rFonts w:ascii="標楷體" w:eastAsia="標楷體" w:hAnsi="標楷體"/>
          <w:spacing w:val="4"/>
          <w:kern w:val="0"/>
          <w:sz w:val="28"/>
          <w:szCs w:val="26"/>
        </w:rPr>
        <w:t>)</w:t>
      </w:r>
      <w:r>
        <w:rPr>
          <w:rFonts w:eastAsia="標楷體"/>
          <w:spacing w:val="4"/>
          <w:kern w:val="0"/>
          <w:sz w:val="28"/>
          <w:szCs w:val="26"/>
        </w:rPr>
        <w:t>多邊貿易談判進展緩慢，各國已</w:t>
      </w:r>
      <w:r>
        <w:rPr>
          <w:rFonts w:eastAsia="標楷體"/>
          <w:spacing w:val="4"/>
          <w:kern w:val="0"/>
          <w:sz w:val="28"/>
          <w:szCs w:val="26"/>
        </w:rPr>
        <w:lastRenderedPageBreak/>
        <w:t>逐漸將貿易政策重心，轉為推動洽簽自由貿易協定</w:t>
      </w:r>
      <w:r>
        <w:rPr>
          <w:rFonts w:ascii="標楷體" w:eastAsia="標楷體" w:hAnsi="標楷體"/>
          <w:spacing w:val="4"/>
          <w:kern w:val="0"/>
          <w:sz w:val="28"/>
          <w:szCs w:val="26"/>
        </w:rPr>
        <w:t>(</w:t>
      </w:r>
      <w:r>
        <w:rPr>
          <w:rFonts w:eastAsia="標楷體"/>
          <w:spacing w:val="4"/>
          <w:kern w:val="0"/>
          <w:sz w:val="28"/>
          <w:szCs w:val="26"/>
        </w:rPr>
        <w:t>FTA</w:t>
      </w:r>
      <w:r>
        <w:rPr>
          <w:rFonts w:ascii="標楷體" w:eastAsia="標楷體" w:hAnsi="標楷體"/>
          <w:spacing w:val="4"/>
          <w:kern w:val="0"/>
          <w:sz w:val="28"/>
          <w:szCs w:val="26"/>
        </w:rPr>
        <w:t>)</w:t>
      </w:r>
      <w:r>
        <w:rPr>
          <w:rFonts w:eastAsia="標楷體"/>
          <w:spacing w:val="4"/>
          <w:kern w:val="0"/>
          <w:sz w:val="28"/>
          <w:szCs w:val="26"/>
        </w:rPr>
        <w:t>。政府已將參與區域經濟整合列為優先推動的經貿政策，</w:t>
      </w:r>
      <w:r>
        <w:rPr>
          <w:rFonts w:eastAsia="標楷體"/>
          <w:spacing w:val="4"/>
          <w:kern w:val="0"/>
          <w:sz w:val="28"/>
          <w:szCs w:val="26"/>
        </w:rPr>
        <w:t>99</w:t>
      </w:r>
      <w:r>
        <w:rPr>
          <w:rFonts w:eastAsia="標楷體"/>
          <w:spacing w:val="4"/>
          <w:kern w:val="0"/>
          <w:sz w:val="28"/>
          <w:szCs w:val="26"/>
        </w:rPr>
        <w:t>年兩岸已簽署「經濟合作架構協議」</w:t>
      </w:r>
      <w:r>
        <w:rPr>
          <w:rFonts w:ascii="標楷體" w:eastAsia="標楷體" w:hAnsi="標楷體"/>
          <w:spacing w:val="4"/>
          <w:kern w:val="0"/>
          <w:sz w:val="28"/>
          <w:szCs w:val="26"/>
        </w:rPr>
        <w:t>(</w:t>
      </w:r>
      <w:r>
        <w:rPr>
          <w:rFonts w:eastAsia="標楷體"/>
          <w:spacing w:val="4"/>
          <w:kern w:val="0"/>
          <w:sz w:val="28"/>
          <w:szCs w:val="26"/>
        </w:rPr>
        <w:t>ECFA</w:t>
      </w:r>
      <w:r>
        <w:rPr>
          <w:rFonts w:ascii="標楷體" w:eastAsia="標楷體" w:hAnsi="標楷體"/>
          <w:spacing w:val="4"/>
          <w:kern w:val="0"/>
          <w:sz w:val="28"/>
          <w:szCs w:val="26"/>
        </w:rPr>
        <w:t>)</w:t>
      </w:r>
      <w:r>
        <w:rPr>
          <w:rFonts w:eastAsia="標楷體"/>
          <w:spacing w:val="4"/>
          <w:kern w:val="0"/>
          <w:sz w:val="28"/>
          <w:szCs w:val="26"/>
        </w:rPr>
        <w:t>，有效改善兩岸經貿關係，更進一步營造我與其他貿易夥伴推動洽簽經濟合作協定</w:t>
      </w:r>
      <w:r>
        <w:rPr>
          <w:rFonts w:ascii="標楷體" w:eastAsia="標楷體" w:hAnsi="標楷體"/>
          <w:spacing w:val="4"/>
          <w:kern w:val="0"/>
          <w:sz w:val="28"/>
          <w:szCs w:val="26"/>
        </w:rPr>
        <w:t>(</w:t>
      </w:r>
      <w:r>
        <w:rPr>
          <w:rFonts w:eastAsia="標楷體"/>
          <w:spacing w:val="4"/>
          <w:kern w:val="0"/>
          <w:sz w:val="28"/>
          <w:szCs w:val="26"/>
        </w:rPr>
        <w:t>ECA</w:t>
      </w:r>
      <w:r>
        <w:rPr>
          <w:rFonts w:ascii="標楷體" w:eastAsia="標楷體" w:hAnsi="標楷體"/>
          <w:spacing w:val="4"/>
          <w:kern w:val="0"/>
          <w:sz w:val="28"/>
          <w:szCs w:val="26"/>
        </w:rPr>
        <w:t>)</w:t>
      </w:r>
      <w:r>
        <w:rPr>
          <w:rFonts w:eastAsia="標楷體"/>
          <w:spacing w:val="4"/>
          <w:kern w:val="0"/>
          <w:sz w:val="28"/>
          <w:szCs w:val="26"/>
        </w:rPr>
        <w:t>的良好氛圍。展望未來，為因應區域經濟整合潮流的發展趨勢，政府刻正積極擬定策略與研議階段性目標，做好面對開放的準備，俾降低衝擊、掌握商機，引領臺灣融入全球經貿舞臺，邁向活力開放的嶄新未來。</w:t>
      </w:r>
    </w:p>
    <w:p w14:paraId="1F1DC369"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53DE5AB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推展對外洽簽</w:t>
      </w:r>
      <w:r>
        <w:rPr>
          <w:rFonts w:eastAsia="標楷體"/>
          <w:spacing w:val="4"/>
          <w:kern w:val="0"/>
          <w:sz w:val="28"/>
          <w:szCs w:val="22"/>
        </w:rPr>
        <w:t>FTA/ECA</w:t>
      </w:r>
      <w:r>
        <w:rPr>
          <w:rFonts w:eastAsia="標楷體"/>
          <w:spacing w:val="4"/>
          <w:kern w:val="0"/>
          <w:sz w:val="28"/>
          <w:szCs w:val="22"/>
        </w:rPr>
        <w:t>，積極融入區域經濟整合，落實「壯大臺灣、連結亞太、布局全球」策略，期於</w:t>
      </w:r>
      <w:r>
        <w:rPr>
          <w:rFonts w:eastAsia="標楷體"/>
          <w:spacing w:val="4"/>
          <w:kern w:val="0"/>
          <w:sz w:val="28"/>
          <w:szCs w:val="22"/>
        </w:rPr>
        <w:t>105</w:t>
      </w:r>
      <w:r>
        <w:rPr>
          <w:rFonts w:eastAsia="標楷體"/>
          <w:spacing w:val="4"/>
          <w:kern w:val="0"/>
          <w:sz w:val="28"/>
          <w:szCs w:val="22"/>
        </w:rPr>
        <w:t>年達成我與</w:t>
      </w:r>
      <w:r>
        <w:rPr>
          <w:rFonts w:eastAsia="標楷體"/>
          <w:spacing w:val="4"/>
          <w:kern w:val="0"/>
          <w:sz w:val="28"/>
          <w:szCs w:val="22"/>
        </w:rPr>
        <w:t>ECA</w:t>
      </w:r>
      <w:r>
        <w:rPr>
          <w:rFonts w:eastAsia="標楷體"/>
          <w:spacing w:val="4"/>
          <w:kern w:val="0"/>
          <w:sz w:val="28"/>
          <w:szCs w:val="22"/>
        </w:rPr>
        <w:t>簽署國的貿易額占我對外貿易總額</w:t>
      </w:r>
      <w:r>
        <w:rPr>
          <w:rFonts w:eastAsia="標楷體"/>
          <w:spacing w:val="4"/>
          <w:kern w:val="0"/>
          <w:sz w:val="28"/>
          <w:szCs w:val="22"/>
        </w:rPr>
        <w:t>5</w:t>
      </w:r>
      <w:r>
        <w:rPr>
          <w:rFonts w:eastAsia="標楷體"/>
          <w:spacing w:val="4"/>
          <w:kern w:val="0"/>
          <w:sz w:val="28"/>
          <w:szCs w:val="22"/>
        </w:rPr>
        <w:t>成。</w:t>
      </w:r>
    </w:p>
    <w:p w14:paraId="144A70C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推動加入跨太平洋夥伴協定</w:t>
      </w:r>
      <w:r>
        <w:rPr>
          <w:rFonts w:ascii="標楷體" w:eastAsia="標楷體" w:hAnsi="標楷體"/>
          <w:spacing w:val="4"/>
          <w:kern w:val="0"/>
          <w:sz w:val="28"/>
          <w:szCs w:val="22"/>
        </w:rPr>
        <w:t>(</w:t>
      </w:r>
      <w:r>
        <w:rPr>
          <w:rFonts w:eastAsia="標楷體"/>
          <w:spacing w:val="4"/>
          <w:kern w:val="0"/>
          <w:sz w:val="28"/>
          <w:szCs w:val="22"/>
        </w:rPr>
        <w:t>TPP</w:t>
      </w:r>
      <w:r>
        <w:rPr>
          <w:rFonts w:ascii="標楷體" w:eastAsia="標楷體" w:hAnsi="標楷體"/>
          <w:spacing w:val="4"/>
          <w:kern w:val="0"/>
          <w:sz w:val="28"/>
          <w:szCs w:val="22"/>
        </w:rPr>
        <w:t>)</w:t>
      </w:r>
      <w:r>
        <w:rPr>
          <w:rFonts w:eastAsia="標楷體"/>
          <w:spacing w:val="4"/>
          <w:kern w:val="0"/>
          <w:sz w:val="28"/>
          <w:szCs w:val="22"/>
        </w:rPr>
        <w:t>，規劃產業因應市場開放之中、長期調整方案；推動「自由經濟示範區」，逐步創造加入</w:t>
      </w:r>
      <w:r>
        <w:rPr>
          <w:rFonts w:eastAsia="標楷體"/>
          <w:spacing w:val="4"/>
          <w:kern w:val="0"/>
          <w:sz w:val="28"/>
          <w:szCs w:val="22"/>
        </w:rPr>
        <w:t>TPP</w:t>
      </w:r>
      <w:r>
        <w:rPr>
          <w:rFonts w:eastAsia="標楷體"/>
          <w:spacing w:val="4"/>
          <w:kern w:val="0"/>
          <w:sz w:val="28"/>
          <w:szCs w:val="22"/>
        </w:rPr>
        <w:t>的有利條件，並積極尋求</w:t>
      </w:r>
      <w:r>
        <w:rPr>
          <w:rFonts w:eastAsia="標楷體"/>
          <w:spacing w:val="4"/>
          <w:kern w:val="0"/>
          <w:sz w:val="28"/>
          <w:szCs w:val="22"/>
        </w:rPr>
        <w:t>TPP</w:t>
      </w:r>
      <w:r>
        <w:rPr>
          <w:rFonts w:eastAsia="標楷體"/>
          <w:spacing w:val="4"/>
          <w:kern w:val="0"/>
          <w:sz w:val="28"/>
          <w:szCs w:val="22"/>
        </w:rPr>
        <w:t>成員國與我展開談判。</w:t>
      </w:r>
    </w:p>
    <w:p w14:paraId="06D53D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多元化出口產業與分散進、出口市場，建置市場行銷整合網路，發展成為全球優質平價產品的營運樞紐。</w:t>
      </w:r>
    </w:p>
    <w:p w14:paraId="3DA1CB0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推</w:t>
      </w:r>
      <w:r>
        <w:rPr>
          <w:rFonts w:eastAsia="標楷體"/>
          <w:spacing w:val="6"/>
          <w:kern w:val="0"/>
          <w:sz w:val="28"/>
          <w:szCs w:val="22"/>
        </w:rPr>
        <w:t>動與亞太產業供應鏈之串接合作，強化在臺企業全球運籌能力，打造臺灣成為亞太區域物流及供應鏈資源整合的重要據點。</w:t>
      </w:r>
    </w:p>
    <w:p w14:paraId="02F7666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檢討外人投資相關法規，建構具創新發展的優質投資環境；加強國際租稅交流，推動洽簽租稅協定，強化國際關務合作。</w:t>
      </w:r>
    </w:p>
    <w:p w14:paraId="6820252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343D472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(一)積</w:t>
      </w:r>
      <w:r>
        <w:rPr>
          <w:rFonts w:eastAsia="標楷體"/>
          <w:spacing w:val="4"/>
          <w:kern w:val="0"/>
          <w:sz w:val="28"/>
          <w:szCs w:val="22"/>
        </w:rPr>
        <w:t>極參與國際組織，拓展對外經貿關係</w:t>
      </w:r>
    </w:p>
    <w:p w14:paraId="2DE027D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積極參與</w:t>
      </w:r>
      <w:r>
        <w:rPr>
          <w:rFonts w:eastAsia="標楷體"/>
          <w:spacing w:val="4"/>
          <w:kern w:val="0"/>
          <w:sz w:val="28"/>
          <w:szCs w:val="26"/>
        </w:rPr>
        <w:t>WTO</w:t>
      </w:r>
      <w:r>
        <w:rPr>
          <w:rFonts w:eastAsia="標楷體"/>
          <w:spacing w:val="4"/>
          <w:kern w:val="0"/>
          <w:sz w:val="28"/>
          <w:szCs w:val="26"/>
        </w:rPr>
        <w:t>部長會議、各理事會、工作小組會議與杜哈回合各議題談判會議，爭取我經貿利益及拓展對外經貿關係；續辦</w:t>
      </w:r>
      <w:r>
        <w:rPr>
          <w:rFonts w:eastAsia="標楷體"/>
          <w:spacing w:val="4"/>
          <w:kern w:val="0"/>
          <w:sz w:val="28"/>
          <w:szCs w:val="26"/>
        </w:rPr>
        <w:t>WTO</w:t>
      </w:r>
      <w:r>
        <w:rPr>
          <w:rFonts w:eastAsia="標楷體"/>
          <w:spacing w:val="4"/>
          <w:kern w:val="0"/>
          <w:sz w:val="28"/>
          <w:szCs w:val="26"/>
        </w:rPr>
        <w:t>相關議題及國際經貿發展趨勢研究，俾利相關策略研擬參考。</w:t>
      </w:r>
    </w:p>
    <w:p w14:paraId="0B65608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積極參與</w:t>
      </w:r>
      <w:r>
        <w:rPr>
          <w:rFonts w:eastAsia="標楷體"/>
          <w:spacing w:val="4"/>
          <w:kern w:val="0"/>
          <w:sz w:val="28"/>
          <w:szCs w:val="26"/>
        </w:rPr>
        <w:t>APEC</w:t>
      </w:r>
      <w:r>
        <w:rPr>
          <w:rFonts w:eastAsia="標楷體"/>
          <w:spacing w:val="4"/>
          <w:kern w:val="0"/>
          <w:sz w:val="28"/>
          <w:szCs w:val="26"/>
        </w:rPr>
        <w:t>各項會議，以及區域經濟整合、推動經貿自由化與便捷化的各項實質工作，藉由</w:t>
      </w:r>
      <w:r>
        <w:rPr>
          <w:rFonts w:eastAsia="標楷體"/>
          <w:spacing w:val="4"/>
          <w:kern w:val="0"/>
          <w:sz w:val="28"/>
          <w:szCs w:val="26"/>
        </w:rPr>
        <w:t>APEC</w:t>
      </w:r>
      <w:r>
        <w:rPr>
          <w:rFonts w:eastAsia="標楷體"/>
          <w:spacing w:val="4"/>
          <w:kern w:val="0"/>
          <w:sz w:val="28"/>
          <w:szCs w:val="26"/>
        </w:rPr>
        <w:t>平臺促進與各國</w:t>
      </w:r>
      <w:r>
        <w:rPr>
          <w:rFonts w:eastAsia="標楷體"/>
          <w:spacing w:val="4"/>
          <w:kern w:val="0"/>
          <w:sz w:val="28"/>
          <w:szCs w:val="26"/>
        </w:rPr>
        <w:lastRenderedPageBreak/>
        <w:t>互動合作，強化雙邊實質關係，以及提升產業競爭力。</w:t>
      </w:r>
    </w:p>
    <w:p w14:paraId="4B35442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以觀察員資格積極參與</w:t>
      </w:r>
      <w:r>
        <w:rPr>
          <w:rFonts w:eastAsia="標楷體"/>
          <w:spacing w:val="4"/>
          <w:kern w:val="0"/>
          <w:sz w:val="28"/>
          <w:szCs w:val="26"/>
        </w:rPr>
        <w:t>OECD</w:t>
      </w:r>
      <w:r>
        <w:rPr>
          <w:rFonts w:eastAsia="標楷體"/>
          <w:spacing w:val="4"/>
          <w:kern w:val="0"/>
          <w:sz w:val="28"/>
          <w:szCs w:val="26"/>
        </w:rPr>
        <w:t>「鋼鐵委員會」、「競爭委員會」及「漁業委員會」；爭取出席</w:t>
      </w:r>
      <w:r>
        <w:rPr>
          <w:rFonts w:eastAsia="標楷體"/>
          <w:spacing w:val="4"/>
          <w:kern w:val="0"/>
          <w:sz w:val="28"/>
          <w:szCs w:val="26"/>
        </w:rPr>
        <w:t>OECD</w:t>
      </w:r>
      <w:r>
        <w:rPr>
          <w:rFonts w:eastAsia="標楷體"/>
          <w:spacing w:val="4"/>
          <w:kern w:val="0"/>
          <w:sz w:val="28"/>
          <w:szCs w:val="26"/>
        </w:rPr>
        <w:t>相關活動及派員在</w:t>
      </w:r>
      <w:r>
        <w:rPr>
          <w:rFonts w:eastAsia="標楷體"/>
          <w:spacing w:val="4"/>
          <w:kern w:val="0"/>
          <w:sz w:val="28"/>
          <w:szCs w:val="26"/>
        </w:rPr>
        <w:t>OECD</w:t>
      </w:r>
      <w:r>
        <w:rPr>
          <w:rFonts w:eastAsia="標楷體"/>
          <w:spacing w:val="4"/>
          <w:kern w:val="0"/>
          <w:sz w:val="28"/>
          <w:szCs w:val="26"/>
        </w:rPr>
        <w:t>工作之機會，深化與</w:t>
      </w:r>
      <w:r>
        <w:rPr>
          <w:rFonts w:eastAsia="標楷體"/>
          <w:spacing w:val="4"/>
          <w:kern w:val="0"/>
          <w:sz w:val="28"/>
          <w:szCs w:val="26"/>
        </w:rPr>
        <w:t>OECD</w:t>
      </w:r>
      <w:r>
        <w:rPr>
          <w:rFonts w:eastAsia="標楷體"/>
          <w:spacing w:val="4"/>
          <w:kern w:val="0"/>
          <w:sz w:val="28"/>
          <w:szCs w:val="26"/>
        </w:rPr>
        <w:t>秘書處及會員國之互動合作關係。</w:t>
      </w:r>
    </w:p>
    <w:p w14:paraId="55848AF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採堆積木方式，積極推展洽簽</w:t>
      </w:r>
      <w:r>
        <w:rPr>
          <w:rFonts w:eastAsia="標楷體"/>
          <w:spacing w:val="4"/>
          <w:kern w:val="0"/>
          <w:sz w:val="28"/>
          <w:szCs w:val="22"/>
        </w:rPr>
        <w:t>FTA</w:t>
      </w:r>
    </w:p>
    <w:p w14:paraId="58D34CA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加入</w:t>
      </w:r>
      <w:r>
        <w:rPr>
          <w:rFonts w:eastAsia="標楷體"/>
          <w:spacing w:val="4"/>
          <w:kern w:val="0"/>
          <w:sz w:val="28"/>
          <w:szCs w:val="26"/>
        </w:rPr>
        <w:t>TPP</w:t>
      </w:r>
    </w:p>
    <w:p w14:paraId="3D300A8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整合政府與民間資源，研修相關法規，創造我加入</w:t>
      </w:r>
      <w:r>
        <w:rPr>
          <w:rFonts w:eastAsia="標楷體"/>
          <w:spacing w:val="4"/>
          <w:kern w:val="0"/>
          <w:sz w:val="28"/>
          <w:szCs w:val="22"/>
        </w:rPr>
        <w:t>TPP</w:t>
      </w:r>
      <w:r>
        <w:rPr>
          <w:rFonts w:eastAsia="標楷體"/>
          <w:spacing w:val="4"/>
          <w:kern w:val="0"/>
          <w:sz w:val="28"/>
          <w:szCs w:val="22"/>
        </w:rPr>
        <w:t>的有利條件；規劃國內產業因應自由化趨勢之中、長期調整方案，降低未來加入</w:t>
      </w:r>
      <w:r>
        <w:rPr>
          <w:rFonts w:eastAsia="標楷體"/>
          <w:spacing w:val="4"/>
          <w:kern w:val="0"/>
          <w:sz w:val="28"/>
          <w:szCs w:val="22"/>
        </w:rPr>
        <w:t>TPP</w:t>
      </w:r>
      <w:r>
        <w:rPr>
          <w:rFonts w:eastAsia="標楷體"/>
          <w:spacing w:val="4"/>
          <w:kern w:val="0"/>
          <w:sz w:val="28"/>
          <w:szCs w:val="22"/>
        </w:rPr>
        <w:t>對國內經濟可能造成的衝擊。</w:t>
      </w:r>
    </w:p>
    <w:p w14:paraId="77113D9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透過多元接洽，逐一與</w:t>
      </w:r>
      <w:r>
        <w:rPr>
          <w:rFonts w:eastAsia="標楷體"/>
          <w:spacing w:val="4"/>
          <w:kern w:val="0"/>
          <w:sz w:val="28"/>
          <w:szCs w:val="22"/>
        </w:rPr>
        <w:t>TPP</w:t>
      </w:r>
      <w:r>
        <w:rPr>
          <w:rFonts w:eastAsia="標楷體"/>
          <w:spacing w:val="4"/>
          <w:kern w:val="0"/>
          <w:sz w:val="28"/>
          <w:szCs w:val="22"/>
        </w:rPr>
        <w:t>成員國進行遊說與諮商，爭取支持我加入</w:t>
      </w:r>
      <w:r>
        <w:rPr>
          <w:rFonts w:eastAsia="標楷體"/>
          <w:spacing w:val="4"/>
          <w:kern w:val="0"/>
          <w:sz w:val="28"/>
          <w:szCs w:val="22"/>
        </w:rPr>
        <w:t>TPP</w:t>
      </w:r>
      <w:r>
        <w:rPr>
          <w:rFonts w:eastAsia="標楷體"/>
          <w:spacing w:val="4"/>
          <w:kern w:val="0"/>
          <w:sz w:val="28"/>
          <w:szCs w:val="22"/>
        </w:rPr>
        <w:t>。</w:t>
      </w:r>
    </w:p>
    <w:p w14:paraId="6B75253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推展對外洽簽</w:t>
      </w:r>
      <w:r>
        <w:rPr>
          <w:rFonts w:eastAsia="標楷體"/>
          <w:spacing w:val="4"/>
          <w:kern w:val="0"/>
          <w:sz w:val="28"/>
          <w:szCs w:val="26"/>
        </w:rPr>
        <w:t>ECA</w:t>
      </w:r>
    </w:p>
    <w:p w14:paraId="0822B5B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繼續臺星經濟夥伴協定</w:t>
      </w:r>
      <w:r>
        <w:rPr>
          <w:rFonts w:ascii="標楷體" w:eastAsia="標楷體" w:hAnsi="標楷體"/>
          <w:spacing w:val="4"/>
          <w:kern w:val="0"/>
          <w:sz w:val="28"/>
          <w:szCs w:val="22"/>
        </w:rPr>
        <w:t>(</w:t>
      </w:r>
      <w:r>
        <w:rPr>
          <w:rFonts w:eastAsia="標楷體"/>
          <w:spacing w:val="4"/>
          <w:kern w:val="0"/>
          <w:sz w:val="28"/>
          <w:szCs w:val="22"/>
        </w:rPr>
        <w:t>ASTEP</w:t>
      </w:r>
      <w:r>
        <w:rPr>
          <w:rFonts w:ascii="標楷體" w:eastAsia="標楷體" w:hAnsi="標楷體"/>
          <w:spacing w:val="4"/>
          <w:kern w:val="0"/>
          <w:sz w:val="28"/>
          <w:szCs w:val="22"/>
        </w:rPr>
        <w:t>)</w:t>
      </w:r>
      <w:r>
        <w:rPr>
          <w:rFonts w:eastAsia="標楷體"/>
          <w:spacing w:val="4"/>
          <w:kern w:val="0"/>
          <w:sz w:val="28"/>
          <w:szCs w:val="22"/>
        </w:rPr>
        <w:t>、臺紐經濟合作協定</w:t>
      </w:r>
      <w:r>
        <w:rPr>
          <w:rFonts w:ascii="標楷體" w:eastAsia="標楷體" w:hAnsi="標楷體"/>
          <w:spacing w:val="4"/>
          <w:kern w:val="0"/>
          <w:sz w:val="28"/>
          <w:szCs w:val="22"/>
        </w:rPr>
        <w:t>(</w:t>
      </w:r>
      <w:r>
        <w:rPr>
          <w:rFonts w:eastAsia="標楷體"/>
          <w:spacing w:val="4"/>
          <w:kern w:val="0"/>
          <w:sz w:val="28"/>
          <w:szCs w:val="22"/>
        </w:rPr>
        <w:t>ECA</w:t>
      </w:r>
      <w:r>
        <w:rPr>
          <w:rFonts w:ascii="標楷體" w:eastAsia="標楷體" w:hAnsi="標楷體"/>
          <w:spacing w:val="4"/>
          <w:kern w:val="0"/>
          <w:sz w:val="28"/>
          <w:szCs w:val="22"/>
        </w:rPr>
        <w:t>)談</w:t>
      </w:r>
      <w:r>
        <w:rPr>
          <w:rFonts w:eastAsia="標楷體"/>
          <w:spacing w:val="4"/>
          <w:kern w:val="0"/>
          <w:sz w:val="28"/>
          <w:szCs w:val="22"/>
        </w:rPr>
        <w:t>判，力求儘快完成，並加強對外界宣導；持續與印度、菲律賓、印尼等進行洽簽</w:t>
      </w:r>
      <w:r>
        <w:rPr>
          <w:rFonts w:eastAsia="標楷體"/>
          <w:spacing w:val="4"/>
          <w:kern w:val="0"/>
          <w:sz w:val="28"/>
          <w:szCs w:val="22"/>
        </w:rPr>
        <w:t>ECA</w:t>
      </w:r>
      <w:r>
        <w:rPr>
          <w:rFonts w:eastAsia="標楷體"/>
          <w:spacing w:val="4"/>
          <w:kern w:val="0"/>
          <w:sz w:val="28"/>
          <w:szCs w:val="22"/>
        </w:rPr>
        <w:t>的可行性研究。</w:t>
      </w:r>
    </w:p>
    <w:p w14:paraId="36A2AA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持續與美國、歐盟、日本及加拿大等國，分別推動洽簽電子商務、關務合作等</w:t>
      </w:r>
      <w:r>
        <w:rPr>
          <w:rFonts w:eastAsia="標楷體"/>
          <w:spacing w:val="4"/>
          <w:kern w:val="0"/>
          <w:sz w:val="28"/>
          <w:szCs w:val="22"/>
        </w:rPr>
        <w:t>ECA</w:t>
      </w:r>
      <w:r>
        <w:rPr>
          <w:rFonts w:eastAsia="標楷體"/>
          <w:spacing w:val="4"/>
          <w:kern w:val="0"/>
          <w:sz w:val="28"/>
          <w:szCs w:val="22"/>
        </w:rPr>
        <w:t>內涵議題的雙邊協定。</w:t>
      </w:r>
    </w:p>
    <w:p w14:paraId="197A0C8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暢通與歐盟各國的溝通平臺，定期舉辦諮商會議、工作小組會議，並與各會員國民間單位召開聯席會議；另透過專案小組與歐盟就</w:t>
      </w:r>
      <w:r>
        <w:rPr>
          <w:rFonts w:eastAsia="標楷體"/>
          <w:spacing w:val="4"/>
          <w:kern w:val="0"/>
          <w:sz w:val="28"/>
          <w:szCs w:val="22"/>
        </w:rPr>
        <w:t>ECA</w:t>
      </w:r>
      <w:r>
        <w:rPr>
          <w:rFonts w:eastAsia="標楷體"/>
          <w:spacing w:val="4"/>
          <w:kern w:val="0"/>
          <w:sz w:val="28"/>
          <w:szCs w:val="22"/>
        </w:rPr>
        <w:t>內涵議題展開洽商。</w:t>
      </w:r>
    </w:p>
    <w:p w14:paraId="7A3F8FE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強化與</w:t>
      </w:r>
      <w:r>
        <w:rPr>
          <w:rFonts w:eastAsia="標楷體"/>
          <w:spacing w:val="4"/>
          <w:kern w:val="0"/>
          <w:sz w:val="28"/>
          <w:szCs w:val="26"/>
        </w:rPr>
        <w:t>FTA</w:t>
      </w:r>
      <w:r>
        <w:rPr>
          <w:rFonts w:eastAsia="標楷體"/>
          <w:spacing w:val="4"/>
          <w:kern w:val="0"/>
          <w:sz w:val="28"/>
          <w:szCs w:val="26"/>
        </w:rPr>
        <w:t>簽署國的經貿關係</w:t>
      </w:r>
    </w:p>
    <w:p w14:paraId="73806A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持續加強與瓜地馬拉、尼加拉瓜、薩爾瓦多、宏都拉斯、巴拿馬等</w:t>
      </w:r>
      <w:r>
        <w:rPr>
          <w:rFonts w:eastAsia="標楷體"/>
          <w:spacing w:val="4"/>
          <w:kern w:val="0"/>
          <w:sz w:val="28"/>
          <w:szCs w:val="22"/>
        </w:rPr>
        <w:t>5</w:t>
      </w:r>
      <w:r>
        <w:rPr>
          <w:rFonts w:eastAsia="標楷體"/>
          <w:spacing w:val="4"/>
          <w:kern w:val="0"/>
          <w:sz w:val="28"/>
          <w:szCs w:val="22"/>
        </w:rPr>
        <w:t>個</w:t>
      </w:r>
      <w:r>
        <w:rPr>
          <w:rFonts w:eastAsia="標楷體"/>
          <w:spacing w:val="4"/>
          <w:kern w:val="0"/>
          <w:sz w:val="28"/>
          <w:szCs w:val="22"/>
        </w:rPr>
        <w:t>FTA</w:t>
      </w:r>
      <w:r>
        <w:rPr>
          <w:rFonts w:eastAsia="標楷體"/>
          <w:spacing w:val="4"/>
          <w:kern w:val="0"/>
          <w:sz w:val="28"/>
          <w:szCs w:val="22"/>
        </w:rPr>
        <w:t>簽署國之經貿關係。</w:t>
      </w:r>
    </w:p>
    <w:p w14:paraId="207847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在</w:t>
      </w:r>
      <w:r>
        <w:rPr>
          <w:rFonts w:eastAsia="標楷體"/>
          <w:spacing w:val="4"/>
          <w:kern w:val="0"/>
          <w:sz w:val="28"/>
          <w:szCs w:val="22"/>
        </w:rPr>
        <w:t>FTA</w:t>
      </w:r>
      <w:r>
        <w:rPr>
          <w:rFonts w:eastAsia="標楷體"/>
          <w:spacing w:val="4"/>
          <w:kern w:val="0"/>
          <w:sz w:val="28"/>
          <w:szCs w:val="22"/>
        </w:rPr>
        <w:t>架構下，定期舉辦我與中美洲國家雙邊部長級會議，並檢視</w:t>
      </w:r>
      <w:r>
        <w:rPr>
          <w:rFonts w:eastAsia="標楷體"/>
          <w:spacing w:val="4"/>
          <w:kern w:val="0"/>
          <w:sz w:val="28"/>
          <w:szCs w:val="22"/>
        </w:rPr>
        <w:t>FTA</w:t>
      </w:r>
      <w:r>
        <w:rPr>
          <w:rFonts w:eastAsia="標楷體"/>
          <w:spacing w:val="4"/>
          <w:kern w:val="0"/>
          <w:sz w:val="28"/>
          <w:szCs w:val="22"/>
        </w:rPr>
        <w:t>內容及協調相關單位意見，俾利</w:t>
      </w:r>
      <w:r>
        <w:rPr>
          <w:rFonts w:eastAsia="標楷體"/>
          <w:spacing w:val="4"/>
          <w:kern w:val="0"/>
          <w:sz w:val="28"/>
          <w:szCs w:val="22"/>
        </w:rPr>
        <w:t>FTA</w:t>
      </w:r>
      <w:r>
        <w:rPr>
          <w:rFonts w:eastAsia="標楷體"/>
          <w:spacing w:val="4"/>
          <w:kern w:val="0"/>
          <w:sz w:val="28"/>
          <w:szCs w:val="22"/>
        </w:rPr>
        <w:t>運作順利，提升雙邊經貿關係。</w:t>
      </w:r>
    </w:p>
    <w:p w14:paraId="414AB40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推動「自由經濟示範區」</w:t>
      </w:r>
    </w:p>
    <w:p w14:paraId="69E98FD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完成「自由經濟示範區」之規劃及報院核定程序，以鬆綁經貿法令制度為方向，循序漸進推動我國為自由經濟體。</w:t>
      </w:r>
    </w:p>
    <w:p w14:paraId="40400B6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2.</w:t>
      </w:r>
      <w:r>
        <w:rPr>
          <w:rFonts w:eastAsia="標楷體"/>
          <w:spacing w:val="4"/>
          <w:kern w:val="0"/>
          <w:sz w:val="28"/>
          <w:szCs w:val="26"/>
        </w:rPr>
        <w:t>依行政院核定之「自由經濟示範區」方案，持續協調相關部會持續推動並研擬相關法令配套措施，以創造具高度國際競爭力的環璄，進而達成我國經濟自由化及加入</w:t>
      </w:r>
      <w:r>
        <w:rPr>
          <w:rFonts w:eastAsia="標楷體"/>
          <w:spacing w:val="4"/>
          <w:kern w:val="0"/>
          <w:sz w:val="28"/>
          <w:szCs w:val="26"/>
        </w:rPr>
        <w:t>TPP</w:t>
      </w:r>
      <w:r>
        <w:rPr>
          <w:rFonts w:eastAsia="標楷體"/>
          <w:spacing w:val="4"/>
          <w:kern w:val="0"/>
          <w:sz w:val="28"/>
          <w:szCs w:val="26"/>
        </w:rPr>
        <w:t>之目標。</w:t>
      </w:r>
    </w:p>
    <w:p w14:paraId="7401BE7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)多</w:t>
      </w:r>
      <w:r>
        <w:rPr>
          <w:rFonts w:eastAsia="標楷體"/>
          <w:spacing w:val="4"/>
          <w:kern w:val="0"/>
          <w:sz w:val="28"/>
          <w:szCs w:val="22"/>
        </w:rPr>
        <w:t>元化出口市場與產業</w:t>
      </w:r>
    </w:p>
    <w:p w14:paraId="01F4AB7C"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建構國際行銷平臺，篩選全球主要市場及新興市場為重點拓銷市場，整合政府與民間資源，強力拓銷。</w:t>
      </w:r>
    </w:p>
    <w:p w14:paraId="226355D7"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辦理研討會、商機媒合會、籌組經貿訪問團等，以及培養語言人才及國際行銷業務經理人，協助臺商拓展商機。</w:t>
      </w:r>
    </w:p>
    <w:p w14:paraId="57E0EFE0"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強化新興市場資訊與需求之研究調查，遴選領頭廠商帶領其他廠商共同拓展新興市場。</w:t>
      </w:r>
    </w:p>
    <w:p w14:paraId="6B5F3BE4"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透過專案補助，誘發廠商開發多元、創新及整合性之國際行銷模式拓展海外市場，並協助廠商強化通路及經銷網布建，提升貿易加值服務專業。</w:t>
      </w:r>
    </w:p>
    <w:p w14:paraId="3F8979A9"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與新興市場當地大型通路商長期合作設置「臺灣優質產品展售區」，以跨媒體多元創新之整合行銷傳播方式辦理海外推廣活動，提升業者布建通路及臺灣在新興市場之產業形象。</w:t>
      </w:r>
    </w:p>
    <w:p w14:paraId="180D2E86"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強化新興市場據點及人力，以擴大協助廠商拓展新興市場之服務能量。</w:t>
      </w:r>
    </w:p>
    <w:p w14:paraId="4CBE9442"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022" w:hanging="230"/>
        <w:jc w:val="both"/>
        <w:textAlignment w:val="center"/>
      </w:pPr>
      <w:r>
        <w:rPr>
          <w:rFonts w:eastAsia="標楷體"/>
          <w:spacing w:val="4"/>
          <w:kern w:val="0"/>
          <w:sz w:val="28"/>
          <w:szCs w:val="26"/>
        </w:rPr>
        <w:t>7.</w:t>
      </w:r>
      <w:r>
        <w:rPr>
          <w:rFonts w:eastAsia="標楷體"/>
          <w:spacing w:val="4"/>
          <w:kern w:val="0"/>
          <w:sz w:val="28"/>
          <w:szCs w:val="26"/>
        </w:rPr>
        <w:t>提升國際會議及展覽活</w:t>
      </w:r>
      <w:r>
        <w:rPr>
          <w:rFonts w:ascii="標楷體" w:eastAsia="標楷體" w:hAnsi="標楷體"/>
          <w:spacing w:val="4"/>
          <w:kern w:val="0"/>
          <w:sz w:val="28"/>
          <w:szCs w:val="26"/>
        </w:rPr>
        <w:t>動(</w:t>
      </w:r>
      <w:r>
        <w:rPr>
          <w:rFonts w:eastAsia="標楷體"/>
          <w:spacing w:val="4"/>
          <w:kern w:val="0"/>
          <w:sz w:val="28"/>
          <w:szCs w:val="26"/>
        </w:rPr>
        <w:t>含獎勵旅遊</w:t>
      </w:r>
      <w:r>
        <w:rPr>
          <w:rFonts w:ascii="標楷體" w:eastAsia="標楷體" w:hAnsi="標楷體"/>
          <w:spacing w:val="4"/>
          <w:kern w:val="0"/>
          <w:sz w:val="28"/>
          <w:szCs w:val="26"/>
        </w:rPr>
        <w:t>)</w:t>
      </w:r>
      <w:r>
        <w:rPr>
          <w:rFonts w:eastAsia="標楷體"/>
          <w:spacing w:val="4"/>
          <w:kern w:val="0"/>
          <w:sz w:val="28"/>
          <w:szCs w:val="26"/>
        </w:rPr>
        <w:t>在臺舉辦場次，吸引國外人士來臺消費，擴大會展及週邊產業商機。</w:t>
      </w:r>
    </w:p>
    <w:p w14:paraId="464A900D"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全力爭取後</w:t>
      </w:r>
      <w:r>
        <w:rPr>
          <w:rFonts w:eastAsia="標楷體"/>
          <w:spacing w:val="4"/>
          <w:kern w:val="0"/>
          <w:sz w:val="28"/>
          <w:szCs w:val="22"/>
        </w:rPr>
        <w:t>ECFA</w:t>
      </w:r>
      <w:r>
        <w:rPr>
          <w:rFonts w:eastAsia="標楷體"/>
          <w:spacing w:val="4"/>
          <w:kern w:val="0"/>
          <w:sz w:val="28"/>
          <w:szCs w:val="22"/>
        </w:rPr>
        <w:t>商機</w:t>
      </w:r>
    </w:p>
    <w:p w14:paraId="35852807"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輔導物流業朝規模化與利基型發展</w:t>
      </w:r>
    </w:p>
    <w:p w14:paraId="505D5E32"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輔導中大型物流業朝規模化及供應鏈管理服務領域發展，擴大全球服務項目與跨國服務據點。</w:t>
      </w:r>
    </w:p>
    <w:p w14:paraId="28F39336"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與臺商協會建立交流機制，籌組赴中國大陸、越南、印度等新興市場參訪團，瞭解海外物流商機。</w:t>
      </w:r>
    </w:p>
    <w:p w14:paraId="23633970"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研析中國大陸與亞洲其他新興國家的產業運籌發展概況，研議臺商布局可行模式。</w:t>
      </w:r>
    </w:p>
    <w:p w14:paraId="309F47B8"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積極推動與國際標準串接</w:t>
      </w:r>
    </w:p>
    <w:p w14:paraId="698F2300" w14:textId="77777777" w:rsidR="00052596" w:rsidRDefault="00000000">
      <w:pPr>
        <w:tabs>
          <w:tab w:val="left" w:pos="960"/>
          <w:tab w:val="left" w:pos="1920"/>
          <w:tab w:val="left" w:pos="2880"/>
          <w:tab w:val="left" w:pos="3840"/>
          <w:tab w:val="left" w:pos="4800"/>
          <w:tab w:val="left" w:pos="5760"/>
        </w:tabs>
        <w:overflowPunct w:val="0"/>
        <w:autoSpaceDE w:val="0"/>
        <w:spacing w:line="414"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邀請公協會參與整合關務、貿易簽審管理、</w:t>
      </w:r>
      <w:r>
        <w:rPr>
          <w:rFonts w:ascii="標楷體" w:eastAsia="標楷體" w:hAnsi="標楷體"/>
          <w:spacing w:val="4"/>
          <w:kern w:val="0"/>
          <w:sz w:val="28"/>
          <w:szCs w:val="22"/>
        </w:rPr>
        <w:t>海(空)</w:t>
      </w:r>
      <w:r>
        <w:rPr>
          <w:rFonts w:eastAsia="標楷體"/>
          <w:spacing w:val="4"/>
          <w:kern w:val="0"/>
          <w:sz w:val="28"/>
          <w:szCs w:val="22"/>
        </w:rPr>
        <w:t>港務安全需求相關工作。</w:t>
      </w:r>
    </w:p>
    <w:p w14:paraId="333EA9F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政府與民間合作，透過兩岸洽談或參與國際組織活動，如世界關務組織</w:t>
      </w:r>
      <w:r>
        <w:rPr>
          <w:rFonts w:ascii="標楷體" w:eastAsia="標楷體" w:hAnsi="標楷體"/>
          <w:spacing w:val="4"/>
          <w:kern w:val="0"/>
          <w:sz w:val="28"/>
          <w:szCs w:val="22"/>
        </w:rPr>
        <w:t>(</w:t>
      </w:r>
      <w:r>
        <w:rPr>
          <w:rFonts w:eastAsia="標楷體"/>
          <w:spacing w:val="4"/>
          <w:kern w:val="0"/>
          <w:sz w:val="28"/>
          <w:szCs w:val="22"/>
        </w:rPr>
        <w:t>World Customs Organization, WCO</w:t>
      </w:r>
      <w:r>
        <w:rPr>
          <w:rFonts w:ascii="標楷體" w:eastAsia="標楷體" w:hAnsi="標楷體"/>
          <w:spacing w:val="4"/>
          <w:kern w:val="0"/>
          <w:sz w:val="28"/>
          <w:szCs w:val="22"/>
        </w:rPr>
        <w:t>)</w:t>
      </w:r>
      <w:r>
        <w:rPr>
          <w:rFonts w:eastAsia="標楷體"/>
          <w:spacing w:val="4"/>
          <w:kern w:val="0"/>
          <w:sz w:val="28"/>
          <w:szCs w:val="22"/>
        </w:rPr>
        <w:t>等，建立物流技術、設備、軟體之共同標準，推動跨境物流發展。</w:t>
      </w:r>
    </w:p>
    <w:p w14:paraId="060A4E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推動物流雲端服務，加強資訊整合，包括：跨境貿易資訊流、物流、金流整合服務，建置跨境貿易物流文件儲存與轉換機制，擴大資訊及服務共享。</w:t>
      </w:r>
    </w:p>
    <w:p w14:paraId="547092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4.</w:t>
      </w:r>
      <w:r>
        <w:rPr>
          <w:rFonts w:eastAsia="標楷體"/>
          <w:spacing w:val="4"/>
          <w:kern w:val="0"/>
          <w:sz w:val="28"/>
          <w:szCs w:val="26"/>
        </w:rPr>
        <w:t>透</w:t>
      </w:r>
      <w:r>
        <w:rPr>
          <w:rFonts w:eastAsia="標楷體"/>
          <w:spacing w:val="2"/>
          <w:kern w:val="0"/>
          <w:sz w:val="28"/>
          <w:szCs w:val="26"/>
        </w:rPr>
        <w:t>過兩岸協商，發展兩岸航線網絡；與東亞各國海空港進行物流網絡區域分工，強化與國外海空港之聯結力與</w:t>
      </w:r>
      <w:r>
        <w:rPr>
          <w:rFonts w:eastAsia="標楷體"/>
          <w:spacing w:val="4"/>
          <w:kern w:val="0"/>
          <w:sz w:val="28"/>
          <w:szCs w:val="26"/>
        </w:rPr>
        <w:t>策略聯盟。</w:t>
      </w:r>
      <w:r>
        <w:rPr>
          <w:rFonts w:eastAsia="標楷體"/>
          <w:spacing w:val="4"/>
          <w:kern w:val="0"/>
          <w:sz w:val="28"/>
          <w:szCs w:val="26"/>
        </w:rPr>
        <w:t xml:space="preserve"> </w:t>
      </w:r>
    </w:p>
    <w:p w14:paraId="7D9FFBB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5.</w:t>
      </w:r>
      <w:r>
        <w:rPr>
          <w:rFonts w:eastAsia="標楷體"/>
          <w:spacing w:val="4"/>
          <w:kern w:val="0"/>
          <w:sz w:val="28"/>
          <w:szCs w:val="26"/>
        </w:rPr>
        <w:t>打造海峽兩岸快捷走廊，創造跨海加值零時差環境；建立兩岸關務資訊交換與合作之對接</w:t>
      </w:r>
      <w:r>
        <w:rPr>
          <w:rFonts w:eastAsia="標楷體"/>
          <w:spacing w:val="2"/>
          <w:kern w:val="0"/>
          <w:sz w:val="28"/>
          <w:szCs w:val="26"/>
        </w:rPr>
        <w:t>機制，俾利兩岸產業跨境</w:t>
      </w:r>
      <w:r>
        <w:rPr>
          <w:rFonts w:eastAsia="標楷體"/>
          <w:spacing w:val="4"/>
          <w:kern w:val="0"/>
          <w:sz w:val="28"/>
          <w:szCs w:val="26"/>
        </w:rPr>
        <w:t>合作。</w:t>
      </w:r>
    </w:p>
    <w:p w14:paraId="7D88E3D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檢討放寬外人投資法規</w:t>
      </w:r>
    </w:p>
    <w:p w14:paraId="07997DDC"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完成「僑外投資負面表列項目」檢討及修正「外國人投資條例」，由現行事前許可制改為一定範圍得採事後申報制。</w:t>
      </w:r>
    </w:p>
    <w:p w14:paraId="267E10C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(七)</w:t>
      </w:r>
      <w:r>
        <w:rPr>
          <w:rFonts w:eastAsia="標楷體"/>
          <w:spacing w:val="4"/>
          <w:kern w:val="0"/>
          <w:sz w:val="28"/>
          <w:szCs w:val="22"/>
        </w:rPr>
        <w:t>加強國際租稅交流及關務合作</w:t>
      </w:r>
    </w:p>
    <w:p w14:paraId="4D5764E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積極洽簽國際租稅協定，建構我國租稅協定網絡。</w:t>
      </w:r>
    </w:p>
    <w:p w14:paraId="2CC8043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積極推動洽簽關務互助協定、暫准通關證協定等，強化國際關務合作。</w:t>
      </w:r>
    </w:p>
    <w:p w14:paraId="105647D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積極洽簽財政合作瞭解備忘錄，加強國際財政交流。</w:t>
      </w:r>
    </w:p>
    <w:p w14:paraId="590F9E4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(八)</w:t>
      </w:r>
      <w:r>
        <w:rPr>
          <w:rFonts w:eastAsia="標楷體"/>
          <w:spacing w:val="4"/>
          <w:kern w:val="0"/>
          <w:sz w:val="28"/>
          <w:szCs w:val="22"/>
        </w:rPr>
        <w:t>鼓勵通傳事業提供匯流服務，持續依行政院核頒「數位匯流發展方案」進行調和法規環境之第</w:t>
      </w:r>
      <w:r>
        <w:rPr>
          <w:rFonts w:eastAsia="標楷體"/>
          <w:spacing w:val="4"/>
          <w:kern w:val="0"/>
          <w:sz w:val="28"/>
          <w:szCs w:val="22"/>
        </w:rPr>
        <w:t>2</w:t>
      </w:r>
      <w:r>
        <w:rPr>
          <w:rFonts w:eastAsia="標楷體"/>
          <w:spacing w:val="4"/>
          <w:kern w:val="0"/>
          <w:sz w:val="28"/>
          <w:szCs w:val="22"/>
        </w:rPr>
        <w:t>階段修法工作，包括營造數位匯流新環境，架構導向網路、平臺及內容之層級化發展。</w:t>
      </w:r>
    </w:p>
    <w:p w14:paraId="473733E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(九)</w:t>
      </w:r>
      <w:r>
        <w:rPr>
          <w:rFonts w:eastAsia="標楷體"/>
          <w:spacing w:val="4"/>
          <w:kern w:val="0"/>
          <w:sz w:val="28"/>
          <w:szCs w:val="22"/>
        </w:rPr>
        <w:t>吸引優秀外籍專業人士來臺工作及長駐</w:t>
      </w:r>
    </w:p>
    <w:p w14:paraId="2BCFDEC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配合經貿單位推動洽簽自由貿易協定，就「勞動專章」、「自然人入境及短期停留專章」等項目與其他國家諮商；規劃開放外籍專業自然人得來臺從事受委任或承攬等工作，增加外國人來臺工作之多元性。</w:t>
      </w:r>
    </w:p>
    <w:p w14:paraId="60A2E77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放寬對我國有特殊貢獻、我國所需高級專業人才或投資移民</w:t>
      </w:r>
      <w:r>
        <w:rPr>
          <w:rFonts w:eastAsia="標楷體"/>
          <w:spacing w:val="4"/>
          <w:kern w:val="0"/>
          <w:sz w:val="28"/>
          <w:szCs w:val="26"/>
        </w:rPr>
        <w:lastRenderedPageBreak/>
        <w:t>之外籍人士，其配偶與未成年子女隨同申請永久居留，使得兼顧家庭，安心在臺工作。</w:t>
      </w:r>
    </w:p>
    <w:p w14:paraId="6496924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辦理勞動論壇／研討會，邀集勞資政學界共同為貿易自由化下的國人勞動權益把關；針對國人赴外工作主要國家或地區，蒐集相關勞動資訊並建置網頁。</w:t>
      </w:r>
    </w:p>
    <w:p w14:paraId="7F7683A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持續檢修延攬外籍白領人士來臺相關政策、法規，研議修正「就業服務法」，放寬取得永久居留身分的外國人，不需申請許可即可在臺工作。</w:t>
      </w:r>
    </w:p>
    <w:p w14:paraId="00A5CA6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5.</w:t>
      </w:r>
      <w:r>
        <w:rPr>
          <w:rFonts w:eastAsia="標楷體"/>
          <w:spacing w:val="4"/>
          <w:kern w:val="0"/>
          <w:sz w:val="28"/>
          <w:szCs w:val="26"/>
        </w:rPr>
        <w:t>以補</w:t>
      </w:r>
      <w:r>
        <w:rPr>
          <w:rFonts w:eastAsia="標楷體"/>
          <w:spacing w:val="2"/>
          <w:kern w:val="0"/>
          <w:sz w:val="28"/>
          <w:szCs w:val="26"/>
        </w:rPr>
        <w:t>充人才缺口的思維研議，由相關中央目的事業主管機關</w:t>
      </w:r>
      <w:r>
        <w:rPr>
          <w:rFonts w:eastAsia="標楷體"/>
          <w:spacing w:val="4"/>
          <w:kern w:val="0"/>
          <w:sz w:val="28"/>
          <w:szCs w:val="26"/>
        </w:rPr>
        <w:t>先提出確切人才供需缺口的</w:t>
      </w:r>
      <w:r>
        <w:rPr>
          <w:rFonts w:eastAsia="標楷體"/>
          <w:spacing w:val="8"/>
          <w:kern w:val="0"/>
          <w:sz w:val="28"/>
          <w:szCs w:val="26"/>
        </w:rPr>
        <w:t>狀況，以及所需人才資格、條件等資訊，進行政策評估協商，俾更彈性開放引進外籍專業人士。</w:t>
      </w:r>
    </w:p>
    <w:p w14:paraId="7351B8F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6.</w:t>
      </w:r>
      <w:r>
        <w:rPr>
          <w:rFonts w:eastAsia="標楷體"/>
          <w:spacing w:val="4"/>
          <w:kern w:val="0"/>
          <w:sz w:val="28"/>
          <w:szCs w:val="26"/>
        </w:rPr>
        <w:t>整合跨部會資源，以提供獎學金及放寬聘用條件限制，擴大吸引新興市場優秀學生／人才來臺，培訓強化其國際行銷能力，並媒合廠商聘用為拓展新興市場之業務人才。</w:t>
      </w:r>
    </w:p>
    <w:p w14:paraId="2130B6E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(十)</w:t>
      </w:r>
      <w:r>
        <w:rPr>
          <w:rFonts w:eastAsia="標楷體"/>
          <w:spacing w:val="4"/>
          <w:kern w:val="0"/>
          <w:sz w:val="28"/>
          <w:szCs w:val="22"/>
        </w:rPr>
        <w:t>強化兩岸學界交流，鼓勵各級學校與中國大陸地區學校締結聯盟，加強兩岸學術合作，建立優勢互補平臺。</w:t>
      </w:r>
    </w:p>
    <w:p w14:paraId="64E516D4"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3A9A03A"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貳、科技創新</w:t>
      </w:r>
    </w:p>
    <w:p w14:paraId="5D74A969"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F9400E7"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根據瑞士國際管理學院</w:t>
      </w:r>
      <w:r>
        <w:rPr>
          <w:rFonts w:ascii="標楷體" w:eastAsia="標楷體" w:hAnsi="標楷體"/>
          <w:spacing w:val="4"/>
          <w:kern w:val="0"/>
          <w:sz w:val="28"/>
          <w:szCs w:val="26"/>
        </w:rPr>
        <w:t>(</w:t>
      </w:r>
      <w:r>
        <w:rPr>
          <w:rFonts w:eastAsia="標楷體"/>
          <w:spacing w:val="4"/>
          <w:kern w:val="0"/>
          <w:sz w:val="28"/>
          <w:szCs w:val="26"/>
        </w:rPr>
        <w:t>IMD</w:t>
      </w:r>
      <w:r>
        <w:rPr>
          <w:rFonts w:ascii="標楷體" w:eastAsia="標楷體" w:hAnsi="標楷體"/>
          <w:spacing w:val="4"/>
          <w:kern w:val="0"/>
          <w:sz w:val="28"/>
          <w:szCs w:val="26"/>
        </w:rPr>
        <w:t>)</w:t>
      </w:r>
      <w:r>
        <w:rPr>
          <w:rFonts w:eastAsia="標楷體"/>
          <w:spacing w:val="4"/>
          <w:kern w:val="0"/>
          <w:sz w:val="28"/>
          <w:szCs w:val="26"/>
        </w:rPr>
        <w:t>2012</w:t>
      </w:r>
      <w:r>
        <w:rPr>
          <w:rFonts w:eastAsia="標楷體"/>
          <w:spacing w:val="4"/>
          <w:kern w:val="0"/>
          <w:sz w:val="28"/>
          <w:szCs w:val="26"/>
        </w:rPr>
        <w:t>年發布之「</w:t>
      </w:r>
      <w:r>
        <w:rPr>
          <w:rFonts w:eastAsia="標楷體"/>
          <w:spacing w:val="4"/>
          <w:kern w:val="0"/>
          <w:sz w:val="28"/>
          <w:szCs w:val="26"/>
        </w:rPr>
        <w:t>IMD</w:t>
      </w:r>
      <w:r>
        <w:rPr>
          <w:rFonts w:eastAsia="標楷體"/>
          <w:spacing w:val="4"/>
          <w:kern w:val="0"/>
          <w:sz w:val="28"/>
          <w:szCs w:val="26"/>
        </w:rPr>
        <w:t>世界競爭力年報」，我國在「技術建設」排名第</w:t>
      </w:r>
      <w:r>
        <w:rPr>
          <w:rFonts w:eastAsia="標楷體"/>
          <w:spacing w:val="4"/>
          <w:kern w:val="0"/>
          <w:sz w:val="28"/>
          <w:szCs w:val="26"/>
        </w:rPr>
        <w:t>4</w:t>
      </w:r>
      <w:r>
        <w:rPr>
          <w:rFonts w:eastAsia="標楷體"/>
          <w:spacing w:val="4"/>
          <w:kern w:val="0"/>
          <w:sz w:val="28"/>
          <w:szCs w:val="26"/>
        </w:rPr>
        <w:t>、「科學建設」排名第</w:t>
      </w:r>
      <w:r>
        <w:rPr>
          <w:rFonts w:eastAsia="標楷體"/>
          <w:spacing w:val="4"/>
          <w:kern w:val="0"/>
          <w:sz w:val="28"/>
          <w:szCs w:val="26"/>
        </w:rPr>
        <w:t>7</w:t>
      </w:r>
      <w:r>
        <w:rPr>
          <w:rFonts w:eastAsia="標楷體"/>
          <w:spacing w:val="4"/>
          <w:kern w:val="0"/>
          <w:sz w:val="28"/>
          <w:szCs w:val="26"/>
        </w:rPr>
        <w:t>，成果斐然，顯示科技創新的穩健發展，已帶動我國由「效率為基礎的經濟體」轉型為「創新為基礎的經濟體」，並成為驅動經濟成長的主要動能；同時，學界在論文發表數及專利創造數等方面的豐沛基礎研究成果與高階研究人力資源，輔以優質之基礎通訊環境建置，也奠定我國製造業在國際產業鏈的重要地位。</w:t>
      </w:r>
    </w:p>
    <w:p w14:paraId="4BF37D00"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惟不可諱言，面對日新月異的科技創新，我國科技創新仍存在諸多課題亟待因應，舉如：加速學研創新成果與產業之緊密連結，以扭轉我國高科技產業每年必須付出巨額權益金之劣勢；從硬體製造之</w:t>
      </w:r>
      <w:r>
        <w:rPr>
          <w:rFonts w:eastAsia="標楷體"/>
          <w:spacing w:val="4"/>
          <w:kern w:val="0"/>
          <w:sz w:val="28"/>
          <w:szCs w:val="26"/>
        </w:rPr>
        <w:lastRenderedPageBreak/>
        <w:t>「硬實力」轉向品牌、雲端應用及關鍵智慧財產權等「軟實力」；規劃「聚焦選擇」的系統化科技政策，以有限資源創造高效益；以及藉由政府組織改造與產創條例之推動，使中央部會與地方政府就所負科技與產業發展權責，建置科技創新體系，促進經濟發展。</w:t>
      </w:r>
    </w:p>
    <w:p w14:paraId="570F5618"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有鑒於此，未來四年政府將致力革新科技決策的治理機制、提升科技研發的價值效能、建構創業育成的友善環境、擘建人盡其才的優質環境、深化基礎關鍵技術研發、塑造產業創新環境，以全面提升科技創新之國際競爭力。</w:t>
      </w:r>
    </w:p>
    <w:p w14:paraId="0266C28B"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3B42109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105</w:t>
      </w:r>
      <w:r>
        <w:rPr>
          <w:rFonts w:eastAsia="標楷體"/>
          <w:spacing w:val="4"/>
          <w:kern w:val="0"/>
          <w:sz w:val="28"/>
          <w:szCs w:val="22"/>
        </w:rPr>
        <w:t>年大專校院研發經費來自企業比率</w:t>
      </w:r>
      <w:r>
        <w:rPr>
          <w:rFonts w:eastAsia="標楷體"/>
          <w:spacing w:val="4"/>
          <w:kern w:val="0"/>
          <w:sz w:val="28"/>
          <w:szCs w:val="22"/>
        </w:rPr>
        <w:t>8.5%</w:t>
      </w:r>
      <w:r>
        <w:rPr>
          <w:rFonts w:eastAsia="標楷體"/>
          <w:spacing w:val="4"/>
          <w:kern w:val="0"/>
          <w:sz w:val="28"/>
          <w:szCs w:val="22"/>
        </w:rPr>
        <w:t>。</w:t>
      </w:r>
    </w:p>
    <w:p w14:paraId="708305E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105</w:t>
      </w:r>
      <w:r>
        <w:rPr>
          <w:rFonts w:eastAsia="標楷體"/>
          <w:spacing w:val="4"/>
          <w:kern w:val="0"/>
          <w:sz w:val="28"/>
          <w:szCs w:val="22"/>
        </w:rPr>
        <w:t>年大專校院智財收入占政府直接投入研發經費比率</w:t>
      </w:r>
      <w:r>
        <w:rPr>
          <w:rFonts w:eastAsia="標楷體"/>
          <w:spacing w:val="4"/>
          <w:kern w:val="0"/>
          <w:sz w:val="28"/>
          <w:szCs w:val="22"/>
        </w:rPr>
        <w:t>4%</w:t>
      </w:r>
      <w:r>
        <w:rPr>
          <w:rFonts w:eastAsia="標楷體"/>
          <w:spacing w:val="4"/>
          <w:kern w:val="0"/>
          <w:sz w:val="28"/>
          <w:szCs w:val="22"/>
        </w:rPr>
        <w:t>。</w:t>
      </w:r>
    </w:p>
    <w:p w14:paraId="6D86AE0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105</w:t>
      </w:r>
      <w:r>
        <w:rPr>
          <w:rFonts w:eastAsia="標楷體"/>
          <w:spacing w:val="4"/>
          <w:kern w:val="0"/>
          <w:sz w:val="28"/>
          <w:szCs w:val="22"/>
        </w:rPr>
        <w:t>年大專校院孕育新創企業家數每年</w:t>
      </w:r>
      <w:r>
        <w:rPr>
          <w:rFonts w:eastAsia="標楷體"/>
          <w:spacing w:val="4"/>
          <w:kern w:val="0"/>
          <w:sz w:val="28"/>
          <w:szCs w:val="22"/>
        </w:rPr>
        <w:t>400</w:t>
      </w:r>
      <w:r>
        <w:rPr>
          <w:rFonts w:eastAsia="標楷體"/>
          <w:spacing w:val="4"/>
          <w:kern w:val="0"/>
          <w:sz w:val="28"/>
          <w:szCs w:val="22"/>
        </w:rPr>
        <w:t>家。</w:t>
      </w:r>
    </w:p>
    <w:p w14:paraId="62D05D5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加強科技研發創新並致力提升我國表現較弱的</w:t>
      </w:r>
      <w:r>
        <w:rPr>
          <w:rFonts w:eastAsia="標楷體"/>
          <w:spacing w:val="4"/>
          <w:kern w:val="0"/>
          <w:sz w:val="28"/>
          <w:szCs w:val="22"/>
        </w:rPr>
        <w:t>6</w:t>
      </w:r>
      <w:r>
        <w:rPr>
          <w:rFonts w:eastAsia="標楷體"/>
          <w:spacing w:val="4"/>
          <w:kern w:val="0"/>
          <w:sz w:val="28"/>
          <w:szCs w:val="22"/>
        </w:rPr>
        <w:t>項國際生活品質評鑑準則</w:t>
      </w:r>
      <w:r>
        <w:rPr>
          <w:rFonts w:ascii="標楷體" w:eastAsia="標楷體" w:hAnsi="標楷體"/>
          <w:spacing w:val="4"/>
          <w:kern w:val="0"/>
          <w:sz w:val="28"/>
          <w:szCs w:val="22"/>
        </w:rPr>
        <w:t>(</w:t>
      </w:r>
      <w:r>
        <w:rPr>
          <w:rFonts w:eastAsia="標楷體"/>
          <w:spacing w:val="4"/>
          <w:kern w:val="0"/>
          <w:sz w:val="28"/>
          <w:szCs w:val="22"/>
        </w:rPr>
        <w:t>文化休閒、經濟、環境、衛生醫療、基礎建設與安全風險</w:t>
      </w:r>
      <w:r>
        <w:rPr>
          <w:rFonts w:ascii="標楷體" w:eastAsia="標楷體" w:hAnsi="標楷體"/>
          <w:spacing w:val="4"/>
          <w:kern w:val="0"/>
          <w:sz w:val="28"/>
          <w:szCs w:val="22"/>
        </w:rPr>
        <w:t>)</w:t>
      </w:r>
      <w:r>
        <w:rPr>
          <w:rFonts w:eastAsia="標楷體"/>
          <w:spacing w:val="4"/>
          <w:kern w:val="0"/>
          <w:sz w:val="28"/>
          <w:szCs w:val="22"/>
        </w:rPr>
        <w:t>排名。</w:t>
      </w:r>
    </w:p>
    <w:p w14:paraId="6E9B035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推動臺灣成為科技品牌的亞洲領先國。</w:t>
      </w:r>
    </w:p>
    <w:p w14:paraId="4BDB134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2E7FE83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革新科技決策治理機制：推動科技發展政策審議、預算分配、計畫審議、績效考核及科技會報平臺等機制。</w:t>
      </w:r>
    </w:p>
    <w:p w14:paraId="7BFC096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依據科技基本法，發揮每</w:t>
      </w:r>
      <w:r>
        <w:rPr>
          <w:rFonts w:eastAsia="標楷體"/>
          <w:spacing w:val="4"/>
          <w:kern w:val="0"/>
          <w:sz w:val="28"/>
          <w:szCs w:val="26"/>
        </w:rPr>
        <w:t>4</w:t>
      </w:r>
      <w:r>
        <w:rPr>
          <w:rFonts w:eastAsia="標楷體"/>
          <w:spacing w:val="4"/>
          <w:kern w:val="0"/>
          <w:sz w:val="28"/>
          <w:szCs w:val="26"/>
        </w:rPr>
        <w:t>年召開一次的全國科技會議，與國家科學技術發展</w:t>
      </w:r>
      <w:r>
        <w:rPr>
          <w:rFonts w:eastAsia="標楷體"/>
          <w:spacing w:val="4"/>
          <w:kern w:val="0"/>
          <w:sz w:val="28"/>
          <w:szCs w:val="26"/>
        </w:rPr>
        <w:t>4</w:t>
      </w:r>
      <w:r>
        <w:rPr>
          <w:rFonts w:eastAsia="標楷體"/>
          <w:spacing w:val="4"/>
          <w:kern w:val="0"/>
          <w:sz w:val="28"/>
          <w:szCs w:val="26"/>
        </w:rPr>
        <w:t>年計畫之功能。</w:t>
      </w:r>
    </w:p>
    <w:p w14:paraId="0F02821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將經濟收益之量化指標、無形及質化目標均列入科技發展績效評估。</w:t>
      </w:r>
    </w:p>
    <w:p w14:paraId="6E44E6E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資源分配秉持「審慎選擇、集中力量」原則，讓科技預算分配儘量透明、公平，並強化與政策之有效連結。</w:t>
      </w:r>
    </w:p>
    <w:p w14:paraId="645AD0C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科技預算審議應與計畫退場規劃相連結。</w:t>
      </w:r>
    </w:p>
    <w:p w14:paraId="0B08709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各部會科技施政績效管考與預算配置扣合。</w:t>
      </w:r>
    </w:p>
    <w:p w14:paraId="5DD3DB7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提升科技研發的價值效能</w:t>
      </w:r>
    </w:p>
    <w:p w14:paraId="2398690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強化研發成果產業化效益，以達到創造工作機會與挹注經濟</w:t>
      </w:r>
      <w:r>
        <w:rPr>
          <w:rFonts w:eastAsia="標楷體"/>
          <w:spacing w:val="4"/>
          <w:kern w:val="0"/>
          <w:sz w:val="28"/>
          <w:szCs w:val="26"/>
        </w:rPr>
        <w:lastRenderedPageBreak/>
        <w:t>成長的雙重價值。</w:t>
      </w:r>
    </w:p>
    <w:p w14:paraId="2902463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推動產學合資型創新研發中心，進行支援產業提升附加價值之前瞻創新研發計畫。</w:t>
      </w:r>
    </w:p>
    <w:p w14:paraId="574BFAC0"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強化國家型科技計畫效能，以有效達成連結上中下游研發與產業創新科技發展之目的。</w:t>
      </w:r>
    </w:p>
    <w:p w14:paraId="18DF8AFE"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pPr>
      <w:r>
        <w:rPr>
          <w:rFonts w:eastAsia="標楷體"/>
          <w:spacing w:val="4"/>
          <w:kern w:val="0"/>
          <w:sz w:val="28"/>
          <w:szCs w:val="26"/>
        </w:rPr>
        <w:t>4.</w:t>
      </w:r>
      <w:r>
        <w:rPr>
          <w:rFonts w:eastAsia="標楷體"/>
          <w:spacing w:val="4"/>
          <w:kern w:val="0"/>
          <w:sz w:val="28"/>
          <w:szCs w:val="26"/>
        </w:rPr>
        <w:t>推動科技關懷三級產業</w:t>
      </w:r>
      <w:r>
        <w:rPr>
          <w:rFonts w:ascii="標楷體" w:eastAsia="標楷體" w:hAnsi="標楷體"/>
          <w:spacing w:val="4"/>
          <w:kern w:val="0"/>
          <w:sz w:val="28"/>
          <w:szCs w:val="26"/>
        </w:rPr>
        <w:t>(</w:t>
      </w:r>
      <w:r>
        <w:rPr>
          <w:rFonts w:eastAsia="標楷體"/>
          <w:spacing w:val="4"/>
          <w:kern w:val="0"/>
          <w:sz w:val="28"/>
          <w:szCs w:val="26"/>
        </w:rPr>
        <w:t>農業、工業與服務業</w:t>
      </w:r>
      <w:r>
        <w:rPr>
          <w:rFonts w:ascii="標楷體" w:eastAsia="標楷體" w:hAnsi="標楷體"/>
          <w:spacing w:val="4"/>
          <w:kern w:val="0"/>
          <w:sz w:val="28"/>
          <w:szCs w:val="26"/>
        </w:rPr>
        <w:t>)</w:t>
      </w:r>
      <w:r>
        <w:rPr>
          <w:rFonts w:eastAsia="標楷體"/>
          <w:spacing w:val="4"/>
          <w:kern w:val="0"/>
          <w:sz w:val="28"/>
          <w:szCs w:val="26"/>
        </w:rPr>
        <w:t>的研發創新。</w:t>
      </w:r>
    </w:p>
    <w:p w14:paraId="52E3F3AF"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中央與地方共同推動「科技研發創新與價值創造之運作機制」，並協助產學研取得資源，共同推動關鍵系統與服務，建設「科技創新紀元」的臺灣新經濟，促進臺灣成為華人社會優質生活的典範。</w:t>
      </w:r>
    </w:p>
    <w:p w14:paraId="0E08705F"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建構創業育成的友善環境</w:t>
      </w:r>
    </w:p>
    <w:p w14:paraId="74CBA049"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活絡學研成果衍生新創事</w:t>
      </w:r>
      <w:r>
        <w:rPr>
          <w:rFonts w:ascii="標楷體" w:eastAsia="標楷體" w:hAnsi="標楷體"/>
          <w:spacing w:val="4"/>
          <w:kern w:val="0"/>
          <w:sz w:val="28"/>
          <w:szCs w:val="26"/>
        </w:rPr>
        <w:t>業(</w:t>
      </w:r>
      <w:r>
        <w:rPr>
          <w:rFonts w:eastAsia="標楷體"/>
          <w:spacing w:val="4"/>
          <w:kern w:val="0"/>
          <w:sz w:val="28"/>
          <w:szCs w:val="26"/>
        </w:rPr>
        <w:t>Start-up Taiwan</w:t>
      </w:r>
      <w:r>
        <w:rPr>
          <w:rFonts w:ascii="標楷體" w:eastAsia="標楷體" w:hAnsi="標楷體"/>
          <w:spacing w:val="4"/>
          <w:kern w:val="0"/>
          <w:sz w:val="28"/>
          <w:szCs w:val="26"/>
        </w:rPr>
        <w:t>)，</w:t>
      </w:r>
      <w:r>
        <w:rPr>
          <w:rFonts w:eastAsia="標楷體"/>
          <w:spacing w:val="4"/>
          <w:kern w:val="0"/>
          <w:sz w:val="28"/>
          <w:szCs w:val="26"/>
        </w:rPr>
        <w:t>擴大大專校院創新創業相關計畫，以及改革大專校院育成中心功能。</w:t>
      </w:r>
    </w:p>
    <w:p w14:paraId="42D0FE11"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加強科學園區的創新環境塑造，以高風險但高附加價值之創新領域激發研發能量、轉譯產業價值。</w:t>
      </w:r>
    </w:p>
    <w:p w14:paraId="66AF9B3B"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擘建人盡其才的優質環境</w:t>
      </w:r>
    </w:p>
    <w:p w14:paraId="79E30417"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完備法制規範，落實公教研分軌，並增強公立學研單位經費、人事等行政自主彈性，以利科研成果產業化與價值創造。</w:t>
      </w:r>
    </w:p>
    <w:p w14:paraId="1520E882"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鬆綁薪資彈性，以利重點領域產業發展留才與攬才。</w:t>
      </w:r>
    </w:p>
    <w:p w14:paraId="2A848A56"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科研智財管理運用與國有財產脫鈎，以利研發成果價值創造。</w:t>
      </w:r>
    </w:p>
    <w:p w14:paraId="39BBC72E"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創造外籍人士來臺服務與創業友善環境。</w:t>
      </w:r>
    </w:p>
    <w:p w14:paraId="73D5038E"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深化基礎關鍵技術之研發</w:t>
      </w:r>
    </w:p>
    <w:p w14:paraId="4DF6423D"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深耕既有產業技術層次與擴大新技術應用，策進成熟產業技術頂級化、提升成熟產業之新技術應用。</w:t>
      </w:r>
    </w:p>
    <w:p w14:paraId="7B580E79"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推動「深耕工業基礎技術專案計畫」，深耕我國關鍵之工業基礎技術，以掌握工業產品之核心原創力，提升產品價值與品級，增強工業競爭力。</w:t>
      </w:r>
    </w:p>
    <w:p w14:paraId="7C3042DF"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強化關鍵與新興科技之研發與創新，發展智慧科技與服務創</w:t>
      </w:r>
      <w:r>
        <w:rPr>
          <w:rFonts w:eastAsia="標楷體"/>
          <w:spacing w:val="4"/>
          <w:kern w:val="0"/>
          <w:sz w:val="28"/>
          <w:szCs w:val="26"/>
        </w:rPr>
        <w:lastRenderedPageBreak/>
        <w:t>新，並強化具市場利基之重點產業發展與技術研發。</w:t>
      </w:r>
    </w:p>
    <w:p w14:paraId="62825C39"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篩選高附加價值、具競爭力且有助健全產業價值鏈之關鍵產品，鼓勵發展終端產品市場應用及系統整合。</w:t>
      </w:r>
    </w:p>
    <w:p w14:paraId="3E18D03F"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促進企業及區域間創新研發能量之均衡發展。</w:t>
      </w:r>
    </w:p>
    <w:p w14:paraId="58F9DD0C"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塑造產業創新環境</w:t>
      </w:r>
    </w:p>
    <w:p w14:paraId="04A1FF3D"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強化無形資產流通與運用，建立智慧財產保護與管理機制。</w:t>
      </w:r>
    </w:p>
    <w:p w14:paraId="55C96D86"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推動產業創新人才資源發展，培育及延攬創新人才。</w:t>
      </w:r>
    </w:p>
    <w:p w14:paraId="2B7B8785"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整合跨領域創新元素，加值原有產業鏈，以塑造高差異化產品並提升附加價值。</w:t>
      </w:r>
    </w:p>
    <w:p w14:paraId="3D0ACAFD"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積極宣導我國優良投資環境，吸引國際大廠來臺設立研發中心與營運總部。</w:t>
      </w:r>
    </w:p>
    <w:p w14:paraId="621A254C"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792" w:hanging="576"/>
        <w:jc w:val="both"/>
        <w:textAlignment w:val="center"/>
      </w:pPr>
      <w:r>
        <w:rPr>
          <w:rFonts w:ascii="標楷體" w:eastAsia="標楷體" w:hAnsi="標楷體"/>
          <w:spacing w:val="4"/>
          <w:kern w:val="0"/>
          <w:sz w:val="28"/>
          <w:szCs w:val="22"/>
        </w:rPr>
        <w:t>(七)推</w:t>
      </w:r>
      <w:r>
        <w:rPr>
          <w:rFonts w:eastAsia="標楷體"/>
          <w:spacing w:val="4"/>
          <w:kern w:val="0"/>
          <w:sz w:val="28"/>
          <w:szCs w:val="22"/>
        </w:rPr>
        <w:t>動「中山科學研究院」轉型為「行政法人」，達成「強化自主國防」及「發達國家經濟」目標。</w:t>
      </w:r>
    </w:p>
    <w:p w14:paraId="2015C933"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強化自主國防</w:t>
      </w:r>
    </w:p>
    <w:p w14:paraId="7ED47547"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積極推動「國家中山科學研究院設置條例」草案立法，提升國防科研能量。</w:t>
      </w:r>
    </w:p>
    <w:p w14:paraId="37A41722"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國防科技研發導入企業化管理，引進優秀人才，提升組織效能，以優先支援國軍戰、演、訓任務，發揮國防投資整體效益。</w:t>
      </w:r>
    </w:p>
    <w:p w14:paraId="2D185463"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提升國防科技研發能量、作業彈性與執行效率，縮短系統開發期程，及時滿足國軍作戰需求。</w:t>
      </w:r>
    </w:p>
    <w:p w14:paraId="196A160F"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創造效益回饋三軍及挹注前瞻科技研究，藉人事、預算及採購等制度之彈性，增強科研應變能力。</w:t>
      </w:r>
    </w:p>
    <w:p w14:paraId="15DD0ADA"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發達國家經濟</w:t>
      </w:r>
    </w:p>
    <w:p w14:paraId="5BF61905"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為振興民生經濟及提升產業競爭力政策，以民生產業需求為導向，並以國防科技能量為基礎，發展軍民通用科技。</w:t>
      </w:r>
    </w:p>
    <w:p w14:paraId="0B2ACE21"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依軍轉民、民通軍雙向機制，轉化國防科技，創造產業價值，轉化民生科技，支援國防工業，俾達成振興經濟</w:t>
      </w:r>
      <w:r>
        <w:rPr>
          <w:rFonts w:eastAsia="標楷體"/>
          <w:spacing w:val="4"/>
          <w:kern w:val="0"/>
          <w:sz w:val="28"/>
          <w:szCs w:val="22"/>
        </w:rPr>
        <w:lastRenderedPageBreak/>
        <w:t>及落實自主國防之雙效價值。</w:t>
      </w:r>
    </w:p>
    <w:p w14:paraId="04327E64"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以中科院「轉化國防科技、創造產業價值」之介面，藉由執行科專計畫及軍民通用科技發展，與產官學研各界分工合作，扮演國家經濟發展貢獻者角色。</w:t>
      </w:r>
    </w:p>
    <w:p w14:paraId="202770D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4217A0C" w14:textId="77777777" w:rsidR="00052596" w:rsidRDefault="00052596">
      <w:pPr>
        <w:overflowPunct w:val="0"/>
        <w:autoSpaceDE w:val="0"/>
        <w:spacing w:line="400" w:lineRule="exact"/>
        <w:jc w:val="center"/>
        <w:textAlignment w:val="center"/>
        <w:rPr>
          <w:rFonts w:eastAsia="標楷體"/>
          <w:b/>
          <w:color w:val="0000FF"/>
          <w:kern w:val="0"/>
          <w:sz w:val="28"/>
          <w:szCs w:val="28"/>
        </w:rPr>
      </w:pPr>
    </w:p>
    <w:p w14:paraId="3353D4D5"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參、樂活農業</w:t>
      </w:r>
    </w:p>
    <w:p w14:paraId="3218CB3E"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C39D785"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面對經貿高度自由化及氣候極端化的趨勢，經濟發展與糧食安全的戰略平衡，是政府亟須面對的課題。臺灣農業發展必須兼顧產業效率、環境友善、農民福祉、農村生活與文化存續等多重面向，才能突破挑戰。未來四年政府將秉持「健康、效率、永續經營」的施政方針，以新思維提升農業的競爭力，以優質人力與技術進行跨域整合，同時強化農業價值鏈的擴大串接，推動臺灣優良農產品、技術、資材之全球布局，建立臺灣農業品牌形象，發展高效、綠能、新型態的農業，兼顧經營效益與資源永續利用，形塑有活力的樂活農業。</w:t>
      </w:r>
    </w:p>
    <w:p w14:paraId="520E0CE4"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00115F2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kern w:val="0"/>
          <w:sz w:val="28"/>
          <w:szCs w:val="22"/>
        </w:rPr>
        <w:t>105</w:t>
      </w:r>
      <w:r>
        <w:rPr>
          <w:rFonts w:eastAsia="標楷體"/>
          <w:kern w:val="0"/>
          <w:sz w:val="28"/>
          <w:szCs w:val="22"/>
        </w:rPr>
        <w:t>年蘭花、精品名茶、種苗、種畜禽、觀賞魚、石斑魚、農科園區生技業等關鍵重點產業產值達</w:t>
      </w:r>
      <w:r>
        <w:rPr>
          <w:rFonts w:eastAsia="標楷體"/>
          <w:kern w:val="0"/>
          <w:sz w:val="28"/>
          <w:szCs w:val="22"/>
        </w:rPr>
        <w:t>393</w:t>
      </w:r>
      <w:r>
        <w:rPr>
          <w:rFonts w:eastAsia="標楷體"/>
          <w:kern w:val="0"/>
          <w:sz w:val="28"/>
          <w:szCs w:val="22"/>
        </w:rPr>
        <w:t>億元，較</w:t>
      </w:r>
      <w:r>
        <w:rPr>
          <w:rFonts w:eastAsia="標楷體"/>
          <w:kern w:val="0"/>
          <w:sz w:val="28"/>
          <w:szCs w:val="22"/>
        </w:rPr>
        <w:t>100</w:t>
      </w:r>
      <w:r>
        <w:rPr>
          <w:rFonts w:eastAsia="標楷體"/>
          <w:kern w:val="0"/>
          <w:sz w:val="28"/>
          <w:szCs w:val="22"/>
        </w:rPr>
        <w:t>年成長</w:t>
      </w:r>
      <w:r>
        <w:rPr>
          <w:rFonts w:eastAsia="標楷體"/>
          <w:kern w:val="0"/>
          <w:sz w:val="28"/>
          <w:szCs w:val="22"/>
        </w:rPr>
        <w:t>42%</w:t>
      </w:r>
      <w:r>
        <w:rPr>
          <w:rFonts w:eastAsia="標楷體"/>
          <w:kern w:val="0"/>
          <w:sz w:val="28"/>
          <w:szCs w:val="22"/>
        </w:rPr>
        <w:t>。</w:t>
      </w:r>
    </w:p>
    <w:p w14:paraId="357CD4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105</w:t>
      </w:r>
      <w:r>
        <w:rPr>
          <w:rFonts w:eastAsia="標楷體"/>
          <w:spacing w:val="4"/>
          <w:kern w:val="0"/>
          <w:sz w:val="28"/>
          <w:szCs w:val="22"/>
        </w:rPr>
        <w:t>年休閒農場國外遊客達</w:t>
      </w:r>
      <w:r>
        <w:rPr>
          <w:rFonts w:eastAsia="標楷體"/>
          <w:spacing w:val="4"/>
          <w:kern w:val="0"/>
          <w:sz w:val="28"/>
          <w:szCs w:val="22"/>
        </w:rPr>
        <w:t>26.7</w:t>
      </w:r>
      <w:r>
        <w:rPr>
          <w:rFonts w:eastAsia="標楷體"/>
          <w:spacing w:val="4"/>
          <w:kern w:val="0"/>
          <w:sz w:val="28"/>
          <w:szCs w:val="22"/>
        </w:rPr>
        <w:t>萬人次，較</w:t>
      </w:r>
      <w:r>
        <w:rPr>
          <w:rFonts w:eastAsia="標楷體"/>
          <w:spacing w:val="4"/>
          <w:kern w:val="0"/>
          <w:sz w:val="28"/>
          <w:szCs w:val="22"/>
        </w:rPr>
        <w:t>100</w:t>
      </w:r>
      <w:r>
        <w:rPr>
          <w:rFonts w:eastAsia="標楷體"/>
          <w:spacing w:val="4"/>
          <w:kern w:val="0"/>
          <w:sz w:val="28"/>
          <w:szCs w:val="22"/>
        </w:rPr>
        <w:t>年成長</w:t>
      </w:r>
      <w:r>
        <w:rPr>
          <w:rFonts w:eastAsia="標楷體"/>
          <w:spacing w:val="4"/>
          <w:kern w:val="0"/>
          <w:sz w:val="28"/>
          <w:szCs w:val="22"/>
        </w:rPr>
        <w:t>61%</w:t>
      </w:r>
      <w:r>
        <w:rPr>
          <w:rFonts w:eastAsia="標楷體"/>
          <w:spacing w:val="4"/>
          <w:kern w:val="0"/>
          <w:sz w:val="28"/>
          <w:szCs w:val="22"/>
        </w:rPr>
        <w:t>。</w:t>
      </w:r>
    </w:p>
    <w:p w14:paraId="10EC6C5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實施農村再生社區數占全國社區數比率從</w:t>
      </w:r>
      <w:r>
        <w:rPr>
          <w:rFonts w:eastAsia="標楷體"/>
          <w:spacing w:val="-4"/>
          <w:kern w:val="0"/>
          <w:sz w:val="28"/>
          <w:szCs w:val="22"/>
        </w:rPr>
        <w:t>100</w:t>
      </w:r>
      <w:r>
        <w:rPr>
          <w:rFonts w:eastAsia="標楷體"/>
          <w:spacing w:val="-4"/>
          <w:kern w:val="0"/>
          <w:sz w:val="28"/>
          <w:szCs w:val="22"/>
        </w:rPr>
        <w:t>年</w:t>
      </w:r>
      <w:r>
        <w:rPr>
          <w:rFonts w:eastAsia="標楷體"/>
          <w:spacing w:val="-4"/>
          <w:kern w:val="0"/>
          <w:sz w:val="28"/>
          <w:szCs w:val="22"/>
        </w:rPr>
        <w:t>2%</w:t>
      </w:r>
      <w:r>
        <w:rPr>
          <w:rFonts w:eastAsia="標楷體"/>
          <w:spacing w:val="-4"/>
          <w:kern w:val="0"/>
          <w:sz w:val="28"/>
          <w:szCs w:val="22"/>
        </w:rPr>
        <w:t>增至</w:t>
      </w:r>
      <w:r>
        <w:rPr>
          <w:rFonts w:eastAsia="標楷體"/>
          <w:spacing w:val="-4"/>
          <w:kern w:val="0"/>
          <w:sz w:val="28"/>
          <w:szCs w:val="22"/>
        </w:rPr>
        <w:t>105</w:t>
      </w:r>
      <w:r>
        <w:rPr>
          <w:rFonts w:eastAsia="標楷體"/>
          <w:spacing w:val="-4"/>
          <w:kern w:val="0"/>
          <w:sz w:val="28"/>
          <w:szCs w:val="22"/>
        </w:rPr>
        <w:t>年</w:t>
      </w:r>
      <w:r>
        <w:rPr>
          <w:rFonts w:eastAsia="標楷體"/>
          <w:spacing w:val="-4"/>
          <w:kern w:val="0"/>
          <w:sz w:val="28"/>
          <w:szCs w:val="22"/>
        </w:rPr>
        <w:t>30%</w:t>
      </w:r>
      <w:r>
        <w:rPr>
          <w:rFonts w:eastAsia="標楷體"/>
          <w:spacing w:val="-4"/>
          <w:kern w:val="0"/>
          <w:sz w:val="28"/>
          <w:szCs w:val="22"/>
        </w:rPr>
        <w:t>。</w:t>
      </w:r>
    </w:p>
    <w:p w14:paraId="590480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105</w:t>
      </w:r>
      <w:r>
        <w:rPr>
          <w:rFonts w:eastAsia="標楷體"/>
          <w:spacing w:val="4"/>
          <w:kern w:val="0"/>
          <w:sz w:val="28"/>
          <w:szCs w:val="22"/>
        </w:rPr>
        <w:t>年作物生產專區經營面積達</w:t>
      </w:r>
      <w:r>
        <w:rPr>
          <w:rFonts w:eastAsia="標楷體"/>
          <w:spacing w:val="4"/>
          <w:kern w:val="0"/>
          <w:sz w:val="28"/>
          <w:szCs w:val="22"/>
        </w:rPr>
        <w:t>3</w:t>
      </w:r>
      <w:r>
        <w:rPr>
          <w:rFonts w:eastAsia="標楷體"/>
          <w:spacing w:val="4"/>
          <w:kern w:val="0"/>
          <w:sz w:val="28"/>
          <w:szCs w:val="22"/>
        </w:rPr>
        <w:t>萬</w:t>
      </w:r>
      <w:r>
        <w:rPr>
          <w:rFonts w:eastAsia="標楷體"/>
          <w:spacing w:val="4"/>
          <w:kern w:val="0"/>
          <w:sz w:val="28"/>
          <w:szCs w:val="22"/>
        </w:rPr>
        <w:t>600</w:t>
      </w:r>
      <w:r>
        <w:rPr>
          <w:rFonts w:eastAsia="標楷體"/>
          <w:spacing w:val="4"/>
          <w:kern w:val="0"/>
          <w:sz w:val="28"/>
          <w:szCs w:val="22"/>
        </w:rPr>
        <w:t>公頃，較</w:t>
      </w:r>
      <w:r>
        <w:rPr>
          <w:rFonts w:eastAsia="標楷體"/>
          <w:spacing w:val="4"/>
          <w:kern w:val="0"/>
          <w:sz w:val="28"/>
          <w:szCs w:val="22"/>
        </w:rPr>
        <w:t>100</w:t>
      </w:r>
      <w:r>
        <w:rPr>
          <w:rFonts w:eastAsia="標楷體"/>
          <w:spacing w:val="4"/>
          <w:kern w:val="0"/>
          <w:sz w:val="28"/>
          <w:szCs w:val="22"/>
        </w:rPr>
        <w:t>年成長</w:t>
      </w:r>
      <w:r>
        <w:rPr>
          <w:rFonts w:eastAsia="標楷體"/>
          <w:spacing w:val="4"/>
          <w:kern w:val="0"/>
          <w:sz w:val="28"/>
          <w:szCs w:val="22"/>
        </w:rPr>
        <w:t>75%</w:t>
      </w:r>
      <w:r>
        <w:rPr>
          <w:rFonts w:eastAsia="標楷體"/>
          <w:spacing w:val="4"/>
          <w:kern w:val="0"/>
          <w:sz w:val="28"/>
          <w:szCs w:val="22"/>
        </w:rPr>
        <w:t>。</w:t>
      </w:r>
    </w:p>
    <w:p w14:paraId="1CC35C6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105</w:t>
      </w:r>
      <w:r>
        <w:rPr>
          <w:rFonts w:eastAsia="標楷體"/>
          <w:spacing w:val="4"/>
          <w:kern w:val="0"/>
          <w:sz w:val="28"/>
          <w:szCs w:val="22"/>
        </w:rPr>
        <w:t>年安全農業推廣面積達</w:t>
      </w:r>
      <w:r>
        <w:rPr>
          <w:rFonts w:eastAsia="標楷體"/>
          <w:spacing w:val="4"/>
          <w:kern w:val="0"/>
          <w:sz w:val="28"/>
          <w:szCs w:val="22"/>
        </w:rPr>
        <w:t>5</w:t>
      </w:r>
      <w:r>
        <w:rPr>
          <w:rFonts w:eastAsia="標楷體"/>
          <w:spacing w:val="4"/>
          <w:kern w:val="0"/>
          <w:sz w:val="28"/>
          <w:szCs w:val="22"/>
        </w:rPr>
        <w:t>萬</w:t>
      </w:r>
      <w:r>
        <w:rPr>
          <w:rFonts w:eastAsia="標楷體"/>
          <w:spacing w:val="4"/>
          <w:kern w:val="0"/>
          <w:sz w:val="28"/>
          <w:szCs w:val="22"/>
        </w:rPr>
        <w:t>4,460</w:t>
      </w:r>
      <w:r>
        <w:rPr>
          <w:rFonts w:eastAsia="標楷體"/>
          <w:spacing w:val="4"/>
          <w:kern w:val="0"/>
          <w:sz w:val="28"/>
          <w:szCs w:val="22"/>
        </w:rPr>
        <w:t>公頃，較</w:t>
      </w:r>
      <w:r>
        <w:rPr>
          <w:rFonts w:eastAsia="標楷體"/>
          <w:spacing w:val="4"/>
          <w:kern w:val="0"/>
          <w:sz w:val="28"/>
          <w:szCs w:val="22"/>
        </w:rPr>
        <w:t>100</w:t>
      </w:r>
      <w:r>
        <w:rPr>
          <w:rFonts w:eastAsia="標楷體"/>
          <w:spacing w:val="4"/>
          <w:kern w:val="0"/>
          <w:sz w:val="28"/>
          <w:szCs w:val="22"/>
        </w:rPr>
        <w:t>年成長</w:t>
      </w:r>
      <w:r>
        <w:rPr>
          <w:rFonts w:eastAsia="標楷體"/>
          <w:spacing w:val="4"/>
          <w:kern w:val="0"/>
          <w:sz w:val="28"/>
          <w:szCs w:val="22"/>
        </w:rPr>
        <w:t>42%</w:t>
      </w:r>
      <w:r>
        <w:rPr>
          <w:rFonts w:eastAsia="標楷體"/>
          <w:spacing w:val="4"/>
          <w:kern w:val="0"/>
          <w:sz w:val="28"/>
          <w:szCs w:val="22"/>
        </w:rPr>
        <w:t>。</w:t>
      </w:r>
    </w:p>
    <w:p w14:paraId="0DBC15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1</w:t>
      </w:r>
      <w:r>
        <w:rPr>
          <w:rFonts w:eastAsia="標楷體"/>
          <w:spacing w:val="2"/>
          <w:kern w:val="0"/>
          <w:sz w:val="28"/>
          <w:szCs w:val="22"/>
        </w:rPr>
        <w:t>05</w:t>
      </w:r>
      <w:r>
        <w:rPr>
          <w:rFonts w:eastAsia="標楷體"/>
          <w:spacing w:val="2"/>
          <w:kern w:val="0"/>
          <w:sz w:val="28"/>
          <w:szCs w:val="22"/>
        </w:rPr>
        <w:t>年活化休耕地面積累計達</w:t>
      </w:r>
      <w:r>
        <w:rPr>
          <w:rFonts w:eastAsia="標楷體"/>
          <w:spacing w:val="2"/>
          <w:kern w:val="0"/>
          <w:sz w:val="28"/>
          <w:szCs w:val="22"/>
        </w:rPr>
        <w:t>2</w:t>
      </w:r>
      <w:r>
        <w:rPr>
          <w:rFonts w:eastAsia="標楷體"/>
          <w:spacing w:val="2"/>
          <w:kern w:val="0"/>
          <w:sz w:val="28"/>
          <w:szCs w:val="22"/>
        </w:rPr>
        <w:t>萬</w:t>
      </w:r>
      <w:r>
        <w:rPr>
          <w:rFonts w:eastAsia="標楷體"/>
          <w:spacing w:val="2"/>
          <w:kern w:val="0"/>
          <w:sz w:val="28"/>
          <w:szCs w:val="22"/>
        </w:rPr>
        <w:t>5,000</w:t>
      </w:r>
      <w:r>
        <w:rPr>
          <w:rFonts w:eastAsia="標楷體"/>
          <w:spacing w:val="2"/>
          <w:kern w:val="0"/>
          <w:sz w:val="28"/>
          <w:szCs w:val="22"/>
        </w:rPr>
        <w:t>公頃，</w:t>
      </w:r>
      <w:r>
        <w:rPr>
          <w:rFonts w:eastAsia="標楷體"/>
          <w:spacing w:val="4"/>
          <w:kern w:val="0"/>
          <w:sz w:val="28"/>
          <w:szCs w:val="22"/>
        </w:rPr>
        <w:t>較</w:t>
      </w:r>
      <w:r>
        <w:rPr>
          <w:rFonts w:eastAsia="標楷體"/>
          <w:spacing w:val="4"/>
          <w:kern w:val="0"/>
          <w:sz w:val="28"/>
          <w:szCs w:val="22"/>
        </w:rPr>
        <w:t>100</w:t>
      </w:r>
      <w:r>
        <w:rPr>
          <w:rFonts w:eastAsia="標楷體"/>
          <w:spacing w:val="4"/>
          <w:kern w:val="0"/>
          <w:sz w:val="28"/>
          <w:szCs w:val="22"/>
        </w:rPr>
        <w:t>年成長</w:t>
      </w:r>
      <w:r>
        <w:rPr>
          <w:rFonts w:eastAsia="標楷體"/>
          <w:spacing w:val="4"/>
          <w:kern w:val="0"/>
          <w:sz w:val="28"/>
          <w:szCs w:val="22"/>
        </w:rPr>
        <w:t>3.8</w:t>
      </w:r>
      <w:r>
        <w:rPr>
          <w:rFonts w:eastAsia="標楷體"/>
          <w:spacing w:val="4"/>
          <w:kern w:val="0"/>
          <w:sz w:val="28"/>
          <w:szCs w:val="22"/>
        </w:rPr>
        <w:t>倍。</w:t>
      </w:r>
    </w:p>
    <w:p w14:paraId="03896AC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(七)</w:t>
      </w:r>
      <w:r>
        <w:rPr>
          <w:rFonts w:eastAsia="標楷體"/>
          <w:spacing w:val="4"/>
          <w:kern w:val="0"/>
          <w:sz w:val="28"/>
          <w:szCs w:val="22"/>
        </w:rPr>
        <w:t>105</w:t>
      </w:r>
      <w:r>
        <w:rPr>
          <w:rFonts w:eastAsia="標楷體"/>
          <w:spacing w:val="4"/>
          <w:kern w:val="0"/>
          <w:sz w:val="28"/>
          <w:szCs w:val="22"/>
        </w:rPr>
        <w:t>年農業用水節水</w:t>
      </w:r>
      <w:r>
        <w:rPr>
          <w:rFonts w:ascii="標楷體" w:eastAsia="標楷體" w:hAnsi="標楷體"/>
          <w:spacing w:val="4"/>
          <w:kern w:val="0"/>
          <w:sz w:val="28"/>
          <w:szCs w:val="22"/>
        </w:rPr>
        <w:t>量(含灌溉及畜牧用水)累</w:t>
      </w:r>
      <w:r>
        <w:rPr>
          <w:rFonts w:eastAsia="標楷體"/>
          <w:spacing w:val="4"/>
          <w:kern w:val="0"/>
          <w:sz w:val="28"/>
          <w:szCs w:val="22"/>
        </w:rPr>
        <w:t>計達</w:t>
      </w:r>
      <w:r>
        <w:rPr>
          <w:rFonts w:eastAsia="標楷體"/>
          <w:spacing w:val="4"/>
          <w:kern w:val="0"/>
          <w:sz w:val="28"/>
          <w:szCs w:val="22"/>
        </w:rPr>
        <w:t>5,130</w:t>
      </w:r>
      <w:r>
        <w:rPr>
          <w:rFonts w:eastAsia="標楷體"/>
          <w:spacing w:val="4"/>
          <w:kern w:val="0"/>
          <w:sz w:val="28"/>
          <w:szCs w:val="22"/>
        </w:rPr>
        <w:t>萬公噸，較</w:t>
      </w:r>
      <w:r>
        <w:rPr>
          <w:rFonts w:eastAsia="標楷體"/>
          <w:spacing w:val="4"/>
          <w:kern w:val="0"/>
          <w:sz w:val="28"/>
          <w:szCs w:val="22"/>
        </w:rPr>
        <w:t>100</w:t>
      </w:r>
      <w:r>
        <w:rPr>
          <w:rFonts w:eastAsia="標楷體"/>
          <w:spacing w:val="4"/>
          <w:kern w:val="0"/>
          <w:sz w:val="28"/>
          <w:szCs w:val="22"/>
        </w:rPr>
        <w:t>年成長</w:t>
      </w:r>
      <w:r>
        <w:rPr>
          <w:rFonts w:eastAsia="標楷體"/>
          <w:spacing w:val="4"/>
          <w:kern w:val="0"/>
          <w:sz w:val="28"/>
          <w:szCs w:val="22"/>
        </w:rPr>
        <w:t>52%</w:t>
      </w:r>
      <w:r>
        <w:rPr>
          <w:rFonts w:eastAsia="標楷體"/>
          <w:spacing w:val="4"/>
          <w:kern w:val="0"/>
          <w:sz w:val="28"/>
          <w:szCs w:val="22"/>
        </w:rPr>
        <w:t>。</w:t>
      </w:r>
    </w:p>
    <w:p w14:paraId="49D17B2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二、政策重點</w:t>
      </w:r>
    </w:p>
    <w:p w14:paraId="046D74F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提升產業競爭力，引領臺灣農業國際化</w:t>
      </w:r>
    </w:p>
    <w:p w14:paraId="762DB2C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推動農業資訊雲端服務，整合農業數位化產銷資訊，推動客製化與多元主動傳播功能，創造農業產銷資訊加值運用。</w:t>
      </w:r>
    </w:p>
    <w:p w14:paraId="52303DD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結合綠能、環控與資訊等現代化科技，發展跨域整合及友善環境生產模式。</w:t>
      </w:r>
    </w:p>
    <w:p w14:paraId="1FC1D20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設立農業科技研究院，推動農業科技創新研發與產業化發展，加速農業科技研發成果商品化開發，建構量產技術，強化技術保護與加值運用。</w:t>
      </w:r>
    </w:p>
    <w:p w14:paraId="69A222D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穩定農產品品質及供應鏈，推動建立大宗農產品廠農垂直整合體系，促進農產運銷現代化。</w:t>
      </w:r>
    </w:p>
    <w:p w14:paraId="0C20627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輔導農民團體、農企業建立中心衛星體系，以利基市場為導向，建立農業產業聚落及價值鏈體系，創造產業附加價值。</w:t>
      </w:r>
    </w:p>
    <w:p w14:paraId="516E0B1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推廣高效高值畜禽生產體系，提升生產經營效率，強化生物安全；輔導建立合理化經營、家畜禽場精準生產與新式飼養系統。</w:t>
      </w:r>
    </w:p>
    <w:p w14:paraId="05ACD42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推動外銷生產專區，建構外銷農產品安全管理體系，輔導建立品牌；鼓勵業者利用技術優勢進口農產原料、半成品加工或再製後外銷。</w:t>
      </w:r>
    </w:p>
    <w:p w14:paraId="5254226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8.</w:t>
      </w:r>
      <w:r>
        <w:rPr>
          <w:rFonts w:eastAsia="標楷體"/>
          <w:spacing w:val="4"/>
          <w:kern w:val="0"/>
          <w:sz w:val="28"/>
          <w:szCs w:val="26"/>
        </w:rPr>
        <w:t>精進臺灣農業整體形象，建立臺灣農業品牌，將關鍵技術與研發根留臺灣，推展臺灣優良農產品、資材、技術輸出。</w:t>
      </w:r>
    </w:p>
    <w:p w14:paraId="00B9A14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9.</w:t>
      </w:r>
      <w:r>
        <w:rPr>
          <w:rFonts w:eastAsia="標楷體"/>
          <w:spacing w:val="4"/>
          <w:kern w:val="0"/>
          <w:sz w:val="28"/>
          <w:szCs w:val="26"/>
        </w:rPr>
        <w:t>推動「農遊國際化」，發展農業深度旅遊，開發具地區特色之農業旅遊商品；改造漁港環境景觀，提供觀景、海釣及海上遊憩活動；推展森林生態旅遊與自然步道系統，提供民眾遊憩活動及森林環境學習場域。</w:t>
      </w:r>
    </w:p>
    <w:p w14:paraId="6C6C76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10.</w:t>
      </w:r>
      <w:r>
        <w:rPr>
          <w:rFonts w:eastAsia="標楷體"/>
          <w:spacing w:val="6"/>
          <w:kern w:val="0"/>
          <w:sz w:val="28"/>
          <w:szCs w:val="26"/>
        </w:rPr>
        <w:t>透過雙邊與多邊協議，排除關稅與非關稅障礙，保障農民權益。</w:t>
      </w:r>
    </w:p>
    <w:p w14:paraId="1800AF0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調整農業結構，推動整合性加值發展</w:t>
      </w:r>
    </w:p>
    <w:p w14:paraId="6D4816E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鼓勵老年農民退休，實施離農獎勵。</w:t>
      </w:r>
    </w:p>
    <w:p w14:paraId="01A2A66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推動小地主大佃農，鼓勵無力或無意耕作之老年農民出租農</w:t>
      </w:r>
      <w:r>
        <w:rPr>
          <w:rFonts w:eastAsia="標楷體"/>
          <w:spacing w:val="4"/>
          <w:kern w:val="0"/>
          <w:sz w:val="28"/>
          <w:szCs w:val="26"/>
        </w:rPr>
        <w:lastRenderedPageBreak/>
        <w:t>地，並輔導年輕專業農民或農民團體承租，以擴大經營規模，促進農業勞力結構年輕化。</w:t>
      </w:r>
    </w:p>
    <w:p w14:paraId="57D7AAF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加速引進青年農民，規劃多元青年從農訓練，輔導取得土地與經營資金，協助穩健經營。</w:t>
      </w:r>
    </w:p>
    <w:p w14:paraId="07C7B4B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推動農村再生跨域合作，加強辦理培根計畫，強化產業發展資源整合，活化農村社區產業。</w:t>
      </w:r>
    </w:p>
    <w:p w14:paraId="136D42C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確保糧食安全，調整農田耕作制度</w:t>
      </w:r>
    </w:p>
    <w:p w14:paraId="61A8764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建構多元糧食安全體系，發展糧食供應多樣化生產制度，提高國產糧食及飼料自給率；推動糧食安全分級管理措施及緊急糧食儲備機制。</w:t>
      </w:r>
    </w:p>
    <w:p w14:paraId="16CE90C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調整耕作制度活化農地，推動連續休耕地活化及多元利用，鼓勵轉</w:t>
      </w:r>
      <w:r>
        <w:rPr>
          <w:rFonts w:ascii="標楷體" w:eastAsia="標楷體" w:hAnsi="標楷體"/>
          <w:spacing w:val="4"/>
          <w:kern w:val="0"/>
          <w:sz w:val="28"/>
          <w:szCs w:val="26"/>
        </w:rPr>
        <w:t>(契)作</w:t>
      </w:r>
      <w:r>
        <w:rPr>
          <w:rFonts w:eastAsia="標楷體"/>
          <w:spacing w:val="4"/>
          <w:kern w:val="0"/>
          <w:sz w:val="28"/>
          <w:szCs w:val="26"/>
        </w:rPr>
        <w:t>進口替代、具外銷潛力及具地區特色且產銷無虞之作物，以活化休耕農地利用，提高國產糧食自給率。</w:t>
      </w:r>
    </w:p>
    <w:p w14:paraId="0D942BD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推動傳統產業特色化、精緻化，形塑地方品牌特色，發展農產品多元利用與在地食材新需求，拓展客群與新市場。</w:t>
      </w:r>
    </w:p>
    <w:p w14:paraId="08625D8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加強消費者溝通，推動「地產地消」與飲食教育，減少食物浪費，鼓勵國人提高國產農產品消費比率。</w:t>
      </w:r>
    </w:p>
    <w:p w14:paraId="40ABB58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推動農民</w:t>
      </w:r>
      <w:r>
        <w:rPr>
          <w:rFonts w:eastAsia="標楷體"/>
          <w:spacing w:val="4"/>
          <w:kern w:val="0"/>
          <w:sz w:val="28"/>
          <w:szCs w:val="26"/>
        </w:rPr>
        <w:t>IC</w:t>
      </w:r>
      <w:r>
        <w:rPr>
          <w:rFonts w:eastAsia="標楷體"/>
          <w:spacing w:val="4"/>
          <w:kern w:val="0"/>
          <w:sz w:val="28"/>
          <w:szCs w:val="26"/>
        </w:rPr>
        <w:t>卡，系統化管理農民肥料、農藥等補貼，輔導農民合理化施肥；加強肥料品質查驗管理，健全肥料管理。</w:t>
      </w:r>
    </w:p>
    <w:p w14:paraId="165FC49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賡續推廣吉園圃、</w:t>
      </w:r>
      <w:r>
        <w:rPr>
          <w:rFonts w:eastAsia="標楷體"/>
          <w:spacing w:val="4"/>
          <w:kern w:val="0"/>
          <w:sz w:val="28"/>
          <w:szCs w:val="26"/>
        </w:rPr>
        <w:t>CAS</w:t>
      </w:r>
      <w:r>
        <w:rPr>
          <w:rFonts w:eastAsia="標楷體"/>
          <w:spacing w:val="4"/>
          <w:kern w:val="0"/>
          <w:sz w:val="28"/>
          <w:szCs w:val="26"/>
        </w:rPr>
        <w:t>優良農產品、有機農業、產銷履歷等多元認驗證制度，加強辦理驗證機構查核及產品抽驗，強化安全生產流程；建立國產牛肉追溯制度，協助業者風險控管，促進民眾消費國產農產品；落實農產品上市把關，維護農產品衛生安全，保障消費者健康。</w:t>
      </w:r>
    </w:p>
    <w:p w14:paraId="73050EA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推動重要動植物有害生物監測、預警、防治與宣導教育；嚴格執行邊境動植物檢疫，強化有害生物入侵風險評估與危機管理。</w:t>
      </w:r>
    </w:p>
    <w:p w14:paraId="240FC89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活化農業資源利用，維護生態永續發展</w:t>
      </w:r>
    </w:p>
    <w:p w14:paraId="0C8E9A5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8"/>
          <w:kern w:val="0"/>
          <w:sz w:val="28"/>
          <w:szCs w:val="26"/>
        </w:rPr>
        <w:t>配合農業多元發展，整體盤點農地資源，調整農地利用與管理。</w:t>
      </w:r>
    </w:p>
    <w:p w14:paraId="55C343B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2.</w:t>
      </w:r>
      <w:r>
        <w:rPr>
          <w:rFonts w:eastAsia="標楷體"/>
          <w:spacing w:val="4"/>
          <w:kern w:val="0"/>
          <w:sz w:val="28"/>
          <w:szCs w:val="26"/>
        </w:rPr>
        <w:t>於高鐵沿線地層下陷較為嚴重區域，透過「新技術、新農民、新產業」，打造「節水、節能」的農業黃金廊道。</w:t>
      </w:r>
    </w:p>
    <w:p w14:paraId="3F0963A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推動農業用水質量合理規劃與管理，於缺水地區推廣旱作；加強辦理節水措施，建構適地、省水、節能管理系統，推動農田水利設施改善更新。</w:t>
      </w:r>
    </w:p>
    <w:p w14:paraId="663FC80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強化漁業資源養護，改善養殖漁業生產區公共設施，促進養殖漁業與環境和諧；強化沿近海漁業資源保育，參與國際漁業資源養護合作，引領產業永續經營。</w:t>
      </w:r>
    </w:p>
    <w:p w14:paraId="37EA1C7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強化農民組織，照顧農民福祉</w:t>
      </w:r>
    </w:p>
    <w:p w14:paraId="2B52221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賡續辦理農業天然災害救助、農產品受進口損害救助、漁船用油優惠油價補貼、保價收購制度、獎勵休漁措施，以及發放老農津貼與農漁民子女就學獎助學金等，照顧農民生活。</w:t>
      </w:r>
    </w:p>
    <w:p w14:paraId="08F1F2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推動建立農業保險及農業所得支持制度，逐步將現有補貼轉換為符合</w:t>
      </w:r>
      <w:r>
        <w:rPr>
          <w:rFonts w:eastAsia="標楷體"/>
          <w:spacing w:val="4"/>
          <w:kern w:val="0"/>
          <w:sz w:val="28"/>
          <w:szCs w:val="26"/>
        </w:rPr>
        <w:t>WTO</w:t>
      </w:r>
      <w:r>
        <w:rPr>
          <w:rFonts w:eastAsia="標楷體"/>
          <w:spacing w:val="4"/>
          <w:kern w:val="0"/>
          <w:sz w:val="28"/>
          <w:szCs w:val="26"/>
        </w:rPr>
        <w:t>綠色措施規範之直接給付措施。</w:t>
      </w:r>
    </w:p>
    <w:p w14:paraId="44F193F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培育優質農漁會人才，提升農漁會人員素質與專業經營能力，強化農民組織營運效率及服務效能。</w:t>
      </w:r>
    </w:p>
    <w:p w14:paraId="02C60E5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加強農漁會信用部輔導管理，強化全國農業金庫專業經營；建置及推廣使用全國農業金融資訊共同利用平臺，提升農業金融服務品質。</w:t>
      </w:r>
    </w:p>
    <w:p w14:paraId="03204459"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7EAB4AC"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肆、結構調整</w:t>
      </w:r>
    </w:p>
    <w:p w14:paraId="5221E6A5"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99A3B0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臺灣是出口導向型經濟體，對外貿易依存度一向較高，加以近十年來，民間消費與投資不振，使國內需求成長動能更形偏低，致經濟成長過度依賴出口，易受國際景氣衝擊。未來我國經濟結構亟應朝向「投資」、「消費」與「出口」三引擎之模式發展，帶動經濟穩健成長，增加就業機會與薪資成長。</w:t>
      </w:r>
    </w:p>
    <w:p w14:paraId="2CD833B2"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就產業結構而言，近十年來，國內製造業積極朝資本及技術密集轉型，製造業實質</w:t>
      </w:r>
      <w:r>
        <w:rPr>
          <w:rFonts w:eastAsia="標楷體"/>
          <w:spacing w:val="4"/>
          <w:kern w:val="0"/>
          <w:sz w:val="28"/>
          <w:szCs w:val="26"/>
        </w:rPr>
        <w:t>GDP</w:t>
      </w:r>
      <w:r>
        <w:rPr>
          <w:rFonts w:eastAsia="標楷體"/>
          <w:spacing w:val="4"/>
          <w:kern w:val="0"/>
          <w:sz w:val="28"/>
          <w:szCs w:val="26"/>
        </w:rPr>
        <w:t>占整體</w:t>
      </w:r>
      <w:r>
        <w:rPr>
          <w:rFonts w:eastAsia="標楷體"/>
          <w:spacing w:val="4"/>
          <w:kern w:val="0"/>
          <w:sz w:val="28"/>
          <w:szCs w:val="26"/>
        </w:rPr>
        <w:t>GDP</w:t>
      </w:r>
      <w:r>
        <w:rPr>
          <w:rFonts w:eastAsia="標楷體"/>
          <w:spacing w:val="4"/>
          <w:kern w:val="0"/>
          <w:sz w:val="28"/>
          <w:szCs w:val="26"/>
          <w:vertAlign w:val="superscript"/>
        </w:rPr>
        <w:footnoteReference w:customMarkFollows="1" w:id="17"/>
        <w:t>17</w:t>
      </w:r>
      <w:r>
        <w:rPr>
          <w:rFonts w:eastAsia="標楷體"/>
          <w:spacing w:val="4"/>
          <w:kern w:val="0"/>
          <w:sz w:val="28"/>
          <w:szCs w:val="26"/>
        </w:rPr>
        <w:t>比率由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22.56%</w:t>
      </w:r>
      <w:r>
        <w:rPr>
          <w:rFonts w:eastAsia="標楷體"/>
          <w:spacing w:val="4"/>
          <w:kern w:val="0"/>
          <w:sz w:val="28"/>
          <w:szCs w:val="26"/>
        </w:rPr>
        <w:t>上升至</w:t>
      </w:r>
      <w:r>
        <w:rPr>
          <w:rFonts w:eastAsia="標楷體"/>
          <w:spacing w:val="4"/>
          <w:kern w:val="0"/>
          <w:sz w:val="28"/>
          <w:szCs w:val="26"/>
        </w:rPr>
        <w:t>100</w:t>
      </w:r>
      <w:r>
        <w:rPr>
          <w:rFonts w:eastAsia="標楷體"/>
          <w:spacing w:val="4"/>
          <w:kern w:val="0"/>
          <w:sz w:val="28"/>
          <w:szCs w:val="26"/>
        </w:rPr>
        <w:lastRenderedPageBreak/>
        <w:t>年的</w:t>
      </w:r>
      <w:r>
        <w:rPr>
          <w:rFonts w:eastAsia="標楷體"/>
          <w:spacing w:val="4"/>
          <w:kern w:val="0"/>
          <w:sz w:val="28"/>
          <w:szCs w:val="26"/>
        </w:rPr>
        <w:t>31.03%</w:t>
      </w:r>
      <w:r>
        <w:rPr>
          <w:rFonts w:eastAsia="標楷體"/>
          <w:spacing w:val="4"/>
          <w:kern w:val="0"/>
          <w:sz w:val="28"/>
          <w:szCs w:val="26"/>
        </w:rPr>
        <w:t>，惟就業結構的調整則明顯落後，同期間製造業就業人口占總就業人口比率，則由</w:t>
      </w:r>
      <w:r>
        <w:rPr>
          <w:rFonts w:eastAsia="標楷體"/>
          <w:spacing w:val="4"/>
          <w:kern w:val="0"/>
          <w:sz w:val="28"/>
          <w:szCs w:val="26"/>
        </w:rPr>
        <w:t>91</w:t>
      </w:r>
      <w:r>
        <w:rPr>
          <w:rFonts w:eastAsia="標楷體"/>
          <w:spacing w:val="4"/>
          <w:kern w:val="0"/>
          <w:sz w:val="28"/>
          <w:szCs w:val="26"/>
        </w:rPr>
        <w:t>年的</w:t>
      </w:r>
      <w:r>
        <w:rPr>
          <w:rFonts w:eastAsia="標楷體"/>
          <w:spacing w:val="4"/>
          <w:kern w:val="0"/>
          <w:sz w:val="28"/>
          <w:szCs w:val="26"/>
        </w:rPr>
        <w:t>27.21%</w:t>
      </w:r>
      <w:r>
        <w:rPr>
          <w:rFonts w:eastAsia="標楷體"/>
          <w:spacing w:val="4"/>
          <w:kern w:val="0"/>
          <w:sz w:val="28"/>
          <w:szCs w:val="26"/>
        </w:rPr>
        <w:t>降至</w:t>
      </w:r>
      <w:r>
        <w:rPr>
          <w:rFonts w:eastAsia="標楷體"/>
          <w:spacing w:val="4"/>
          <w:kern w:val="0"/>
          <w:sz w:val="28"/>
          <w:szCs w:val="26"/>
        </w:rPr>
        <w:t>100</w:t>
      </w:r>
      <w:r>
        <w:rPr>
          <w:rFonts w:eastAsia="標楷體"/>
          <w:spacing w:val="4"/>
          <w:kern w:val="0"/>
          <w:sz w:val="28"/>
          <w:szCs w:val="26"/>
        </w:rPr>
        <w:t>年的</w:t>
      </w:r>
      <w:r>
        <w:rPr>
          <w:rFonts w:eastAsia="標楷體"/>
          <w:spacing w:val="4"/>
          <w:kern w:val="0"/>
          <w:sz w:val="28"/>
          <w:szCs w:val="26"/>
        </w:rPr>
        <w:t>27.54%</w:t>
      </w:r>
      <w:r>
        <w:rPr>
          <w:rFonts w:eastAsia="標楷體"/>
          <w:spacing w:val="4"/>
          <w:kern w:val="0"/>
          <w:sz w:val="28"/>
          <w:szCs w:val="26"/>
        </w:rPr>
        <w:t>。此外，由於製造業自主技術創新有限，致附加價值相對偏低</w:t>
      </w:r>
      <w:r>
        <w:rPr>
          <w:rFonts w:ascii="標楷體" w:eastAsia="標楷體" w:hAnsi="標楷體"/>
          <w:spacing w:val="4"/>
          <w:kern w:val="0"/>
          <w:sz w:val="28"/>
          <w:szCs w:val="26"/>
        </w:rPr>
        <w:t>(</w:t>
      </w:r>
      <w:r>
        <w:rPr>
          <w:rFonts w:eastAsia="標楷體"/>
          <w:spacing w:val="4"/>
          <w:kern w:val="0"/>
          <w:sz w:val="28"/>
          <w:szCs w:val="26"/>
        </w:rPr>
        <w:t>製造業名目附加價值率由</w:t>
      </w:r>
      <w:r>
        <w:rPr>
          <w:rFonts w:eastAsia="標楷體"/>
          <w:spacing w:val="4"/>
          <w:kern w:val="0"/>
          <w:sz w:val="28"/>
          <w:szCs w:val="26"/>
        </w:rPr>
        <w:t>91</w:t>
      </w:r>
      <w:r>
        <w:rPr>
          <w:rFonts w:eastAsia="標楷體"/>
          <w:spacing w:val="4"/>
          <w:kern w:val="0"/>
          <w:sz w:val="28"/>
          <w:szCs w:val="26"/>
        </w:rPr>
        <w:t>年</w:t>
      </w:r>
      <w:r>
        <w:rPr>
          <w:rFonts w:eastAsia="標楷體"/>
          <w:spacing w:val="4"/>
          <w:kern w:val="0"/>
          <w:sz w:val="28"/>
          <w:szCs w:val="26"/>
        </w:rPr>
        <w:t>27.46%</w:t>
      </w:r>
      <w:r>
        <w:rPr>
          <w:rFonts w:eastAsia="標楷體"/>
          <w:spacing w:val="4"/>
          <w:kern w:val="0"/>
          <w:sz w:val="28"/>
          <w:szCs w:val="26"/>
        </w:rPr>
        <w:t>降至</w:t>
      </w:r>
      <w:r>
        <w:rPr>
          <w:rFonts w:eastAsia="標楷體"/>
          <w:spacing w:val="4"/>
          <w:kern w:val="0"/>
          <w:sz w:val="28"/>
          <w:szCs w:val="26"/>
        </w:rPr>
        <w:t>100</w:t>
      </w:r>
      <w:r>
        <w:rPr>
          <w:rFonts w:eastAsia="標楷體"/>
          <w:spacing w:val="4"/>
          <w:kern w:val="0"/>
          <w:sz w:val="28"/>
          <w:szCs w:val="26"/>
        </w:rPr>
        <w:t>年</w:t>
      </w:r>
      <w:r>
        <w:rPr>
          <w:rFonts w:eastAsia="標楷體"/>
          <w:spacing w:val="4"/>
          <w:kern w:val="0"/>
          <w:sz w:val="28"/>
          <w:szCs w:val="26"/>
        </w:rPr>
        <w:t>20.23%</w:t>
      </w:r>
      <w:r>
        <w:rPr>
          <w:rFonts w:ascii="標楷體" w:eastAsia="標楷體" w:hAnsi="標楷體"/>
          <w:spacing w:val="4"/>
          <w:kern w:val="0"/>
          <w:sz w:val="28"/>
          <w:szCs w:val="26"/>
        </w:rPr>
        <w:t>)</w:t>
      </w:r>
      <w:r>
        <w:rPr>
          <w:rFonts w:eastAsia="標楷體"/>
          <w:spacing w:val="4"/>
          <w:kern w:val="0"/>
          <w:sz w:val="28"/>
          <w:szCs w:val="26"/>
        </w:rPr>
        <w:t>，不但影響薪資成長，更波及就業機會創造。另服務業雖是經濟活動主體，也是創造就業的主要來源，惟近十年服務業生產力及平均每人附加價值均低於製造業，顯示服務業亟需加速升級。</w:t>
      </w:r>
    </w:p>
    <w:p w14:paraId="7D4402B6"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臺灣出口以中間產品所占比重偏高，使得國內景氣易受國際經濟興衰影響。因此，利用製造業優勢結合服務業特色，加速結構轉型是我國經濟發展必走之路。主要的發展方向有三：</w:t>
      </w:r>
      <w:r>
        <w:rPr>
          <w:rFonts w:ascii="標楷體" w:eastAsia="標楷體" w:hAnsi="標楷體"/>
          <w:spacing w:val="4"/>
          <w:kern w:val="0"/>
          <w:sz w:val="28"/>
          <w:szCs w:val="26"/>
        </w:rPr>
        <w:t>(</w:t>
      </w:r>
      <w:r>
        <w:rPr>
          <w:rFonts w:eastAsia="標楷體"/>
          <w:spacing w:val="4"/>
          <w:kern w:val="0"/>
          <w:sz w:val="28"/>
          <w:szCs w:val="26"/>
        </w:rPr>
        <w:t>1</w:t>
      </w:r>
      <w:r>
        <w:rPr>
          <w:rFonts w:ascii="標楷體" w:eastAsia="標楷體" w:hAnsi="標楷體"/>
          <w:spacing w:val="4"/>
          <w:kern w:val="0"/>
          <w:sz w:val="28"/>
          <w:szCs w:val="26"/>
        </w:rPr>
        <w:t>)</w:t>
      </w:r>
      <w:r>
        <w:rPr>
          <w:rFonts w:eastAsia="標楷體"/>
          <w:spacing w:val="4"/>
          <w:kern w:val="0"/>
          <w:sz w:val="28"/>
          <w:szCs w:val="26"/>
        </w:rPr>
        <w:t>推動「臺灣產業結構優化－三業四化</w:t>
      </w:r>
      <w:r>
        <w:rPr>
          <w:rFonts w:ascii="標楷體" w:eastAsia="標楷體" w:hAnsi="標楷體"/>
          <w:spacing w:val="4"/>
          <w:kern w:val="0"/>
          <w:sz w:val="28"/>
          <w:szCs w:val="26"/>
        </w:rPr>
        <w:t>(</w:t>
      </w:r>
      <w:r>
        <w:rPr>
          <w:rFonts w:eastAsia="標楷體"/>
          <w:spacing w:val="4"/>
          <w:kern w:val="0"/>
          <w:sz w:val="28"/>
          <w:szCs w:val="26"/>
        </w:rPr>
        <w:t>製造業服務化、服務業科技化及國際化、傳統產業特色化</w:t>
      </w:r>
      <w:r>
        <w:rPr>
          <w:rFonts w:ascii="標楷體" w:eastAsia="標楷體" w:hAnsi="標楷體"/>
          <w:spacing w:val="4"/>
          <w:kern w:val="0"/>
          <w:sz w:val="28"/>
          <w:szCs w:val="26"/>
        </w:rPr>
        <w:t>)</w:t>
      </w:r>
      <w:r>
        <w:rPr>
          <w:rFonts w:eastAsia="標楷體"/>
          <w:spacing w:val="4"/>
          <w:kern w:val="0"/>
          <w:sz w:val="28"/>
          <w:szCs w:val="26"/>
        </w:rPr>
        <w:t>行動計畫」，強化產業技術創新能力，提升產品競爭力及附加價值；</w:t>
      </w:r>
      <w:r>
        <w:rPr>
          <w:rFonts w:ascii="標楷體" w:eastAsia="標楷體" w:hAnsi="標楷體"/>
          <w:spacing w:val="4"/>
          <w:kern w:val="0"/>
          <w:sz w:val="28"/>
          <w:szCs w:val="26"/>
        </w:rPr>
        <w:t>(</w:t>
      </w:r>
      <w:r>
        <w:rPr>
          <w:rFonts w:eastAsia="標楷體"/>
          <w:spacing w:val="4"/>
          <w:kern w:val="0"/>
          <w:sz w:val="28"/>
          <w:szCs w:val="26"/>
        </w:rPr>
        <w:t>2</w:t>
      </w:r>
      <w:r>
        <w:rPr>
          <w:rFonts w:ascii="標楷體" w:eastAsia="標楷體" w:hAnsi="標楷體"/>
          <w:spacing w:val="4"/>
          <w:kern w:val="0"/>
          <w:sz w:val="28"/>
          <w:szCs w:val="26"/>
        </w:rPr>
        <w:t>)</w:t>
      </w:r>
      <w:r>
        <w:rPr>
          <w:rFonts w:eastAsia="標楷體"/>
          <w:spacing w:val="4"/>
          <w:kern w:val="0"/>
          <w:sz w:val="28"/>
          <w:szCs w:val="26"/>
        </w:rPr>
        <w:t>協助製造業的基礎工業水準，輔導更多中小企業成為掌握關鍵技術，並自創品牌的中堅企業；</w:t>
      </w:r>
      <w:r>
        <w:rPr>
          <w:rFonts w:ascii="標楷體" w:eastAsia="標楷體" w:hAnsi="標楷體"/>
          <w:spacing w:val="4"/>
          <w:kern w:val="0"/>
          <w:sz w:val="28"/>
          <w:szCs w:val="26"/>
        </w:rPr>
        <w:t>(</w:t>
      </w:r>
      <w:r>
        <w:rPr>
          <w:rFonts w:eastAsia="標楷體"/>
          <w:spacing w:val="4"/>
          <w:kern w:val="0"/>
          <w:sz w:val="28"/>
          <w:szCs w:val="26"/>
        </w:rPr>
        <w:t>3</w:t>
      </w:r>
      <w:r>
        <w:rPr>
          <w:rFonts w:ascii="標楷體" w:eastAsia="標楷體" w:hAnsi="標楷體"/>
          <w:spacing w:val="4"/>
          <w:kern w:val="0"/>
          <w:sz w:val="28"/>
          <w:szCs w:val="26"/>
        </w:rPr>
        <w:t>)</w:t>
      </w:r>
      <w:r>
        <w:rPr>
          <w:rFonts w:eastAsia="標楷體"/>
          <w:spacing w:val="4"/>
          <w:kern w:val="0"/>
          <w:sz w:val="28"/>
          <w:szCs w:val="26"/>
        </w:rPr>
        <w:t>輔導企業拓展新興市場，分散風險、開拓商機。</w:t>
      </w:r>
      <w:r>
        <w:rPr>
          <w:rFonts w:eastAsia="標楷體"/>
          <w:spacing w:val="4"/>
          <w:kern w:val="0"/>
          <w:sz w:val="28"/>
          <w:szCs w:val="26"/>
        </w:rPr>
        <w:t xml:space="preserve"> </w:t>
      </w:r>
    </w:p>
    <w:p w14:paraId="3528F229"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7EDED40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以「投資」、「消費」與「出口」三引擎，帶動經濟穩健成長。</w:t>
      </w:r>
    </w:p>
    <w:p w14:paraId="4579E9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促進產業結構多元發展，「製造」與「服務」雙軌並進。</w:t>
      </w:r>
    </w:p>
    <w:p w14:paraId="7105EAC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(三)建</w:t>
      </w:r>
      <w:r>
        <w:rPr>
          <w:rFonts w:eastAsia="標楷體"/>
          <w:spacing w:val="4"/>
          <w:kern w:val="0"/>
          <w:sz w:val="28"/>
          <w:szCs w:val="22"/>
        </w:rPr>
        <w:t>構區域產業發展藍圖，活絡地區重點產業。</w:t>
      </w:r>
    </w:p>
    <w:p w14:paraId="0B0DEF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105</w:t>
      </w:r>
      <w:r>
        <w:rPr>
          <w:rFonts w:eastAsia="標楷體"/>
          <w:spacing w:val="4"/>
          <w:kern w:val="0"/>
          <w:sz w:val="28"/>
          <w:szCs w:val="22"/>
        </w:rPr>
        <w:t>年新興產業</w:t>
      </w:r>
      <w:r>
        <w:rPr>
          <w:rFonts w:ascii="標楷體" w:eastAsia="標楷體" w:hAnsi="標楷體"/>
          <w:spacing w:val="4"/>
          <w:kern w:val="0"/>
          <w:sz w:val="28"/>
          <w:szCs w:val="22"/>
        </w:rPr>
        <w:t>(</w:t>
      </w:r>
      <w:r>
        <w:rPr>
          <w:rFonts w:eastAsia="標楷體"/>
          <w:spacing w:val="4"/>
          <w:kern w:val="0"/>
          <w:sz w:val="28"/>
          <w:szCs w:val="22"/>
        </w:rPr>
        <w:t>包括智慧生活、綠能、生技、智慧電動車、車輛電子及寬頻通訊業等</w:t>
      </w:r>
      <w:r>
        <w:rPr>
          <w:rFonts w:ascii="標楷體" w:eastAsia="標楷體" w:hAnsi="標楷體"/>
          <w:spacing w:val="4"/>
          <w:kern w:val="0"/>
          <w:sz w:val="28"/>
          <w:szCs w:val="22"/>
        </w:rPr>
        <w:t>)占</w:t>
      </w:r>
      <w:r>
        <w:rPr>
          <w:rFonts w:eastAsia="標楷體"/>
          <w:spacing w:val="4"/>
          <w:kern w:val="0"/>
          <w:sz w:val="28"/>
          <w:szCs w:val="22"/>
        </w:rPr>
        <w:t>整體製造業實質產值比率，由</w:t>
      </w:r>
      <w:r>
        <w:rPr>
          <w:rFonts w:eastAsia="標楷體"/>
          <w:spacing w:val="4"/>
          <w:kern w:val="0"/>
          <w:sz w:val="28"/>
          <w:szCs w:val="22"/>
        </w:rPr>
        <w:t>102</w:t>
      </w:r>
      <w:r>
        <w:rPr>
          <w:rFonts w:eastAsia="標楷體"/>
          <w:spacing w:val="4"/>
          <w:kern w:val="0"/>
          <w:sz w:val="28"/>
          <w:szCs w:val="22"/>
        </w:rPr>
        <w:t>年的</w:t>
      </w:r>
      <w:r>
        <w:rPr>
          <w:rFonts w:eastAsia="標楷體"/>
          <w:spacing w:val="4"/>
          <w:kern w:val="0"/>
          <w:sz w:val="28"/>
          <w:szCs w:val="22"/>
        </w:rPr>
        <w:t>10%</w:t>
      </w:r>
      <w:r>
        <w:rPr>
          <w:rFonts w:eastAsia="標楷體"/>
          <w:spacing w:val="4"/>
          <w:kern w:val="0"/>
          <w:sz w:val="28"/>
          <w:szCs w:val="22"/>
        </w:rPr>
        <w:t>增至</w:t>
      </w:r>
      <w:r>
        <w:rPr>
          <w:rFonts w:eastAsia="標楷體"/>
          <w:spacing w:val="4"/>
          <w:kern w:val="0"/>
          <w:sz w:val="28"/>
          <w:szCs w:val="22"/>
        </w:rPr>
        <w:t>17%</w:t>
      </w:r>
      <w:r>
        <w:rPr>
          <w:rFonts w:eastAsia="標楷體"/>
          <w:spacing w:val="4"/>
          <w:kern w:val="0"/>
          <w:sz w:val="28"/>
          <w:szCs w:val="22"/>
        </w:rPr>
        <w:t>。</w:t>
      </w:r>
    </w:p>
    <w:p w14:paraId="30989646"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68C9B90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促進投資，擴大內需</w:t>
      </w:r>
    </w:p>
    <w:p w14:paraId="1DCBDA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kern w:val="0"/>
          <w:sz w:val="28"/>
          <w:szCs w:val="26"/>
        </w:rPr>
        <w:t>塑造優質之投資經營環境，吸引民間投資加碼，強化策略性招商活動，提供整合平臺與政府支持，促進新興產業群聚發展。</w:t>
      </w:r>
    </w:p>
    <w:p w14:paraId="308A004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推動全球招商計畫，擴大吸引國外廠商來臺投資及落實「加</w:t>
      </w:r>
      <w:r>
        <w:rPr>
          <w:rFonts w:eastAsia="標楷體"/>
          <w:spacing w:val="4"/>
          <w:kern w:val="0"/>
          <w:sz w:val="28"/>
          <w:szCs w:val="26"/>
        </w:rPr>
        <w:lastRenderedPageBreak/>
        <w:t>強推動臺商回臺投資方案」，並提供專案、專人、專責全程客製化服務諮詢，強化跨部會協調功能，發揮單一窗口功效。</w:t>
      </w:r>
    </w:p>
    <w:p w14:paraId="3939318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因應產業發展趨勢，適時調整投資相關法規。</w:t>
      </w:r>
    </w:p>
    <w:p w14:paraId="622D04E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加速貿易多元化</w:t>
      </w:r>
    </w:p>
    <w:p w14:paraId="74228A2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加速融入區域整合，協助產業布局全球，積極開拓新興市場商機，同時鞏固已開發國家市場占有率，促使臺灣成為全球企業進出亞太市場最佳門戶。</w:t>
      </w:r>
    </w:p>
    <w:p w14:paraId="6C1AF1C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積極推動洽簽自由貿易協定或經濟合作協定，並維護我國經貿地位及利益。</w:t>
      </w:r>
    </w:p>
    <w:p w14:paraId="60B94F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因應貿易自由化調整支援方案。</w:t>
      </w:r>
    </w:p>
    <w:p w14:paraId="401AB31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強化新興市場資訊與需求之研究調查，遴選領頭廠商帶領其他廠商共同拓展新興市場。</w:t>
      </w:r>
    </w:p>
    <w:p w14:paraId="5B56300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推動傳統產業高值化與特色化</w:t>
      </w:r>
    </w:p>
    <w:p w14:paraId="147C99B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促進基礎產業高值化，發展高附加價值產品。鼓勵汰舊換新，提升能源效率，促進環保及減碳。</w:t>
      </w:r>
    </w:p>
    <w:p w14:paraId="0B21C4E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加強科技的多元應用及創意美學設計加值，帶動傳統產業全面升級，提升傳統產業附加價值。</w:t>
      </w:r>
    </w:p>
    <w:p w14:paraId="298C312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產業鏈結在地文化元素，協助產業走向國際市場。</w:t>
      </w:r>
    </w:p>
    <w:p w14:paraId="02459CF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推動製造業服務化與綠色化</w:t>
      </w:r>
    </w:p>
    <w:p w14:paraId="43A2E79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協助國內製造型企業投資於研發、創新、品牌、通路等活動，促進製造業延伸發展具服務特性之商業模式，開拓新興領域，發展跨領域整合產品與服務。</w:t>
      </w:r>
    </w:p>
    <w:p w14:paraId="5B9ACF5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促進綠色產業發展，強化產品生態化設計，建構產業清潔生產價值鏈，推廣綠色工廠，發展綠能設備產業與環保節能產業，以創造綠色成長願景。</w:t>
      </w:r>
    </w:p>
    <w:p w14:paraId="5D1029E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提升關鍵產品系統整合與服務能量，厚植價值鏈軟實力，打造體驗經濟基地。</w:t>
      </w:r>
    </w:p>
    <w:p w14:paraId="50241D5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推動服務業科技化與國際化</w:t>
      </w:r>
    </w:p>
    <w:p w14:paraId="14877D9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強化智慧財產權保護與產學技術移轉；進行相關法規調適，</w:t>
      </w:r>
      <w:r>
        <w:rPr>
          <w:rFonts w:eastAsia="標楷體"/>
          <w:spacing w:val="4"/>
          <w:kern w:val="0"/>
          <w:sz w:val="28"/>
          <w:szCs w:val="26"/>
        </w:rPr>
        <w:lastRenderedPageBreak/>
        <w:t>鼓勵商業研發創新活動，提升服務業競爭力。</w:t>
      </w:r>
    </w:p>
    <w:p w14:paraId="2CE8ABB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整備法規國際接軌，推動國際合作；加強國內服務品質認證，提升臺灣整體服務形象；結合科技應用與創新，提升跨境經營效率，積極協助業者拓展全球服務市場。</w:t>
      </w:r>
    </w:p>
    <w:p w14:paraId="750F8FD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延攬培育多元人才，協助業者提升生產力及服務品質；積極開發國內潛在需求，協助業者提供創新、差異化服務；拓展國際委外服務市場，吸引外國人來臺消費，提升臺灣服務品牌國際形象。</w:t>
      </w:r>
    </w:p>
    <w:p w14:paraId="710E5CE8" w14:textId="77777777" w:rsidR="00052596" w:rsidRDefault="00000000">
      <w:pPr>
        <w:tabs>
          <w:tab w:val="left" w:pos="960"/>
          <w:tab w:val="left" w:pos="1920"/>
          <w:tab w:val="left" w:pos="288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推動傳統產業維新方案</w:t>
      </w:r>
    </w:p>
    <w:p w14:paraId="4F0F31D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提升傳統產業競爭力，將過去具生產利基的產業，注入工業設計、環保綠能、文創及資通訊等元素，提升傳統產業附加價值，展現傳統產業新風貌。</w:t>
      </w:r>
    </w:p>
    <w:p w14:paraId="14F7947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盤點各部會執行之傳產措施，建立定期管控進度及評估績效機制，協助傳統產業開創新的產品生命週期，建構上、中、下游完整供應鏈，並增加就業機會。</w:t>
      </w:r>
    </w:p>
    <w:p w14:paraId="79077C2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w:t>
      </w:r>
      <w:r>
        <w:rPr>
          <w:rFonts w:eastAsia="標楷體"/>
          <w:spacing w:val="4"/>
          <w:kern w:val="0"/>
          <w:sz w:val="28"/>
          <w:szCs w:val="26"/>
        </w:rPr>
        <w:t>5</w:t>
      </w:r>
      <w:r>
        <w:rPr>
          <w:rFonts w:eastAsia="標楷體"/>
          <w:spacing w:val="4"/>
          <w:kern w:val="0"/>
          <w:sz w:val="28"/>
          <w:szCs w:val="26"/>
        </w:rPr>
        <w:t>年</w:t>
      </w:r>
      <w:r>
        <w:rPr>
          <w:rFonts w:eastAsia="標楷體"/>
          <w:spacing w:val="4"/>
          <w:kern w:val="0"/>
          <w:sz w:val="28"/>
          <w:szCs w:val="26"/>
        </w:rPr>
        <w:t>50</w:t>
      </w:r>
      <w:r>
        <w:rPr>
          <w:rFonts w:eastAsia="標楷體"/>
          <w:spacing w:val="4"/>
          <w:kern w:val="0"/>
          <w:sz w:val="28"/>
          <w:szCs w:val="26"/>
        </w:rPr>
        <w:t>項傳統產業維新計畫，期透過「驅動價值創新」、「建置維新環境」、「設置協調機制」及「提升市場需求」，達到發展</w:t>
      </w:r>
      <w:r>
        <w:rPr>
          <w:rFonts w:eastAsia="標楷體"/>
          <w:spacing w:val="4"/>
          <w:kern w:val="0"/>
          <w:sz w:val="28"/>
          <w:szCs w:val="26"/>
        </w:rPr>
        <w:t>5</w:t>
      </w:r>
      <w:r>
        <w:rPr>
          <w:rFonts w:eastAsia="標楷體"/>
          <w:spacing w:val="4"/>
          <w:kern w:val="0"/>
          <w:sz w:val="28"/>
          <w:szCs w:val="26"/>
        </w:rPr>
        <w:t>個國際品牌、新增就業人數</w:t>
      </w:r>
      <w:r>
        <w:rPr>
          <w:rFonts w:eastAsia="標楷體"/>
          <w:spacing w:val="4"/>
          <w:kern w:val="0"/>
          <w:sz w:val="28"/>
          <w:szCs w:val="26"/>
        </w:rPr>
        <w:t>2.5</w:t>
      </w:r>
      <w:r>
        <w:rPr>
          <w:rFonts w:eastAsia="標楷體"/>
          <w:spacing w:val="4"/>
          <w:kern w:val="0"/>
          <w:sz w:val="28"/>
          <w:szCs w:val="26"/>
        </w:rPr>
        <w:t>萬人、帶動出口金額累計增加</w:t>
      </w:r>
      <w:r>
        <w:rPr>
          <w:rFonts w:eastAsia="標楷體"/>
          <w:spacing w:val="4"/>
          <w:kern w:val="0"/>
          <w:sz w:val="28"/>
          <w:szCs w:val="26"/>
        </w:rPr>
        <w:t>2,000</w:t>
      </w:r>
      <w:r>
        <w:rPr>
          <w:rFonts w:eastAsia="標楷體"/>
          <w:spacing w:val="4"/>
          <w:kern w:val="0"/>
          <w:sz w:val="28"/>
          <w:szCs w:val="26"/>
        </w:rPr>
        <w:t>億元，促進民間投資</w:t>
      </w:r>
      <w:r>
        <w:rPr>
          <w:rFonts w:eastAsia="標楷體"/>
          <w:spacing w:val="4"/>
          <w:kern w:val="0"/>
          <w:sz w:val="28"/>
          <w:szCs w:val="26"/>
        </w:rPr>
        <w:t>500</w:t>
      </w:r>
      <w:r>
        <w:rPr>
          <w:rFonts w:eastAsia="標楷體"/>
          <w:spacing w:val="4"/>
          <w:kern w:val="0"/>
          <w:sz w:val="28"/>
          <w:szCs w:val="26"/>
        </w:rPr>
        <w:t>億元等目標。</w:t>
      </w:r>
    </w:p>
    <w:p w14:paraId="2F321B9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(七)</w:t>
      </w:r>
      <w:r>
        <w:rPr>
          <w:rFonts w:eastAsia="標楷體"/>
          <w:spacing w:val="4"/>
          <w:kern w:val="0"/>
          <w:sz w:val="28"/>
          <w:szCs w:val="22"/>
        </w:rPr>
        <w:t>推動中堅企業躍升計畫</w:t>
      </w:r>
    </w:p>
    <w:p w14:paraId="30583CD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培育具適當規模，基礎技術紮實，且在特定領域具有技術獨特性及關鍵性、具高度國際市場競爭力，並以國內為主要經營基地之「中堅企業」。</w:t>
      </w:r>
      <w:r>
        <w:rPr>
          <w:rFonts w:eastAsia="標楷體"/>
          <w:spacing w:val="4"/>
          <w:kern w:val="0"/>
          <w:sz w:val="28"/>
          <w:szCs w:val="26"/>
        </w:rPr>
        <w:t>101</w:t>
      </w:r>
      <w:r>
        <w:rPr>
          <w:rFonts w:eastAsia="標楷體"/>
          <w:spacing w:val="4"/>
          <w:kern w:val="0"/>
          <w:sz w:val="28"/>
          <w:szCs w:val="26"/>
        </w:rPr>
        <w:t>至</w:t>
      </w:r>
      <w:r>
        <w:rPr>
          <w:rFonts w:eastAsia="標楷體"/>
          <w:spacing w:val="4"/>
          <w:kern w:val="0"/>
          <w:sz w:val="28"/>
          <w:szCs w:val="26"/>
        </w:rPr>
        <w:t>103</w:t>
      </w:r>
      <w:r>
        <w:rPr>
          <w:rFonts w:eastAsia="標楷體"/>
          <w:spacing w:val="4"/>
          <w:kern w:val="0"/>
          <w:sz w:val="28"/>
          <w:szCs w:val="26"/>
        </w:rPr>
        <w:t>年推動目標包括：</w:t>
      </w:r>
      <w:r>
        <w:rPr>
          <w:rFonts w:eastAsia="標楷體"/>
          <w:spacing w:val="4"/>
          <w:kern w:val="0"/>
          <w:sz w:val="28"/>
          <w:szCs w:val="26"/>
        </w:rPr>
        <w:t>3</w:t>
      </w:r>
      <w:r>
        <w:rPr>
          <w:rFonts w:eastAsia="標楷體"/>
          <w:spacing w:val="4"/>
          <w:kern w:val="0"/>
          <w:sz w:val="28"/>
          <w:szCs w:val="26"/>
        </w:rPr>
        <w:t>年重點輔導約</w:t>
      </w:r>
      <w:r>
        <w:rPr>
          <w:rFonts w:eastAsia="標楷體"/>
          <w:spacing w:val="4"/>
          <w:kern w:val="0"/>
          <w:sz w:val="28"/>
          <w:szCs w:val="26"/>
        </w:rPr>
        <w:t>150</w:t>
      </w:r>
      <w:r>
        <w:rPr>
          <w:rFonts w:eastAsia="標楷體"/>
          <w:spacing w:val="4"/>
          <w:kern w:val="0"/>
          <w:sz w:val="28"/>
          <w:szCs w:val="26"/>
        </w:rPr>
        <w:t>家以上具潛力之中小型企業群；</w:t>
      </w:r>
      <w:r>
        <w:rPr>
          <w:rFonts w:eastAsia="標楷體"/>
          <w:spacing w:val="4"/>
          <w:kern w:val="0"/>
          <w:sz w:val="28"/>
          <w:szCs w:val="26"/>
        </w:rPr>
        <w:t>3</w:t>
      </w:r>
      <w:r>
        <w:rPr>
          <w:rFonts w:eastAsia="標楷體"/>
          <w:spacing w:val="4"/>
          <w:kern w:val="0"/>
          <w:sz w:val="28"/>
          <w:szCs w:val="26"/>
        </w:rPr>
        <w:t>年內表彰約</w:t>
      </w:r>
      <w:r>
        <w:rPr>
          <w:rFonts w:eastAsia="標楷體"/>
          <w:spacing w:val="4"/>
          <w:kern w:val="0"/>
          <w:sz w:val="28"/>
          <w:szCs w:val="26"/>
        </w:rPr>
        <w:t>30</w:t>
      </w:r>
      <w:r>
        <w:rPr>
          <w:rFonts w:eastAsia="標楷體"/>
          <w:spacing w:val="4"/>
          <w:kern w:val="0"/>
          <w:sz w:val="28"/>
          <w:szCs w:val="26"/>
        </w:rPr>
        <w:t>家卓越中堅企業；</w:t>
      </w:r>
      <w:r>
        <w:rPr>
          <w:rFonts w:eastAsia="標楷體"/>
          <w:spacing w:val="4"/>
          <w:kern w:val="0"/>
          <w:sz w:val="28"/>
          <w:szCs w:val="26"/>
        </w:rPr>
        <w:t>3</w:t>
      </w:r>
      <w:r>
        <w:rPr>
          <w:rFonts w:eastAsia="標楷體"/>
          <w:spacing w:val="4"/>
          <w:kern w:val="0"/>
          <w:sz w:val="28"/>
          <w:szCs w:val="26"/>
        </w:rPr>
        <w:t>年內帶動相關投資</w:t>
      </w:r>
      <w:r>
        <w:rPr>
          <w:rFonts w:eastAsia="標楷體"/>
          <w:spacing w:val="4"/>
          <w:kern w:val="0"/>
          <w:sz w:val="28"/>
          <w:szCs w:val="26"/>
        </w:rPr>
        <w:t>1</w:t>
      </w:r>
      <w:r>
        <w:rPr>
          <w:rFonts w:eastAsia="標楷體"/>
          <w:spacing w:val="4"/>
          <w:kern w:val="0"/>
          <w:sz w:val="28"/>
          <w:szCs w:val="26"/>
        </w:rPr>
        <w:t>千億元；</w:t>
      </w:r>
      <w:r>
        <w:rPr>
          <w:rFonts w:eastAsia="標楷體"/>
          <w:spacing w:val="4"/>
          <w:kern w:val="0"/>
          <w:sz w:val="28"/>
          <w:szCs w:val="26"/>
        </w:rPr>
        <w:t>3</w:t>
      </w:r>
      <w:r>
        <w:rPr>
          <w:rFonts w:eastAsia="標楷體"/>
          <w:spacing w:val="4"/>
          <w:kern w:val="0"/>
          <w:sz w:val="28"/>
          <w:szCs w:val="26"/>
        </w:rPr>
        <w:t>年內創造</w:t>
      </w:r>
      <w:r>
        <w:rPr>
          <w:rFonts w:eastAsia="標楷體"/>
          <w:spacing w:val="4"/>
          <w:kern w:val="0"/>
          <w:sz w:val="28"/>
          <w:szCs w:val="26"/>
        </w:rPr>
        <w:t>1</w:t>
      </w:r>
      <w:r>
        <w:rPr>
          <w:rFonts w:eastAsia="標楷體"/>
          <w:spacing w:val="4"/>
          <w:kern w:val="0"/>
          <w:sz w:val="28"/>
          <w:szCs w:val="26"/>
        </w:rPr>
        <w:t>萬人就業機會。</w:t>
      </w:r>
    </w:p>
    <w:p w14:paraId="4423535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從「建基盤」、「助成長」與「選菁英」三面向策略，推動中堅企業躍升，提升中小企業科技資訊應用能力，促進中小企業升級轉型，強化臺灣廠商在全球產業的關鍵地位。</w:t>
      </w:r>
    </w:p>
    <w:p w14:paraId="1A41B3E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lastRenderedPageBreak/>
        <w:t>(八)</w:t>
      </w:r>
      <w:r>
        <w:rPr>
          <w:rFonts w:eastAsia="標楷體"/>
          <w:spacing w:val="4"/>
          <w:kern w:val="0"/>
          <w:sz w:val="28"/>
          <w:szCs w:val="22"/>
        </w:rPr>
        <w:t>推動數位匯流，發展數位經濟</w:t>
      </w:r>
    </w:p>
    <w:p w14:paraId="65A0A48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調整管制架構，營造通訊傳播產業匯流環境。</w:t>
      </w:r>
    </w:p>
    <w:p w14:paraId="5ED58F0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以數位平臺促進軟體加值、智慧終端、雲端服務等相關產業，提升競爭力。</w:t>
      </w:r>
    </w:p>
    <w:p w14:paraId="41DE2A7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(九)</w:t>
      </w:r>
      <w:r>
        <w:rPr>
          <w:rFonts w:eastAsia="標楷體"/>
          <w:spacing w:val="4"/>
          <w:kern w:val="0"/>
          <w:sz w:val="28"/>
          <w:szCs w:val="22"/>
        </w:rPr>
        <w:t>區域產業適性發展</w:t>
      </w:r>
    </w:p>
    <w:p w14:paraId="0310B07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持續推動「產業有家、家有產業」計畫，引導投資六大新興產</w:t>
      </w:r>
      <w:r>
        <w:rPr>
          <w:rFonts w:eastAsia="標楷體"/>
          <w:spacing w:val="8"/>
          <w:kern w:val="0"/>
          <w:sz w:val="28"/>
          <w:szCs w:val="26"/>
        </w:rPr>
        <w:t>業、四大智慧型產業、十大重點服務業，促進</w:t>
      </w:r>
      <w:r>
        <w:rPr>
          <w:rFonts w:eastAsia="標楷體"/>
          <w:spacing w:val="4"/>
          <w:kern w:val="0"/>
          <w:sz w:val="28"/>
          <w:szCs w:val="26"/>
        </w:rPr>
        <w:t>區域平衡發展。</w:t>
      </w:r>
    </w:p>
    <w:p w14:paraId="324D86E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結合產、學、研與推動單位，提出符合地區發展之重點及新興產業規劃與整合推動方案。</w:t>
      </w:r>
    </w:p>
    <w:p w14:paraId="633D8AC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(十)</w:t>
      </w:r>
      <w:r>
        <w:rPr>
          <w:rFonts w:eastAsia="標楷體"/>
          <w:spacing w:val="4"/>
          <w:kern w:val="0"/>
          <w:sz w:val="28"/>
          <w:szCs w:val="22"/>
        </w:rPr>
        <w:t>配合產業結構調整，適時檢討修正相關法規</w:t>
      </w:r>
    </w:p>
    <w:p w14:paraId="4B013DD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建立中央與地方協調機制，增修經濟結構調整相關法令。</w:t>
      </w:r>
    </w:p>
    <w:p w14:paraId="09AD791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配合產業升級，加速法規鬆綁</w:t>
      </w:r>
    </w:p>
    <w:p w14:paraId="5F0BD62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服務業：持續協調推動服務業法規鬆綁，並與國際接軌，政策思維由管制朝向管制與發展並重。</w:t>
      </w:r>
    </w:p>
    <w:p w14:paraId="64236BB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工業：因應國際產業發展趨勢與挑戰，適時檢討修正相關法規，促進產業全方位創新發展，提供具競爭力的產業發展環境。</w:t>
      </w:r>
    </w:p>
    <w:p w14:paraId="3DE8F5C5"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D2964AE"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伍、促進就業</w:t>
      </w:r>
    </w:p>
    <w:p w14:paraId="28082015"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AC39A4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firstLine="576"/>
        <w:jc w:val="both"/>
        <w:textAlignment w:val="center"/>
      </w:pPr>
      <w:r>
        <w:rPr>
          <w:rFonts w:eastAsia="標楷體"/>
          <w:spacing w:val="4"/>
          <w:kern w:val="0"/>
          <w:sz w:val="28"/>
          <w:szCs w:val="26"/>
        </w:rPr>
        <w:t>就業是提高生產力、提升生活水準與增強社會凝聚力的關鍵要素。</w:t>
      </w:r>
      <w:r>
        <w:rPr>
          <w:rFonts w:eastAsia="標楷體"/>
          <w:spacing w:val="4"/>
          <w:kern w:val="0"/>
          <w:sz w:val="28"/>
          <w:szCs w:val="26"/>
        </w:rPr>
        <w:t>100</w:t>
      </w:r>
      <w:r>
        <w:rPr>
          <w:rFonts w:eastAsia="標楷體"/>
          <w:spacing w:val="4"/>
          <w:kern w:val="0"/>
          <w:sz w:val="28"/>
          <w:szCs w:val="26"/>
        </w:rPr>
        <w:t>年我國</w:t>
      </w:r>
      <w:r>
        <w:rPr>
          <w:rFonts w:eastAsia="標楷體"/>
          <w:spacing w:val="4"/>
          <w:kern w:val="0"/>
          <w:sz w:val="28"/>
          <w:szCs w:val="26"/>
        </w:rPr>
        <w:t>15</w:t>
      </w:r>
      <w:r>
        <w:rPr>
          <w:rFonts w:eastAsia="標楷體"/>
          <w:spacing w:val="4"/>
          <w:kern w:val="0"/>
          <w:sz w:val="28"/>
          <w:szCs w:val="26"/>
        </w:rPr>
        <w:t>至</w:t>
      </w:r>
      <w:r>
        <w:rPr>
          <w:rFonts w:eastAsia="標楷體"/>
          <w:spacing w:val="4"/>
          <w:kern w:val="0"/>
          <w:sz w:val="28"/>
          <w:szCs w:val="26"/>
        </w:rPr>
        <w:t>64</w:t>
      </w:r>
      <w:r>
        <w:rPr>
          <w:rFonts w:eastAsia="標楷體"/>
          <w:spacing w:val="4"/>
          <w:kern w:val="0"/>
          <w:sz w:val="28"/>
          <w:szCs w:val="26"/>
        </w:rPr>
        <w:t>歲人口就業率由</w:t>
      </w:r>
      <w:r>
        <w:rPr>
          <w:rFonts w:eastAsia="標楷體"/>
          <w:spacing w:val="4"/>
          <w:kern w:val="0"/>
          <w:sz w:val="28"/>
          <w:szCs w:val="26"/>
        </w:rPr>
        <w:t>90</w:t>
      </w:r>
      <w:r>
        <w:rPr>
          <w:rFonts w:eastAsia="標楷體"/>
          <w:spacing w:val="4"/>
          <w:kern w:val="0"/>
          <w:sz w:val="28"/>
          <w:szCs w:val="26"/>
        </w:rPr>
        <w:t>年</w:t>
      </w:r>
      <w:r>
        <w:rPr>
          <w:rFonts w:eastAsia="標楷體"/>
          <w:spacing w:val="4"/>
          <w:kern w:val="0"/>
          <w:sz w:val="28"/>
          <w:szCs w:val="26"/>
        </w:rPr>
        <w:t>60.6%</w:t>
      </w:r>
      <w:r>
        <w:rPr>
          <w:rFonts w:eastAsia="標楷體"/>
          <w:spacing w:val="4"/>
          <w:kern w:val="0"/>
          <w:sz w:val="28"/>
          <w:szCs w:val="26"/>
        </w:rPr>
        <w:t>增至</w:t>
      </w:r>
      <w:r>
        <w:rPr>
          <w:rFonts w:eastAsia="標楷體"/>
          <w:spacing w:val="4"/>
          <w:kern w:val="0"/>
          <w:sz w:val="28"/>
          <w:szCs w:val="26"/>
        </w:rPr>
        <w:t>62.7%</w:t>
      </w:r>
      <w:r>
        <w:rPr>
          <w:rFonts w:eastAsia="標楷體"/>
          <w:spacing w:val="4"/>
          <w:kern w:val="0"/>
          <w:sz w:val="28"/>
          <w:szCs w:val="26"/>
        </w:rPr>
        <w:t>，提高</w:t>
      </w:r>
      <w:r>
        <w:rPr>
          <w:rFonts w:eastAsia="標楷體"/>
          <w:spacing w:val="4"/>
          <w:kern w:val="0"/>
          <w:sz w:val="28"/>
          <w:szCs w:val="26"/>
        </w:rPr>
        <w:t>2.1</w:t>
      </w:r>
      <w:r>
        <w:rPr>
          <w:rFonts w:eastAsia="標楷體"/>
          <w:spacing w:val="4"/>
          <w:kern w:val="0"/>
          <w:sz w:val="28"/>
          <w:szCs w:val="26"/>
        </w:rPr>
        <w:t>個百分點，惟仍低於</w:t>
      </w:r>
      <w:r>
        <w:rPr>
          <w:rFonts w:eastAsia="標楷體"/>
          <w:spacing w:val="4"/>
          <w:kern w:val="0"/>
          <w:sz w:val="28"/>
          <w:szCs w:val="26"/>
        </w:rPr>
        <w:t>OECD</w:t>
      </w:r>
      <w:r>
        <w:rPr>
          <w:rFonts w:eastAsia="標楷體"/>
          <w:spacing w:val="4"/>
          <w:kern w:val="0"/>
          <w:sz w:val="28"/>
          <w:szCs w:val="26"/>
        </w:rPr>
        <w:t>及其夥伴國</w:t>
      </w:r>
      <w:r>
        <w:rPr>
          <w:rFonts w:ascii="標楷體" w:eastAsia="標楷體" w:hAnsi="標楷體"/>
          <w:spacing w:val="4"/>
          <w:kern w:val="0"/>
          <w:sz w:val="28"/>
          <w:szCs w:val="26"/>
        </w:rPr>
        <w:t>(</w:t>
      </w:r>
      <w:r>
        <w:rPr>
          <w:rFonts w:eastAsia="標楷體"/>
          <w:spacing w:val="4"/>
          <w:kern w:val="0"/>
          <w:sz w:val="28"/>
          <w:szCs w:val="26"/>
        </w:rPr>
        <w:t>巴西、俄羅斯</w:t>
      </w:r>
      <w:r>
        <w:rPr>
          <w:rFonts w:ascii="標楷體" w:eastAsia="標楷體" w:hAnsi="標楷體"/>
          <w:spacing w:val="4"/>
          <w:kern w:val="0"/>
          <w:sz w:val="28"/>
          <w:szCs w:val="26"/>
        </w:rPr>
        <w:t>)</w:t>
      </w:r>
      <w:r>
        <w:rPr>
          <w:rFonts w:eastAsia="標楷體"/>
          <w:spacing w:val="4"/>
          <w:kern w:val="0"/>
          <w:sz w:val="28"/>
          <w:szCs w:val="26"/>
        </w:rPr>
        <w:t>中位數</w:t>
      </w:r>
      <w:r>
        <w:rPr>
          <w:rFonts w:ascii="標楷體" w:eastAsia="標楷體" w:hAnsi="標楷體"/>
          <w:spacing w:val="4"/>
          <w:kern w:val="0"/>
          <w:sz w:val="28"/>
          <w:szCs w:val="26"/>
        </w:rPr>
        <w:t>(</w:t>
      </w:r>
      <w:r>
        <w:rPr>
          <w:rFonts w:eastAsia="標楷體"/>
          <w:spacing w:val="4"/>
          <w:kern w:val="0"/>
          <w:sz w:val="28"/>
          <w:szCs w:val="26"/>
        </w:rPr>
        <w:t>2010</w:t>
      </w:r>
      <w:r>
        <w:rPr>
          <w:rFonts w:eastAsia="標楷體"/>
          <w:spacing w:val="4"/>
          <w:kern w:val="0"/>
          <w:sz w:val="28"/>
          <w:szCs w:val="26"/>
        </w:rPr>
        <w:t>年為</w:t>
      </w:r>
      <w:r>
        <w:rPr>
          <w:rFonts w:eastAsia="標楷體"/>
          <w:spacing w:val="4"/>
          <w:kern w:val="0"/>
          <w:sz w:val="28"/>
          <w:szCs w:val="26"/>
        </w:rPr>
        <w:t>65.9%</w:t>
      </w:r>
      <w:r>
        <w:rPr>
          <w:rFonts w:ascii="標楷體" w:eastAsia="標楷體" w:hAnsi="標楷體"/>
          <w:spacing w:val="4"/>
          <w:kern w:val="0"/>
          <w:sz w:val="28"/>
          <w:szCs w:val="26"/>
        </w:rPr>
        <w:t>)</w:t>
      </w:r>
      <w:r>
        <w:rPr>
          <w:rFonts w:eastAsia="標楷體"/>
          <w:spacing w:val="4"/>
          <w:kern w:val="0"/>
          <w:sz w:val="28"/>
          <w:szCs w:val="26"/>
        </w:rPr>
        <w:t>。為提升我國就業率，政府將積極活絡勞動市場機制，致力促進人力資源有效運用，創造及穩定勞工就業。此外，為因應我國就業市場情勢變遷，「行政院促進就業專案小組」及「促進就業推動工作小組」將協調督導各項促進就業相關計畫之推動，並結合民間資源共同創造就業機會。</w:t>
      </w:r>
    </w:p>
    <w:p w14:paraId="1D03393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1FB5CFA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lastRenderedPageBreak/>
        <w:t>(一)</w:t>
      </w:r>
      <w:r>
        <w:rPr>
          <w:rFonts w:eastAsia="標楷體"/>
          <w:spacing w:val="4"/>
          <w:kern w:val="0"/>
          <w:sz w:val="28"/>
          <w:szCs w:val="22"/>
        </w:rPr>
        <w:t>105</w:t>
      </w:r>
      <w:r>
        <w:rPr>
          <w:rFonts w:ascii="標楷體" w:eastAsia="標楷體" w:hAnsi="標楷體"/>
          <w:spacing w:val="4"/>
          <w:kern w:val="0"/>
          <w:sz w:val="28"/>
          <w:szCs w:val="22"/>
        </w:rPr>
        <w:t>年勞動力參與率提高至</w:t>
      </w:r>
      <w:r>
        <w:rPr>
          <w:rFonts w:eastAsia="標楷體"/>
          <w:spacing w:val="4"/>
          <w:kern w:val="0"/>
          <w:sz w:val="28"/>
          <w:szCs w:val="22"/>
        </w:rPr>
        <w:t>58.7%</w:t>
      </w:r>
      <w:r>
        <w:rPr>
          <w:rFonts w:eastAsia="標楷體"/>
          <w:spacing w:val="4"/>
          <w:kern w:val="0"/>
          <w:sz w:val="28"/>
          <w:szCs w:val="22"/>
        </w:rPr>
        <w:t>，婦女勞動力參與率</w:t>
      </w:r>
      <w:r>
        <w:rPr>
          <w:rFonts w:eastAsia="標楷體"/>
          <w:spacing w:val="4"/>
          <w:kern w:val="0"/>
          <w:sz w:val="28"/>
          <w:szCs w:val="22"/>
        </w:rPr>
        <w:t>51.0%</w:t>
      </w:r>
      <w:r>
        <w:rPr>
          <w:rFonts w:eastAsia="標楷體"/>
          <w:spacing w:val="4"/>
          <w:kern w:val="0"/>
          <w:sz w:val="28"/>
          <w:szCs w:val="22"/>
        </w:rPr>
        <w:t>。</w:t>
      </w:r>
    </w:p>
    <w:p w14:paraId="1CEB7AF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(二)定期檢討基本工資，提高勞工薪資。</w:t>
      </w:r>
    </w:p>
    <w:p w14:paraId="10D8BB3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(三)縮短法定工時，配套推動週休二日制。</w:t>
      </w:r>
    </w:p>
    <w:p w14:paraId="6592AE8D"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473F504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促進民間投資，開發在地就業機會</w:t>
      </w:r>
    </w:p>
    <w:p w14:paraId="62F8AE8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加速推動全球招商</w:t>
      </w:r>
    </w:p>
    <w:p w14:paraId="794D5ED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rPr>
        <w:t>(</w:t>
      </w:r>
      <w:r>
        <w:rPr>
          <w:rFonts w:eastAsia="標楷體"/>
          <w:spacing w:val="4"/>
          <w:kern w:val="0"/>
          <w:sz w:val="28"/>
        </w:rPr>
        <w:t>1</w:t>
      </w:r>
      <w:r>
        <w:rPr>
          <w:rFonts w:ascii="標楷體" w:eastAsia="標楷體" w:hAnsi="標楷體"/>
          <w:spacing w:val="4"/>
          <w:kern w:val="0"/>
          <w:sz w:val="28"/>
        </w:rPr>
        <w:t>)</w:t>
      </w:r>
      <w:r>
        <w:rPr>
          <w:rFonts w:eastAsia="標楷體"/>
          <w:spacing w:val="4"/>
          <w:kern w:val="0"/>
          <w:sz w:val="28"/>
        </w:rPr>
        <w:t>辦理「全球招商論壇」，開拓產業投資商機，媒合廠商合作；聚焦重點產業，籌組海外招商團，開發案源。</w:t>
      </w:r>
    </w:p>
    <w:p w14:paraId="283C557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rPr>
        <w:t>(</w:t>
      </w:r>
      <w:r>
        <w:rPr>
          <w:rFonts w:eastAsia="標楷體"/>
          <w:spacing w:val="4"/>
          <w:kern w:val="0"/>
          <w:sz w:val="28"/>
        </w:rPr>
        <w:t>2</w:t>
      </w:r>
      <w:r>
        <w:rPr>
          <w:rFonts w:ascii="標楷體" w:eastAsia="標楷體" w:hAnsi="標楷體"/>
          <w:spacing w:val="4"/>
          <w:kern w:val="0"/>
          <w:sz w:val="28"/>
        </w:rPr>
        <w:t>)</w:t>
      </w:r>
      <w:r>
        <w:rPr>
          <w:rFonts w:eastAsia="標楷體"/>
          <w:spacing w:val="4"/>
          <w:kern w:val="0"/>
          <w:sz w:val="28"/>
        </w:rPr>
        <w:t>吸引臺商回臺投資，協助陸商來臺投資，提升國內投資率，增加在地就業機會。</w:t>
      </w:r>
    </w:p>
    <w:p w14:paraId="2DA79DB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0"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產業有家，家有產業」計畫，配合區域產業發展需求，進行區域人力供需評估與配套整合，增加在地就業。選定具投資商機之特定地區發展都市更新，加強引導國內外資金投入都市更新地區，以帶動地區產業發展，促進產業競爭力及提升就業機會。</w:t>
      </w:r>
    </w:p>
    <w:p w14:paraId="1259FCA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70"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推動青年創業啟動金貸款，提供青年事業籌設階段之準備金及開辦費，以建構完整的青年暨事業經營輔導體系；並將在地特色產業列為優予核貸對象，鼓勵青年返鄉創業，增加在地就業機會。</w:t>
      </w:r>
    </w:p>
    <w:p w14:paraId="213F3D1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定期檢討基本工資，保障勞工基本生活</w:t>
      </w:r>
    </w:p>
    <w:p w14:paraId="121820D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定期召開基本工資審議委員會，審慎檢討基本工資，保障勞工基本生活所需。</w:t>
      </w:r>
    </w:p>
    <w:p w14:paraId="42B1488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強化勞資協商與工作場所合作制度</w:t>
      </w:r>
    </w:p>
    <w:p w14:paraId="26391EA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研修工會法、團體協約法及勞資爭議處理法，落實誠實信用協商機制；研修勞資會議實施辦法，落實企業內勞工參與機制。</w:t>
      </w:r>
    </w:p>
    <w:p w14:paraId="7859561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未來</w:t>
      </w:r>
      <w:r>
        <w:rPr>
          <w:rFonts w:ascii="標楷體" w:eastAsia="標楷體" w:hAnsi="標楷體"/>
          <w:spacing w:val="4"/>
          <w:kern w:val="0"/>
          <w:sz w:val="28"/>
          <w:szCs w:val="22"/>
        </w:rPr>
        <w:t>四年</w:t>
      </w:r>
      <w:r>
        <w:rPr>
          <w:rFonts w:eastAsia="標楷體"/>
          <w:spacing w:val="4"/>
          <w:kern w:val="0"/>
          <w:sz w:val="28"/>
          <w:szCs w:val="22"/>
        </w:rPr>
        <w:t>協助新成立工會家數累計</w:t>
      </w:r>
      <w:r>
        <w:rPr>
          <w:rFonts w:eastAsia="標楷體"/>
          <w:spacing w:val="4"/>
          <w:kern w:val="0"/>
          <w:sz w:val="28"/>
          <w:szCs w:val="22"/>
        </w:rPr>
        <w:t>200</w:t>
      </w:r>
      <w:r>
        <w:rPr>
          <w:rFonts w:eastAsia="標楷體"/>
          <w:spacing w:val="4"/>
          <w:kern w:val="0"/>
          <w:sz w:val="28"/>
          <w:szCs w:val="22"/>
        </w:rPr>
        <w:t>家；協助新締結團體協約家數累計</w:t>
      </w:r>
      <w:r>
        <w:rPr>
          <w:rFonts w:eastAsia="標楷體"/>
          <w:spacing w:val="4"/>
          <w:kern w:val="0"/>
          <w:sz w:val="28"/>
          <w:szCs w:val="22"/>
        </w:rPr>
        <w:t>40</w:t>
      </w:r>
      <w:r>
        <w:rPr>
          <w:rFonts w:eastAsia="標楷體"/>
          <w:spacing w:val="4"/>
          <w:kern w:val="0"/>
          <w:sz w:val="28"/>
          <w:szCs w:val="22"/>
        </w:rPr>
        <w:t>家；辦理輔導企業建立內部員工申訴制度研習活動，累計</w:t>
      </w:r>
      <w:r>
        <w:rPr>
          <w:rFonts w:eastAsia="標楷體"/>
          <w:spacing w:val="4"/>
          <w:kern w:val="0"/>
          <w:sz w:val="28"/>
          <w:szCs w:val="22"/>
        </w:rPr>
        <w:t>600</w:t>
      </w:r>
      <w:r>
        <w:rPr>
          <w:rFonts w:eastAsia="標楷體"/>
          <w:spacing w:val="4"/>
          <w:kern w:val="0"/>
          <w:sz w:val="28"/>
          <w:szCs w:val="22"/>
        </w:rPr>
        <w:t>人次參加；輔導</w:t>
      </w:r>
      <w:r>
        <w:rPr>
          <w:rFonts w:eastAsia="標楷體"/>
          <w:spacing w:val="4"/>
          <w:kern w:val="0"/>
          <w:sz w:val="28"/>
          <w:szCs w:val="22"/>
        </w:rPr>
        <w:t>200</w:t>
      </w:r>
      <w:r>
        <w:rPr>
          <w:rFonts w:eastAsia="標楷體"/>
          <w:spacing w:val="4"/>
          <w:kern w:val="0"/>
          <w:sz w:val="28"/>
          <w:szCs w:val="22"/>
        </w:rPr>
        <w:t>家事業單位健全企業內申訴制度。</w:t>
      </w:r>
    </w:p>
    <w:p w14:paraId="16497CE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lastRenderedPageBreak/>
        <w:t>(三)縮短法定工時，檢討勞工休假制度，推動週休二日制</w:t>
      </w:r>
    </w:p>
    <w:p w14:paraId="1C48EF1A"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研議及推動縮短法定正常工時至</w:t>
      </w:r>
      <w:r>
        <w:rPr>
          <w:rFonts w:eastAsia="標楷體"/>
          <w:spacing w:val="4"/>
          <w:kern w:val="0"/>
          <w:sz w:val="28"/>
          <w:szCs w:val="26"/>
        </w:rPr>
        <w:t>40</w:t>
      </w:r>
      <w:r>
        <w:rPr>
          <w:rFonts w:eastAsia="標楷體"/>
          <w:spacing w:val="4"/>
          <w:kern w:val="0"/>
          <w:sz w:val="28"/>
          <w:szCs w:val="26"/>
        </w:rPr>
        <w:t>小時修法事宜，並擬具工時縮短相關配套措施；調整國定紀念假日全國一致。</w:t>
      </w:r>
    </w:p>
    <w:p w14:paraId="35097BB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(四)營造兼顧家庭與工作之友善職場，促進婦女就業</w:t>
      </w:r>
    </w:p>
    <w:p w14:paraId="47DC931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落實工作平等權，獎勵友善職場之企業與機構</w:t>
      </w:r>
    </w:p>
    <w:p w14:paraId="7404CC1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研議整合就業平等相關法制、強化申訴處理機制。</w:t>
      </w:r>
    </w:p>
    <w:p w14:paraId="7716D1F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建置企業托兒資源平臺，辦理企業托兒服務觀摩座談，輔導鼓勵企業辦理托兒服務並推動企業辦理聯合托育。</w:t>
      </w:r>
    </w:p>
    <w:p w14:paraId="4182E14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推動企業員工協助方案，辦理宣導講座、專家入場輔導及入廠輔導，提升職場勞工身心健康。</w:t>
      </w:r>
    </w:p>
    <w:p w14:paraId="550A33B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強化婦女專業培力，促進婦女勞動參與</w:t>
      </w:r>
    </w:p>
    <w:p w14:paraId="036DFCA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推動就業融合計畫，協助特定弱勢婦</w:t>
      </w:r>
      <w:r>
        <w:rPr>
          <w:rFonts w:ascii="標楷體" w:eastAsia="標楷體" w:hAnsi="標楷體"/>
          <w:spacing w:val="4"/>
          <w:kern w:val="0"/>
          <w:sz w:val="28"/>
          <w:szCs w:val="22"/>
        </w:rPr>
        <w:t>女(</w:t>
      </w:r>
      <w:r>
        <w:rPr>
          <w:rFonts w:eastAsia="標楷體"/>
          <w:spacing w:val="4"/>
          <w:kern w:val="0"/>
          <w:sz w:val="28"/>
          <w:szCs w:val="22"/>
        </w:rPr>
        <w:t>二度就業婦女、外籍及大陸地區配偶、家庭暴力及性侵害被害人等</w:t>
      </w:r>
      <w:r>
        <w:rPr>
          <w:rFonts w:ascii="標楷體" w:eastAsia="標楷體" w:hAnsi="標楷體"/>
          <w:spacing w:val="4"/>
          <w:kern w:val="0"/>
          <w:sz w:val="28"/>
          <w:szCs w:val="22"/>
        </w:rPr>
        <w:t>)</w:t>
      </w:r>
      <w:r>
        <w:rPr>
          <w:rFonts w:eastAsia="標楷體"/>
          <w:spacing w:val="4"/>
          <w:kern w:val="0"/>
          <w:sz w:val="28"/>
          <w:szCs w:val="22"/>
        </w:rPr>
        <w:t>就業服務；運用各項津貼補助工具，協助排除就業障礙，促進婦女就業。</w:t>
      </w:r>
    </w:p>
    <w:p w14:paraId="2D821CA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辦理「微型創業鳳凰貸款及創業諮詢輔導服務計畫」，提供創業研習課程、顧問諮詢輔導及低利免保人之創業貸款等協助，營造婦女創業的友善機制，提升其勞動參與，進而以創業促進就業。</w:t>
      </w:r>
    </w:p>
    <w:p w14:paraId="739152C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(五)加強人力資本投資，提升就業力與就業率</w:t>
      </w:r>
    </w:p>
    <w:p w14:paraId="2920C98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強化關鍵人才培訓，培育產業需求人才</w:t>
      </w:r>
    </w:p>
    <w:p w14:paraId="69DEF21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加強產業人才培訓，推動重點產業人才供需調查，掌握短期人才供需的趨勢，並針對供需失衡提出因應之道。持續推動產業人才培訓計畫，配合產業結構優化需求，辦理新知識及技術之在職訓練，提升在職者職能；規劃符合產業需求之專業知識及技術課程，提升求職者就業能力。</w:t>
      </w:r>
    </w:p>
    <w:p w14:paraId="28F9435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w:t>
      </w:r>
      <w:r>
        <w:rPr>
          <w:rFonts w:ascii="標楷體" w:eastAsia="標楷體" w:hAnsi="標楷體"/>
          <w:spacing w:val="4"/>
          <w:kern w:val="0"/>
          <w:sz w:val="28"/>
          <w:szCs w:val="22"/>
        </w:rPr>
        <w:t>「</w:t>
      </w:r>
      <w:r>
        <w:rPr>
          <w:rFonts w:eastAsia="標楷體"/>
          <w:spacing w:val="4"/>
          <w:kern w:val="0"/>
          <w:sz w:val="28"/>
          <w:szCs w:val="22"/>
        </w:rPr>
        <w:t>青年就業讚計畫</w:t>
      </w:r>
      <w:r>
        <w:rPr>
          <w:rFonts w:ascii="標楷體" w:eastAsia="標楷體" w:hAnsi="標楷體"/>
          <w:spacing w:val="4"/>
          <w:kern w:val="0"/>
          <w:sz w:val="28"/>
          <w:szCs w:val="22"/>
        </w:rPr>
        <w:t>」</w:t>
      </w:r>
      <w:r>
        <w:rPr>
          <w:rFonts w:eastAsia="標楷體"/>
          <w:spacing w:val="4"/>
          <w:kern w:val="0"/>
          <w:sz w:val="28"/>
          <w:szCs w:val="22"/>
        </w:rPr>
        <w:t>，針對初次尋職或連續失業</w:t>
      </w:r>
      <w:r>
        <w:rPr>
          <w:rFonts w:eastAsia="標楷體"/>
          <w:spacing w:val="4"/>
          <w:kern w:val="0"/>
          <w:sz w:val="28"/>
          <w:szCs w:val="22"/>
        </w:rPr>
        <w:t>6</w:t>
      </w:r>
      <w:r>
        <w:rPr>
          <w:rFonts w:eastAsia="標楷體"/>
          <w:spacing w:val="4"/>
          <w:kern w:val="0"/>
          <w:sz w:val="28"/>
          <w:szCs w:val="22"/>
        </w:rPr>
        <w:t>個月以上之</w:t>
      </w:r>
      <w:r>
        <w:rPr>
          <w:rFonts w:eastAsia="標楷體"/>
          <w:spacing w:val="4"/>
          <w:kern w:val="0"/>
          <w:sz w:val="28"/>
          <w:szCs w:val="22"/>
        </w:rPr>
        <w:t>18</w:t>
      </w:r>
      <w:r>
        <w:rPr>
          <w:rFonts w:eastAsia="標楷體"/>
          <w:spacing w:val="4"/>
          <w:kern w:val="0"/>
          <w:sz w:val="28"/>
          <w:szCs w:val="22"/>
        </w:rPr>
        <w:t>歲至</w:t>
      </w:r>
      <w:r>
        <w:rPr>
          <w:rFonts w:eastAsia="標楷體"/>
          <w:spacing w:val="4"/>
          <w:kern w:val="0"/>
          <w:sz w:val="28"/>
          <w:szCs w:val="22"/>
        </w:rPr>
        <w:t>29</w:t>
      </w:r>
      <w:r>
        <w:rPr>
          <w:rFonts w:eastAsia="標楷體"/>
          <w:spacing w:val="4"/>
          <w:kern w:val="0"/>
          <w:sz w:val="28"/>
          <w:szCs w:val="22"/>
        </w:rPr>
        <w:t>歲青年，提供</w:t>
      </w:r>
      <w:r>
        <w:rPr>
          <w:rFonts w:eastAsia="標楷體"/>
          <w:spacing w:val="4"/>
          <w:kern w:val="0"/>
          <w:sz w:val="28"/>
          <w:szCs w:val="22"/>
        </w:rPr>
        <w:t>2</w:t>
      </w:r>
      <w:r>
        <w:rPr>
          <w:rFonts w:eastAsia="標楷體"/>
          <w:spacing w:val="4"/>
          <w:kern w:val="0"/>
          <w:sz w:val="28"/>
          <w:szCs w:val="22"/>
        </w:rPr>
        <w:t>年</w:t>
      </w:r>
      <w:r>
        <w:rPr>
          <w:rFonts w:eastAsia="標楷體"/>
          <w:spacing w:val="4"/>
          <w:kern w:val="0"/>
          <w:sz w:val="28"/>
          <w:szCs w:val="22"/>
        </w:rPr>
        <w:t>12</w:t>
      </w:r>
      <w:r>
        <w:rPr>
          <w:rFonts w:eastAsia="標楷體"/>
          <w:spacing w:val="4"/>
          <w:kern w:val="0"/>
          <w:sz w:val="28"/>
          <w:szCs w:val="22"/>
        </w:rPr>
        <w:t>萬元之訓練學習自付額補助，強化專業技能及就業力。</w:t>
      </w:r>
    </w:p>
    <w:p w14:paraId="7D99B0F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整合勞動人力資源網路系統，掌握勞動市場資訊，強化與地方資源連結，落實在地服務；整合技能檢定及創業協助體系，提供勞動者終身職涯服務。於就業網站內提供有意願出國工作之本國勞工至海外就業。</w:t>
      </w:r>
    </w:p>
    <w:p w14:paraId="0C276C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)掌握企業缺工需求，積極主動</w:t>
      </w:r>
      <w:r>
        <w:rPr>
          <w:rFonts w:eastAsia="標楷體"/>
          <w:spacing w:val="4"/>
          <w:kern w:val="0"/>
          <w:sz w:val="28"/>
          <w:szCs w:val="22"/>
        </w:rPr>
        <w:t>協助事業單位補充人力，提供就業博覽會、單一或聯合徵才、線上媒合</w:t>
      </w:r>
      <w:r>
        <w:rPr>
          <w:rFonts w:ascii="標楷體" w:eastAsia="標楷體" w:hAnsi="標楷體"/>
          <w:spacing w:val="4"/>
          <w:kern w:val="0"/>
          <w:sz w:val="28"/>
          <w:szCs w:val="22"/>
        </w:rPr>
        <w:t>及持續推動企業求才速配計畫</w:t>
      </w:r>
      <w:r>
        <w:rPr>
          <w:rFonts w:eastAsia="標楷體"/>
          <w:spacing w:val="4"/>
          <w:kern w:val="0"/>
          <w:sz w:val="28"/>
          <w:szCs w:val="22"/>
        </w:rPr>
        <w:t>等就業媒合服務</w:t>
      </w:r>
      <w:r>
        <w:rPr>
          <w:rFonts w:ascii="標楷體" w:eastAsia="標楷體" w:hAnsi="標楷體"/>
          <w:spacing w:val="4"/>
          <w:kern w:val="0"/>
          <w:sz w:val="28"/>
          <w:szCs w:val="22"/>
        </w:rPr>
        <w:t>。</w:t>
      </w:r>
    </w:p>
    <w:p w14:paraId="5F79F96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提供多元職訓，強化勞工就業競爭力</w:t>
      </w:r>
    </w:p>
    <w:p w14:paraId="6562109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依據產業發展、區域產業特性、勞動市場人力需求及失業者需求，辦理失業者在地化與多元化的職業訓練課程。</w:t>
      </w:r>
    </w:p>
    <w:p w14:paraId="7E23CD8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辦理產業人才投資方案，提供在職勞工多元實務訓練課程並補助訓練費用，鼓勵在職勞工自主學習，累積個人人力資本；協助事業單位辦理員工訓練計畫並補助訓練費用，提升員工專業知能與技能。</w:t>
      </w:r>
    </w:p>
    <w:p w14:paraId="3E903E8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推動</w:t>
      </w:r>
      <w:r>
        <w:rPr>
          <w:rFonts w:ascii="標楷體" w:eastAsia="標楷體" w:hAnsi="標楷體"/>
          <w:spacing w:val="4"/>
          <w:kern w:val="0"/>
          <w:sz w:val="28"/>
          <w:szCs w:val="22"/>
        </w:rPr>
        <w:t>「</w:t>
      </w:r>
      <w:r>
        <w:rPr>
          <w:rFonts w:eastAsia="標楷體"/>
          <w:spacing w:val="4"/>
          <w:kern w:val="0"/>
          <w:sz w:val="28"/>
          <w:szCs w:val="22"/>
        </w:rPr>
        <w:t>雙軌訓練旗艦計畫</w:t>
      </w:r>
      <w:r>
        <w:rPr>
          <w:rFonts w:ascii="標楷體" w:eastAsia="標楷體" w:hAnsi="標楷體"/>
          <w:spacing w:val="4"/>
          <w:kern w:val="0"/>
          <w:sz w:val="28"/>
          <w:szCs w:val="22"/>
        </w:rPr>
        <w:t>」</w:t>
      </w:r>
      <w:r>
        <w:rPr>
          <w:rFonts w:eastAsia="標楷體"/>
          <w:spacing w:val="4"/>
          <w:kern w:val="0"/>
          <w:sz w:val="28"/>
          <w:szCs w:val="22"/>
        </w:rPr>
        <w:t>，提供青少年契合企業需求之職場實習及專業訓練；推動青年創新就業資源平臺計畫，提供就業市場資訊及諮詢服務，協助青年就業。</w:t>
      </w:r>
    </w:p>
    <w:p w14:paraId="3EBBD1B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)未來</w:t>
      </w:r>
      <w:r>
        <w:rPr>
          <w:rFonts w:eastAsia="標楷體"/>
          <w:spacing w:val="4"/>
          <w:kern w:val="0"/>
          <w:sz w:val="28"/>
          <w:szCs w:val="22"/>
        </w:rPr>
        <w:t>四年累計提供職前訓練</w:t>
      </w:r>
      <w:r>
        <w:rPr>
          <w:rFonts w:eastAsia="標楷體"/>
          <w:spacing w:val="4"/>
          <w:kern w:val="0"/>
          <w:sz w:val="28"/>
          <w:szCs w:val="22"/>
        </w:rPr>
        <w:t>20</w:t>
      </w:r>
      <w:r>
        <w:rPr>
          <w:rFonts w:eastAsia="標楷體"/>
          <w:spacing w:val="4"/>
          <w:kern w:val="0"/>
          <w:sz w:val="28"/>
          <w:szCs w:val="22"/>
        </w:rPr>
        <w:t>萬人次，青年職業訓練</w:t>
      </w:r>
      <w:r>
        <w:rPr>
          <w:rFonts w:eastAsia="標楷體"/>
          <w:spacing w:val="4"/>
          <w:kern w:val="0"/>
          <w:sz w:val="28"/>
          <w:szCs w:val="22"/>
        </w:rPr>
        <w:t>8</w:t>
      </w:r>
      <w:r>
        <w:rPr>
          <w:rFonts w:eastAsia="標楷體"/>
          <w:spacing w:val="4"/>
          <w:kern w:val="0"/>
          <w:sz w:val="28"/>
          <w:szCs w:val="22"/>
        </w:rPr>
        <w:t>萬人次，在職訓練服務</w:t>
      </w:r>
      <w:r>
        <w:rPr>
          <w:rFonts w:eastAsia="標楷體"/>
          <w:spacing w:val="4"/>
          <w:kern w:val="0"/>
          <w:sz w:val="28"/>
          <w:szCs w:val="22"/>
        </w:rPr>
        <w:t>26</w:t>
      </w:r>
      <w:r>
        <w:rPr>
          <w:rFonts w:eastAsia="標楷體"/>
          <w:spacing w:val="4"/>
          <w:kern w:val="0"/>
          <w:sz w:val="28"/>
          <w:szCs w:val="22"/>
        </w:rPr>
        <w:t>萬</w:t>
      </w:r>
      <w:r>
        <w:rPr>
          <w:rFonts w:eastAsia="標楷體"/>
          <w:spacing w:val="4"/>
          <w:kern w:val="0"/>
          <w:sz w:val="28"/>
          <w:szCs w:val="22"/>
        </w:rPr>
        <w:t>2</w:t>
      </w:r>
      <w:r>
        <w:rPr>
          <w:rFonts w:eastAsia="標楷體"/>
          <w:spacing w:val="4"/>
          <w:kern w:val="0"/>
          <w:sz w:val="28"/>
          <w:szCs w:val="22"/>
        </w:rPr>
        <w:t>千人次。</w:t>
      </w:r>
    </w:p>
    <w:p w14:paraId="4669C31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提升身心障礙者及特定對象就業能力，協助就業</w:t>
      </w:r>
    </w:p>
    <w:p w14:paraId="626ECA4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推動身心障礙者職業重建服務，建立區域職業重建服務中心，辦理多元化職業訓練及就業服務，協助身心障礙者適性及穩定就業。</w:t>
      </w:r>
    </w:p>
    <w:p w14:paraId="4F53267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6"/>
          <w:kern w:val="0"/>
          <w:sz w:val="28"/>
          <w:szCs w:val="22"/>
        </w:rPr>
        <w:t>推動就業融合計畫，依各類特定對象及弱勢者特殊需求，提供客製化就業服務、開拓職場體驗及多元化就業機會服務。</w:t>
      </w:r>
    </w:p>
    <w:p w14:paraId="43F6814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協助低收戶及中低收入戶透過多元化職業訓練、職場學習及再適應，提高就業能力與機會。</w:t>
      </w:r>
    </w:p>
    <w:p w14:paraId="62CB9FB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ascii="標楷體" w:eastAsia="標楷體" w:hAnsi="標楷體" w:cs="新細明體"/>
          <w:spacing w:val="4"/>
          <w:kern w:val="0"/>
          <w:sz w:val="28"/>
          <w:szCs w:val="28"/>
        </w:rPr>
        <w:t>提供中高齡者職場學習及再適應補助、僱用獎助措施</w:t>
      </w:r>
      <w:r>
        <w:rPr>
          <w:rFonts w:ascii="標楷體" w:eastAsia="標楷體" w:hAnsi="標楷體" w:cs="新細明體"/>
          <w:spacing w:val="4"/>
          <w:kern w:val="0"/>
          <w:sz w:val="28"/>
          <w:szCs w:val="28"/>
        </w:rPr>
        <w:lastRenderedPageBreak/>
        <w:t>等，提高雇主僱用意願，以促進中高齡就業。提供多元職業訓練</w:t>
      </w:r>
      <w:r>
        <w:rPr>
          <w:rFonts w:ascii="標楷體" w:eastAsia="標楷體" w:hAnsi="標楷體" w:cs="新細明體"/>
          <w:bCs/>
          <w:spacing w:val="4"/>
          <w:kern w:val="0"/>
          <w:sz w:val="28"/>
          <w:szCs w:val="28"/>
        </w:rPr>
        <w:t>以及訓練期間生活津貼，提升中高齡者就業技能與職場競爭力，</w:t>
      </w:r>
      <w:r>
        <w:rPr>
          <w:rFonts w:ascii="標楷體" w:eastAsia="標楷體" w:hAnsi="標楷體" w:cs="新細明體"/>
          <w:spacing w:val="4"/>
          <w:kern w:val="0"/>
          <w:sz w:val="28"/>
          <w:szCs w:val="28"/>
        </w:rPr>
        <w:t>協助重返職場</w:t>
      </w:r>
      <w:r>
        <w:rPr>
          <w:rFonts w:ascii="標楷體" w:eastAsia="標楷體" w:hAnsi="標楷體" w:cs="新細明體"/>
          <w:bCs/>
          <w:spacing w:val="4"/>
          <w:kern w:val="0"/>
          <w:sz w:val="28"/>
          <w:szCs w:val="28"/>
        </w:rPr>
        <w:t>。</w:t>
      </w:r>
    </w:p>
    <w:p w14:paraId="38BC39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4"/>
          <w:kern w:val="0"/>
          <w:sz w:val="28"/>
          <w:szCs w:val="22"/>
        </w:rPr>
        <w:t>運用多元就業開發方案，創造原住民在地及原鄉工作機會，提供臨時工作津貼培養再就業之能力。輔導原住民參與職業訓練及獎勵取得技術士</w:t>
      </w:r>
      <w:r>
        <w:rPr>
          <w:rFonts w:ascii="標楷體" w:eastAsia="標楷體" w:hAnsi="標楷體"/>
          <w:spacing w:val="4"/>
          <w:kern w:val="0"/>
          <w:sz w:val="28"/>
          <w:szCs w:val="22"/>
        </w:rPr>
        <w:t>(專業)證照</w:t>
      </w:r>
      <w:r>
        <w:rPr>
          <w:rFonts w:eastAsia="標楷體"/>
          <w:spacing w:val="4"/>
          <w:kern w:val="0"/>
          <w:sz w:val="28"/>
          <w:szCs w:val="22"/>
        </w:rPr>
        <w:t>，未來四年累計</w:t>
      </w:r>
      <w:r>
        <w:rPr>
          <w:rFonts w:eastAsia="標楷體"/>
          <w:spacing w:val="4"/>
          <w:kern w:val="0"/>
          <w:sz w:val="28"/>
          <w:szCs w:val="22"/>
        </w:rPr>
        <w:t>1</w:t>
      </w:r>
      <w:r>
        <w:rPr>
          <w:rFonts w:eastAsia="標楷體"/>
          <w:spacing w:val="4"/>
          <w:kern w:val="0"/>
          <w:sz w:val="28"/>
          <w:szCs w:val="22"/>
        </w:rPr>
        <w:t>萬</w:t>
      </w:r>
      <w:r>
        <w:rPr>
          <w:rFonts w:eastAsia="標楷體"/>
          <w:spacing w:val="4"/>
          <w:kern w:val="0"/>
          <w:sz w:val="28"/>
          <w:szCs w:val="22"/>
        </w:rPr>
        <w:t>2</w:t>
      </w:r>
      <w:r>
        <w:rPr>
          <w:rFonts w:eastAsia="標楷體"/>
          <w:spacing w:val="4"/>
          <w:kern w:val="0"/>
          <w:sz w:val="28"/>
          <w:szCs w:val="22"/>
        </w:rPr>
        <w:t>千人；辦理專業化就業服務，並定期追蹤輔導就業情況，未來四年預計實際輔導穩定就業</w:t>
      </w:r>
      <w:r>
        <w:rPr>
          <w:rFonts w:eastAsia="標楷體"/>
          <w:spacing w:val="4"/>
          <w:kern w:val="0"/>
          <w:sz w:val="28"/>
          <w:szCs w:val="22"/>
        </w:rPr>
        <w:t>9,250</w:t>
      </w:r>
      <w:r>
        <w:rPr>
          <w:rFonts w:eastAsia="標楷體"/>
          <w:spacing w:val="4"/>
          <w:kern w:val="0"/>
          <w:sz w:val="28"/>
          <w:szCs w:val="22"/>
        </w:rPr>
        <w:t>人。加強落實原住民族工作權保障法，並積極發展原住民部落特色產業促進在地就業等相關計畫，吸引原住民青年回流，活絡部落經濟，未來四年預計提供</w:t>
      </w:r>
      <w:r>
        <w:rPr>
          <w:rFonts w:eastAsia="標楷體"/>
          <w:spacing w:val="4"/>
          <w:kern w:val="0"/>
          <w:sz w:val="28"/>
          <w:szCs w:val="22"/>
        </w:rPr>
        <w:t>4,450</w:t>
      </w:r>
      <w:r>
        <w:rPr>
          <w:rFonts w:eastAsia="標楷體"/>
          <w:spacing w:val="4"/>
          <w:kern w:val="0"/>
          <w:sz w:val="28"/>
          <w:szCs w:val="22"/>
        </w:rPr>
        <w:t>個工作機會。</w:t>
      </w:r>
    </w:p>
    <w:p w14:paraId="27F213A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結合民間訓練單位辦理訓練課程，提升職場競爭力</w:t>
      </w:r>
    </w:p>
    <w:p w14:paraId="0CE8F09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產業人才方案，提升在職勞工專業技能；結合民間資源提供多元實務導向之各項職前、在職、青年專案等訓練課程並補助在職勞工訓練費用，擴大人力加值產業內需市場；辦理國家人力創新獎，鼓勵民間導入職能創新、教材開發設計及新培訓方法等經驗交流與擴散。</w:t>
      </w:r>
    </w:p>
    <w:p w14:paraId="5F61D10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6"/>
        </w:rPr>
        <w:t>(</w:t>
      </w:r>
      <w:r>
        <w:rPr>
          <w:rFonts w:eastAsia="標楷體"/>
          <w:spacing w:val="4"/>
          <w:kern w:val="0"/>
          <w:sz w:val="28"/>
          <w:szCs w:val="26"/>
        </w:rPr>
        <w:t>2</w:t>
      </w:r>
      <w:r>
        <w:rPr>
          <w:rFonts w:ascii="標楷體" w:eastAsia="標楷體" w:hAnsi="標楷體"/>
          <w:spacing w:val="4"/>
          <w:kern w:val="0"/>
          <w:sz w:val="28"/>
          <w:szCs w:val="26"/>
        </w:rPr>
        <w:t>)</w:t>
      </w:r>
      <w:r>
        <w:rPr>
          <w:rFonts w:eastAsia="標楷體"/>
          <w:spacing w:val="4"/>
          <w:kern w:val="0"/>
          <w:sz w:val="28"/>
          <w:szCs w:val="26"/>
        </w:rPr>
        <w:t>培訓國際行銷業務經理人，</w:t>
      </w:r>
      <w:r>
        <w:rPr>
          <w:rFonts w:eastAsia="標楷體"/>
          <w:spacing w:val="4"/>
          <w:kern w:val="0"/>
          <w:sz w:val="28"/>
          <w:szCs w:val="22"/>
        </w:rPr>
        <w:t>開辦國際企業經營班及國際貿易特訓班等職前訓練，培訓優質國際企業經營人才；開辦碩士後國際行銷班、碩士後商務英語特訓班、短期經貿及語文專題班等在職訓練，提升業者貿易行銷經營能力。</w:t>
      </w:r>
    </w:p>
    <w:p w14:paraId="469CD80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因應國際重要賽會，建置運動人才培育一貫體制，輔導各縣市推動區域運動人才培育體系，暢通運動成績優良學生升學管道，鼓勵地方政府聘任專任運動教練，推動成立區域運動科學中心，有效提升訓練及參賽效能。</w:t>
      </w:r>
    </w:p>
    <w:p w14:paraId="0A18604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(六)加強產學合作，培育知識經濟人才</w:t>
      </w:r>
    </w:p>
    <w:p w14:paraId="6431840A" w14:textId="77777777" w:rsidR="00052596" w:rsidRDefault="00000000">
      <w:pPr>
        <w:tabs>
          <w:tab w:val="left" w:pos="960"/>
          <w:tab w:val="left" w:pos="1920"/>
          <w:tab w:val="left" w:pos="2880"/>
          <w:tab w:val="left" w:pos="3840"/>
          <w:tab w:val="left" w:pos="4800"/>
          <w:tab w:val="left" w:pos="5760"/>
        </w:tabs>
        <w:overflowPunct w:val="0"/>
        <w:autoSpaceDE w:val="0"/>
        <w:spacing w:line="41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強化大學系所發展與產業連結，規劃學位及課程朝研究與實務導向分流；引導學生重視實作學習，培育產業適用人才；</w:t>
      </w:r>
      <w:r>
        <w:rPr>
          <w:rFonts w:eastAsia="標楷體"/>
          <w:spacing w:val="4"/>
          <w:kern w:val="0"/>
          <w:sz w:val="28"/>
          <w:szCs w:val="26"/>
        </w:rPr>
        <w:lastRenderedPageBreak/>
        <w:t>推動第</w:t>
      </w:r>
      <w:r>
        <w:rPr>
          <w:rFonts w:eastAsia="標楷體"/>
          <w:spacing w:val="4"/>
          <w:kern w:val="0"/>
          <w:sz w:val="28"/>
          <w:szCs w:val="26"/>
        </w:rPr>
        <w:t>3</w:t>
      </w:r>
      <w:r>
        <w:rPr>
          <w:rFonts w:eastAsia="標楷體"/>
          <w:spacing w:val="4"/>
          <w:kern w:val="0"/>
          <w:sz w:val="28"/>
          <w:szCs w:val="26"/>
        </w:rPr>
        <w:t>期獎勵大學教學卓越計畫，提升學生就業競爭力。</w:t>
      </w:r>
    </w:p>
    <w:p w14:paraId="5AA35916" w14:textId="77777777" w:rsidR="00052596" w:rsidRDefault="00000000">
      <w:pPr>
        <w:tabs>
          <w:tab w:val="left" w:pos="960"/>
          <w:tab w:val="left" w:pos="1920"/>
          <w:tab w:val="left" w:pos="2880"/>
          <w:tab w:val="left" w:pos="3840"/>
          <w:tab w:val="left" w:pos="4800"/>
          <w:tab w:val="left" w:pos="5760"/>
        </w:tabs>
        <w:overflowPunct w:val="0"/>
        <w:autoSpaceDE w:val="0"/>
        <w:spacing w:line="41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發展技職體系的縱向彈性銜接學制，以利學生學習一貫化。結合高職、技專校院與合作廠商</w:t>
      </w:r>
      <w:r>
        <w:rPr>
          <w:rFonts w:ascii="標楷體" w:eastAsia="標楷體" w:hAnsi="標楷體"/>
          <w:spacing w:val="4"/>
          <w:kern w:val="0"/>
          <w:sz w:val="28"/>
          <w:szCs w:val="26"/>
        </w:rPr>
        <w:t>(</w:t>
      </w:r>
      <w:r>
        <w:rPr>
          <w:rFonts w:eastAsia="標楷體"/>
          <w:spacing w:val="4"/>
          <w:kern w:val="0"/>
          <w:sz w:val="28"/>
          <w:szCs w:val="26"/>
        </w:rPr>
        <w:t>職訓中心</w:t>
      </w:r>
      <w:r>
        <w:rPr>
          <w:rFonts w:ascii="標楷體" w:eastAsia="標楷體" w:hAnsi="標楷體"/>
          <w:spacing w:val="4"/>
          <w:kern w:val="0"/>
          <w:sz w:val="28"/>
          <w:szCs w:val="26"/>
        </w:rPr>
        <w:t>)</w:t>
      </w:r>
      <w:r>
        <w:rPr>
          <w:rFonts w:eastAsia="標楷體"/>
          <w:spacing w:val="4"/>
          <w:kern w:val="0"/>
          <w:sz w:val="28"/>
          <w:szCs w:val="26"/>
        </w:rPr>
        <w:t>的資源，建置緊密之教學實習合作平臺，發揚技職教育「做中學、學中做」之辦學特色。配合推動十二年國民基本教育之「結合技職教育與產業發展」子計畫，建立兼顧就學與就業之新教育模式。</w:t>
      </w:r>
    </w:p>
    <w:p w14:paraId="479D7895" w14:textId="77777777" w:rsidR="00052596" w:rsidRDefault="00000000">
      <w:pPr>
        <w:tabs>
          <w:tab w:val="left" w:pos="960"/>
          <w:tab w:val="left" w:pos="1920"/>
          <w:tab w:val="left" w:pos="2880"/>
          <w:tab w:val="left" w:pos="3840"/>
          <w:tab w:val="left" w:pos="4800"/>
          <w:tab w:val="left" w:pos="5760"/>
        </w:tabs>
        <w:overflowPunct w:val="0"/>
        <w:autoSpaceDE w:val="0"/>
        <w:spacing w:line="41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縮短學訓考用落差方案」，強化產學訓之銜接，以「促進在學學生就業力」、「持續提升勞動力品質」、「強化人才與國際接軌」、「提升媒合平臺功能」等四大主軸加以推動，培育具專業、國際移動人才，並使各項人才供需資訊獲得快速回饋，提升個人就業、企業補才機會。</w:t>
      </w:r>
    </w:p>
    <w:p w14:paraId="7F27D2ED" w14:textId="77777777" w:rsidR="00052596" w:rsidRDefault="00000000">
      <w:pPr>
        <w:tabs>
          <w:tab w:val="left" w:pos="960"/>
          <w:tab w:val="left" w:pos="1920"/>
          <w:tab w:val="left" w:pos="2880"/>
          <w:tab w:val="left" w:pos="3840"/>
          <w:tab w:val="left" w:pos="4800"/>
          <w:tab w:val="left" w:pos="5760"/>
        </w:tabs>
        <w:overflowPunct w:val="0"/>
        <w:autoSpaceDE w:val="0"/>
        <w:spacing w:line="41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落實校外實習課程及職業證照法制化，彌補重點產業技術人才需求缺口，強化職場就業能力。提高參與校外實習課程之技專校院學生數相對於前一學年度畢業人數的比例；建立海外研發基地，培育具國際視野專業人才。</w:t>
      </w:r>
    </w:p>
    <w:p w14:paraId="35D3D665" w14:textId="77777777" w:rsidR="00052596" w:rsidRDefault="00000000">
      <w:pPr>
        <w:tabs>
          <w:tab w:val="left" w:pos="960"/>
          <w:tab w:val="left" w:pos="1920"/>
          <w:tab w:val="left" w:pos="2880"/>
          <w:tab w:val="left" w:pos="3840"/>
          <w:tab w:val="left" w:pos="4800"/>
          <w:tab w:val="left" w:pos="5760"/>
        </w:tabs>
        <w:overflowPunct w:val="0"/>
        <w:autoSpaceDE w:val="0"/>
        <w:spacing w:line="41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整合及推動職能基準與能力鑑定，建構優良之人才培訓環境，促進供需兩端以相同標準培育人才。預計每年建置職能基準</w:t>
      </w:r>
      <w:r>
        <w:rPr>
          <w:rFonts w:eastAsia="標楷體"/>
          <w:spacing w:val="4"/>
          <w:kern w:val="0"/>
          <w:sz w:val="28"/>
          <w:szCs w:val="26"/>
        </w:rPr>
        <w:t>3</w:t>
      </w:r>
      <w:r>
        <w:rPr>
          <w:rFonts w:eastAsia="標楷體"/>
          <w:spacing w:val="4"/>
          <w:kern w:val="0"/>
          <w:sz w:val="28"/>
          <w:szCs w:val="26"/>
        </w:rPr>
        <w:t>項、營運能力鑑定</w:t>
      </w:r>
      <w:r>
        <w:rPr>
          <w:rFonts w:eastAsia="標楷體"/>
          <w:spacing w:val="4"/>
          <w:kern w:val="0"/>
          <w:sz w:val="28"/>
          <w:szCs w:val="26"/>
        </w:rPr>
        <w:t>2</w:t>
      </w:r>
      <w:r>
        <w:rPr>
          <w:rFonts w:eastAsia="標楷體"/>
          <w:spacing w:val="4"/>
          <w:kern w:val="0"/>
          <w:sz w:val="28"/>
          <w:szCs w:val="26"/>
        </w:rPr>
        <w:t>項，並推廣至少</w:t>
      </w:r>
      <w:r>
        <w:rPr>
          <w:rFonts w:eastAsia="標楷體"/>
          <w:spacing w:val="4"/>
          <w:kern w:val="0"/>
          <w:sz w:val="28"/>
          <w:szCs w:val="26"/>
        </w:rPr>
        <w:t>50</w:t>
      </w:r>
      <w:r>
        <w:rPr>
          <w:rFonts w:eastAsia="標楷體"/>
          <w:spacing w:val="4"/>
          <w:kern w:val="0"/>
          <w:sz w:val="28"/>
          <w:szCs w:val="26"/>
        </w:rPr>
        <w:t>所大專校院運用產業職能基準或能力鑑定內容，調整教學方向或增設學程。</w:t>
      </w:r>
    </w:p>
    <w:p w14:paraId="1AD4A3C1" w14:textId="77777777" w:rsidR="00052596" w:rsidRDefault="00000000">
      <w:pPr>
        <w:tabs>
          <w:tab w:val="left" w:pos="960"/>
          <w:tab w:val="left" w:pos="1920"/>
          <w:tab w:val="left" w:pos="2880"/>
          <w:tab w:val="left" w:pos="3840"/>
          <w:tab w:val="left" w:pos="4800"/>
          <w:tab w:val="left" w:pos="5760"/>
        </w:tabs>
        <w:overflowPunct w:val="0"/>
        <w:autoSpaceDE w:val="0"/>
        <w:spacing w:line="41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加強產業導向之產學合作研究，落實學研界研發能量至產業界，提升研發人員產業實作經驗與研發能力，引導國內企業進行長期深耕之技術研發活動。</w:t>
      </w:r>
    </w:p>
    <w:p w14:paraId="6A9AEC64" w14:textId="77777777" w:rsidR="00052596" w:rsidRDefault="00000000">
      <w:pPr>
        <w:tabs>
          <w:tab w:val="left" w:pos="960"/>
          <w:tab w:val="left" w:pos="1920"/>
          <w:tab w:val="left" w:pos="2880"/>
          <w:tab w:val="left" w:pos="3840"/>
          <w:tab w:val="left" w:pos="4800"/>
          <w:tab w:val="left" w:pos="5760"/>
        </w:tabs>
        <w:overflowPunct w:val="0"/>
        <w:autoSpaceDE w:val="0"/>
        <w:spacing w:line="41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因應產業及社會發展趨勢，適時調整勞動法規，建立外籍人士來臺工作之友善環境並持續檢討外勞政策與相關措施。</w:t>
      </w:r>
    </w:p>
    <w:p w14:paraId="546BAAE4"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187E29E"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陸、穩定物價</w:t>
      </w:r>
    </w:p>
    <w:p w14:paraId="150D8F8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449115A"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95</w:t>
      </w:r>
      <w:r>
        <w:rPr>
          <w:rFonts w:eastAsia="標楷體"/>
          <w:spacing w:val="4"/>
          <w:kern w:val="0"/>
          <w:sz w:val="28"/>
          <w:szCs w:val="26"/>
        </w:rPr>
        <w:t>至</w:t>
      </w:r>
      <w:r>
        <w:rPr>
          <w:rFonts w:eastAsia="標楷體"/>
          <w:spacing w:val="4"/>
          <w:kern w:val="0"/>
          <w:sz w:val="28"/>
          <w:szCs w:val="26"/>
        </w:rPr>
        <w:t>100</w:t>
      </w:r>
      <w:r>
        <w:rPr>
          <w:rFonts w:eastAsia="標楷體"/>
          <w:spacing w:val="4"/>
          <w:kern w:val="0"/>
          <w:sz w:val="28"/>
          <w:szCs w:val="26"/>
        </w:rPr>
        <w:t>年間，我國躉售物價指數受國際原油及重要原物料價格波動影響，年增率大致維持在</w:t>
      </w:r>
      <w:r>
        <w:rPr>
          <w:rFonts w:eastAsia="標楷體"/>
          <w:spacing w:val="4"/>
          <w:kern w:val="0"/>
          <w:sz w:val="28"/>
          <w:szCs w:val="26"/>
        </w:rPr>
        <w:t>4.3%</w:t>
      </w:r>
      <w:r>
        <w:rPr>
          <w:rFonts w:eastAsia="標楷體"/>
          <w:spacing w:val="4"/>
          <w:kern w:val="0"/>
          <w:sz w:val="28"/>
          <w:szCs w:val="26"/>
        </w:rPr>
        <w:t>至</w:t>
      </w:r>
      <w:r>
        <w:rPr>
          <w:rFonts w:eastAsia="標楷體"/>
          <w:spacing w:val="4"/>
          <w:kern w:val="0"/>
          <w:sz w:val="28"/>
          <w:szCs w:val="26"/>
        </w:rPr>
        <w:t>6.5%</w:t>
      </w:r>
      <w:r>
        <w:rPr>
          <w:rFonts w:eastAsia="標楷體"/>
          <w:spacing w:val="4"/>
          <w:kern w:val="0"/>
          <w:sz w:val="28"/>
          <w:szCs w:val="26"/>
        </w:rPr>
        <w:t>之間</w:t>
      </w:r>
      <w:r>
        <w:rPr>
          <w:rFonts w:ascii="標楷體" w:eastAsia="標楷體" w:hAnsi="標楷體"/>
          <w:spacing w:val="4"/>
          <w:kern w:val="0"/>
          <w:sz w:val="28"/>
          <w:szCs w:val="26"/>
        </w:rPr>
        <w:t>(</w:t>
      </w:r>
      <w:r>
        <w:rPr>
          <w:rFonts w:eastAsia="標楷體"/>
          <w:spacing w:val="4"/>
          <w:kern w:val="0"/>
          <w:sz w:val="28"/>
          <w:szCs w:val="26"/>
        </w:rPr>
        <w:t>98</w:t>
      </w:r>
      <w:r>
        <w:rPr>
          <w:rFonts w:eastAsia="標楷體"/>
          <w:spacing w:val="4"/>
          <w:kern w:val="0"/>
          <w:sz w:val="28"/>
          <w:szCs w:val="26"/>
        </w:rPr>
        <w:t>年為</w:t>
      </w:r>
      <w:r>
        <w:rPr>
          <w:rFonts w:eastAsia="標楷體"/>
          <w:spacing w:val="4"/>
          <w:kern w:val="0"/>
          <w:sz w:val="28"/>
          <w:szCs w:val="26"/>
        </w:rPr>
        <w:t>-8.74%</w:t>
      </w:r>
      <w:r>
        <w:rPr>
          <w:rFonts w:ascii="標楷體" w:eastAsia="標楷體" w:hAnsi="標楷體"/>
          <w:spacing w:val="4"/>
          <w:kern w:val="0"/>
          <w:sz w:val="28"/>
          <w:szCs w:val="26"/>
        </w:rPr>
        <w:t>)</w:t>
      </w:r>
      <w:r>
        <w:rPr>
          <w:rFonts w:eastAsia="標楷體"/>
          <w:spacing w:val="4"/>
          <w:kern w:val="0"/>
          <w:sz w:val="28"/>
          <w:szCs w:val="26"/>
        </w:rPr>
        <w:t>。其中，進口物價變動幅度均遠高於出口物價。同期間，消費者物價指數</w:t>
      </w:r>
      <w:r>
        <w:rPr>
          <w:rFonts w:eastAsia="標楷體"/>
          <w:spacing w:val="4"/>
          <w:kern w:val="0"/>
          <w:sz w:val="28"/>
          <w:szCs w:val="26"/>
        </w:rPr>
        <w:lastRenderedPageBreak/>
        <w:t>在政府持續採行穩定物價措施及市場競爭態勢下，相對穩定。</w:t>
      </w:r>
      <w:r>
        <w:rPr>
          <w:rFonts w:eastAsia="標楷體"/>
          <w:spacing w:val="4"/>
          <w:kern w:val="0"/>
          <w:sz w:val="28"/>
          <w:szCs w:val="26"/>
        </w:rPr>
        <w:t>95</w:t>
      </w:r>
      <w:r>
        <w:rPr>
          <w:rFonts w:eastAsia="標楷體"/>
          <w:spacing w:val="4"/>
          <w:kern w:val="0"/>
          <w:sz w:val="28"/>
          <w:szCs w:val="26"/>
        </w:rPr>
        <w:t>至</w:t>
      </w:r>
      <w:r>
        <w:rPr>
          <w:rFonts w:eastAsia="標楷體"/>
          <w:spacing w:val="4"/>
          <w:kern w:val="0"/>
          <w:sz w:val="28"/>
          <w:szCs w:val="26"/>
        </w:rPr>
        <w:t>100</w:t>
      </w:r>
      <w:r>
        <w:rPr>
          <w:rFonts w:eastAsia="標楷體"/>
          <w:spacing w:val="4"/>
          <w:kern w:val="0"/>
          <w:sz w:val="28"/>
          <w:szCs w:val="26"/>
        </w:rPr>
        <w:t>年消費者物價指數上漲率平均僅</w:t>
      </w:r>
      <w:r>
        <w:rPr>
          <w:rFonts w:eastAsia="標楷體"/>
          <w:spacing w:val="4"/>
          <w:kern w:val="0"/>
          <w:sz w:val="28"/>
          <w:szCs w:val="26"/>
        </w:rPr>
        <w:t>1.36%</w:t>
      </w:r>
      <w:r>
        <w:rPr>
          <w:rFonts w:ascii="標楷體" w:eastAsia="標楷體" w:hAnsi="標楷體"/>
          <w:spacing w:val="4"/>
          <w:kern w:val="0"/>
          <w:sz w:val="28"/>
          <w:szCs w:val="26"/>
        </w:rPr>
        <w:t>(</w:t>
      </w:r>
      <w:r>
        <w:rPr>
          <w:rFonts w:eastAsia="標楷體"/>
          <w:spacing w:val="4"/>
          <w:kern w:val="0"/>
          <w:sz w:val="28"/>
          <w:szCs w:val="26"/>
        </w:rPr>
        <w:t>98</w:t>
      </w:r>
      <w:r>
        <w:rPr>
          <w:rFonts w:eastAsia="標楷體"/>
          <w:spacing w:val="4"/>
          <w:kern w:val="0"/>
          <w:sz w:val="28"/>
          <w:szCs w:val="26"/>
        </w:rPr>
        <w:t>年為</w:t>
      </w:r>
      <w:r>
        <w:rPr>
          <w:rFonts w:eastAsia="標楷體"/>
          <w:spacing w:val="4"/>
          <w:kern w:val="0"/>
          <w:sz w:val="28"/>
          <w:szCs w:val="26"/>
        </w:rPr>
        <w:t>-0.87%</w:t>
      </w:r>
      <w:r>
        <w:rPr>
          <w:rFonts w:ascii="標楷體" w:eastAsia="標楷體" w:hAnsi="標楷體"/>
          <w:spacing w:val="4"/>
          <w:kern w:val="0"/>
          <w:sz w:val="28"/>
          <w:szCs w:val="26"/>
        </w:rPr>
        <w:t>)</w:t>
      </w:r>
      <w:r>
        <w:rPr>
          <w:rFonts w:eastAsia="標楷體"/>
          <w:spacing w:val="4"/>
          <w:kern w:val="0"/>
          <w:sz w:val="28"/>
          <w:szCs w:val="26"/>
        </w:rPr>
        <w:t>，其中剔除蔬果水產及能源後之核心物價指數平均上漲</w:t>
      </w:r>
      <w:r>
        <w:rPr>
          <w:rFonts w:eastAsia="標楷體"/>
          <w:spacing w:val="4"/>
          <w:kern w:val="0"/>
          <w:sz w:val="28"/>
          <w:szCs w:val="26"/>
        </w:rPr>
        <w:t>1.17%</w:t>
      </w:r>
      <w:r>
        <w:rPr>
          <w:rFonts w:eastAsia="標楷體"/>
          <w:spacing w:val="4"/>
          <w:kern w:val="0"/>
          <w:sz w:val="28"/>
          <w:szCs w:val="26"/>
        </w:rPr>
        <w:t>。根據世界經濟論壇</w:t>
      </w:r>
      <w:r>
        <w:rPr>
          <w:rFonts w:ascii="標楷體" w:eastAsia="標楷體" w:hAnsi="標楷體"/>
          <w:spacing w:val="4"/>
          <w:kern w:val="0"/>
          <w:sz w:val="28"/>
          <w:szCs w:val="26"/>
        </w:rPr>
        <w:t>(</w:t>
      </w:r>
      <w:r>
        <w:rPr>
          <w:rFonts w:eastAsia="標楷體"/>
          <w:spacing w:val="4"/>
          <w:kern w:val="0"/>
          <w:sz w:val="28"/>
          <w:szCs w:val="26"/>
        </w:rPr>
        <w:t>WEF</w:t>
      </w:r>
      <w:r>
        <w:rPr>
          <w:rFonts w:ascii="標楷體" w:eastAsia="標楷體" w:hAnsi="標楷體"/>
          <w:spacing w:val="4"/>
          <w:kern w:val="0"/>
          <w:sz w:val="28"/>
          <w:szCs w:val="26"/>
        </w:rPr>
        <w:t>)</w:t>
      </w:r>
      <w:r>
        <w:rPr>
          <w:rFonts w:eastAsia="標楷體"/>
          <w:spacing w:val="4"/>
          <w:kern w:val="0"/>
          <w:sz w:val="28"/>
          <w:szCs w:val="26"/>
        </w:rPr>
        <w:t>「</w:t>
      </w:r>
      <w:r>
        <w:rPr>
          <w:rFonts w:eastAsia="標楷體"/>
          <w:spacing w:val="4"/>
          <w:kern w:val="0"/>
          <w:sz w:val="28"/>
          <w:szCs w:val="26"/>
        </w:rPr>
        <w:t>2012-2013</w:t>
      </w:r>
      <w:r>
        <w:rPr>
          <w:rFonts w:eastAsia="標楷體"/>
          <w:spacing w:val="4"/>
          <w:kern w:val="0"/>
          <w:sz w:val="28"/>
          <w:szCs w:val="26"/>
        </w:rPr>
        <w:t>全球競爭力報告」，</w:t>
      </w:r>
      <w:r>
        <w:rPr>
          <w:rFonts w:eastAsia="標楷體"/>
          <w:spacing w:val="4"/>
          <w:kern w:val="0"/>
          <w:sz w:val="28"/>
          <w:szCs w:val="26"/>
        </w:rPr>
        <w:t>2011</w:t>
      </w:r>
      <w:r>
        <w:rPr>
          <w:rFonts w:eastAsia="標楷體"/>
          <w:spacing w:val="4"/>
          <w:kern w:val="0"/>
          <w:sz w:val="28"/>
          <w:szCs w:val="26"/>
        </w:rPr>
        <w:t>及</w:t>
      </w:r>
      <w:r>
        <w:rPr>
          <w:rFonts w:eastAsia="標楷體"/>
          <w:spacing w:val="4"/>
          <w:kern w:val="0"/>
          <w:sz w:val="28"/>
          <w:szCs w:val="26"/>
        </w:rPr>
        <w:t>2012</w:t>
      </w:r>
      <w:r>
        <w:rPr>
          <w:rFonts w:eastAsia="標楷體"/>
          <w:spacing w:val="4"/>
          <w:kern w:val="0"/>
          <w:sz w:val="28"/>
          <w:szCs w:val="26"/>
        </w:rPr>
        <w:t>年臺灣通膨率低且穩定，表現優異，排名全球第</w:t>
      </w:r>
      <w:r>
        <w:rPr>
          <w:rFonts w:eastAsia="標楷體"/>
          <w:spacing w:val="4"/>
          <w:kern w:val="0"/>
          <w:sz w:val="28"/>
          <w:szCs w:val="26"/>
        </w:rPr>
        <w:t>1</w:t>
      </w:r>
      <w:r>
        <w:rPr>
          <w:rFonts w:eastAsia="標楷體"/>
          <w:spacing w:val="4"/>
          <w:kern w:val="0"/>
          <w:sz w:val="28"/>
          <w:szCs w:val="26"/>
        </w:rPr>
        <w:t>。展望未來，相關部會將持續監控國內、外商品價格變化，適時採取對策，穩定國內民生物價。</w:t>
      </w:r>
    </w:p>
    <w:p w14:paraId="422B9092" w14:textId="77777777" w:rsidR="00052596" w:rsidRDefault="00000000">
      <w:pPr>
        <w:overflowPunct w:val="0"/>
        <w:autoSpaceDE w:val="0"/>
        <w:snapToGrid w:val="0"/>
        <w:spacing w:before="240" w:after="120" w:line="280" w:lineRule="exact"/>
        <w:jc w:val="center"/>
        <w:textAlignment w:val="center"/>
        <w:rPr>
          <w:rFonts w:ascii="標楷體" w:eastAsia="標楷體" w:hAnsi="標楷體"/>
          <w:b/>
          <w:color w:val="0000FF"/>
          <w:kern w:val="0"/>
          <w:sz w:val="26"/>
          <w:szCs w:val="26"/>
        </w:rPr>
      </w:pPr>
      <w:r>
        <w:rPr>
          <w:rFonts w:ascii="標楷體" w:eastAsia="標楷體" w:hAnsi="標楷體"/>
          <w:b/>
          <w:color w:val="0000FF"/>
          <w:kern w:val="0"/>
          <w:sz w:val="26"/>
          <w:szCs w:val="26"/>
        </w:rPr>
        <w:t>亞洲國家物價競爭力評比(全球排名)</w:t>
      </w:r>
    </w:p>
    <w:tbl>
      <w:tblPr>
        <w:tblW w:w="8552" w:type="dxa"/>
        <w:jc w:val="center"/>
        <w:tblCellMar>
          <w:left w:w="10" w:type="dxa"/>
          <w:right w:w="10" w:type="dxa"/>
        </w:tblCellMar>
        <w:tblLook w:val="04A0" w:firstRow="1" w:lastRow="0" w:firstColumn="1" w:lastColumn="0" w:noHBand="0" w:noVBand="1"/>
      </w:tblPr>
      <w:tblGrid>
        <w:gridCol w:w="1954"/>
        <w:gridCol w:w="1319"/>
        <w:gridCol w:w="1320"/>
        <w:gridCol w:w="1319"/>
        <w:gridCol w:w="1320"/>
        <w:gridCol w:w="1320"/>
      </w:tblGrid>
      <w:tr w:rsidR="00052596" w14:paraId="6F40C756" w14:textId="77777777">
        <w:tblPrEx>
          <w:tblCellMar>
            <w:top w:w="0" w:type="dxa"/>
            <w:bottom w:w="0" w:type="dxa"/>
          </w:tblCellMar>
        </w:tblPrEx>
        <w:trPr>
          <w:trHeight w:val="422"/>
          <w:jc w:val="center"/>
        </w:trPr>
        <w:tc>
          <w:tcPr>
            <w:tcW w:w="195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619F1" w14:textId="77777777" w:rsidR="00052596" w:rsidRDefault="00000000">
            <w:pPr>
              <w:spacing w:line="360" w:lineRule="atLeast"/>
              <w:jc w:val="center"/>
              <w:rPr>
                <w:rFonts w:eastAsia="標楷體"/>
                <w:b/>
                <w:spacing w:val="-4"/>
                <w:kern w:val="0"/>
                <w:szCs w:val="24"/>
              </w:rPr>
            </w:pPr>
            <w:r>
              <w:rPr>
                <w:rFonts w:eastAsia="標楷體"/>
                <w:b/>
                <w:spacing w:val="-4"/>
                <w:kern w:val="0"/>
                <w:szCs w:val="24"/>
              </w:rPr>
              <w:t>國家或地區</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DF16B" w14:textId="77777777" w:rsidR="00052596" w:rsidRDefault="00000000">
            <w:pPr>
              <w:spacing w:line="360" w:lineRule="atLeast"/>
              <w:jc w:val="center"/>
              <w:rPr>
                <w:rFonts w:eastAsia="標楷體"/>
                <w:b/>
                <w:kern w:val="0"/>
                <w:szCs w:val="24"/>
              </w:rPr>
            </w:pPr>
            <w:r>
              <w:rPr>
                <w:rFonts w:eastAsia="標楷體"/>
                <w:b/>
                <w:kern w:val="0"/>
                <w:szCs w:val="24"/>
              </w:rPr>
              <w:t>2008</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3588F" w14:textId="77777777" w:rsidR="00052596" w:rsidRDefault="00000000">
            <w:pPr>
              <w:spacing w:line="360" w:lineRule="atLeast"/>
              <w:jc w:val="center"/>
              <w:rPr>
                <w:rFonts w:eastAsia="標楷體"/>
                <w:b/>
                <w:kern w:val="0"/>
                <w:szCs w:val="24"/>
              </w:rPr>
            </w:pPr>
            <w:r>
              <w:rPr>
                <w:rFonts w:eastAsia="標楷體"/>
                <w:b/>
                <w:kern w:val="0"/>
                <w:szCs w:val="24"/>
              </w:rPr>
              <w:t>2009</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932C0" w14:textId="77777777" w:rsidR="00052596" w:rsidRDefault="00000000">
            <w:pPr>
              <w:spacing w:line="360" w:lineRule="atLeast"/>
              <w:jc w:val="center"/>
              <w:rPr>
                <w:rFonts w:eastAsia="標楷體"/>
                <w:b/>
                <w:kern w:val="0"/>
                <w:szCs w:val="24"/>
              </w:rPr>
            </w:pPr>
            <w:r>
              <w:rPr>
                <w:rFonts w:eastAsia="標楷體"/>
                <w:b/>
                <w:kern w:val="0"/>
                <w:szCs w:val="24"/>
              </w:rPr>
              <w:t>2010</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CD08E" w14:textId="77777777" w:rsidR="00052596" w:rsidRDefault="00000000">
            <w:pPr>
              <w:spacing w:line="360" w:lineRule="atLeast"/>
              <w:jc w:val="center"/>
              <w:rPr>
                <w:rFonts w:eastAsia="標楷體"/>
                <w:b/>
                <w:kern w:val="0"/>
                <w:szCs w:val="24"/>
              </w:rPr>
            </w:pPr>
            <w:r>
              <w:rPr>
                <w:rFonts w:eastAsia="標楷體"/>
                <w:b/>
                <w:kern w:val="0"/>
                <w:szCs w:val="24"/>
              </w:rPr>
              <w:t>2011</w:t>
            </w: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39CB80" w14:textId="77777777" w:rsidR="00052596" w:rsidRDefault="00000000">
            <w:pPr>
              <w:spacing w:line="360" w:lineRule="atLeast"/>
              <w:jc w:val="center"/>
              <w:rPr>
                <w:rFonts w:eastAsia="標楷體"/>
                <w:b/>
                <w:kern w:val="0"/>
                <w:szCs w:val="24"/>
              </w:rPr>
            </w:pPr>
            <w:r>
              <w:rPr>
                <w:rFonts w:eastAsia="標楷體"/>
                <w:b/>
                <w:kern w:val="0"/>
                <w:szCs w:val="24"/>
              </w:rPr>
              <w:t>2012</w:t>
            </w:r>
          </w:p>
        </w:tc>
      </w:tr>
      <w:tr w:rsidR="00052596" w14:paraId="17EFF0A8" w14:textId="77777777">
        <w:tblPrEx>
          <w:tblCellMar>
            <w:top w:w="0" w:type="dxa"/>
            <w:bottom w:w="0" w:type="dxa"/>
          </w:tblCellMar>
        </w:tblPrEx>
        <w:trPr>
          <w:trHeight w:val="422"/>
          <w:jc w:val="center"/>
        </w:trPr>
        <w:tc>
          <w:tcPr>
            <w:tcW w:w="1954"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232C2648" w14:textId="77777777" w:rsidR="00052596" w:rsidRDefault="00000000">
            <w:pPr>
              <w:spacing w:line="360" w:lineRule="atLeast"/>
              <w:ind w:left="240"/>
              <w:rPr>
                <w:rFonts w:eastAsia="標楷體"/>
                <w:b/>
                <w:color w:val="0000FF"/>
                <w:kern w:val="0"/>
                <w:szCs w:val="24"/>
              </w:rPr>
            </w:pPr>
            <w:r>
              <w:rPr>
                <w:rFonts w:eastAsia="標楷體"/>
                <w:b/>
                <w:color w:val="0000FF"/>
                <w:kern w:val="0"/>
                <w:szCs w:val="24"/>
              </w:rPr>
              <w:t>臺灣</w:t>
            </w:r>
          </w:p>
        </w:tc>
        <w:tc>
          <w:tcPr>
            <w:tcW w:w="131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FC54B54" w14:textId="77777777" w:rsidR="00052596" w:rsidRDefault="00000000">
            <w:pPr>
              <w:spacing w:line="360" w:lineRule="atLeast"/>
              <w:ind w:right="480"/>
              <w:jc w:val="right"/>
              <w:rPr>
                <w:rFonts w:eastAsia="標楷體"/>
                <w:b/>
                <w:color w:val="0000FF"/>
                <w:kern w:val="0"/>
                <w:szCs w:val="24"/>
              </w:rPr>
            </w:pPr>
            <w:r>
              <w:rPr>
                <w:rFonts w:eastAsia="標楷體"/>
                <w:b/>
                <w:color w:val="0000FF"/>
                <w:kern w:val="0"/>
                <w:szCs w:val="24"/>
              </w:rPr>
              <w:t>17</w:t>
            </w:r>
          </w:p>
        </w:tc>
        <w:tc>
          <w:tcPr>
            <w:tcW w:w="132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E7D80A" w14:textId="77777777" w:rsidR="00052596" w:rsidRDefault="00000000">
            <w:pPr>
              <w:spacing w:line="360" w:lineRule="atLeast"/>
              <w:ind w:right="480"/>
              <w:jc w:val="right"/>
              <w:rPr>
                <w:rFonts w:eastAsia="標楷體"/>
                <w:b/>
                <w:color w:val="0000FF"/>
                <w:kern w:val="0"/>
                <w:szCs w:val="24"/>
              </w:rPr>
            </w:pPr>
            <w:r>
              <w:rPr>
                <w:rFonts w:eastAsia="標楷體"/>
                <w:b/>
                <w:color w:val="0000FF"/>
                <w:kern w:val="0"/>
                <w:szCs w:val="24"/>
              </w:rPr>
              <w:t>16</w:t>
            </w:r>
          </w:p>
        </w:tc>
        <w:tc>
          <w:tcPr>
            <w:tcW w:w="131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F57E1A9" w14:textId="77777777" w:rsidR="00052596" w:rsidRDefault="00000000">
            <w:pPr>
              <w:spacing w:line="360" w:lineRule="atLeast"/>
              <w:ind w:right="480"/>
              <w:jc w:val="right"/>
              <w:rPr>
                <w:rFonts w:eastAsia="標楷體"/>
                <w:b/>
                <w:color w:val="0000FF"/>
                <w:kern w:val="0"/>
                <w:szCs w:val="24"/>
              </w:rPr>
            </w:pPr>
            <w:r>
              <w:rPr>
                <w:rFonts w:eastAsia="標楷體"/>
                <w:b/>
                <w:color w:val="0000FF"/>
                <w:kern w:val="0"/>
                <w:szCs w:val="24"/>
              </w:rPr>
              <w:t>7</w:t>
            </w:r>
          </w:p>
        </w:tc>
        <w:tc>
          <w:tcPr>
            <w:tcW w:w="132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978C4C6" w14:textId="77777777" w:rsidR="00052596" w:rsidRDefault="00000000">
            <w:pPr>
              <w:spacing w:line="360" w:lineRule="atLeast"/>
              <w:ind w:right="480"/>
              <w:jc w:val="right"/>
              <w:rPr>
                <w:rFonts w:eastAsia="標楷體"/>
                <w:b/>
                <w:color w:val="0000FF"/>
                <w:kern w:val="0"/>
                <w:szCs w:val="24"/>
              </w:rPr>
            </w:pPr>
            <w:r>
              <w:rPr>
                <w:rFonts w:eastAsia="標楷體"/>
                <w:b/>
                <w:color w:val="0000FF"/>
                <w:kern w:val="0"/>
                <w:szCs w:val="24"/>
              </w:rPr>
              <w:t>1</w:t>
            </w:r>
          </w:p>
        </w:tc>
        <w:tc>
          <w:tcPr>
            <w:tcW w:w="1320"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79219221" w14:textId="77777777" w:rsidR="00052596" w:rsidRDefault="00000000">
            <w:pPr>
              <w:spacing w:line="360" w:lineRule="atLeast"/>
              <w:ind w:right="480"/>
              <w:jc w:val="right"/>
              <w:rPr>
                <w:rFonts w:eastAsia="標楷體"/>
                <w:b/>
                <w:color w:val="0000FF"/>
                <w:kern w:val="0"/>
                <w:szCs w:val="24"/>
              </w:rPr>
            </w:pPr>
            <w:r>
              <w:rPr>
                <w:rFonts w:eastAsia="標楷體"/>
                <w:b/>
                <w:color w:val="0000FF"/>
                <w:kern w:val="0"/>
                <w:szCs w:val="24"/>
              </w:rPr>
              <w:t>1</w:t>
            </w:r>
          </w:p>
        </w:tc>
      </w:tr>
      <w:tr w:rsidR="00052596" w14:paraId="249C964B" w14:textId="77777777">
        <w:tblPrEx>
          <w:tblCellMar>
            <w:top w:w="0" w:type="dxa"/>
            <w:bottom w:w="0" w:type="dxa"/>
          </w:tblCellMar>
        </w:tblPrEx>
        <w:trPr>
          <w:trHeight w:val="422"/>
          <w:jc w:val="center"/>
        </w:trPr>
        <w:tc>
          <w:tcPr>
            <w:tcW w:w="1954" w:type="dxa"/>
            <w:tcBorders>
              <w:right w:val="single" w:sz="4" w:space="0" w:color="000000"/>
            </w:tcBorders>
            <w:shd w:val="clear" w:color="auto" w:fill="auto"/>
            <w:tcMar>
              <w:top w:w="0" w:type="dxa"/>
              <w:left w:w="108" w:type="dxa"/>
              <w:bottom w:w="0" w:type="dxa"/>
              <w:right w:w="108" w:type="dxa"/>
            </w:tcMar>
            <w:vAlign w:val="center"/>
          </w:tcPr>
          <w:p w14:paraId="6AF00976" w14:textId="77777777" w:rsidR="00052596" w:rsidRDefault="00000000">
            <w:pPr>
              <w:spacing w:line="360" w:lineRule="atLeast"/>
              <w:ind w:left="240"/>
              <w:rPr>
                <w:rFonts w:eastAsia="標楷體"/>
                <w:kern w:val="0"/>
                <w:szCs w:val="24"/>
              </w:rPr>
            </w:pPr>
            <w:r>
              <w:rPr>
                <w:rFonts w:eastAsia="標楷體"/>
                <w:kern w:val="0"/>
                <w:szCs w:val="24"/>
              </w:rPr>
              <w:t>韓國</w:t>
            </w:r>
          </w:p>
        </w:tc>
        <w:tc>
          <w:tcPr>
            <w:tcW w:w="131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A7E90F" w14:textId="77777777" w:rsidR="00052596" w:rsidRDefault="00000000">
            <w:pPr>
              <w:spacing w:line="360" w:lineRule="atLeast"/>
              <w:ind w:right="480"/>
              <w:jc w:val="right"/>
              <w:rPr>
                <w:rFonts w:eastAsia="標楷體"/>
                <w:kern w:val="0"/>
                <w:szCs w:val="24"/>
              </w:rPr>
            </w:pPr>
            <w:r>
              <w:rPr>
                <w:rFonts w:eastAsia="標楷體"/>
                <w:kern w:val="0"/>
                <w:szCs w:val="24"/>
              </w:rPr>
              <w:t>40</w:t>
            </w:r>
          </w:p>
        </w:tc>
        <w:tc>
          <w:tcPr>
            <w:tcW w:w="13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A49B38" w14:textId="77777777" w:rsidR="00052596" w:rsidRDefault="00000000">
            <w:pPr>
              <w:spacing w:line="360" w:lineRule="atLeast"/>
              <w:ind w:right="480"/>
              <w:jc w:val="right"/>
              <w:rPr>
                <w:rFonts w:eastAsia="標楷體"/>
                <w:kern w:val="0"/>
                <w:szCs w:val="24"/>
              </w:rPr>
            </w:pPr>
            <w:r>
              <w:rPr>
                <w:rFonts w:eastAsia="標楷體"/>
                <w:kern w:val="0"/>
                <w:szCs w:val="24"/>
              </w:rPr>
              <w:t>34</w:t>
            </w:r>
          </w:p>
        </w:tc>
        <w:tc>
          <w:tcPr>
            <w:tcW w:w="131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E3AB13" w14:textId="77777777" w:rsidR="00052596" w:rsidRDefault="00000000">
            <w:pPr>
              <w:spacing w:line="360" w:lineRule="atLeast"/>
              <w:ind w:right="480"/>
              <w:jc w:val="right"/>
              <w:rPr>
                <w:rFonts w:eastAsia="標楷體"/>
                <w:kern w:val="0"/>
                <w:szCs w:val="24"/>
              </w:rPr>
            </w:pPr>
            <w:r>
              <w:rPr>
                <w:rFonts w:eastAsia="標楷體"/>
                <w:kern w:val="0"/>
                <w:szCs w:val="24"/>
              </w:rPr>
              <w:t>68</w:t>
            </w:r>
          </w:p>
        </w:tc>
        <w:tc>
          <w:tcPr>
            <w:tcW w:w="13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270226" w14:textId="77777777" w:rsidR="00052596" w:rsidRDefault="00000000">
            <w:pPr>
              <w:spacing w:line="360" w:lineRule="atLeast"/>
              <w:ind w:right="480"/>
              <w:jc w:val="right"/>
              <w:rPr>
                <w:rFonts w:eastAsia="標楷體"/>
                <w:kern w:val="0"/>
                <w:szCs w:val="24"/>
              </w:rPr>
            </w:pPr>
            <w:r>
              <w:rPr>
                <w:rFonts w:eastAsia="標楷體"/>
                <w:kern w:val="0"/>
                <w:szCs w:val="24"/>
              </w:rPr>
              <w:t>57</w:t>
            </w:r>
          </w:p>
        </w:tc>
        <w:tc>
          <w:tcPr>
            <w:tcW w:w="1320" w:type="dxa"/>
            <w:tcBorders>
              <w:left w:val="single" w:sz="4" w:space="0" w:color="000000"/>
            </w:tcBorders>
            <w:shd w:val="clear" w:color="auto" w:fill="auto"/>
            <w:tcMar>
              <w:top w:w="0" w:type="dxa"/>
              <w:left w:w="108" w:type="dxa"/>
              <w:bottom w:w="0" w:type="dxa"/>
              <w:right w:w="108" w:type="dxa"/>
            </w:tcMar>
            <w:vAlign w:val="center"/>
          </w:tcPr>
          <w:p w14:paraId="4E8A243A" w14:textId="77777777" w:rsidR="00052596" w:rsidRDefault="00000000">
            <w:pPr>
              <w:spacing w:line="360" w:lineRule="atLeast"/>
              <w:ind w:right="480"/>
              <w:jc w:val="right"/>
              <w:rPr>
                <w:rFonts w:eastAsia="標楷體"/>
                <w:kern w:val="0"/>
                <w:szCs w:val="24"/>
              </w:rPr>
            </w:pPr>
            <w:r>
              <w:rPr>
                <w:rFonts w:eastAsia="標楷體"/>
                <w:kern w:val="0"/>
                <w:szCs w:val="24"/>
              </w:rPr>
              <w:t>57</w:t>
            </w:r>
          </w:p>
        </w:tc>
      </w:tr>
      <w:tr w:rsidR="00052596" w14:paraId="3D486F83" w14:textId="77777777">
        <w:tblPrEx>
          <w:tblCellMar>
            <w:top w:w="0" w:type="dxa"/>
            <w:bottom w:w="0" w:type="dxa"/>
          </w:tblCellMar>
        </w:tblPrEx>
        <w:trPr>
          <w:trHeight w:val="422"/>
          <w:jc w:val="center"/>
        </w:trPr>
        <w:tc>
          <w:tcPr>
            <w:tcW w:w="1954" w:type="dxa"/>
            <w:tcBorders>
              <w:right w:val="single" w:sz="4" w:space="0" w:color="000000"/>
            </w:tcBorders>
            <w:shd w:val="clear" w:color="auto" w:fill="auto"/>
            <w:tcMar>
              <w:top w:w="0" w:type="dxa"/>
              <w:left w:w="108" w:type="dxa"/>
              <w:bottom w:w="0" w:type="dxa"/>
              <w:right w:w="108" w:type="dxa"/>
            </w:tcMar>
            <w:vAlign w:val="center"/>
          </w:tcPr>
          <w:p w14:paraId="263E9131" w14:textId="77777777" w:rsidR="00052596" w:rsidRDefault="00000000">
            <w:pPr>
              <w:spacing w:line="360" w:lineRule="atLeast"/>
              <w:ind w:left="240"/>
              <w:rPr>
                <w:rFonts w:eastAsia="標楷體"/>
                <w:kern w:val="0"/>
                <w:szCs w:val="24"/>
              </w:rPr>
            </w:pPr>
            <w:r>
              <w:rPr>
                <w:rFonts w:eastAsia="標楷體"/>
                <w:kern w:val="0"/>
                <w:szCs w:val="24"/>
              </w:rPr>
              <w:t>新加坡</w:t>
            </w:r>
          </w:p>
        </w:tc>
        <w:tc>
          <w:tcPr>
            <w:tcW w:w="131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54C564" w14:textId="77777777" w:rsidR="00052596" w:rsidRDefault="00000000">
            <w:pPr>
              <w:spacing w:line="360" w:lineRule="atLeast"/>
              <w:ind w:right="480"/>
              <w:jc w:val="right"/>
              <w:rPr>
                <w:rFonts w:eastAsia="標楷體"/>
                <w:kern w:val="0"/>
                <w:szCs w:val="24"/>
              </w:rPr>
            </w:pPr>
            <w:r>
              <w:rPr>
                <w:rFonts w:eastAsia="標楷體"/>
                <w:kern w:val="0"/>
                <w:szCs w:val="24"/>
              </w:rPr>
              <w:t>24</w:t>
            </w:r>
          </w:p>
        </w:tc>
        <w:tc>
          <w:tcPr>
            <w:tcW w:w="13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2556D5" w14:textId="77777777" w:rsidR="00052596" w:rsidRDefault="00000000">
            <w:pPr>
              <w:spacing w:line="360" w:lineRule="atLeast"/>
              <w:ind w:right="480"/>
              <w:jc w:val="right"/>
              <w:rPr>
                <w:rFonts w:eastAsia="標楷體"/>
                <w:kern w:val="0"/>
                <w:szCs w:val="24"/>
              </w:rPr>
            </w:pPr>
            <w:r>
              <w:rPr>
                <w:rFonts w:eastAsia="標楷體"/>
                <w:kern w:val="0"/>
                <w:szCs w:val="24"/>
              </w:rPr>
              <w:t>51</w:t>
            </w:r>
          </w:p>
        </w:tc>
        <w:tc>
          <w:tcPr>
            <w:tcW w:w="131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810A7D" w14:textId="77777777" w:rsidR="00052596" w:rsidRDefault="00000000">
            <w:pPr>
              <w:spacing w:line="360" w:lineRule="atLeast"/>
              <w:ind w:right="480"/>
              <w:jc w:val="right"/>
              <w:rPr>
                <w:rFonts w:eastAsia="標楷體"/>
                <w:kern w:val="0"/>
                <w:szCs w:val="24"/>
              </w:rPr>
            </w:pPr>
            <w:r>
              <w:rPr>
                <w:rFonts w:eastAsia="標楷體"/>
                <w:kern w:val="0"/>
                <w:szCs w:val="24"/>
              </w:rPr>
              <w:t>23</w:t>
            </w:r>
          </w:p>
        </w:tc>
        <w:tc>
          <w:tcPr>
            <w:tcW w:w="13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7C2078" w14:textId="77777777" w:rsidR="00052596" w:rsidRDefault="00000000">
            <w:pPr>
              <w:spacing w:line="360" w:lineRule="atLeast"/>
              <w:ind w:right="480"/>
              <w:jc w:val="right"/>
              <w:rPr>
                <w:rFonts w:eastAsia="標楷體"/>
                <w:kern w:val="0"/>
                <w:szCs w:val="24"/>
              </w:rPr>
            </w:pPr>
            <w:r>
              <w:rPr>
                <w:rFonts w:eastAsia="標楷體"/>
                <w:kern w:val="0"/>
                <w:szCs w:val="24"/>
              </w:rPr>
              <w:t>1</w:t>
            </w:r>
          </w:p>
        </w:tc>
        <w:tc>
          <w:tcPr>
            <w:tcW w:w="1320" w:type="dxa"/>
            <w:tcBorders>
              <w:left w:val="single" w:sz="4" w:space="0" w:color="000000"/>
            </w:tcBorders>
            <w:shd w:val="clear" w:color="auto" w:fill="auto"/>
            <w:tcMar>
              <w:top w:w="0" w:type="dxa"/>
              <w:left w:w="108" w:type="dxa"/>
              <w:bottom w:w="0" w:type="dxa"/>
              <w:right w:w="108" w:type="dxa"/>
            </w:tcMar>
            <w:vAlign w:val="center"/>
          </w:tcPr>
          <w:p w14:paraId="70F68B3C" w14:textId="77777777" w:rsidR="00052596" w:rsidRDefault="00000000">
            <w:pPr>
              <w:spacing w:line="360" w:lineRule="atLeast"/>
              <w:ind w:right="480"/>
              <w:jc w:val="right"/>
              <w:rPr>
                <w:rFonts w:eastAsia="標楷體"/>
                <w:kern w:val="0"/>
                <w:szCs w:val="24"/>
              </w:rPr>
            </w:pPr>
            <w:r>
              <w:rPr>
                <w:rFonts w:eastAsia="標楷體"/>
                <w:kern w:val="0"/>
                <w:szCs w:val="24"/>
              </w:rPr>
              <w:t>79</w:t>
            </w:r>
          </w:p>
        </w:tc>
      </w:tr>
      <w:tr w:rsidR="00052596" w14:paraId="73849866" w14:textId="77777777">
        <w:tblPrEx>
          <w:tblCellMar>
            <w:top w:w="0" w:type="dxa"/>
            <w:bottom w:w="0" w:type="dxa"/>
          </w:tblCellMar>
        </w:tblPrEx>
        <w:trPr>
          <w:trHeight w:val="422"/>
          <w:jc w:val="center"/>
        </w:trPr>
        <w:tc>
          <w:tcPr>
            <w:tcW w:w="1954" w:type="dxa"/>
            <w:tcBorders>
              <w:right w:val="single" w:sz="4" w:space="0" w:color="000000"/>
            </w:tcBorders>
            <w:shd w:val="clear" w:color="auto" w:fill="auto"/>
            <w:tcMar>
              <w:top w:w="0" w:type="dxa"/>
              <w:left w:w="108" w:type="dxa"/>
              <w:bottom w:w="0" w:type="dxa"/>
              <w:right w:w="108" w:type="dxa"/>
            </w:tcMar>
            <w:vAlign w:val="center"/>
          </w:tcPr>
          <w:p w14:paraId="1EEAD207" w14:textId="77777777" w:rsidR="00052596" w:rsidRDefault="00000000">
            <w:pPr>
              <w:spacing w:line="360" w:lineRule="atLeast"/>
              <w:ind w:left="240"/>
              <w:rPr>
                <w:rFonts w:eastAsia="標楷體"/>
                <w:kern w:val="0"/>
                <w:szCs w:val="24"/>
              </w:rPr>
            </w:pPr>
            <w:r>
              <w:rPr>
                <w:rFonts w:eastAsia="標楷體"/>
                <w:kern w:val="0"/>
                <w:szCs w:val="24"/>
              </w:rPr>
              <w:t>香港</w:t>
            </w:r>
          </w:p>
        </w:tc>
        <w:tc>
          <w:tcPr>
            <w:tcW w:w="131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881D6D" w14:textId="77777777" w:rsidR="00052596" w:rsidRDefault="00000000">
            <w:pPr>
              <w:spacing w:line="360" w:lineRule="atLeast"/>
              <w:ind w:right="480"/>
              <w:jc w:val="right"/>
              <w:rPr>
                <w:rFonts w:eastAsia="標楷體"/>
                <w:kern w:val="0"/>
                <w:szCs w:val="24"/>
              </w:rPr>
            </w:pPr>
            <w:r>
              <w:rPr>
                <w:rFonts w:eastAsia="標楷體"/>
                <w:kern w:val="0"/>
                <w:szCs w:val="24"/>
              </w:rPr>
              <w:t>20</w:t>
            </w:r>
          </w:p>
        </w:tc>
        <w:tc>
          <w:tcPr>
            <w:tcW w:w="13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DDB1FE" w14:textId="77777777" w:rsidR="00052596" w:rsidRDefault="00000000">
            <w:pPr>
              <w:spacing w:line="360" w:lineRule="atLeast"/>
              <w:ind w:right="480"/>
              <w:jc w:val="right"/>
              <w:rPr>
                <w:rFonts w:eastAsia="標楷體"/>
                <w:kern w:val="0"/>
                <w:szCs w:val="24"/>
              </w:rPr>
            </w:pPr>
            <w:r>
              <w:rPr>
                <w:rFonts w:eastAsia="標楷體"/>
                <w:kern w:val="0"/>
                <w:szCs w:val="24"/>
              </w:rPr>
              <w:t>28</w:t>
            </w:r>
          </w:p>
        </w:tc>
        <w:tc>
          <w:tcPr>
            <w:tcW w:w="131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023D7B" w14:textId="77777777" w:rsidR="00052596" w:rsidRDefault="00000000">
            <w:pPr>
              <w:spacing w:line="360" w:lineRule="atLeast"/>
              <w:ind w:right="480"/>
              <w:jc w:val="right"/>
              <w:rPr>
                <w:rFonts w:eastAsia="標楷體"/>
                <w:kern w:val="0"/>
                <w:szCs w:val="24"/>
              </w:rPr>
            </w:pPr>
            <w:r>
              <w:rPr>
                <w:rFonts w:eastAsia="標楷體"/>
                <w:kern w:val="0"/>
                <w:szCs w:val="24"/>
              </w:rPr>
              <w:t>26</w:t>
            </w:r>
          </w:p>
        </w:tc>
        <w:tc>
          <w:tcPr>
            <w:tcW w:w="13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FD7A36" w14:textId="77777777" w:rsidR="00052596" w:rsidRDefault="00000000">
            <w:pPr>
              <w:spacing w:line="360" w:lineRule="atLeast"/>
              <w:ind w:right="480"/>
              <w:jc w:val="right"/>
              <w:rPr>
                <w:rFonts w:eastAsia="標楷體"/>
                <w:kern w:val="0"/>
                <w:szCs w:val="24"/>
              </w:rPr>
            </w:pPr>
            <w:r>
              <w:rPr>
                <w:rFonts w:eastAsia="標楷體"/>
                <w:kern w:val="0"/>
                <w:szCs w:val="24"/>
              </w:rPr>
              <w:t>1</w:t>
            </w:r>
          </w:p>
        </w:tc>
        <w:tc>
          <w:tcPr>
            <w:tcW w:w="1320" w:type="dxa"/>
            <w:tcBorders>
              <w:left w:val="single" w:sz="4" w:space="0" w:color="000000"/>
            </w:tcBorders>
            <w:shd w:val="clear" w:color="auto" w:fill="auto"/>
            <w:tcMar>
              <w:top w:w="0" w:type="dxa"/>
              <w:left w:w="108" w:type="dxa"/>
              <w:bottom w:w="0" w:type="dxa"/>
              <w:right w:w="108" w:type="dxa"/>
            </w:tcMar>
            <w:vAlign w:val="center"/>
          </w:tcPr>
          <w:p w14:paraId="3C46645A" w14:textId="77777777" w:rsidR="00052596" w:rsidRDefault="00000000">
            <w:pPr>
              <w:spacing w:line="360" w:lineRule="atLeast"/>
              <w:ind w:right="480"/>
              <w:jc w:val="right"/>
              <w:rPr>
                <w:rFonts w:eastAsia="標楷體"/>
                <w:kern w:val="0"/>
                <w:szCs w:val="24"/>
              </w:rPr>
            </w:pPr>
            <w:r>
              <w:rPr>
                <w:rFonts w:eastAsia="標楷體"/>
                <w:kern w:val="0"/>
                <w:szCs w:val="24"/>
              </w:rPr>
              <w:t>80</w:t>
            </w:r>
          </w:p>
        </w:tc>
      </w:tr>
      <w:tr w:rsidR="00052596" w14:paraId="0520FA55" w14:textId="77777777">
        <w:tblPrEx>
          <w:tblCellMar>
            <w:top w:w="0" w:type="dxa"/>
            <w:bottom w:w="0" w:type="dxa"/>
          </w:tblCellMar>
        </w:tblPrEx>
        <w:trPr>
          <w:trHeight w:val="422"/>
          <w:jc w:val="center"/>
        </w:trPr>
        <w:tc>
          <w:tcPr>
            <w:tcW w:w="1954" w:type="dxa"/>
            <w:tcBorders>
              <w:right w:val="single" w:sz="4" w:space="0" w:color="000000"/>
            </w:tcBorders>
            <w:shd w:val="clear" w:color="auto" w:fill="auto"/>
            <w:tcMar>
              <w:top w:w="0" w:type="dxa"/>
              <w:left w:w="108" w:type="dxa"/>
              <w:bottom w:w="0" w:type="dxa"/>
              <w:right w:w="108" w:type="dxa"/>
            </w:tcMar>
            <w:vAlign w:val="center"/>
          </w:tcPr>
          <w:p w14:paraId="40D77ABD" w14:textId="77777777" w:rsidR="00052596" w:rsidRDefault="00000000">
            <w:pPr>
              <w:spacing w:line="360" w:lineRule="atLeast"/>
              <w:ind w:left="240"/>
              <w:rPr>
                <w:rFonts w:eastAsia="標楷體"/>
                <w:kern w:val="0"/>
                <w:szCs w:val="24"/>
              </w:rPr>
            </w:pPr>
            <w:r>
              <w:rPr>
                <w:rFonts w:eastAsia="標楷體"/>
                <w:kern w:val="0"/>
                <w:szCs w:val="24"/>
              </w:rPr>
              <w:t>中國大陸</w:t>
            </w:r>
          </w:p>
        </w:tc>
        <w:tc>
          <w:tcPr>
            <w:tcW w:w="131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8C7DE7" w14:textId="77777777" w:rsidR="00052596" w:rsidRDefault="00000000">
            <w:pPr>
              <w:spacing w:line="360" w:lineRule="atLeast"/>
              <w:ind w:right="480"/>
              <w:jc w:val="right"/>
              <w:rPr>
                <w:rFonts w:eastAsia="標楷體"/>
                <w:kern w:val="0"/>
                <w:szCs w:val="24"/>
              </w:rPr>
            </w:pPr>
            <w:r>
              <w:rPr>
                <w:rFonts w:eastAsia="標楷體"/>
                <w:kern w:val="0"/>
                <w:szCs w:val="24"/>
              </w:rPr>
              <w:t>62</w:t>
            </w:r>
          </w:p>
        </w:tc>
        <w:tc>
          <w:tcPr>
            <w:tcW w:w="13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C6C736" w14:textId="77777777" w:rsidR="00052596" w:rsidRDefault="00000000">
            <w:pPr>
              <w:spacing w:line="360" w:lineRule="atLeast"/>
              <w:ind w:right="480"/>
              <w:jc w:val="right"/>
              <w:rPr>
                <w:rFonts w:eastAsia="標楷體"/>
                <w:kern w:val="0"/>
                <w:szCs w:val="24"/>
              </w:rPr>
            </w:pPr>
            <w:r>
              <w:rPr>
                <w:rFonts w:eastAsia="標楷體"/>
                <w:kern w:val="0"/>
                <w:szCs w:val="24"/>
              </w:rPr>
              <w:t>46</w:t>
            </w:r>
          </w:p>
        </w:tc>
        <w:tc>
          <w:tcPr>
            <w:tcW w:w="1319"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D5103F" w14:textId="77777777" w:rsidR="00052596" w:rsidRDefault="00000000">
            <w:pPr>
              <w:spacing w:line="360" w:lineRule="atLeast"/>
              <w:ind w:right="480"/>
              <w:jc w:val="right"/>
              <w:rPr>
                <w:rFonts w:eastAsia="標楷體"/>
                <w:kern w:val="0"/>
                <w:szCs w:val="24"/>
              </w:rPr>
            </w:pPr>
            <w:r>
              <w:rPr>
                <w:rFonts w:eastAsia="標楷體"/>
                <w:kern w:val="0"/>
                <w:szCs w:val="24"/>
              </w:rPr>
              <w:t>10</w:t>
            </w:r>
          </w:p>
        </w:tc>
        <w:tc>
          <w:tcPr>
            <w:tcW w:w="132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DD3279" w14:textId="77777777" w:rsidR="00052596" w:rsidRDefault="00000000">
            <w:pPr>
              <w:spacing w:line="360" w:lineRule="atLeast"/>
              <w:ind w:right="480"/>
              <w:jc w:val="right"/>
              <w:rPr>
                <w:rFonts w:eastAsia="標楷體"/>
                <w:kern w:val="0"/>
                <w:szCs w:val="24"/>
              </w:rPr>
            </w:pPr>
            <w:r>
              <w:rPr>
                <w:rFonts w:eastAsia="標楷體"/>
                <w:kern w:val="0"/>
                <w:szCs w:val="24"/>
              </w:rPr>
              <w:t>63</w:t>
            </w:r>
          </w:p>
        </w:tc>
        <w:tc>
          <w:tcPr>
            <w:tcW w:w="1320" w:type="dxa"/>
            <w:tcBorders>
              <w:left w:val="single" w:sz="4" w:space="0" w:color="000000"/>
            </w:tcBorders>
            <w:shd w:val="clear" w:color="auto" w:fill="auto"/>
            <w:tcMar>
              <w:top w:w="0" w:type="dxa"/>
              <w:left w:w="108" w:type="dxa"/>
              <w:bottom w:w="0" w:type="dxa"/>
              <w:right w:w="108" w:type="dxa"/>
            </w:tcMar>
            <w:vAlign w:val="center"/>
          </w:tcPr>
          <w:p w14:paraId="29E65A3F" w14:textId="77777777" w:rsidR="00052596" w:rsidRDefault="00000000">
            <w:pPr>
              <w:spacing w:line="360" w:lineRule="atLeast"/>
              <w:ind w:right="480"/>
              <w:jc w:val="right"/>
              <w:rPr>
                <w:rFonts w:eastAsia="標楷體"/>
                <w:kern w:val="0"/>
                <w:szCs w:val="24"/>
              </w:rPr>
            </w:pPr>
            <w:r>
              <w:rPr>
                <w:rFonts w:eastAsia="標楷體"/>
                <w:kern w:val="0"/>
                <w:szCs w:val="24"/>
              </w:rPr>
              <w:t>82</w:t>
            </w:r>
          </w:p>
        </w:tc>
      </w:tr>
      <w:tr w:rsidR="00052596" w14:paraId="38ACB120" w14:textId="77777777">
        <w:tblPrEx>
          <w:tblCellMar>
            <w:top w:w="0" w:type="dxa"/>
            <w:bottom w:w="0" w:type="dxa"/>
          </w:tblCellMar>
        </w:tblPrEx>
        <w:trPr>
          <w:trHeight w:val="422"/>
          <w:jc w:val="center"/>
        </w:trPr>
        <w:tc>
          <w:tcPr>
            <w:tcW w:w="195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D304161" w14:textId="77777777" w:rsidR="00052596" w:rsidRDefault="00000000">
            <w:pPr>
              <w:spacing w:line="360" w:lineRule="atLeast"/>
              <w:ind w:left="240"/>
              <w:rPr>
                <w:rFonts w:eastAsia="標楷體"/>
                <w:kern w:val="0"/>
                <w:szCs w:val="24"/>
              </w:rPr>
            </w:pPr>
            <w:r>
              <w:rPr>
                <w:rFonts w:eastAsia="標楷體"/>
                <w:kern w:val="0"/>
                <w:szCs w:val="24"/>
              </w:rPr>
              <w:t>日本</w:t>
            </w:r>
          </w:p>
        </w:tc>
        <w:tc>
          <w:tcPr>
            <w:tcW w:w="131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9106A" w14:textId="77777777" w:rsidR="00052596" w:rsidRDefault="00000000">
            <w:pPr>
              <w:spacing w:line="360" w:lineRule="atLeast"/>
              <w:ind w:right="480"/>
              <w:jc w:val="right"/>
              <w:rPr>
                <w:rFonts w:eastAsia="標楷體"/>
                <w:kern w:val="0"/>
                <w:szCs w:val="24"/>
              </w:rPr>
            </w:pPr>
            <w:r>
              <w:rPr>
                <w:rFonts w:eastAsia="標楷體"/>
                <w:kern w:val="0"/>
                <w:szCs w:val="24"/>
              </w:rPr>
              <w:t>3</w:t>
            </w:r>
          </w:p>
        </w:tc>
        <w:tc>
          <w:tcPr>
            <w:tcW w:w="13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774BE" w14:textId="77777777" w:rsidR="00052596" w:rsidRDefault="00000000">
            <w:pPr>
              <w:spacing w:line="360" w:lineRule="atLeast"/>
              <w:ind w:right="480"/>
              <w:jc w:val="right"/>
              <w:rPr>
                <w:rFonts w:eastAsia="標楷體"/>
                <w:kern w:val="0"/>
                <w:szCs w:val="24"/>
              </w:rPr>
            </w:pPr>
            <w:r>
              <w:rPr>
                <w:rFonts w:eastAsia="標楷體"/>
                <w:kern w:val="0"/>
                <w:szCs w:val="24"/>
              </w:rPr>
              <w:t>1</w:t>
            </w:r>
          </w:p>
        </w:tc>
        <w:tc>
          <w:tcPr>
            <w:tcW w:w="131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68CBE" w14:textId="77777777" w:rsidR="00052596" w:rsidRDefault="00000000">
            <w:pPr>
              <w:spacing w:line="360" w:lineRule="atLeast"/>
              <w:ind w:right="480"/>
              <w:jc w:val="right"/>
              <w:rPr>
                <w:rFonts w:eastAsia="標楷體"/>
                <w:kern w:val="0"/>
                <w:szCs w:val="24"/>
              </w:rPr>
            </w:pPr>
            <w:r>
              <w:rPr>
                <w:rFonts w:eastAsia="標楷體"/>
                <w:kern w:val="0"/>
                <w:szCs w:val="24"/>
              </w:rPr>
              <w:t>4</w:t>
            </w:r>
          </w:p>
        </w:tc>
        <w:tc>
          <w:tcPr>
            <w:tcW w:w="13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22832" w14:textId="77777777" w:rsidR="00052596" w:rsidRDefault="00000000">
            <w:pPr>
              <w:spacing w:line="360" w:lineRule="atLeast"/>
              <w:ind w:right="480"/>
              <w:jc w:val="right"/>
              <w:rPr>
                <w:rFonts w:eastAsia="標楷體"/>
                <w:kern w:val="0"/>
                <w:szCs w:val="24"/>
              </w:rPr>
            </w:pPr>
            <w:r>
              <w:rPr>
                <w:rFonts w:eastAsia="標楷體"/>
                <w:kern w:val="0"/>
                <w:szCs w:val="24"/>
              </w:rPr>
              <w:t>74</w:t>
            </w:r>
          </w:p>
        </w:tc>
        <w:tc>
          <w:tcPr>
            <w:tcW w:w="132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B6CD178" w14:textId="77777777" w:rsidR="00052596" w:rsidRDefault="00000000">
            <w:pPr>
              <w:spacing w:line="360" w:lineRule="atLeast"/>
              <w:ind w:right="480"/>
              <w:jc w:val="right"/>
              <w:rPr>
                <w:rFonts w:eastAsia="標楷體"/>
                <w:kern w:val="0"/>
                <w:szCs w:val="24"/>
              </w:rPr>
            </w:pPr>
            <w:r>
              <w:rPr>
                <w:rFonts w:eastAsia="標楷體"/>
                <w:kern w:val="0"/>
                <w:szCs w:val="24"/>
              </w:rPr>
              <w:t>51</w:t>
            </w:r>
          </w:p>
        </w:tc>
      </w:tr>
    </w:tbl>
    <w:p w14:paraId="5413EBDF" w14:textId="77777777" w:rsidR="00052596" w:rsidRDefault="00000000">
      <w:pPr>
        <w:overflowPunct w:val="0"/>
        <w:autoSpaceDE w:val="0"/>
        <w:spacing w:before="72" w:after="240" w:line="280" w:lineRule="exact"/>
        <w:ind w:left="1120" w:hanging="1000"/>
        <w:jc w:val="both"/>
        <w:textAlignment w:val="center"/>
      </w:pPr>
      <w:r>
        <w:rPr>
          <w:rFonts w:eastAsia="標楷體"/>
          <w:kern w:val="0"/>
          <w:sz w:val="20"/>
        </w:rPr>
        <w:t>資料來源：</w:t>
      </w:r>
      <w:r>
        <w:rPr>
          <w:rFonts w:eastAsia="標楷體"/>
          <w:kern w:val="0"/>
          <w:sz w:val="20"/>
        </w:rPr>
        <w:t xml:space="preserve">WEF, </w:t>
      </w:r>
      <w:r>
        <w:rPr>
          <w:rFonts w:eastAsia="標楷體"/>
          <w:i/>
          <w:spacing w:val="-6"/>
          <w:kern w:val="0"/>
          <w:sz w:val="20"/>
        </w:rPr>
        <w:t>The Global Competitiveness Report,</w:t>
      </w:r>
      <w:r>
        <w:rPr>
          <w:rFonts w:eastAsia="標楷體"/>
          <w:kern w:val="0"/>
          <w:sz w:val="20"/>
        </w:rPr>
        <w:t>各年版。</w:t>
      </w:r>
    </w:p>
    <w:p w14:paraId="1B4C9C49"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651460E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充分供應國內重要民生物資，維持市場穩定。</w:t>
      </w:r>
    </w:p>
    <w:p w14:paraId="59D75E1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維持消費者物價指數與躉售物價指數相對穩定。</w:t>
      </w:r>
    </w:p>
    <w:p w14:paraId="36411A6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7A9DD16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適時採行妥適的貨幣政策、信用及外匯政策，穩定物價</w:t>
      </w:r>
    </w:p>
    <w:p w14:paraId="1377584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靈活採行公開市場操作、貼放利率政策、準備金政策及其他的貨幣政策工具，維持銀行體系準備部位及市場利率於適當水準，俾在物價穩定的前提下，提供經濟成長所需的充分流動性。</w:t>
      </w:r>
    </w:p>
    <w:p w14:paraId="6482590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妥適利用外匯政策及管理措施，適時調節匯市供需，維持外匯市場秩序，促使新臺幣匯率維持動態穩定，有助經濟金融穩定。</w:t>
      </w:r>
    </w:p>
    <w:p w14:paraId="779D8AE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因應經濟金融環境變遷，調整貨幣政策操作策略，俾達成物</w:t>
      </w:r>
      <w:r>
        <w:rPr>
          <w:rFonts w:eastAsia="標楷體"/>
          <w:spacing w:val="4"/>
          <w:kern w:val="0"/>
          <w:sz w:val="28"/>
          <w:szCs w:val="26"/>
        </w:rPr>
        <w:lastRenderedPageBreak/>
        <w:t>價與金融穩定的雙重目標。</w:t>
      </w:r>
    </w:p>
    <w:p w14:paraId="71E780D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建構糧食、原油及重要原物料之安全供應機制</w:t>
      </w:r>
    </w:p>
    <w:p w14:paraId="59466A6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活化利用每年兩期作休耕農地，鼓勵種植進口替代、產銷無虞作物，提高國內糧食自給率</w:t>
      </w:r>
      <w:r>
        <w:rPr>
          <w:rFonts w:ascii="標楷體" w:eastAsia="標楷體" w:hAnsi="標楷體"/>
          <w:spacing w:val="4"/>
          <w:kern w:val="0"/>
          <w:sz w:val="28"/>
          <w:szCs w:val="26"/>
        </w:rPr>
        <w:t>(</w:t>
      </w:r>
      <w:r>
        <w:rPr>
          <w:rFonts w:eastAsia="標楷體"/>
          <w:spacing w:val="4"/>
          <w:kern w:val="0"/>
          <w:sz w:val="28"/>
          <w:szCs w:val="26"/>
        </w:rPr>
        <w:t>2020</w:t>
      </w:r>
      <w:r>
        <w:rPr>
          <w:rFonts w:eastAsia="標楷體"/>
          <w:spacing w:val="4"/>
          <w:kern w:val="0"/>
          <w:sz w:val="28"/>
          <w:szCs w:val="26"/>
        </w:rPr>
        <w:t>年提高至</w:t>
      </w:r>
      <w:r>
        <w:rPr>
          <w:rFonts w:eastAsia="標楷體"/>
          <w:spacing w:val="4"/>
          <w:kern w:val="0"/>
          <w:sz w:val="28"/>
          <w:szCs w:val="26"/>
        </w:rPr>
        <w:t>40%</w:t>
      </w:r>
      <w:r>
        <w:rPr>
          <w:rFonts w:ascii="標楷體" w:eastAsia="標楷體" w:hAnsi="標楷體"/>
          <w:spacing w:val="4"/>
          <w:kern w:val="0"/>
          <w:sz w:val="28"/>
          <w:szCs w:val="26"/>
        </w:rPr>
        <w:t>)</w:t>
      </w:r>
      <w:r>
        <w:rPr>
          <w:rFonts w:eastAsia="標楷體"/>
          <w:spacing w:val="4"/>
          <w:kern w:val="0"/>
          <w:sz w:val="28"/>
          <w:szCs w:val="26"/>
        </w:rPr>
        <w:t>，確保糧食潛在供應能力。</w:t>
      </w:r>
    </w:p>
    <w:p w14:paraId="7D6C06F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確保農產物價穩定，加強產銷資訊蒐集，建立農產品產銷預警系統，掌握供需狀況，加強辦理供需調配措施。</w:t>
      </w:r>
    </w:p>
    <w:p w14:paraId="3453477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掌握國際糧食與大宗物資資訊，分散大宗物資進口來源，降低進口成本。有效掌握油源並維持合理安全存量。</w:t>
      </w:r>
    </w:p>
    <w:p w14:paraId="79EA244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監控大宗及重要民生物資之市場行情，遏止不當漲價行為</w:t>
      </w:r>
    </w:p>
    <w:p w14:paraId="267FB06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持續嚴密監視大宗物資及重要民生物資價格變動，及時採取因應</w:t>
      </w:r>
      <w:r>
        <w:rPr>
          <w:rFonts w:eastAsia="標楷體"/>
          <w:spacing w:val="8"/>
          <w:kern w:val="0"/>
          <w:sz w:val="28"/>
          <w:szCs w:val="26"/>
        </w:rPr>
        <w:t>措施，必要時請有關業者協調物資之供需，維持物價穩</w:t>
      </w:r>
      <w:r>
        <w:rPr>
          <w:rFonts w:eastAsia="標楷體"/>
          <w:spacing w:val="4"/>
          <w:kern w:val="0"/>
          <w:sz w:val="28"/>
          <w:szCs w:val="26"/>
        </w:rPr>
        <w:t>定。</w:t>
      </w:r>
    </w:p>
    <w:p w14:paraId="0B9E76B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定期及不定期訪查民生必需品價格，掌握民生物價變動趨勢，適時採取因應措施。</w:t>
      </w:r>
    </w:p>
    <w:p w14:paraId="593E3A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鼓勵民眾充分運用全民監測物價機制，勇於申訴或檢舉不合理漲價個案，擴大監測效果，遏止不肖業者之不當漲價行為。</w:t>
      </w:r>
    </w:p>
    <w:p w14:paraId="43526F8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查緝非法囤積與聯合哄抬，維護市場交易秩序</w:t>
      </w:r>
    </w:p>
    <w:p w14:paraId="4C8D9B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持續推動辦理「舉發商品囤積單一窗口工作」，防止民生物資非法囤積或聯合哄抬情事，維持市場交易秩序。</w:t>
      </w:r>
    </w:p>
    <w:p w14:paraId="6F93A1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強化基層跨機關合作查緝囤積商品、哄抬物價之機制。</w:t>
      </w:r>
    </w:p>
    <w:p w14:paraId="0DADF5F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關注國內重要民生物資市況情形，適時辦理公平交易法各項宣傳活動，以收預先防範違法之功效，維護交易秩序。</w:t>
      </w:r>
    </w:p>
    <w:p w14:paraId="65C2AED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國際原油、重要原物料價格若持續飆漲，對國內物價及民生造成相當衝擊，可採取的短期因應措施：</w:t>
      </w:r>
    </w:p>
    <w:p w14:paraId="78BB712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適時機動調降關稅或進口大宗物資營業稅，並調節物資供應及產業經營。</w:t>
      </w:r>
    </w:p>
    <w:p w14:paraId="49F1FF8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適時提供身心障礙者復康巴士服務油價差額補助，及居家身心障礙者維生設備用電補助，減輕身心障礙者家庭經濟負</w:t>
      </w:r>
      <w:r>
        <w:rPr>
          <w:rFonts w:eastAsia="標楷體"/>
          <w:spacing w:val="4"/>
          <w:kern w:val="0"/>
          <w:sz w:val="28"/>
          <w:szCs w:val="26"/>
        </w:rPr>
        <w:lastRenderedPageBreak/>
        <w:t>擔，確保弱勢族群基本需求。</w:t>
      </w:r>
    </w:p>
    <w:p w14:paraId="63E59837"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A0D6792" w14:textId="77777777" w:rsidR="00052596" w:rsidRDefault="00052596">
      <w:pPr>
        <w:pageBreakBefore/>
        <w:widowControl/>
      </w:pPr>
    </w:p>
    <w:p w14:paraId="6F4B33F6"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第二節　公義社會</w:t>
      </w:r>
    </w:p>
    <w:p w14:paraId="3315622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6640AE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60"/>
        <w:jc w:val="both"/>
        <w:textAlignment w:val="center"/>
        <w:rPr>
          <w:rFonts w:eastAsia="標楷體"/>
          <w:kern w:val="0"/>
          <w:sz w:val="28"/>
          <w:szCs w:val="26"/>
        </w:rPr>
      </w:pPr>
      <w:r>
        <w:rPr>
          <w:rFonts w:eastAsia="標楷體"/>
          <w:kern w:val="0"/>
          <w:sz w:val="28"/>
          <w:szCs w:val="26"/>
        </w:rPr>
        <w:t>未來四年，政府將以公平正義、均富安康的政策理念，透過「均富共享」、「平安健康」、「扶幼護老」、「族群和諧」、「居住正義」、「性別平等」六項施政主軸，致力維護社會公平正義與人民平安健康。在均富共享方面，致力改善所得分配，讓全民共享經濟發展成果。平安健康方面，建立永續健保制度，合理配置醫療資源，精進醫療照護體系，維護民眾生活起居安全。在扶幼護老方面，落實托育教保服務，健全長照服務體系，以完善身心障礙者照顧及支持服務體系。至於族群和諧方面，將全力維護族群文化永續發展，扶植特色產業，創造多元族群和諧共榮社會。居住正義方面，將透過建立符合社會公義之整體住宅政策，營造具美感及永續觀念的城鄉環境。性別平等方面，將落實性別平權，打造性別平等共治、共享、共贏的永續社會。</w:t>
      </w:r>
    </w:p>
    <w:p w14:paraId="5703F0E0"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D3CA5DA"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壹、均富共享</w:t>
      </w:r>
    </w:p>
    <w:p w14:paraId="2AB38C4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519C288"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由於知識經濟發展、全球化以及生產專業分工，所得分配差距擴大成為世界各國共同面臨的問題。</w:t>
      </w:r>
      <w:r>
        <w:rPr>
          <w:rFonts w:eastAsia="標楷體"/>
          <w:spacing w:val="6"/>
          <w:kern w:val="0"/>
          <w:sz w:val="28"/>
          <w:szCs w:val="26"/>
        </w:rPr>
        <w:t>我國自民國</w:t>
      </w:r>
      <w:r>
        <w:rPr>
          <w:rFonts w:eastAsia="標楷體"/>
          <w:spacing w:val="6"/>
          <w:kern w:val="0"/>
          <w:sz w:val="28"/>
          <w:szCs w:val="26"/>
        </w:rPr>
        <w:t>70</w:t>
      </w:r>
      <w:r>
        <w:rPr>
          <w:rFonts w:eastAsia="標楷體"/>
          <w:spacing w:val="6"/>
          <w:kern w:val="0"/>
          <w:sz w:val="28"/>
          <w:szCs w:val="26"/>
        </w:rPr>
        <w:t>年代以來，所得差距亦呈現緩步上升趨勢，家戶可支配所得五等分位差距倍數由</w:t>
      </w:r>
      <w:r>
        <w:rPr>
          <w:rFonts w:eastAsia="標楷體"/>
          <w:spacing w:val="6"/>
          <w:kern w:val="0"/>
          <w:sz w:val="28"/>
          <w:szCs w:val="26"/>
        </w:rPr>
        <w:t>69</w:t>
      </w:r>
      <w:r>
        <w:rPr>
          <w:rFonts w:eastAsia="標楷體"/>
          <w:spacing w:val="6"/>
          <w:kern w:val="0"/>
          <w:sz w:val="28"/>
          <w:szCs w:val="26"/>
        </w:rPr>
        <w:t>年</w:t>
      </w:r>
      <w:r>
        <w:rPr>
          <w:rFonts w:eastAsia="標楷體"/>
          <w:spacing w:val="6"/>
          <w:kern w:val="0"/>
          <w:sz w:val="28"/>
          <w:szCs w:val="26"/>
        </w:rPr>
        <w:t>4.17</w:t>
      </w:r>
      <w:r>
        <w:rPr>
          <w:rFonts w:eastAsia="標楷體"/>
          <w:spacing w:val="6"/>
          <w:kern w:val="0"/>
          <w:sz w:val="28"/>
          <w:szCs w:val="26"/>
        </w:rPr>
        <w:t>倍，逐步上升至</w:t>
      </w:r>
      <w:r>
        <w:rPr>
          <w:rFonts w:eastAsia="標楷體"/>
          <w:spacing w:val="6"/>
          <w:kern w:val="0"/>
          <w:sz w:val="28"/>
          <w:szCs w:val="26"/>
        </w:rPr>
        <w:t>100</w:t>
      </w:r>
      <w:r>
        <w:rPr>
          <w:rFonts w:eastAsia="標楷體"/>
          <w:spacing w:val="6"/>
          <w:kern w:val="0"/>
          <w:sz w:val="28"/>
          <w:szCs w:val="26"/>
        </w:rPr>
        <w:t>年</w:t>
      </w:r>
      <w:r>
        <w:rPr>
          <w:rFonts w:eastAsia="標楷體"/>
          <w:spacing w:val="6"/>
          <w:kern w:val="0"/>
          <w:sz w:val="28"/>
          <w:szCs w:val="26"/>
        </w:rPr>
        <w:t>6.17</w:t>
      </w:r>
      <w:r>
        <w:rPr>
          <w:rFonts w:eastAsia="標楷體"/>
          <w:spacing w:val="6"/>
          <w:kern w:val="0"/>
          <w:sz w:val="28"/>
          <w:szCs w:val="26"/>
        </w:rPr>
        <w:t>倍，然歷年吉尼係數均能維持在</w:t>
      </w:r>
      <w:r>
        <w:rPr>
          <w:rFonts w:eastAsia="標楷體"/>
          <w:spacing w:val="6"/>
          <w:kern w:val="0"/>
          <w:sz w:val="28"/>
          <w:szCs w:val="26"/>
        </w:rPr>
        <w:t>0.35</w:t>
      </w:r>
      <w:r>
        <w:rPr>
          <w:rFonts w:eastAsia="標楷體"/>
          <w:spacing w:val="6"/>
          <w:kern w:val="0"/>
          <w:sz w:val="28"/>
          <w:szCs w:val="26"/>
        </w:rPr>
        <w:t>以下，屬於國際認為相對合理</w:t>
      </w:r>
      <w:r>
        <w:rPr>
          <w:rFonts w:ascii="標楷體" w:eastAsia="標楷體" w:hAnsi="標楷體"/>
          <w:spacing w:val="6"/>
          <w:kern w:val="0"/>
          <w:sz w:val="28"/>
          <w:szCs w:val="26"/>
        </w:rPr>
        <w:t>(</w:t>
      </w:r>
      <w:r>
        <w:rPr>
          <w:rFonts w:eastAsia="標楷體"/>
          <w:spacing w:val="6"/>
          <w:kern w:val="0"/>
          <w:sz w:val="28"/>
          <w:szCs w:val="26"/>
        </w:rPr>
        <w:t>0.3-0.4</w:t>
      </w:r>
      <w:r>
        <w:rPr>
          <w:rFonts w:ascii="標楷體" w:eastAsia="標楷體" w:hAnsi="標楷體"/>
          <w:spacing w:val="6"/>
          <w:kern w:val="0"/>
          <w:sz w:val="28"/>
          <w:szCs w:val="26"/>
        </w:rPr>
        <w:t>)</w:t>
      </w:r>
      <w:r>
        <w:rPr>
          <w:rFonts w:eastAsia="標楷體"/>
          <w:spacing w:val="6"/>
          <w:kern w:val="0"/>
          <w:sz w:val="28"/>
          <w:szCs w:val="26"/>
        </w:rPr>
        <w:t>之範圍內。</w:t>
      </w:r>
      <w:r>
        <w:rPr>
          <w:rFonts w:eastAsia="標楷體"/>
          <w:spacing w:val="4"/>
          <w:kern w:val="0"/>
          <w:sz w:val="28"/>
          <w:szCs w:val="26"/>
        </w:rPr>
        <w:t>與其他國家比較，我國</w:t>
      </w:r>
      <w:r>
        <w:rPr>
          <w:rFonts w:eastAsia="標楷體"/>
          <w:spacing w:val="4"/>
          <w:kern w:val="0"/>
          <w:sz w:val="28"/>
          <w:szCs w:val="26"/>
        </w:rPr>
        <w:t>100</w:t>
      </w:r>
      <w:r>
        <w:rPr>
          <w:rFonts w:eastAsia="標楷體"/>
          <w:spacing w:val="4"/>
          <w:kern w:val="0"/>
          <w:sz w:val="28"/>
          <w:szCs w:val="26"/>
        </w:rPr>
        <w:t>年每人可支配所得五等分位差距倍數為</w:t>
      </w:r>
      <w:r>
        <w:rPr>
          <w:rFonts w:eastAsia="標楷體"/>
          <w:spacing w:val="4"/>
          <w:kern w:val="0"/>
          <w:sz w:val="28"/>
          <w:szCs w:val="26"/>
        </w:rPr>
        <w:t>4.29</w:t>
      </w:r>
      <w:r>
        <w:rPr>
          <w:rFonts w:eastAsia="標楷體"/>
          <w:spacing w:val="4"/>
          <w:kern w:val="0"/>
          <w:sz w:val="28"/>
          <w:szCs w:val="26"/>
        </w:rPr>
        <w:t>倍，低於南韓、新加坡等鄰近國家，僅次於北歐國家，顯示我國係屬所得分配較平均之國家。</w:t>
      </w:r>
    </w:p>
    <w:p w14:paraId="0848B879"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為使我國所得分配更趨公平合理，政府於</w:t>
      </w:r>
      <w:r>
        <w:rPr>
          <w:rFonts w:eastAsia="標楷體"/>
          <w:spacing w:val="4"/>
          <w:kern w:val="0"/>
          <w:sz w:val="28"/>
          <w:szCs w:val="26"/>
        </w:rPr>
        <w:t>99</w:t>
      </w:r>
      <w:r>
        <w:rPr>
          <w:rFonts w:eastAsia="標楷體"/>
          <w:spacing w:val="4"/>
          <w:kern w:val="0"/>
          <w:sz w:val="28"/>
          <w:szCs w:val="26"/>
        </w:rPr>
        <w:t>年</w:t>
      </w:r>
      <w:r>
        <w:rPr>
          <w:rFonts w:eastAsia="標楷體"/>
          <w:spacing w:val="4"/>
          <w:kern w:val="0"/>
          <w:sz w:val="28"/>
          <w:szCs w:val="26"/>
        </w:rPr>
        <w:t>8</w:t>
      </w:r>
      <w:r>
        <w:rPr>
          <w:rFonts w:eastAsia="標楷體"/>
          <w:spacing w:val="4"/>
          <w:kern w:val="0"/>
          <w:sz w:val="28"/>
          <w:szCs w:val="26"/>
        </w:rPr>
        <w:t>月成立「行政院改善所得分配專案小組」，已擬訂「改善所得分配七大策略」，涵蓋擴大照顧弱勢，健全社會安全網；提升勞動生產力，增進所得水準；促進民間投資，擴大國內需求；運用租稅措施，強化移轉效果；促進經濟發展，提升就業水準；平衡發展落差，活化在地人力；改善產業</w:t>
      </w:r>
      <w:r>
        <w:rPr>
          <w:rFonts w:eastAsia="標楷體"/>
          <w:spacing w:val="4"/>
          <w:kern w:val="0"/>
          <w:sz w:val="28"/>
          <w:szCs w:val="26"/>
        </w:rPr>
        <w:lastRenderedPageBreak/>
        <w:t>結構，促進服務業發展等。並積極協調相關部會推動各項具體措施，期透過調整經濟成長動能、增加在地就業機會、強化社會福利及落實稅制改革等面向，達到均富共享，持續縮減國人所得差距。</w:t>
      </w:r>
    </w:p>
    <w:p w14:paraId="68D99DFF"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未來四年，政府將賡續擴大投資，增加就業機會，帶動民間薪資成長；運用移轉收支措施，縮小所得差距；均衡區域發展機會，促進在地就業；擴大照顧弱勢，強化社會福利。另方面，因人口結構、社會及經濟情勢轉變，</w:t>
      </w:r>
      <w:r>
        <w:rPr>
          <w:rFonts w:eastAsia="標楷體"/>
          <w:spacing w:val="6"/>
          <w:kern w:val="0"/>
          <w:sz w:val="28"/>
          <w:szCs w:val="26"/>
        </w:rPr>
        <w:t>導致我國各項老年經濟安全保</w:t>
      </w:r>
      <w:r>
        <w:rPr>
          <w:rFonts w:ascii="標楷體" w:eastAsia="標楷體" w:hAnsi="標楷體"/>
          <w:spacing w:val="6"/>
          <w:kern w:val="0"/>
          <w:sz w:val="28"/>
          <w:szCs w:val="26"/>
        </w:rPr>
        <w:t>障(年金)制</w:t>
      </w:r>
      <w:r>
        <w:rPr>
          <w:rFonts w:eastAsia="標楷體"/>
          <w:spacing w:val="6"/>
          <w:kern w:val="0"/>
          <w:sz w:val="28"/>
          <w:szCs w:val="26"/>
        </w:rPr>
        <w:t>度逐漸</w:t>
      </w:r>
      <w:r>
        <w:rPr>
          <w:rFonts w:eastAsia="標楷體"/>
          <w:spacing w:val="4"/>
          <w:kern w:val="0"/>
          <w:sz w:val="28"/>
          <w:szCs w:val="26"/>
        </w:rPr>
        <w:t>顯現財務失衡以及保障水準差距等問題，確需加以檢討並積極進行改革。</w:t>
      </w:r>
    </w:p>
    <w:p w14:paraId="7F8F27A2"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31F0768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強化各項策略性招商活動並持續推動全球招商，打造臺灣成為全球創新中心、亞太運籌樞紐及臺商營運總部，藉由投資的增加，提供更多就業機會，帶動薪資成長。</w:t>
      </w:r>
    </w:p>
    <w:p w14:paraId="7100CD1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經濟弱勢家庭皆能獲得政府的照顧，並有機會自立脫貧。</w:t>
      </w:r>
    </w:p>
    <w:p w14:paraId="46C8212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(三)每</w:t>
      </w:r>
      <w:r>
        <w:rPr>
          <w:rFonts w:eastAsia="標楷體"/>
          <w:spacing w:val="4"/>
          <w:kern w:val="0"/>
          <w:sz w:val="28"/>
          <w:szCs w:val="22"/>
        </w:rPr>
        <w:t>年提供低收入戶及中低收入戶具就業意願者有九成以上之就業機會。</w:t>
      </w:r>
    </w:p>
    <w:p w14:paraId="06AD9C1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縮小所得差距，維持所得差距倍數為東亞區最低之一。</w:t>
      </w:r>
    </w:p>
    <w:p w14:paraId="4D49983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依據「財務健全」、「社會公平」、「世代包容」、「務實穩健」等原則進行年金制度改革，期使我國年金制度財務永續，足以支應未來高齡化社會所需。</w:t>
      </w:r>
    </w:p>
    <w:p w14:paraId="1B612D8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7A1B783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帶動民間薪資成長</w:t>
      </w:r>
    </w:p>
    <w:p w14:paraId="0ADED0D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加速推動全球招商，提供全方位投資服務：吸引僑外商來臺投資，鼓勵臺商回臺創造投資新動能，並促進陸商來臺投資。</w:t>
      </w:r>
    </w:p>
    <w:p w14:paraId="20FE5DE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均衡區域發展機會，促進在地就業</w:t>
      </w:r>
    </w:p>
    <w:p w14:paraId="596588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持續推動七大區域生活圈計畫，通盤規劃「北北基宜」、「桃竹苗」、「中彰投」、「雲嘉南」、「高屏」、「花東」及「澎金馬」等</w:t>
      </w:r>
      <w:r>
        <w:rPr>
          <w:rFonts w:eastAsia="標楷體"/>
          <w:spacing w:val="4"/>
          <w:kern w:val="0"/>
          <w:sz w:val="28"/>
          <w:szCs w:val="22"/>
        </w:rPr>
        <w:t>7</w:t>
      </w:r>
      <w:r>
        <w:rPr>
          <w:rFonts w:eastAsia="標楷體"/>
          <w:spacing w:val="4"/>
          <w:kern w:val="0"/>
          <w:sz w:val="28"/>
          <w:szCs w:val="22"/>
        </w:rPr>
        <w:t>個區域單元，推動區域</w:t>
      </w:r>
      <w:r>
        <w:rPr>
          <w:rFonts w:eastAsia="標楷體"/>
          <w:spacing w:val="4"/>
          <w:kern w:val="0"/>
          <w:sz w:val="28"/>
          <w:szCs w:val="22"/>
        </w:rPr>
        <w:lastRenderedPageBreak/>
        <w:t>合作平臺，完善生活圈計畫構想。</w:t>
      </w:r>
    </w:p>
    <w:p w14:paraId="271FC92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持續推動「都市更新產業行動計畫」，</w:t>
      </w:r>
      <w:r>
        <w:rPr>
          <w:rFonts w:eastAsia="標楷體"/>
          <w:spacing w:val="4"/>
          <w:kern w:val="0"/>
          <w:sz w:val="28"/>
          <w:szCs w:val="22"/>
        </w:rPr>
        <w:t>4</w:t>
      </w:r>
      <w:r>
        <w:rPr>
          <w:rFonts w:eastAsia="標楷體"/>
          <w:spacing w:val="4"/>
          <w:kern w:val="0"/>
          <w:sz w:val="28"/>
          <w:szCs w:val="22"/>
        </w:rPr>
        <w:t>年內推動形塑都市更新產業鏈，積極推動都市重建、整建及維護工作，兼顧老舊合法建築物機能改善，以提升國內營造業產值。預計促進民間投資約</w:t>
      </w:r>
      <w:r>
        <w:rPr>
          <w:rFonts w:eastAsia="標楷體"/>
          <w:spacing w:val="4"/>
          <w:kern w:val="0"/>
          <w:sz w:val="28"/>
          <w:szCs w:val="22"/>
        </w:rPr>
        <w:t>2,000</w:t>
      </w:r>
      <w:r>
        <w:rPr>
          <w:rFonts w:eastAsia="標楷體"/>
          <w:spacing w:val="4"/>
          <w:kern w:val="0"/>
          <w:sz w:val="28"/>
          <w:szCs w:val="22"/>
        </w:rPr>
        <w:t>億元，每年提升經濟成長率約</w:t>
      </w:r>
      <w:r>
        <w:rPr>
          <w:rFonts w:eastAsia="標楷體"/>
          <w:spacing w:val="4"/>
          <w:kern w:val="0"/>
          <w:sz w:val="28"/>
          <w:szCs w:val="22"/>
        </w:rPr>
        <w:t>0.12%</w:t>
      </w:r>
      <w:r>
        <w:rPr>
          <w:rFonts w:eastAsia="標楷體"/>
          <w:spacing w:val="4"/>
          <w:kern w:val="0"/>
          <w:sz w:val="28"/>
          <w:szCs w:val="22"/>
        </w:rPr>
        <w:t>。</w:t>
      </w:r>
    </w:p>
    <w:p w14:paraId="0974FD3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設</w:t>
      </w:r>
      <w:r>
        <w:rPr>
          <w:rFonts w:eastAsia="標楷體"/>
          <w:spacing w:val="6"/>
          <w:kern w:val="0"/>
          <w:sz w:val="28"/>
          <w:szCs w:val="22"/>
        </w:rPr>
        <w:t>立農民學院，加強農業人力培育；推動農村再</w:t>
      </w:r>
      <w:r>
        <w:rPr>
          <w:rFonts w:eastAsia="標楷體"/>
          <w:spacing w:val="4"/>
          <w:kern w:val="0"/>
          <w:sz w:val="28"/>
          <w:szCs w:val="22"/>
        </w:rPr>
        <w:t>生與產業結合，促進農村永續發展，以提升農民所得，平衡城鄉差距。</w:t>
      </w:r>
    </w:p>
    <w:p w14:paraId="6823003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促進原住民族就業服務，</w:t>
      </w:r>
      <w:r>
        <w:rPr>
          <w:rFonts w:eastAsia="標楷體"/>
          <w:spacing w:val="4"/>
          <w:kern w:val="0"/>
          <w:sz w:val="28"/>
          <w:szCs w:val="22"/>
        </w:rPr>
        <w:t>4</w:t>
      </w:r>
      <w:r>
        <w:rPr>
          <w:rFonts w:eastAsia="標楷體"/>
          <w:spacing w:val="4"/>
          <w:kern w:val="0"/>
          <w:sz w:val="28"/>
          <w:szCs w:val="22"/>
        </w:rPr>
        <w:t>年預計媒合就業人數</w:t>
      </w:r>
      <w:r>
        <w:rPr>
          <w:rFonts w:eastAsia="標楷體"/>
          <w:spacing w:val="4"/>
          <w:kern w:val="0"/>
          <w:sz w:val="28"/>
          <w:szCs w:val="22"/>
        </w:rPr>
        <w:t>18,000</w:t>
      </w:r>
      <w:r>
        <w:rPr>
          <w:rFonts w:eastAsia="標楷體"/>
          <w:spacing w:val="4"/>
          <w:kern w:val="0"/>
          <w:sz w:val="28"/>
          <w:szCs w:val="22"/>
        </w:rPr>
        <w:t>人；於原住民族地區設置</w:t>
      </w:r>
      <w:r>
        <w:rPr>
          <w:rFonts w:eastAsia="標楷體"/>
          <w:spacing w:val="4"/>
          <w:kern w:val="0"/>
          <w:sz w:val="28"/>
          <w:szCs w:val="22"/>
        </w:rPr>
        <w:t>80</w:t>
      </w:r>
      <w:r>
        <w:rPr>
          <w:rFonts w:eastAsia="標楷體"/>
          <w:spacing w:val="4"/>
          <w:kern w:val="0"/>
          <w:sz w:val="28"/>
          <w:szCs w:val="22"/>
        </w:rPr>
        <w:t>站部落老人日間關懷站、</w:t>
      </w:r>
      <w:r>
        <w:rPr>
          <w:rFonts w:eastAsia="標楷體"/>
          <w:spacing w:val="4"/>
          <w:kern w:val="0"/>
          <w:sz w:val="28"/>
          <w:szCs w:val="22"/>
        </w:rPr>
        <w:t>55</w:t>
      </w:r>
      <w:r>
        <w:rPr>
          <w:rFonts w:eastAsia="標楷體"/>
          <w:spacing w:val="4"/>
          <w:kern w:val="0"/>
          <w:sz w:val="28"/>
          <w:szCs w:val="22"/>
        </w:rPr>
        <w:t>處原住民族家庭暨婦女服務中心，提供在地原住民每年</w:t>
      </w:r>
      <w:r>
        <w:rPr>
          <w:rFonts w:eastAsia="標楷體"/>
          <w:spacing w:val="4"/>
          <w:kern w:val="0"/>
          <w:sz w:val="28"/>
          <w:szCs w:val="22"/>
        </w:rPr>
        <w:t>1,000</w:t>
      </w:r>
      <w:r>
        <w:rPr>
          <w:rFonts w:eastAsia="標楷體"/>
          <w:spacing w:val="4"/>
          <w:kern w:val="0"/>
          <w:sz w:val="28"/>
          <w:szCs w:val="22"/>
        </w:rPr>
        <w:t>名就業機會。</w:t>
      </w:r>
    </w:p>
    <w:p w14:paraId="21CC4AF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4"/>
          <w:kern w:val="0"/>
          <w:sz w:val="28"/>
          <w:szCs w:val="22"/>
        </w:rPr>
        <w:t>透過</w:t>
      </w:r>
      <w:r>
        <w:rPr>
          <w:rFonts w:ascii="標楷體" w:eastAsia="標楷體" w:hAnsi="標楷體"/>
          <w:spacing w:val="4"/>
          <w:kern w:val="0"/>
          <w:sz w:val="28"/>
          <w:szCs w:val="22"/>
        </w:rPr>
        <w:t>(</w:t>
      </w:r>
      <w:r>
        <w:rPr>
          <w:rFonts w:eastAsia="標楷體"/>
          <w:spacing w:val="4"/>
          <w:kern w:val="0"/>
          <w:sz w:val="28"/>
          <w:szCs w:val="22"/>
        </w:rPr>
        <w:t>北、中、南、東</w:t>
      </w:r>
      <w:r>
        <w:rPr>
          <w:rFonts w:ascii="標楷體" w:eastAsia="標楷體" w:hAnsi="標楷體"/>
          <w:spacing w:val="4"/>
          <w:kern w:val="0"/>
          <w:sz w:val="28"/>
          <w:szCs w:val="22"/>
        </w:rPr>
        <w:t>)</w:t>
      </w:r>
      <w:r>
        <w:rPr>
          <w:rFonts w:eastAsia="標楷體"/>
          <w:spacing w:val="4"/>
          <w:kern w:val="0"/>
          <w:sz w:val="28"/>
          <w:szCs w:val="22"/>
        </w:rPr>
        <w:t>地方產業服務團，協助人口外移及所得偏低地區，發展地方特色產業、增加就業機會及提高所得收入。</w:t>
      </w:r>
    </w:p>
    <w:p w14:paraId="3565ECA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擴大弱勢照顧範圍</w:t>
      </w:r>
    </w:p>
    <w:p w14:paraId="2233CE1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落實社會救助新制，放寬審核標準，擴大照顧低收入戶及中低收入戶，強化工作福利，協助弱勢民眾自立脫貧。</w:t>
      </w:r>
    </w:p>
    <w:p w14:paraId="3875BD3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落實社會救助通報機制，形成更綿密之社會安全網。</w:t>
      </w:r>
    </w:p>
    <w:p w14:paraId="17E7D82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修訂「特殊境遇家庭扶助條例」，擴大照顧家暴受害人、隔代教養、單親等特殊境遇家庭，研議放寬單親及隔代教養等特殊境遇家庭扶助資格，以及調整特殊境遇家庭補助金額。</w:t>
      </w:r>
    </w:p>
    <w:p w14:paraId="345CBB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提高弱勢家庭工作機會</w:t>
      </w:r>
    </w:p>
    <w:p w14:paraId="6492A53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自</w:t>
      </w:r>
      <w:r>
        <w:rPr>
          <w:rFonts w:eastAsia="標楷體"/>
          <w:spacing w:val="4"/>
          <w:kern w:val="0"/>
          <w:sz w:val="28"/>
          <w:szCs w:val="26"/>
        </w:rPr>
        <w:t>100</w:t>
      </w:r>
      <w:r>
        <w:rPr>
          <w:rFonts w:eastAsia="標楷體"/>
          <w:spacing w:val="4"/>
          <w:kern w:val="0"/>
          <w:sz w:val="28"/>
          <w:szCs w:val="26"/>
        </w:rPr>
        <w:t>年起，「地方產業發展基金補助計畫」之效益指標納入「僱用低收入戶或中低收入戶人數」，單一型計畫需僱用至少</w:t>
      </w:r>
      <w:r>
        <w:rPr>
          <w:rFonts w:eastAsia="標楷體"/>
          <w:spacing w:val="4"/>
          <w:kern w:val="0"/>
          <w:sz w:val="28"/>
          <w:szCs w:val="26"/>
        </w:rPr>
        <w:t>1</w:t>
      </w:r>
      <w:r>
        <w:rPr>
          <w:rFonts w:eastAsia="標楷體"/>
          <w:spacing w:val="4"/>
          <w:kern w:val="0"/>
          <w:sz w:val="28"/>
          <w:szCs w:val="26"/>
        </w:rPr>
        <w:t>人，整合型計畫需僱用至少</w:t>
      </w:r>
      <w:r>
        <w:rPr>
          <w:rFonts w:eastAsia="標楷體"/>
          <w:spacing w:val="4"/>
          <w:kern w:val="0"/>
          <w:sz w:val="28"/>
          <w:szCs w:val="26"/>
        </w:rPr>
        <w:t>2</w:t>
      </w:r>
      <w:r>
        <w:rPr>
          <w:rFonts w:eastAsia="標楷體"/>
          <w:spacing w:val="4"/>
          <w:kern w:val="0"/>
          <w:sz w:val="28"/>
          <w:szCs w:val="26"/>
        </w:rPr>
        <w:t>人。</w:t>
      </w:r>
    </w:p>
    <w:p w14:paraId="68DA4A1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辦理「低收入戶及中低收入戶就業促進實施計畫」，提供低收入戶及中低收入戶參與多元化職業訓練、補助參加技術士技能檢定報名費、提供職場學習及再適應計畫、推介「多元</w:t>
      </w:r>
      <w:r>
        <w:rPr>
          <w:rFonts w:eastAsia="標楷體"/>
          <w:spacing w:val="4"/>
          <w:kern w:val="0"/>
          <w:sz w:val="28"/>
          <w:szCs w:val="26"/>
        </w:rPr>
        <w:lastRenderedPageBreak/>
        <w:t>就業開發方案」及個案管理專業服務相關就業協助。</w:t>
      </w:r>
    </w:p>
    <w:p w14:paraId="195A07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運用移轉收支措施，縮小所得差距</w:t>
      </w:r>
    </w:p>
    <w:p w14:paraId="2DDB2EE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配合我國社會救助制度，適度擴大學雜費減免對象；整合各部會既有資源，研議完整弱勢助學措施。</w:t>
      </w:r>
    </w:p>
    <w:p w14:paraId="4CA3DD2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持續推動租稅改革，擴大稅基、提升租稅效率，減輕中低所得者及薪資所得者租稅負擔，並提升高所得者租稅負擔，以強化租稅移轉效果。</w:t>
      </w:r>
      <w:r>
        <w:rPr>
          <w:rFonts w:eastAsia="標楷體"/>
          <w:spacing w:val="4"/>
          <w:kern w:val="0"/>
          <w:sz w:val="28"/>
          <w:szCs w:val="26"/>
        </w:rPr>
        <w:t xml:space="preserve"> </w:t>
      </w:r>
    </w:p>
    <w:p w14:paraId="45686E6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充實進口貨物價格資料檔，精進貨物價格查察，落實事後稽核，營造公平租稅環境。</w:t>
      </w:r>
    </w:p>
    <w:p w14:paraId="5260063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(五)規劃推動年金制度改革</w:t>
      </w:r>
    </w:p>
    <w:p w14:paraId="48DC1B1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檢討所得替代率，合理調整給付水準，減輕年金之財務負擔。</w:t>
      </w:r>
    </w:p>
    <w:p w14:paraId="3F072AE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適度提高保險費率，以反映保險成本。</w:t>
      </w:r>
    </w:p>
    <w:p w14:paraId="11059D9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調整給付條件，檢討退休年齡與給付計算基準。</w:t>
      </w:r>
    </w:p>
    <w:p w14:paraId="1F7B49C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促進基金運用效率，提高基金收益，挹注保險財務。</w:t>
      </w:r>
    </w:p>
    <w:p w14:paraId="57CA194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由政府負最終支付責任，以安定民心。</w:t>
      </w:r>
    </w:p>
    <w:p w14:paraId="7F39A025"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60C1B156"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貳、平安健康</w:t>
      </w:r>
    </w:p>
    <w:p w14:paraId="01BD20DD"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FA271F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我國面臨人口快速老化及少子女化，醫療費用逐年增加，應加強財務及支付制度改革，以建立永續健保制度；並合理配置醫療資源，強化偏遠地區及弱勢群體健康照護；以及精進醫療照護體系，減緩專科醫生科別失衡問題，以提供人民完善之醫療照護服務。</w:t>
      </w:r>
    </w:p>
    <w:p w14:paraId="25FBB72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此外，為預防及妥適控制慢性疾病，應建置多元化友善運動休閒環境，普及全民運動，並推動菸害防制、癌症防治等工作。另為因應全球人員便捷流動、氣候環境變遷、以及新興與再浮現傳染病對公共衛生之威脅，應建置完善之國家防疫網及食品藥物管理機制。又為提供人民安心的生活環境，應加強交通運輸安全以及社會治安。</w:t>
      </w:r>
    </w:p>
    <w:p w14:paraId="44AD2AA8"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未來</w:t>
      </w:r>
      <w:r>
        <w:rPr>
          <w:rFonts w:eastAsia="標楷體"/>
          <w:spacing w:val="6"/>
          <w:kern w:val="0"/>
          <w:sz w:val="28"/>
          <w:szCs w:val="26"/>
        </w:rPr>
        <w:t>四年，政府將致力於落實健保改革、精進醫療照護體系、</w:t>
      </w:r>
      <w:r>
        <w:rPr>
          <w:rFonts w:eastAsia="標楷體"/>
          <w:spacing w:val="4"/>
          <w:kern w:val="0"/>
          <w:sz w:val="28"/>
          <w:szCs w:val="26"/>
        </w:rPr>
        <w:t>加強防疫及食品藥物安全、建置多元友善運動休閒環境、強化社會治</w:t>
      </w:r>
      <w:r>
        <w:rPr>
          <w:rFonts w:eastAsia="標楷體"/>
          <w:spacing w:val="4"/>
          <w:kern w:val="0"/>
          <w:sz w:val="28"/>
          <w:szCs w:val="26"/>
        </w:rPr>
        <w:lastRenderedPageBreak/>
        <w:t>安等，以建構支持性、健康、安全與永續的生活環境，讓民眾更平安健康</w:t>
      </w:r>
      <w:r>
        <w:rPr>
          <w:rFonts w:eastAsia="標楷體"/>
          <w:spacing w:val="6"/>
          <w:kern w:val="0"/>
          <w:sz w:val="28"/>
          <w:szCs w:val="26"/>
        </w:rPr>
        <w:t>。</w:t>
      </w:r>
    </w:p>
    <w:p w14:paraId="424A3550"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33EC267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落實二代健保，確保永續經營</w:t>
      </w:r>
    </w:p>
    <w:p w14:paraId="058B718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1.102</w:t>
      </w:r>
      <w:r>
        <w:rPr>
          <w:rFonts w:eastAsia="標楷體"/>
          <w:spacing w:val="4"/>
          <w:kern w:val="0"/>
          <w:sz w:val="28"/>
          <w:szCs w:val="26"/>
        </w:rPr>
        <w:t>年完成推動二代健保新制，</w:t>
      </w:r>
      <w:r>
        <w:rPr>
          <w:rFonts w:eastAsia="標楷體"/>
          <w:spacing w:val="4"/>
          <w:kern w:val="0"/>
          <w:sz w:val="28"/>
          <w:szCs w:val="26"/>
        </w:rPr>
        <w:t>105</w:t>
      </w:r>
      <w:r>
        <w:rPr>
          <w:rFonts w:eastAsia="標楷體"/>
          <w:spacing w:val="4"/>
          <w:kern w:val="0"/>
          <w:sz w:val="28"/>
          <w:szCs w:val="26"/>
        </w:rPr>
        <w:t>年檢討健保制度，啟動三代健保改革規劃，提供民眾安心就醫環境，落實全民健保永續經營。</w:t>
      </w:r>
    </w:p>
    <w:p w14:paraId="518E1B0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精進醫療照護品質，保障弱勢就醫</w:t>
      </w:r>
    </w:p>
    <w:p w14:paraId="53AFF27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普及全民運動，推動健康生活型態</w:t>
      </w:r>
    </w:p>
    <w:p w14:paraId="1FF4F8E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逐年提升規律運動人口比例，由</w:t>
      </w:r>
      <w:r>
        <w:rPr>
          <w:rFonts w:eastAsia="標楷體"/>
          <w:spacing w:val="4"/>
          <w:kern w:val="0"/>
          <w:sz w:val="28"/>
          <w:szCs w:val="26"/>
        </w:rPr>
        <w:t>101</w:t>
      </w:r>
      <w:r>
        <w:rPr>
          <w:rFonts w:eastAsia="標楷體"/>
          <w:spacing w:val="4"/>
          <w:kern w:val="0"/>
          <w:sz w:val="28"/>
          <w:szCs w:val="26"/>
        </w:rPr>
        <w:t>年的</w:t>
      </w:r>
      <w:r>
        <w:rPr>
          <w:rFonts w:eastAsia="標楷體"/>
          <w:spacing w:val="4"/>
          <w:kern w:val="0"/>
          <w:sz w:val="28"/>
          <w:szCs w:val="26"/>
        </w:rPr>
        <w:t>30.4%</w:t>
      </w:r>
      <w:r>
        <w:rPr>
          <w:rFonts w:eastAsia="標楷體"/>
          <w:spacing w:val="4"/>
          <w:kern w:val="0"/>
          <w:sz w:val="28"/>
          <w:szCs w:val="26"/>
        </w:rPr>
        <w:t>，增加至</w:t>
      </w:r>
      <w:r>
        <w:rPr>
          <w:rFonts w:eastAsia="標楷體"/>
          <w:spacing w:val="4"/>
          <w:kern w:val="0"/>
          <w:sz w:val="28"/>
          <w:szCs w:val="26"/>
        </w:rPr>
        <w:t>105</w:t>
      </w:r>
      <w:r>
        <w:rPr>
          <w:rFonts w:eastAsia="標楷體"/>
          <w:spacing w:val="4"/>
          <w:kern w:val="0"/>
          <w:sz w:val="28"/>
          <w:szCs w:val="26"/>
        </w:rPr>
        <w:t>年的</w:t>
      </w:r>
      <w:r>
        <w:rPr>
          <w:rFonts w:eastAsia="標楷體"/>
          <w:spacing w:val="4"/>
          <w:kern w:val="0"/>
          <w:sz w:val="28"/>
          <w:szCs w:val="26"/>
        </w:rPr>
        <w:t>38%</w:t>
      </w:r>
      <w:r>
        <w:rPr>
          <w:rFonts w:eastAsia="標楷體"/>
          <w:spacing w:val="4"/>
          <w:kern w:val="0"/>
          <w:sz w:val="28"/>
          <w:szCs w:val="26"/>
        </w:rPr>
        <w:t>。</w:t>
      </w:r>
    </w:p>
    <w:p w14:paraId="13FC6DB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2.18</w:t>
      </w:r>
      <w:r>
        <w:rPr>
          <w:rFonts w:eastAsia="標楷體"/>
          <w:spacing w:val="4"/>
          <w:kern w:val="0"/>
          <w:sz w:val="28"/>
          <w:szCs w:val="26"/>
        </w:rPr>
        <w:t>歲以上人口吸菸率由</w:t>
      </w:r>
      <w:r>
        <w:rPr>
          <w:rFonts w:eastAsia="標楷體"/>
          <w:spacing w:val="4"/>
          <w:kern w:val="0"/>
          <w:sz w:val="28"/>
          <w:szCs w:val="26"/>
        </w:rPr>
        <w:t>100</w:t>
      </w:r>
      <w:r>
        <w:rPr>
          <w:rFonts w:eastAsia="標楷體"/>
          <w:spacing w:val="4"/>
          <w:kern w:val="0"/>
          <w:sz w:val="28"/>
          <w:szCs w:val="26"/>
        </w:rPr>
        <w:t>年的</w:t>
      </w:r>
      <w:r>
        <w:rPr>
          <w:rFonts w:eastAsia="標楷體"/>
          <w:spacing w:val="4"/>
          <w:kern w:val="0"/>
          <w:sz w:val="28"/>
          <w:szCs w:val="26"/>
        </w:rPr>
        <w:t>19.1%</w:t>
      </w:r>
      <w:r>
        <w:rPr>
          <w:rFonts w:eastAsia="標楷體"/>
          <w:spacing w:val="4"/>
          <w:kern w:val="0"/>
          <w:sz w:val="28"/>
          <w:szCs w:val="26"/>
        </w:rPr>
        <w:t>下降至</w:t>
      </w:r>
      <w:r>
        <w:rPr>
          <w:rFonts w:eastAsia="標楷體"/>
          <w:spacing w:val="4"/>
          <w:kern w:val="0"/>
          <w:sz w:val="28"/>
          <w:szCs w:val="26"/>
        </w:rPr>
        <w:t>105</w:t>
      </w:r>
      <w:r>
        <w:rPr>
          <w:rFonts w:eastAsia="標楷體"/>
          <w:spacing w:val="4"/>
          <w:kern w:val="0"/>
          <w:sz w:val="28"/>
          <w:szCs w:val="26"/>
        </w:rPr>
        <w:t>年的</w:t>
      </w:r>
      <w:r>
        <w:rPr>
          <w:rFonts w:eastAsia="標楷體"/>
          <w:spacing w:val="4"/>
          <w:kern w:val="0"/>
          <w:sz w:val="28"/>
          <w:szCs w:val="26"/>
        </w:rPr>
        <w:t>16.5%</w:t>
      </w:r>
      <w:r>
        <w:rPr>
          <w:rFonts w:eastAsia="標楷體"/>
          <w:spacing w:val="4"/>
          <w:kern w:val="0"/>
          <w:sz w:val="28"/>
          <w:szCs w:val="26"/>
        </w:rPr>
        <w:t>。</w:t>
      </w:r>
    </w:p>
    <w:p w14:paraId="5609ABC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癌症標準化死亡率五年降低</w:t>
      </w:r>
      <w:r>
        <w:rPr>
          <w:rFonts w:eastAsia="標楷體"/>
          <w:spacing w:val="4"/>
          <w:kern w:val="0"/>
          <w:sz w:val="28"/>
          <w:szCs w:val="26"/>
        </w:rPr>
        <w:t>10%</w:t>
      </w:r>
      <w:r>
        <w:rPr>
          <w:rFonts w:ascii="標楷體" w:eastAsia="標楷體" w:hAnsi="標楷體"/>
          <w:spacing w:val="4"/>
          <w:kern w:val="0"/>
          <w:sz w:val="28"/>
          <w:szCs w:val="26"/>
        </w:rPr>
        <w:t>(</w:t>
      </w:r>
      <w:r>
        <w:rPr>
          <w:rFonts w:eastAsia="標楷體"/>
          <w:spacing w:val="4"/>
          <w:kern w:val="0"/>
          <w:sz w:val="28"/>
          <w:szCs w:val="26"/>
        </w:rPr>
        <w:t>105</w:t>
      </w:r>
      <w:r>
        <w:rPr>
          <w:rFonts w:eastAsia="標楷體"/>
          <w:spacing w:val="4"/>
          <w:kern w:val="0"/>
          <w:sz w:val="28"/>
          <w:szCs w:val="26"/>
        </w:rPr>
        <w:t>年降至每十萬人口</w:t>
      </w:r>
      <w:r>
        <w:rPr>
          <w:rFonts w:eastAsia="標楷體"/>
          <w:spacing w:val="4"/>
          <w:kern w:val="0"/>
          <w:sz w:val="28"/>
          <w:szCs w:val="26"/>
        </w:rPr>
        <w:t>119.3</w:t>
      </w:r>
      <w:r>
        <w:rPr>
          <w:rFonts w:eastAsia="標楷體"/>
          <w:spacing w:val="4"/>
          <w:kern w:val="0"/>
          <w:sz w:val="28"/>
          <w:szCs w:val="26"/>
        </w:rPr>
        <w:t>人</w:t>
      </w:r>
      <w:r>
        <w:rPr>
          <w:rFonts w:ascii="標楷體" w:eastAsia="標楷體" w:hAnsi="標楷體"/>
          <w:spacing w:val="4"/>
          <w:kern w:val="0"/>
          <w:sz w:val="28"/>
          <w:szCs w:val="26"/>
        </w:rPr>
        <w:t>)</w:t>
      </w:r>
      <w:r>
        <w:rPr>
          <w:rFonts w:eastAsia="標楷體"/>
          <w:spacing w:val="4"/>
          <w:kern w:val="0"/>
          <w:sz w:val="28"/>
          <w:szCs w:val="26"/>
        </w:rPr>
        <w:t>。</w:t>
      </w:r>
    </w:p>
    <w:p w14:paraId="4C0F777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(三)賡</w:t>
      </w:r>
      <w:r>
        <w:rPr>
          <w:rFonts w:eastAsia="標楷體"/>
          <w:spacing w:val="4"/>
          <w:kern w:val="0"/>
          <w:sz w:val="28"/>
          <w:szCs w:val="22"/>
        </w:rPr>
        <w:t>續提升交通運輸安全</w:t>
      </w:r>
    </w:p>
    <w:p w14:paraId="0865D97C"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交通事故肇事率及死亡人數年降低</w:t>
      </w:r>
      <w:r>
        <w:rPr>
          <w:rFonts w:eastAsia="標楷體"/>
          <w:spacing w:val="4"/>
          <w:kern w:val="0"/>
          <w:sz w:val="28"/>
          <w:szCs w:val="26"/>
        </w:rPr>
        <w:t>2%</w:t>
      </w:r>
      <w:r>
        <w:rPr>
          <w:rFonts w:eastAsia="標楷體"/>
          <w:spacing w:val="4"/>
          <w:kern w:val="0"/>
          <w:sz w:val="28"/>
          <w:szCs w:val="26"/>
        </w:rPr>
        <w:t>。</w:t>
      </w:r>
    </w:p>
    <w:p w14:paraId="46551CB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強化治安工作，</w:t>
      </w:r>
      <w:r>
        <w:rPr>
          <w:rFonts w:eastAsia="標楷體"/>
          <w:spacing w:val="4"/>
          <w:kern w:val="0"/>
          <w:sz w:val="28"/>
          <w:szCs w:val="22"/>
        </w:rPr>
        <w:t>105</w:t>
      </w:r>
      <w:r>
        <w:rPr>
          <w:rFonts w:eastAsia="標楷體"/>
          <w:spacing w:val="4"/>
          <w:kern w:val="0"/>
          <w:sz w:val="28"/>
          <w:szCs w:val="22"/>
        </w:rPr>
        <w:t>年刑案發生數較</w:t>
      </w:r>
      <w:r>
        <w:rPr>
          <w:rFonts w:eastAsia="標楷體"/>
          <w:spacing w:val="4"/>
          <w:kern w:val="0"/>
          <w:sz w:val="28"/>
          <w:szCs w:val="22"/>
        </w:rPr>
        <w:t>99</w:t>
      </w:r>
      <w:r>
        <w:rPr>
          <w:rFonts w:eastAsia="標楷體"/>
          <w:spacing w:val="4"/>
          <w:kern w:val="0"/>
          <w:sz w:val="28"/>
          <w:szCs w:val="22"/>
        </w:rPr>
        <w:t>年減少</w:t>
      </w:r>
      <w:r>
        <w:rPr>
          <w:rFonts w:eastAsia="標楷體"/>
          <w:spacing w:val="4"/>
          <w:kern w:val="0"/>
          <w:sz w:val="28"/>
          <w:szCs w:val="22"/>
        </w:rPr>
        <w:t>8%</w:t>
      </w:r>
      <w:r>
        <w:rPr>
          <w:rFonts w:eastAsia="標楷體"/>
          <w:spacing w:val="4"/>
          <w:kern w:val="0"/>
          <w:sz w:val="28"/>
          <w:szCs w:val="22"/>
        </w:rPr>
        <w:t>；有效維護公共場所安全。</w:t>
      </w:r>
    </w:p>
    <w:p w14:paraId="4A3AD0C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強化食品、藥物及防疫安全</w:t>
      </w:r>
    </w:p>
    <w:p w14:paraId="4D681C4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1.105</w:t>
      </w:r>
      <w:r>
        <w:rPr>
          <w:rFonts w:eastAsia="標楷體"/>
          <w:spacing w:val="4"/>
          <w:kern w:val="0"/>
          <w:sz w:val="28"/>
          <w:szCs w:val="26"/>
        </w:rPr>
        <w:t>年食品藥物違規廣告率降至</w:t>
      </w:r>
      <w:r>
        <w:rPr>
          <w:rFonts w:eastAsia="標楷體"/>
          <w:spacing w:val="4"/>
          <w:kern w:val="0"/>
          <w:sz w:val="28"/>
          <w:szCs w:val="26"/>
        </w:rPr>
        <w:t>5%</w:t>
      </w:r>
      <w:r>
        <w:rPr>
          <w:rFonts w:eastAsia="標楷體"/>
          <w:spacing w:val="4"/>
          <w:kern w:val="0"/>
          <w:sz w:val="28"/>
          <w:szCs w:val="26"/>
        </w:rPr>
        <w:t>以下</w:t>
      </w:r>
      <w:r>
        <w:rPr>
          <w:rFonts w:eastAsia="標楷體"/>
          <w:spacing w:val="4"/>
          <w:kern w:val="0"/>
          <w:sz w:val="28"/>
          <w:szCs w:val="26"/>
        </w:rPr>
        <w:t>;</w:t>
      </w:r>
      <w:r>
        <w:rPr>
          <w:rFonts w:eastAsia="標楷體"/>
          <w:spacing w:val="4"/>
          <w:kern w:val="0"/>
          <w:sz w:val="28"/>
          <w:szCs w:val="26"/>
        </w:rPr>
        <w:t>高違規食品中添加物監測檢驗合格率提升至</w:t>
      </w:r>
      <w:r>
        <w:rPr>
          <w:rFonts w:eastAsia="標楷體"/>
          <w:spacing w:val="4"/>
          <w:kern w:val="0"/>
          <w:sz w:val="28"/>
          <w:szCs w:val="26"/>
        </w:rPr>
        <w:t>88%</w:t>
      </w:r>
      <w:r>
        <w:rPr>
          <w:rFonts w:eastAsia="標楷體"/>
          <w:spacing w:val="4"/>
          <w:kern w:val="0"/>
          <w:sz w:val="28"/>
          <w:szCs w:val="26"/>
        </w:rPr>
        <w:t>；國內藥廠自用原料藥查核之符合率提升至</w:t>
      </w:r>
      <w:r>
        <w:rPr>
          <w:rFonts w:eastAsia="標楷體"/>
          <w:spacing w:val="4"/>
          <w:kern w:val="0"/>
          <w:sz w:val="28"/>
          <w:szCs w:val="26"/>
        </w:rPr>
        <w:t>90%</w:t>
      </w:r>
      <w:r>
        <w:rPr>
          <w:rFonts w:eastAsia="標楷體"/>
          <w:spacing w:val="4"/>
          <w:kern w:val="0"/>
          <w:sz w:val="28"/>
          <w:szCs w:val="26"/>
        </w:rPr>
        <w:t>。</w:t>
      </w:r>
    </w:p>
    <w:p w14:paraId="2E120CF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每年愛滋病感染人數年增率下降</w:t>
      </w:r>
      <w:r>
        <w:rPr>
          <w:rFonts w:eastAsia="標楷體"/>
          <w:spacing w:val="4"/>
          <w:kern w:val="0"/>
          <w:sz w:val="28"/>
          <w:szCs w:val="26"/>
        </w:rPr>
        <w:t>0.5%</w:t>
      </w:r>
      <w:r>
        <w:rPr>
          <w:rFonts w:eastAsia="標楷體"/>
          <w:spacing w:val="4"/>
          <w:kern w:val="0"/>
          <w:sz w:val="28"/>
          <w:szCs w:val="26"/>
        </w:rPr>
        <w:t>；每年結核病發生率較前一年降低；逐年達成腸病毒重症致死率目標</w:t>
      </w:r>
      <w:r>
        <w:rPr>
          <w:rFonts w:ascii="標楷體" w:eastAsia="標楷體" w:hAnsi="標楷體"/>
          <w:spacing w:val="4"/>
          <w:kern w:val="0"/>
          <w:sz w:val="28"/>
          <w:szCs w:val="26"/>
        </w:rPr>
        <w:t>(</w:t>
      </w:r>
      <w:r>
        <w:rPr>
          <w:rFonts w:eastAsia="標楷體"/>
          <w:spacing w:val="4"/>
          <w:kern w:val="0"/>
          <w:sz w:val="28"/>
          <w:szCs w:val="26"/>
        </w:rPr>
        <w:t>102</w:t>
      </w:r>
      <w:r>
        <w:rPr>
          <w:rFonts w:eastAsia="標楷體"/>
          <w:spacing w:val="4"/>
          <w:kern w:val="0"/>
          <w:sz w:val="28"/>
          <w:szCs w:val="26"/>
        </w:rPr>
        <w:t>年</w:t>
      </w:r>
      <w:r>
        <w:rPr>
          <w:rFonts w:eastAsia="標楷體"/>
          <w:spacing w:val="4"/>
          <w:kern w:val="0"/>
          <w:sz w:val="28"/>
          <w:szCs w:val="26"/>
        </w:rPr>
        <w:t>10.4%</w:t>
      </w:r>
      <w:r>
        <w:rPr>
          <w:rFonts w:eastAsia="標楷體"/>
          <w:spacing w:val="4"/>
          <w:kern w:val="0"/>
          <w:sz w:val="28"/>
          <w:szCs w:val="26"/>
        </w:rPr>
        <w:t>、</w:t>
      </w:r>
      <w:r>
        <w:rPr>
          <w:rFonts w:eastAsia="標楷體"/>
          <w:spacing w:val="4"/>
          <w:kern w:val="0"/>
          <w:sz w:val="28"/>
          <w:szCs w:val="26"/>
        </w:rPr>
        <w:t>103</w:t>
      </w:r>
      <w:r>
        <w:rPr>
          <w:rFonts w:eastAsia="標楷體"/>
          <w:spacing w:val="4"/>
          <w:kern w:val="0"/>
          <w:sz w:val="28"/>
          <w:szCs w:val="26"/>
        </w:rPr>
        <w:t>年</w:t>
      </w:r>
      <w:r>
        <w:rPr>
          <w:rFonts w:eastAsia="標楷體"/>
          <w:spacing w:val="4"/>
          <w:kern w:val="0"/>
          <w:sz w:val="28"/>
          <w:szCs w:val="26"/>
        </w:rPr>
        <w:t>10.2%</w:t>
      </w:r>
      <w:r>
        <w:rPr>
          <w:rFonts w:eastAsia="標楷體"/>
          <w:spacing w:val="4"/>
          <w:kern w:val="0"/>
          <w:sz w:val="28"/>
          <w:szCs w:val="26"/>
        </w:rPr>
        <w:t>、</w:t>
      </w:r>
      <w:r>
        <w:rPr>
          <w:rFonts w:eastAsia="標楷體"/>
          <w:spacing w:val="4"/>
          <w:kern w:val="0"/>
          <w:sz w:val="28"/>
          <w:szCs w:val="26"/>
        </w:rPr>
        <w:t>104</w:t>
      </w:r>
      <w:r>
        <w:rPr>
          <w:rFonts w:eastAsia="標楷體"/>
          <w:spacing w:val="4"/>
          <w:kern w:val="0"/>
          <w:sz w:val="28"/>
          <w:szCs w:val="26"/>
        </w:rPr>
        <w:t>年</w:t>
      </w:r>
      <w:r>
        <w:rPr>
          <w:rFonts w:eastAsia="標楷體"/>
          <w:spacing w:val="4"/>
          <w:kern w:val="0"/>
          <w:sz w:val="28"/>
          <w:szCs w:val="26"/>
        </w:rPr>
        <w:t>10%</w:t>
      </w:r>
      <w:r>
        <w:rPr>
          <w:rFonts w:eastAsia="標楷體"/>
          <w:spacing w:val="4"/>
          <w:kern w:val="0"/>
          <w:sz w:val="28"/>
          <w:szCs w:val="26"/>
        </w:rPr>
        <w:t>、</w:t>
      </w:r>
      <w:r>
        <w:rPr>
          <w:rFonts w:eastAsia="標楷體"/>
          <w:spacing w:val="4"/>
          <w:kern w:val="0"/>
          <w:sz w:val="28"/>
          <w:szCs w:val="26"/>
        </w:rPr>
        <w:t>105</w:t>
      </w:r>
      <w:r>
        <w:rPr>
          <w:rFonts w:eastAsia="標楷體"/>
          <w:spacing w:val="4"/>
          <w:kern w:val="0"/>
          <w:sz w:val="28"/>
          <w:szCs w:val="26"/>
        </w:rPr>
        <w:t>年</w:t>
      </w:r>
      <w:r>
        <w:rPr>
          <w:rFonts w:eastAsia="標楷體"/>
          <w:spacing w:val="4"/>
          <w:kern w:val="0"/>
          <w:sz w:val="28"/>
          <w:szCs w:val="26"/>
        </w:rPr>
        <w:t>10%</w:t>
      </w:r>
      <w:r>
        <w:rPr>
          <w:rFonts w:ascii="標楷體" w:eastAsia="標楷體" w:hAnsi="標楷體"/>
          <w:spacing w:val="4"/>
          <w:kern w:val="0"/>
          <w:sz w:val="28"/>
          <w:szCs w:val="26"/>
        </w:rPr>
        <w:t>)</w:t>
      </w:r>
      <w:r>
        <w:rPr>
          <w:rFonts w:eastAsia="標楷體"/>
          <w:spacing w:val="4"/>
          <w:kern w:val="0"/>
          <w:sz w:val="28"/>
          <w:szCs w:val="26"/>
        </w:rPr>
        <w:t>。</w:t>
      </w:r>
    </w:p>
    <w:p w14:paraId="0589120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各項常規疫苗接種完成率每年持續維持在</w:t>
      </w:r>
      <w:r>
        <w:rPr>
          <w:rFonts w:eastAsia="標楷體"/>
          <w:spacing w:val="4"/>
          <w:kern w:val="0"/>
          <w:sz w:val="28"/>
          <w:szCs w:val="26"/>
        </w:rPr>
        <w:t>95%</w:t>
      </w:r>
      <w:r>
        <w:rPr>
          <w:rFonts w:eastAsia="標楷體"/>
          <w:spacing w:val="4"/>
          <w:kern w:val="0"/>
          <w:sz w:val="28"/>
          <w:szCs w:val="26"/>
        </w:rPr>
        <w:t>以上。</w:t>
      </w:r>
    </w:p>
    <w:p w14:paraId="7685D216"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06D988A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(一)落</w:t>
      </w:r>
      <w:r>
        <w:rPr>
          <w:rFonts w:eastAsia="標楷體"/>
          <w:spacing w:val="4"/>
          <w:kern w:val="0"/>
          <w:sz w:val="28"/>
          <w:szCs w:val="22"/>
        </w:rPr>
        <w:t>實健保改革，保障民眾就醫</w:t>
      </w:r>
    </w:p>
    <w:p w14:paraId="625B856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加強財務公平，改善支付制度</w:t>
      </w:r>
    </w:p>
    <w:p w14:paraId="6C1945A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推動財務制度之改革，落實收支連動機制，建立可長久維持的財務制度；推動多元支付方式之改革，引導以全人健康為核心之醫療體系照護，增進資源配置之效率。</w:t>
      </w:r>
    </w:p>
    <w:p w14:paraId="209259A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提升醫療照護品質：重視內、外、婦、兒與急診五大科醫師人力充實，合理提升給付標準，改善執業環境，提升醫療照護品質。</w:t>
      </w:r>
    </w:p>
    <w:p w14:paraId="2986663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保障弱勢就醫，增進醫療品質</w:t>
      </w:r>
    </w:p>
    <w:p w14:paraId="240BF9D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減輕弱勢之保費負擔，強化弱勢醫療照顧。</w:t>
      </w:r>
    </w:p>
    <w:p w14:paraId="7A7C66D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促進醫療資源合理分布，強化醫療照護在地化。</w:t>
      </w:r>
    </w:p>
    <w:p w14:paraId="11837AF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提供民眾透明資訊，強化自我健康照護觀念。</w:t>
      </w:r>
    </w:p>
    <w:p w14:paraId="7C1021D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強化緊急醫療服務體系，推動醫院緊急醫療能力分級制度，提升醫院急重症醫療照護品質，並輔導醫院建置優質之特殊照護中心。</w:t>
      </w:r>
    </w:p>
    <w:p w14:paraId="11EE97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建置緊急傷病患轉診網絡與資訊管理平臺；推廣自動體外心臟電擊去顫器之設置及運用。</w:t>
      </w:r>
    </w:p>
    <w:p w14:paraId="092E9A4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5.</w:t>
      </w:r>
      <w:r>
        <w:rPr>
          <w:rFonts w:eastAsia="標楷體"/>
          <w:spacing w:val="4"/>
          <w:kern w:val="0"/>
          <w:sz w:val="28"/>
          <w:szCs w:val="26"/>
        </w:rPr>
        <w:t>辦理「提升</w:t>
      </w:r>
      <w:r>
        <w:rPr>
          <w:rFonts w:ascii="標楷體" w:eastAsia="標楷體" w:hAnsi="標楷體"/>
          <w:spacing w:val="4"/>
          <w:kern w:val="0"/>
          <w:sz w:val="28"/>
          <w:szCs w:val="26"/>
        </w:rPr>
        <w:t>(婦)產</w:t>
      </w:r>
      <w:r>
        <w:rPr>
          <w:rFonts w:eastAsia="標楷體"/>
          <w:spacing w:val="4"/>
          <w:kern w:val="0"/>
          <w:sz w:val="28"/>
          <w:szCs w:val="26"/>
        </w:rPr>
        <w:t>科、兒科醫療品質及資源整合計畫」，提供</w:t>
      </w:r>
      <w:r>
        <w:rPr>
          <w:rFonts w:eastAsia="標楷體"/>
          <w:spacing w:val="4"/>
          <w:kern w:val="0"/>
          <w:sz w:val="28"/>
          <w:szCs w:val="26"/>
        </w:rPr>
        <w:t>24</w:t>
      </w:r>
      <w:r>
        <w:rPr>
          <w:rFonts w:eastAsia="標楷體"/>
          <w:spacing w:val="4"/>
          <w:kern w:val="0"/>
          <w:sz w:val="28"/>
          <w:szCs w:val="26"/>
        </w:rPr>
        <w:t>小</w:t>
      </w:r>
      <w:r>
        <w:rPr>
          <w:rFonts w:ascii="標楷體" w:eastAsia="標楷體" w:hAnsi="標楷體"/>
          <w:spacing w:val="4"/>
          <w:kern w:val="0"/>
          <w:sz w:val="28"/>
          <w:szCs w:val="26"/>
        </w:rPr>
        <w:t>時(婦)產</w:t>
      </w:r>
      <w:r>
        <w:rPr>
          <w:rFonts w:eastAsia="標楷體"/>
          <w:spacing w:val="4"/>
          <w:kern w:val="0"/>
          <w:sz w:val="28"/>
          <w:szCs w:val="26"/>
        </w:rPr>
        <w:t>科與兒科緊急醫療服務。</w:t>
      </w:r>
    </w:p>
    <w:p w14:paraId="5BE11F3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均衡發展各類醫事人力，改善醫護執業環境，提升醫療照護品質。</w:t>
      </w:r>
    </w:p>
    <w:p w14:paraId="667816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為維護醫病雙方權益，促進醫病關係和諧，提升醫療服務品質及病人安全，辦理生育事故救濟試辦計畫及建立醫療事故補償制度。</w:t>
      </w:r>
    </w:p>
    <w:p w14:paraId="27FBF86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推動有益健康的公共政策</w:t>
      </w:r>
    </w:p>
    <w:p w14:paraId="0874D03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普及全民運動、提升成人規律運動率、推動肥胖防治</w:t>
      </w:r>
    </w:p>
    <w:p w14:paraId="0463ED0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提倡健康體能，建構多元友善運動環境，養成民眾維持動態生活及規律運動習慣。</w:t>
      </w:r>
    </w:p>
    <w:p w14:paraId="0888D76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強化民眾參與運動之意識及組織之創新活力，為不同年齡、性別、興趣、健康狀況、城鄉及社經背景等不同族群，提供多元化、生活化、專屬化的運動指導與服務。</w:t>
      </w:r>
    </w:p>
    <w:p w14:paraId="04BB295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執</w:t>
      </w:r>
      <w:r>
        <w:rPr>
          <w:rFonts w:eastAsia="標楷體"/>
          <w:spacing w:val="8"/>
          <w:kern w:val="0"/>
          <w:sz w:val="28"/>
          <w:szCs w:val="22"/>
        </w:rPr>
        <w:t>行打造運動島六年</w:t>
      </w:r>
      <w:r>
        <w:rPr>
          <w:rFonts w:ascii="標楷體" w:eastAsia="標楷體" w:hAnsi="標楷體"/>
          <w:spacing w:val="8"/>
          <w:kern w:val="0"/>
          <w:sz w:val="28"/>
          <w:szCs w:val="22"/>
        </w:rPr>
        <w:t>(</w:t>
      </w:r>
      <w:r>
        <w:rPr>
          <w:rFonts w:eastAsia="標楷體"/>
          <w:spacing w:val="8"/>
          <w:kern w:val="0"/>
          <w:sz w:val="28"/>
          <w:szCs w:val="22"/>
        </w:rPr>
        <w:t>99</w:t>
      </w:r>
      <w:r>
        <w:rPr>
          <w:rFonts w:eastAsia="標楷體"/>
          <w:spacing w:val="8"/>
          <w:kern w:val="0"/>
          <w:sz w:val="28"/>
          <w:szCs w:val="22"/>
        </w:rPr>
        <w:t>至</w:t>
      </w:r>
      <w:r>
        <w:rPr>
          <w:rFonts w:eastAsia="標楷體"/>
          <w:spacing w:val="8"/>
          <w:kern w:val="0"/>
          <w:sz w:val="28"/>
          <w:szCs w:val="22"/>
        </w:rPr>
        <w:t>104</w:t>
      </w:r>
      <w:r>
        <w:rPr>
          <w:rFonts w:eastAsia="標楷體"/>
          <w:spacing w:val="8"/>
          <w:kern w:val="0"/>
          <w:sz w:val="28"/>
          <w:szCs w:val="22"/>
        </w:rPr>
        <w:t>年</w:t>
      </w:r>
      <w:r>
        <w:rPr>
          <w:rFonts w:ascii="標楷體" w:eastAsia="標楷體" w:hAnsi="標楷體"/>
          <w:spacing w:val="8"/>
          <w:kern w:val="0"/>
          <w:sz w:val="28"/>
          <w:szCs w:val="22"/>
        </w:rPr>
        <w:t>)</w:t>
      </w:r>
      <w:r>
        <w:rPr>
          <w:rFonts w:eastAsia="標楷體"/>
          <w:spacing w:val="8"/>
          <w:kern w:val="0"/>
          <w:sz w:val="28"/>
          <w:szCs w:val="22"/>
        </w:rPr>
        <w:t>計畫，激勵國人運</w:t>
      </w:r>
      <w:r>
        <w:rPr>
          <w:rFonts w:eastAsia="標楷體"/>
          <w:spacing w:val="4"/>
          <w:kern w:val="0"/>
          <w:sz w:val="28"/>
          <w:szCs w:val="22"/>
        </w:rPr>
        <w:t>動</w:t>
      </w:r>
      <w:r>
        <w:rPr>
          <w:rFonts w:eastAsia="標楷體"/>
          <w:spacing w:val="4"/>
          <w:kern w:val="0"/>
          <w:sz w:val="28"/>
          <w:szCs w:val="22"/>
        </w:rPr>
        <w:lastRenderedPageBreak/>
        <w:t>健身。</w:t>
      </w:r>
    </w:p>
    <w:p w14:paraId="1B2D893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強化社區力量參與肥胖防治，建構動態生活環境及健康飲食；輔導醫療院所成為健康促進職場及醫療院所，協助民眾維持健康體重，預防及改善慢性疾病。</w:t>
      </w:r>
    </w:p>
    <w:p w14:paraId="3CF57C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推動菸害防制</w:t>
      </w:r>
      <w:r>
        <w:rPr>
          <w:rFonts w:eastAsia="標楷體"/>
          <w:spacing w:val="4"/>
          <w:kern w:val="0"/>
          <w:sz w:val="28"/>
          <w:szCs w:val="26"/>
        </w:rPr>
        <w:t xml:space="preserve"> </w:t>
      </w:r>
    </w:p>
    <w:p w14:paraId="30ABFC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)落</w:t>
      </w:r>
      <w:r>
        <w:rPr>
          <w:rFonts w:eastAsia="標楷體"/>
          <w:spacing w:val="4"/>
          <w:kern w:val="0"/>
          <w:sz w:val="28"/>
          <w:szCs w:val="22"/>
        </w:rPr>
        <w:t>實菸害防制法，加強菸害防制法執法稽查工作，依法定期檢討菸價與菸品健康福利捐額度。</w:t>
      </w:r>
    </w:p>
    <w:p w14:paraId="5108CAB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6"/>
        </w:rPr>
        <w:t>持續辦理「二代戒菸治療試辦計畫」，提供全人全程全面服務。</w:t>
      </w:r>
    </w:p>
    <w:p w14:paraId="5954C65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推動癌症防治</w:t>
      </w:r>
    </w:p>
    <w:p w14:paraId="2449A9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推動檳榔健康危害防制工作，透過跨部會合作，建立無檳支持環境，開辦戒檳班推動戒檳服務。</w:t>
      </w:r>
    </w:p>
    <w:p w14:paraId="38F8B90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提高癌症篩檢率及癌症診療品質，普及篩檢醫療資源，提供可近性之篩檢服務。</w:t>
      </w:r>
    </w:p>
    <w:p w14:paraId="38DEB1A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加強癌症防治研究，做為癌症防治政策制定及評估依據。</w:t>
      </w:r>
    </w:p>
    <w:p w14:paraId="525266C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落實生育及婦幼保健、開辦生育風險救助</w:t>
      </w:r>
    </w:p>
    <w:p w14:paraId="3E3CC3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落實生育及婦幼保健，全面補助孕婦產前檢查、兒童預防保健、兒童牙齒塗氟、孕婦乙型鏈球菌篩檢及新生兒聽力篩檢等服務予尚未有臨床症狀之民眾，並提升利用率，以早期發現，早期治療。另，針對經濟弱勢及偏遠地區之兒童，提供兒童臼齒窩溝封填服務。推動「全人、全家、全程、全社區」的新世紀婦幼健康照護計畫，提供優質之生育保健諮詢服務體系及社會資源。</w:t>
      </w:r>
    </w:p>
    <w:p w14:paraId="3C15466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辦理生育風險救濟試辦計畫，針對因生產及接生過程屬於不可避免風險之生育事故，提供最高</w:t>
      </w:r>
      <w:r>
        <w:rPr>
          <w:rFonts w:eastAsia="標楷體"/>
          <w:spacing w:val="4"/>
          <w:kern w:val="0"/>
          <w:sz w:val="28"/>
          <w:szCs w:val="22"/>
        </w:rPr>
        <w:t>200</w:t>
      </w:r>
      <w:r>
        <w:rPr>
          <w:rFonts w:eastAsia="標楷體"/>
          <w:spacing w:val="4"/>
          <w:kern w:val="0"/>
          <w:sz w:val="28"/>
          <w:szCs w:val="22"/>
        </w:rPr>
        <w:t>萬元之救濟給付補助，使孕產婦獲得即時傷害救濟與生育保障。</w:t>
      </w:r>
    </w:p>
    <w:p w14:paraId="173B0A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強化醫療院所提供健康飲食、規律運動、健康減重等健康促進服務，協助醫療院所員工、病患、家屬及社區民眾維持健康體重，擺脫慢性疾病的威脅。</w:t>
      </w:r>
    </w:p>
    <w:p w14:paraId="4EFD81B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lastRenderedPageBreak/>
        <w:t>(三)加</w:t>
      </w:r>
      <w:r>
        <w:rPr>
          <w:rFonts w:eastAsia="標楷體"/>
          <w:spacing w:val="4"/>
          <w:kern w:val="0"/>
          <w:sz w:val="28"/>
          <w:szCs w:val="22"/>
        </w:rPr>
        <w:t>強交通運輸安全</w:t>
      </w:r>
    </w:p>
    <w:p w14:paraId="6E673AE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針對國內交通環境及執法面，加強取締酒後駕車、闖紅燈、嚴重超速、行駛路肩</w:t>
      </w:r>
      <w:r>
        <w:rPr>
          <w:rFonts w:ascii="標楷體" w:eastAsia="標楷體" w:hAnsi="標楷體"/>
          <w:spacing w:val="4"/>
          <w:kern w:val="0"/>
          <w:sz w:val="28"/>
          <w:szCs w:val="26"/>
        </w:rPr>
        <w:t>(高速公路)等</w:t>
      </w:r>
      <w:r>
        <w:rPr>
          <w:rFonts w:eastAsia="標楷體"/>
          <w:spacing w:val="4"/>
          <w:kern w:val="0"/>
          <w:sz w:val="28"/>
          <w:szCs w:val="26"/>
        </w:rPr>
        <w:t>惡性交通違規行為，以維護交通安全及秩序，並推動交通事故專責處理制度，精進員警處理事故能力，提升交通事故處理品質。</w:t>
      </w:r>
    </w:p>
    <w:p w14:paraId="094A8FF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推動交通安全教育宣導、改善交通安全環境。</w:t>
      </w:r>
    </w:p>
    <w:p w14:paraId="0C81186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強化治安工作與公共場所安全</w:t>
      </w:r>
    </w:p>
    <w:p w14:paraId="4F91C09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持續推動多元預防犯罪方案</w:t>
      </w:r>
    </w:p>
    <w:p w14:paraId="2596624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加強預防犯罪宣導，提升民眾防範犯罪概念</w:t>
      </w:r>
      <w:r>
        <w:rPr>
          <w:rFonts w:eastAsia="標楷體"/>
          <w:spacing w:val="4"/>
          <w:kern w:val="0"/>
          <w:sz w:val="28"/>
          <w:szCs w:val="22"/>
        </w:rPr>
        <w:t>;</w:t>
      </w:r>
      <w:r>
        <w:rPr>
          <w:rFonts w:eastAsia="標楷體"/>
          <w:spacing w:val="4"/>
          <w:kern w:val="0"/>
          <w:sz w:val="28"/>
          <w:szCs w:val="22"/>
        </w:rPr>
        <w:t>強化執行金融機構安全檢測，以防制相關犯罪行為。</w:t>
      </w:r>
    </w:p>
    <w:p w14:paraId="15444C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增加第三方警政監控力，規劃因地制宜犯罪防制措施，並持續推動跨部會聯繫，提升犯罪預防工作能量。</w:t>
      </w:r>
    </w:p>
    <w:p w14:paraId="782672E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賡續落實執行治安顧慮人口及毒品人口查訪工作，以有效降低再犯率。</w:t>
      </w:r>
    </w:p>
    <w:p w14:paraId="7612DC2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強化婦幼安全工作，建構跨部會少年犯罪防治保護網絡，落實少年犯罪預防工作。</w:t>
      </w:r>
    </w:p>
    <w:p w14:paraId="4C940AD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強化檢肅竊盜及防制詐騙犯罪</w:t>
      </w:r>
    </w:p>
    <w:p w14:paraId="6671027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針對住宅竊案重複被害住戶，實施防竊諮詢、關懷慰問及預防宣導，落實現場勘察與採證工作。</w:t>
      </w:r>
    </w:p>
    <w:p w14:paraId="1878950E"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)執</w:t>
      </w:r>
      <w:r>
        <w:rPr>
          <w:rFonts w:eastAsia="標楷體"/>
          <w:spacing w:val="4"/>
          <w:kern w:val="0"/>
          <w:sz w:val="28"/>
          <w:szCs w:val="22"/>
        </w:rPr>
        <w:t>行「掃蕩竊盜集團」及「查緝易銷贓場所」等專案行動，遏制竊盜犯罪；強化電信、網路及金融面之安全管理機制，防制相關詐騙犯罪。</w:t>
      </w:r>
    </w:p>
    <w:p w14:paraId="64FAFD4B"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加強肅槍緝毒及掃蕩黑道幫派</w:t>
      </w:r>
    </w:p>
    <w:p w14:paraId="0BD423D4"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透過治安機關聯繫管道之建立，強化相關機動勤務之部署，防堵槍械及毒品入境。</w:t>
      </w:r>
    </w:p>
    <w:p w14:paraId="646F3FF9"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)全</w:t>
      </w:r>
      <w:r>
        <w:rPr>
          <w:rFonts w:eastAsia="標楷體"/>
          <w:spacing w:val="4"/>
          <w:kern w:val="0"/>
          <w:sz w:val="28"/>
          <w:szCs w:val="22"/>
        </w:rPr>
        <w:t>力查緝製造、運輸及販賣槍毒等犯罪行為，並強化治安顧慮場所及特定對象之臨檢、查察、掃蕩及檢肅等工作之執行。</w:t>
      </w:r>
    </w:p>
    <w:p w14:paraId="1AF629FF"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)規</w:t>
      </w:r>
      <w:r>
        <w:rPr>
          <w:rFonts w:eastAsia="標楷體"/>
          <w:spacing w:val="4"/>
          <w:kern w:val="0"/>
          <w:sz w:val="28"/>
          <w:szCs w:val="22"/>
        </w:rPr>
        <w:t>劃執行「不良幫派組合情蒐工作」、「行業查訪」及「防制幫派公開活動」等預防性作為，防制黑道幫派犯</w:t>
      </w:r>
      <w:r>
        <w:rPr>
          <w:rFonts w:eastAsia="標楷體"/>
          <w:spacing w:val="4"/>
          <w:kern w:val="0"/>
          <w:sz w:val="28"/>
          <w:szCs w:val="22"/>
        </w:rPr>
        <w:lastRenderedPageBreak/>
        <w:t>罪；推動「治平專案」及「不良幫派組合專案搜索臨檢」等作為，有效查緝相關犯罪行為。</w:t>
      </w:r>
    </w:p>
    <w:p w14:paraId="70B5DCBF"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提升建築物公共安全之維護</w:t>
      </w:r>
    </w:p>
    <w:p w14:paraId="0BE285AC"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持續推動公眾場所定期公共安全檢查申報制度，以利安全環境之建構。</w:t>
      </w:r>
    </w:p>
    <w:p w14:paraId="0C2EDBBF"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)賡</w:t>
      </w:r>
      <w:r>
        <w:rPr>
          <w:rFonts w:eastAsia="標楷體"/>
          <w:spacing w:val="4"/>
          <w:kern w:val="0"/>
          <w:sz w:val="28"/>
          <w:szCs w:val="22"/>
        </w:rPr>
        <w:t>續推動「建物公安ｅ指通」行動</w:t>
      </w:r>
      <w:r>
        <w:rPr>
          <w:rFonts w:eastAsia="標楷體"/>
          <w:spacing w:val="4"/>
          <w:kern w:val="0"/>
          <w:sz w:val="28"/>
          <w:szCs w:val="22"/>
        </w:rPr>
        <w:t>APP</w:t>
      </w:r>
      <w:r>
        <w:rPr>
          <w:rFonts w:eastAsia="標楷體"/>
          <w:spacing w:val="4"/>
          <w:kern w:val="0"/>
          <w:sz w:val="28"/>
          <w:szCs w:val="22"/>
        </w:rPr>
        <w:t>軟體，提供民眾即時化之營業場所建築物公共安全檢查資訊查詢平臺，作為選擇消費場所之參考。</w:t>
      </w:r>
    </w:p>
    <w:p w14:paraId="7CB0F411"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)賡</w:t>
      </w:r>
      <w:r>
        <w:rPr>
          <w:rFonts w:eastAsia="標楷體"/>
          <w:spacing w:val="4"/>
          <w:kern w:val="0"/>
          <w:sz w:val="28"/>
          <w:szCs w:val="22"/>
        </w:rPr>
        <w:t>續管制及提升非商業區建築物變更為干擾性較高之娛樂消費、餐飲、製造檢驗及休閒場所之防火避難設施設置標準，以確保居住安全。</w:t>
      </w:r>
    </w:p>
    <w:p w14:paraId="2B902D88"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強化消防安全之查察工作</w:t>
      </w:r>
    </w:p>
    <w:p w14:paraId="552F8FE6"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)強</w:t>
      </w:r>
      <w:r>
        <w:rPr>
          <w:rFonts w:eastAsia="標楷體"/>
          <w:spacing w:val="4"/>
          <w:kern w:val="0"/>
          <w:sz w:val="28"/>
          <w:szCs w:val="22"/>
        </w:rPr>
        <w:t>化指導各直轄市、縣</w:t>
      </w:r>
      <w:r>
        <w:rPr>
          <w:rFonts w:ascii="標楷體" w:eastAsia="標楷體" w:hAnsi="標楷體"/>
          <w:spacing w:val="4"/>
          <w:kern w:val="0"/>
          <w:sz w:val="28"/>
          <w:szCs w:val="22"/>
        </w:rPr>
        <w:t>(市)政府</w:t>
      </w:r>
      <w:r>
        <w:rPr>
          <w:rFonts w:eastAsia="標楷體"/>
          <w:spacing w:val="4"/>
          <w:kern w:val="0"/>
          <w:sz w:val="28"/>
          <w:szCs w:val="22"/>
        </w:rPr>
        <w:t>加強重點營業場所之公共安全檢查取締措施，同時揭示不合格場所之檢查資訊。</w:t>
      </w:r>
    </w:p>
    <w:p w14:paraId="1CB04E10"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持續強化消防安全檢查及宣導作為，落實消防安全設備檢修申報及複查作業，確保公共場所安全。</w:t>
      </w:r>
    </w:p>
    <w:p w14:paraId="32AF77AE"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)強</w:t>
      </w:r>
      <w:r>
        <w:rPr>
          <w:rFonts w:eastAsia="標楷體"/>
          <w:spacing w:val="4"/>
          <w:kern w:val="0"/>
          <w:sz w:val="28"/>
          <w:szCs w:val="22"/>
        </w:rPr>
        <w:t>化各項消防安全檢查工作，並提升社會福利機構之安全檢查及維護工作。</w:t>
      </w:r>
    </w:p>
    <w:p w14:paraId="108F2D13"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定期更新「各地區危險場所」資料庫，以供民眾查詢相關資訊。</w:t>
      </w:r>
    </w:p>
    <w:p w14:paraId="5FC0E3BA"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確保食品、藥物及防疫安全，打造平安健康的臺灣</w:t>
      </w:r>
    </w:p>
    <w:p w14:paraId="05ED4EC2"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全面掃蕩黑心食品及偽劣禁藥、建構健康消費環境</w:t>
      </w:r>
    </w:p>
    <w:p w14:paraId="7BF32970"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推動食品業者登錄及追溯追蹤系統，加強食品添加物管理，強化稽查及檢驗能量，掃蕩黑心食品，加強製造工廠之稽查並輔導業者，建構健康飲食環境。</w:t>
      </w:r>
    </w:p>
    <w:p w14:paraId="3A899A09"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強力掃蕩不法藥物及廣告，提升用藥安全，推動國際優良藥物製造規範</w:t>
      </w:r>
      <w:r>
        <w:rPr>
          <w:rFonts w:ascii="標楷體" w:eastAsia="標楷體" w:hAnsi="標楷體"/>
          <w:spacing w:val="4"/>
          <w:kern w:val="0"/>
          <w:sz w:val="28"/>
          <w:szCs w:val="22"/>
        </w:rPr>
        <w:t>(</w:t>
      </w:r>
      <w:r>
        <w:rPr>
          <w:rFonts w:eastAsia="標楷體"/>
          <w:spacing w:val="4"/>
          <w:kern w:val="0"/>
          <w:sz w:val="28"/>
          <w:szCs w:val="22"/>
        </w:rPr>
        <w:t>PIC/S GMP</w:t>
      </w:r>
      <w:r>
        <w:rPr>
          <w:rFonts w:ascii="標楷體" w:eastAsia="標楷體" w:hAnsi="標楷體"/>
          <w:spacing w:val="4"/>
          <w:kern w:val="0"/>
          <w:sz w:val="28"/>
          <w:szCs w:val="22"/>
        </w:rPr>
        <w:t>)</w:t>
      </w:r>
      <w:r>
        <w:rPr>
          <w:rFonts w:eastAsia="標楷體"/>
          <w:spacing w:val="4"/>
          <w:kern w:val="0"/>
          <w:sz w:val="28"/>
          <w:szCs w:val="22"/>
        </w:rPr>
        <w:t>，建構安心的用藥環境。</w:t>
      </w:r>
    </w:p>
    <w:p w14:paraId="4BE717EC"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推動中藥用藥安全環境，強化中藥材及製劑品質管理機</w:t>
      </w:r>
      <w:r>
        <w:rPr>
          <w:rFonts w:eastAsia="標楷體"/>
          <w:spacing w:val="4"/>
          <w:kern w:val="0"/>
          <w:sz w:val="28"/>
          <w:szCs w:val="22"/>
        </w:rPr>
        <w:lastRenderedPageBreak/>
        <w:t>制，加強中藥不法行為查緝。</w:t>
      </w:r>
    </w:p>
    <w:p w14:paraId="7B8D8B9A"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加強疫情預警及國際合作，依據國人免疫力接種疫苗</w:t>
      </w:r>
    </w:p>
    <w:p w14:paraId="00318F1B"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)辦</w:t>
      </w:r>
      <w:r>
        <w:rPr>
          <w:rFonts w:eastAsia="標楷體"/>
          <w:spacing w:val="4"/>
          <w:kern w:val="0"/>
          <w:sz w:val="28"/>
          <w:szCs w:val="22"/>
        </w:rPr>
        <w:t>理設立國家疫苗基金及促進國民免疫力計畫、急性傳染病流行風險監控與管理計畫－病媒、腸道傳染病及腸病毒、肝炎防治暨根除三麻一風整合計畫、愛滋防治第</w:t>
      </w:r>
      <w:r>
        <w:rPr>
          <w:rFonts w:eastAsia="標楷體"/>
          <w:spacing w:val="4"/>
          <w:kern w:val="0"/>
          <w:sz w:val="28"/>
          <w:szCs w:val="22"/>
        </w:rPr>
        <w:t>5</w:t>
      </w:r>
      <w:r>
        <w:rPr>
          <w:rFonts w:eastAsia="標楷體"/>
          <w:spacing w:val="4"/>
          <w:kern w:val="0"/>
          <w:sz w:val="28"/>
          <w:szCs w:val="22"/>
        </w:rPr>
        <w:t>期五年計畫、結核病十年減半全民動員第</w:t>
      </w:r>
      <w:r>
        <w:rPr>
          <w:rFonts w:eastAsia="標楷體"/>
          <w:spacing w:val="4"/>
          <w:kern w:val="0"/>
          <w:sz w:val="28"/>
          <w:szCs w:val="22"/>
        </w:rPr>
        <w:t>2</w:t>
      </w:r>
      <w:r>
        <w:rPr>
          <w:rFonts w:eastAsia="標楷體"/>
          <w:spacing w:val="4"/>
          <w:kern w:val="0"/>
          <w:sz w:val="28"/>
          <w:szCs w:val="22"/>
        </w:rPr>
        <w:t>期計畫、我國因應流感大流行準備第</w:t>
      </w:r>
      <w:r>
        <w:rPr>
          <w:rFonts w:eastAsia="標楷體"/>
          <w:spacing w:val="4"/>
          <w:kern w:val="0"/>
          <w:sz w:val="28"/>
          <w:szCs w:val="22"/>
        </w:rPr>
        <w:t>2</w:t>
      </w:r>
      <w:r>
        <w:rPr>
          <w:rFonts w:eastAsia="標楷體"/>
          <w:spacing w:val="4"/>
          <w:kern w:val="0"/>
          <w:sz w:val="28"/>
          <w:szCs w:val="22"/>
        </w:rPr>
        <w:t>期計畫、感染性生物安全防護計畫等中長程施政計畫，俾利防治政策規劃及推動。</w:t>
      </w:r>
    </w:p>
    <w:p w14:paraId="084BB18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提升傳染病監測及通報效能，推動兩岸傳染病疫情交換事務之制度化，持續與美國、日本、歐盟等先進國家進行國際雙邊及多邊合作，厚實我國防疫量能。</w:t>
      </w:r>
    </w:p>
    <w:p w14:paraId="5AE6AD7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強化愛滋病多元化預防策略。推動結核病個案主動發現及個案管理，以達結核病十年減半之目標。</w:t>
      </w:r>
    </w:p>
    <w:p w14:paraId="5E9A58A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102</w:t>
      </w:r>
      <w:r>
        <w:rPr>
          <w:rFonts w:eastAsia="標楷體"/>
          <w:spacing w:val="4"/>
          <w:kern w:val="0"/>
          <w:sz w:val="28"/>
          <w:szCs w:val="22"/>
        </w:rPr>
        <w:t>年新增滿</w:t>
      </w:r>
      <w:r>
        <w:rPr>
          <w:rFonts w:eastAsia="標楷體"/>
          <w:spacing w:val="4"/>
          <w:kern w:val="0"/>
          <w:sz w:val="28"/>
          <w:szCs w:val="22"/>
        </w:rPr>
        <w:t>2</w:t>
      </w:r>
      <w:r>
        <w:rPr>
          <w:rFonts w:eastAsia="標楷體"/>
          <w:spacing w:val="4"/>
          <w:kern w:val="0"/>
          <w:sz w:val="28"/>
          <w:szCs w:val="22"/>
        </w:rPr>
        <w:t>至</w:t>
      </w:r>
      <w:r>
        <w:rPr>
          <w:rFonts w:eastAsia="標楷體"/>
          <w:spacing w:val="4"/>
          <w:kern w:val="0"/>
          <w:sz w:val="28"/>
          <w:szCs w:val="22"/>
        </w:rPr>
        <w:t>5</w:t>
      </w:r>
      <w:r>
        <w:rPr>
          <w:rFonts w:eastAsia="標楷體"/>
          <w:spacing w:val="4"/>
          <w:kern w:val="0"/>
          <w:sz w:val="28"/>
          <w:szCs w:val="22"/>
        </w:rPr>
        <w:t>歲的幼童全面接種一劑結合型肺炎鏈球菌疫苗</w:t>
      </w:r>
      <w:r>
        <w:rPr>
          <w:rFonts w:ascii="標楷體" w:eastAsia="標楷體" w:hAnsi="標楷體"/>
          <w:spacing w:val="4"/>
          <w:kern w:val="0"/>
          <w:sz w:val="28"/>
          <w:szCs w:val="22"/>
        </w:rPr>
        <w:t>(</w:t>
      </w:r>
      <w:r>
        <w:rPr>
          <w:rFonts w:eastAsia="標楷體"/>
          <w:spacing w:val="4"/>
          <w:kern w:val="0"/>
          <w:sz w:val="28"/>
          <w:szCs w:val="22"/>
        </w:rPr>
        <w:t>PCV</w:t>
      </w:r>
      <w:r>
        <w:rPr>
          <w:rFonts w:ascii="標楷體" w:eastAsia="標楷體" w:hAnsi="標楷體"/>
          <w:spacing w:val="4"/>
          <w:kern w:val="0"/>
          <w:sz w:val="28"/>
          <w:szCs w:val="22"/>
        </w:rPr>
        <w:t>)</w:t>
      </w:r>
      <w:r>
        <w:rPr>
          <w:rFonts w:eastAsia="標楷體"/>
          <w:spacing w:val="4"/>
          <w:kern w:val="0"/>
          <w:sz w:val="28"/>
          <w:szCs w:val="22"/>
        </w:rPr>
        <w:t>，並規劃於</w:t>
      </w:r>
      <w:r>
        <w:rPr>
          <w:rFonts w:eastAsia="標楷體"/>
          <w:spacing w:val="4"/>
          <w:kern w:val="0"/>
          <w:sz w:val="28"/>
          <w:szCs w:val="22"/>
        </w:rPr>
        <w:t>103</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年逐年將</w:t>
      </w:r>
      <w:r>
        <w:rPr>
          <w:rFonts w:eastAsia="標楷體"/>
          <w:spacing w:val="4"/>
          <w:kern w:val="0"/>
          <w:sz w:val="28"/>
          <w:szCs w:val="22"/>
        </w:rPr>
        <w:t>PCV</w:t>
      </w:r>
      <w:r>
        <w:rPr>
          <w:rFonts w:eastAsia="標楷體"/>
          <w:spacing w:val="4"/>
          <w:kern w:val="0"/>
          <w:sz w:val="28"/>
          <w:szCs w:val="22"/>
        </w:rPr>
        <w:t>導入幼兒常規接種項目。</w:t>
      </w:r>
    </w:p>
    <w:p w14:paraId="6248282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執行醫藥衛生科技研究，推動醫藥生技產業，加強與國內、外學術研究機構合作。</w:t>
      </w:r>
    </w:p>
    <w:p w14:paraId="05395B6E"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47536B9" w14:textId="77777777" w:rsidR="00052596" w:rsidRDefault="00000000">
      <w:pPr>
        <w:overflowPunct w:val="0"/>
        <w:autoSpaceDE w:val="0"/>
        <w:spacing w:line="420" w:lineRule="exact"/>
        <w:jc w:val="center"/>
        <w:textAlignment w:val="center"/>
        <w:rPr>
          <w:rFonts w:eastAsia="標楷體"/>
          <w:b/>
          <w:color w:val="0000FF"/>
          <w:kern w:val="0"/>
          <w:sz w:val="28"/>
          <w:szCs w:val="28"/>
        </w:rPr>
      </w:pPr>
      <w:r>
        <w:rPr>
          <w:rFonts w:eastAsia="標楷體"/>
          <w:b/>
          <w:color w:val="0000FF"/>
          <w:kern w:val="0"/>
          <w:sz w:val="28"/>
          <w:szCs w:val="28"/>
        </w:rPr>
        <w:t>参、扶幼護老</w:t>
      </w:r>
    </w:p>
    <w:p w14:paraId="1FC10DA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C36A813"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我國當前面臨的少子女化與高齡化現象，將使人口結構產生重大變化，對未來經濟成長與社會負擔帶來挑戰。未來四年，為緩解少子女化問題，政府將透過支持性與補充性福利措施，提供多元化且普及性之兒童照顧服務方案，賡續擴大社區保母系統專業服務，推動保母職業登記與管理制度，提升托育品質與功能；研擬</w:t>
      </w:r>
      <w:r>
        <w:rPr>
          <w:rFonts w:eastAsia="標楷體"/>
          <w:spacing w:val="4"/>
          <w:kern w:val="0"/>
          <w:sz w:val="28"/>
          <w:szCs w:val="26"/>
        </w:rPr>
        <w:t>2-6</w:t>
      </w:r>
      <w:r>
        <w:rPr>
          <w:rFonts w:eastAsia="標楷體"/>
          <w:spacing w:val="4"/>
          <w:kern w:val="0"/>
          <w:sz w:val="28"/>
          <w:szCs w:val="26"/>
        </w:rPr>
        <w:t>歲幼兒優質教保服務發展計畫，強化學前教保服務品質。此外，有鑑於人口老化帶來的長期照顧需求，現行長照十年計畫將轉銜為長照服務網計畫，建置在地化與可近性的長照服務資源網絡；並賡續推動長照服務法制化，規劃推動長期照護保險制度，研訂「長期照護保險法」。此外，</w:t>
      </w:r>
      <w:r>
        <w:rPr>
          <w:rFonts w:eastAsia="標楷體"/>
          <w:spacing w:val="4"/>
          <w:kern w:val="0"/>
          <w:sz w:val="28"/>
          <w:szCs w:val="26"/>
        </w:rPr>
        <w:lastRenderedPageBreak/>
        <w:t>政府為保障身心障礙者權益，將配合「身心障礙者權益益保障法」修正，推動無障礙生活環境，提供身心障礙者生活補助、安置服務及各項福利措施。</w:t>
      </w:r>
    </w:p>
    <w:p w14:paraId="67DAAEE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4B74B12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推動優質平價幼兒教保服務，</w:t>
      </w:r>
      <w:r>
        <w:rPr>
          <w:rFonts w:eastAsia="標楷體"/>
          <w:spacing w:val="4"/>
          <w:kern w:val="0"/>
          <w:sz w:val="28"/>
          <w:szCs w:val="22"/>
        </w:rPr>
        <w:t>5</w:t>
      </w:r>
      <w:r>
        <w:rPr>
          <w:rFonts w:eastAsia="標楷體"/>
          <w:spacing w:val="4"/>
          <w:kern w:val="0"/>
          <w:sz w:val="28"/>
          <w:szCs w:val="22"/>
        </w:rPr>
        <w:t>歲幼兒入園率自</w:t>
      </w:r>
      <w:r>
        <w:rPr>
          <w:rFonts w:eastAsia="標楷體"/>
          <w:spacing w:val="4"/>
          <w:kern w:val="0"/>
          <w:sz w:val="28"/>
          <w:szCs w:val="22"/>
        </w:rPr>
        <w:t>101</w:t>
      </w:r>
      <w:r>
        <w:rPr>
          <w:rFonts w:eastAsia="標楷體"/>
          <w:spacing w:val="4"/>
          <w:kern w:val="0"/>
          <w:sz w:val="28"/>
          <w:szCs w:val="22"/>
        </w:rPr>
        <w:t>年的</w:t>
      </w:r>
      <w:r>
        <w:rPr>
          <w:rFonts w:eastAsia="標楷體"/>
          <w:spacing w:val="4"/>
          <w:kern w:val="0"/>
          <w:sz w:val="28"/>
          <w:szCs w:val="22"/>
        </w:rPr>
        <w:t>94%</w:t>
      </w:r>
      <w:r>
        <w:rPr>
          <w:rFonts w:eastAsia="標楷體"/>
          <w:spacing w:val="4"/>
          <w:kern w:val="0"/>
          <w:sz w:val="28"/>
          <w:szCs w:val="22"/>
        </w:rPr>
        <w:t>提升至</w:t>
      </w:r>
      <w:r>
        <w:rPr>
          <w:rFonts w:eastAsia="標楷體"/>
          <w:spacing w:val="4"/>
          <w:kern w:val="0"/>
          <w:sz w:val="28"/>
          <w:szCs w:val="22"/>
        </w:rPr>
        <w:t>105</w:t>
      </w:r>
      <w:r>
        <w:rPr>
          <w:rFonts w:eastAsia="標楷體"/>
          <w:spacing w:val="4"/>
          <w:kern w:val="0"/>
          <w:sz w:val="28"/>
          <w:szCs w:val="22"/>
        </w:rPr>
        <w:t>年的</w:t>
      </w:r>
      <w:r>
        <w:rPr>
          <w:rFonts w:eastAsia="標楷體"/>
          <w:spacing w:val="4"/>
          <w:kern w:val="0"/>
          <w:sz w:val="28"/>
          <w:szCs w:val="22"/>
        </w:rPr>
        <w:t>96%</w:t>
      </w:r>
      <w:r>
        <w:rPr>
          <w:rFonts w:eastAsia="標楷體"/>
          <w:spacing w:val="4"/>
          <w:kern w:val="0"/>
          <w:sz w:val="28"/>
          <w:szCs w:val="22"/>
        </w:rPr>
        <w:t>。</w:t>
      </w:r>
    </w:p>
    <w:p w14:paraId="56BC175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減輕育兒家庭托育與經濟負擔，提高國人生育意願，未來十年平均每年出生嬰兒數達</w:t>
      </w:r>
      <w:r>
        <w:rPr>
          <w:rFonts w:eastAsia="標楷體"/>
          <w:spacing w:val="4"/>
          <w:kern w:val="0"/>
          <w:sz w:val="28"/>
          <w:szCs w:val="22"/>
        </w:rPr>
        <w:t>18</w:t>
      </w:r>
      <w:r>
        <w:rPr>
          <w:rFonts w:eastAsia="標楷體"/>
          <w:spacing w:val="4"/>
          <w:kern w:val="0"/>
          <w:sz w:val="28"/>
          <w:szCs w:val="22"/>
        </w:rPr>
        <w:t>萬人。</w:t>
      </w:r>
    </w:p>
    <w:p w14:paraId="08D7D147"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規劃推動長照保險制度，分擔被保險人之長期照護風險，減輕失能者及其家庭使用長期照護服務之財務負擔。</w:t>
      </w:r>
    </w:p>
    <w:p w14:paraId="5A844983"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健全長期照護體系，提升長照服務涵蓋率，每年成長</w:t>
      </w:r>
      <w:r>
        <w:rPr>
          <w:rFonts w:eastAsia="標楷體"/>
          <w:spacing w:val="4"/>
          <w:kern w:val="0"/>
          <w:sz w:val="28"/>
          <w:szCs w:val="22"/>
        </w:rPr>
        <w:t>3%</w:t>
      </w:r>
      <w:r>
        <w:rPr>
          <w:rFonts w:eastAsia="標楷體"/>
          <w:spacing w:val="4"/>
          <w:kern w:val="0"/>
          <w:sz w:val="28"/>
          <w:szCs w:val="22"/>
        </w:rPr>
        <w:t>，其中社政服務項目受益人數之成長率達</w:t>
      </w:r>
      <w:r>
        <w:rPr>
          <w:rFonts w:eastAsia="標楷體"/>
          <w:spacing w:val="4"/>
          <w:kern w:val="0"/>
          <w:sz w:val="28"/>
          <w:szCs w:val="22"/>
        </w:rPr>
        <w:t>7%</w:t>
      </w:r>
      <w:r>
        <w:rPr>
          <w:rFonts w:eastAsia="標楷體"/>
          <w:spacing w:val="4"/>
          <w:kern w:val="0"/>
          <w:sz w:val="28"/>
          <w:szCs w:val="22"/>
        </w:rPr>
        <w:t>。</w:t>
      </w:r>
    </w:p>
    <w:p w14:paraId="200513B0"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加速健全身心障礙者照顧及支持服務體系，至</w:t>
      </w:r>
      <w:r>
        <w:rPr>
          <w:rFonts w:eastAsia="標楷體"/>
          <w:spacing w:val="4"/>
          <w:kern w:val="0"/>
          <w:sz w:val="28"/>
          <w:szCs w:val="22"/>
        </w:rPr>
        <w:t>105</w:t>
      </w:r>
      <w:r>
        <w:rPr>
          <w:rFonts w:eastAsia="標楷體"/>
          <w:spacing w:val="4"/>
          <w:kern w:val="0"/>
          <w:sz w:val="28"/>
          <w:szCs w:val="22"/>
        </w:rPr>
        <w:t>年成立</w:t>
      </w:r>
      <w:r>
        <w:rPr>
          <w:rFonts w:eastAsia="標楷體"/>
          <w:spacing w:val="4"/>
          <w:kern w:val="0"/>
          <w:sz w:val="28"/>
          <w:szCs w:val="22"/>
        </w:rPr>
        <w:t>270</w:t>
      </w:r>
      <w:r>
        <w:rPr>
          <w:rFonts w:eastAsia="標楷體"/>
          <w:spacing w:val="4"/>
          <w:kern w:val="0"/>
          <w:sz w:val="28"/>
          <w:szCs w:val="22"/>
        </w:rPr>
        <w:t>個服務據點、照顧</w:t>
      </w:r>
      <w:r>
        <w:rPr>
          <w:rFonts w:eastAsia="標楷體"/>
          <w:spacing w:val="4"/>
          <w:kern w:val="0"/>
          <w:sz w:val="28"/>
          <w:szCs w:val="22"/>
        </w:rPr>
        <w:t>6</w:t>
      </w:r>
      <w:r>
        <w:rPr>
          <w:rFonts w:eastAsia="標楷體"/>
          <w:spacing w:val="4"/>
          <w:kern w:val="0"/>
          <w:sz w:val="28"/>
          <w:szCs w:val="22"/>
        </w:rPr>
        <w:t>萬人。</w:t>
      </w:r>
    </w:p>
    <w:p w14:paraId="7DD10C65"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06"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57D56724"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建置幼兒教保服務體系</w:t>
      </w:r>
    </w:p>
    <w:p w14:paraId="30E2B203"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完善學前教保法制，建立良性教保制度：研訂幼兒教育及照顧法相關子法。</w:t>
      </w:r>
    </w:p>
    <w:p w14:paraId="03D3E014"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逐步擴大近便性及可及性兼具之教保服務，增加公共教保服務機構：建構政府與民間非營利團體合作機制，增加非營利幼兒園；鼓勵及補助供應不足地區增設國民小學附設幼兒園或設置社區互助教保服務中心。</w:t>
      </w:r>
    </w:p>
    <w:p w14:paraId="72482193"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確保幼兒園課程與教學品質：建立幼兒園教保活動課程大綱推廣機制，規劃辦理推廣人員培訓計畫；研訂幼兒能力評量指標；強化教保服務人員教保專業能力。</w:t>
      </w:r>
    </w:p>
    <w:p w14:paraId="543CFB16"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建構輔導－評鑑－補助系統：研訂基礎評鑑指標及專業認證評鑑指標；推廣幼兒園品質自我檢核系統；訂定幼兒園輔導計畫，建置輔導人員培訓機制。</w:t>
      </w:r>
    </w:p>
    <w:p w14:paraId="42797068"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1022" w:hanging="230"/>
        <w:jc w:val="both"/>
        <w:textAlignment w:val="center"/>
      </w:pPr>
      <w:r>
        <w:rPr>
          <w:rFonts w:eastAsia="標楷體"/>
          <w:spacing w:val="4"/>
          <w:kern w:val="0"/>
          <w:sz w:val="28"/>
          <w:szCs w:val="26"/>
        </w:rPr>
        <w:t>5.</w:t>
      </w:r>
      <w:r>
        <w:rPr>
          <w:rFonts w:eastAsia="標楷體"/>
          <w:spacing w:val="4"/>
          <w:kern w:val="0"/>
          <w:sz w:val="28"/>
          <w:szCs w:val="26"/>
        </w:rPr>
        <w:t>加強家庭與社區支持網絡：規劃社區教保資源中心，統籌區域性教保輔導、家長育兒支持及社區支持系統；鼓勵及補助</w:t>
      </w:r>
      <w:r>
        <w:rPr>
          <w:rFonts w:eastAsia="標楷體"/>
          <w:spacing w:val="4"/>
          <w:kern w:val="0"/>
          <w:sz w:val="28"/>
          <w:szCs w:val="26"/>
        </w:rPr>
        <w:lastRenderedPageBreak/>
        <w:t>符合一定標準之私立幼兒園，提供社區家長支持性</w:t>
      </w:r>
      <w:r>
        <w:rPr>
          <w:rFonts w:ascii="標楷體" w:eastAsia="標楷體" w:hAnsi="標楷體"/>
          <w:spacing w:val="4"/>
          <w:kern w:val="0"/>
          <w:sz w:val="28"/>
          <w:szCs w:val="26"/>
        </w:rPr>
        <w:t>服務(</w:t>
      </w:r>
      <w:r>
        <w:rPr>
          <w:rFonts w:eastAsia="標楷體"/>
          <w:spacing w:val="4"/>
          <w:kern w:val="0"/>
          <w:sz w:val="28"/>
          <w:szCs w:val="26"/>
        </w:rPr>
        <w:t>如親職教育及臨托等</w:t>
      </w:r>
      <w:r>
        <w:rPr>
          <w:rFonts w:ascii="標楷體" w:eastAsia="標楷體" w:hAnsi="標楷體"/>
          <w:spacing w:val="4"/>
          <w:kern w:val="0"/>
          <w:sz w:val="28"/>
          <w:szCs w:val="26"/>
        </w:rPr>
        <w:t>)。</w:t>
      </w:r>
    </w:p>
    <w:p w14:paraId="47DA1175"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792" w:hanging="576"/>
        <w:jc w:val="both"/>
        <w:textAlignment w:val="center"/>
      </w:pPr>
      <w:r>
        <w:rPr>
          <w:rFonts w:ascii="標楷體" w:eastAsia="標楷體" w:hAnsi="標楷體"/>
          <w:spacing w:val="4"/>
          <w:kern w:val="0"/>
          <w:sz w:val="28"/>
          <w:szCs w:val="22"/>
        </w:rPr>
        <w:t>(二)健</w:t>
      </w:r>
      <w:r>
        <w:rPr>
          <w:rFonts w:eastAsia="標楷體"/>
          <w:spacing w:val="4"/>
          <w:kern w:val="0"/>
          <w:sz w:val="28"/>
          <w:szCs w:val="22"/>
        </w:rPr>
        <w:t>全保母托育管理制度</w:t>
      </w:r>
    </w:p>
    <w:p w14:paraId="13DCA0E1" w14:textId="77777777" w:rsidR="00052596" w:rsidRDefault="00000000">
      <w:pPr>
        <w:tabs>
          <w:tab w:val="left" w:pos="960"/>
          <w:tab w:val="left" w:pos="1920"/>
          <w:tab w:val="left" w:pos="2880"/>
          <w:tab w:val="left" w:pos="3840"/>
          <w:tab w:val="left" w:pos="4800"/>
          <w:tab w:val="left" w:pos="5760"/>
        </w:tabs>
        <w:overflowPunct w:val="0"/>
        <w:autoSpaceDE w:val="0"/>
        <w:spacing w:line="406"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輔導地方政府推動普及化、多元化及非營利型態之托育服務：鼓勵除「居家式托育服務」及「立案托嬰中心」之外，地方政府可結合民間非營利組織，設立公私協力托嬰中心及托育資源中心，使不同照顧型態及照顧需求之育兒家庭皆能得到所需照顧。</w:t>
      </w:r>
    </w:p>
    <w:p w14:paraId="1214966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推動從業保母執業登記管理制度，落實保母托育管理及輔導工作：鑒於</w:t>
      </w:r>
      <w:r>
        <w:rPr>
          <w:rFonts w:eastAsia="標楷體"/>
          <w:spacing w:val="4"/>
          <w:kern w:val="0"/>
          <w:sz w:val="28"/>
          <w:szCs w:val="26"/>
        </w:rPr>
        <w:t>103</w:t>
      </w:r>
      <w:r>
        <w:rPr>
          <w:rFonts w:eastAsia="標楷體"/>
          <w:spacing w:val="4"/>
          <w:kern w:val="0"/>
          <w:sz w:val="28"/>
          <w:szCs w:val="26"/>
        </w:rPr>
        <w:t>年</w:t>
      </w:r>
      <w:r>
        <w:rPr>
          <w:rFonts w:eastAsia="標楷體"/>
          <w:spacing w:val="4"/>
          <w:kern w:val="0"/>
          <w:sz w:val="28"/>
          <w:szCs w:val="26"/>
        </w:rPr>
        <w:t>12</w:t>
      </w:r>
      <w:r>
        <w:rPr>
          <w:rFonts w:eastAsia="標楷體"/>
          <w:spacing w:val="4"/>
          <w:kern w:val="0"/>
          <w:sz w:val="28"/>
          <w:szCs w:val="26"/>
        </w:rPr>
        <w:t>月起保母執業登記制度將正式實施，爰將儘速完成「居家式托育服務登記及管理辦法」法制作業，以建構完善保母托育管理制度，提升幼兒照顧品質。</w:t>
      </w:r>
    </w:p>
    <w:p w14:paraId="3AD9DB6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減輕家庭托育與經濟負擔</w:t>
      </w:r>
    </w:p>
    <w:p w14:paraId="52C217C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賡續推動托育費用補助實施計畫、發放</w:t>
      </w:r>
      <w:r>
        <w:rPr>
          <w:rFonts w:eastAsia="標楷體"/>
          <w:spacing w:val="4"/>
          <w:kern w:val="0"/>
          <w:sz w:val="28"/>
          <w:szCs w:val="26"/>
        </w:rPr>
        <w:t>0</w:t>
      </w:r>
      <w:r>
        <w:rPr>
          <w:rFonts w:eastAsia="標楷體"/>
          <w:spacing w:val="4"/>
          <w:kern w:val="0"/>
          <w:sz w:val="28"/>
          <w:szCs w:val="26"/>
        </w:rPr>
        <w:t>至</w:t>
      </w:r>
      <w:r>
        <w:rPr>
          <w:rFonts w:eastAsia="標楷體"/>
          <w:spacing w:val="4"/>
          <w:kern w:val="0"/>
          <w:sz w:val="28"/>
          <w:szCs w:val="26"/>
        </w:rPr>
        <w:t>2</w:t>
      </w:r>
      <w:r>
        <w:rPr>
          <w:rFonts w:eastAsia="標楷體"/>
          <w:spacing w:val="4"/>
          <w:kern w:val="0"/>
          <w:sz w:val="28"/>
          <w:szCs w:val="26"/>
        </w:rPr>
        <w:t>歲育兒津貼：推動「建構友善托育環境－保母托育管理與托育費用補助實施計畫」及「父母未就業家庭育兒津貼實施計畫」，並依推動情形隨時滾動式修正，以符家長及幼兒需要。</w:t>
      </w:r>
    </w:p>
    <w:p w14:paraId="7B1699E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提供</w:t>
      </w:r>
      <w:r>
        <w:rPr>
          <w:rFonts w:eastAsia="標楷體"/>
          <w:spacing w:val="4"/>
          <w:kern w:val="0"/>
          <w:sz w:val="28"/>
          <w:szCs w:val="26"/>
        </w:rPr>
        <w:t>5</w:t>
      </w:r>
      <w:r>
        <w:rPr>
          <w:rFonts w:eastAsia="標楷體"/>
          <w:spacing w:val="4"/>
          <w:kern w:val="0"/>
          <w:sz w:val="28"/>
          <w:szCs w:val="26"/>
        </w:rPr>
        <w:t>歲以下幼兒學前特別扣除額：自</w:t>
      </w:r>
      <w:r>
        <w:rPr>
          <w:rFonts w:eastAsia="標楷體"/>
          <w:spacing w:val="4"/>
          <w:kern w:val="0"/>
          <w:sz w:val="28"/>
          <w:szCs w:val="26"/>
        </w:rPr>
        <w:t>101</w:t>
      </w:r>
      <w:r>
        <w:rPr>
          <w:rFonts w:eastAsia="標楷體"/>
          <w:spacing w:val="4"/>
          <w:kern w:val="0"/>
          <w:sz w:val="28"/>
          <w:szCs w:val="26"/>
        </w:rPr>
        <w:t>年</w:t>
      </w:r>
      <w:r>
        <w:rPr>
          <w:rFonts w:eastAsia="標楷體"/>
          <w:spacing w:val="4"/>
          <w:kern w:val="0"/>
          <w:sz w:val="28"/>
          <w:szCs w:val="26"/>
        </w:rPr>
        <w:t>1</w:t>
      </w:r>
      <w:r>
        <w:rPr>
          <w:rFonts w:eastAsia="標楷體"/>
          <w:spacing w:val="4"/>
          <w:kern w:val="0"/>
          <w:sz w:val="28"/>
          <w:szCs w:val="26"/>
        </w:rPr>
        <w:t>月</w:t>
      </w:r>
      <w:r>
        <w:rPr>
          <w:rFonts w:eastAsia="標楷體"/>
          <w:spacing w:val="4"/>
          <w:kern w:val="0"/>
          <w:sz w:val="28"/>
          <w:szCs w:val="26"/>
        </w:rPr>
        <w:t>1</w:t>
      </w:r>
      <w:r>
        <w:rPr>
          <w:rFonts w:eastAsia="標楷體"/>
          <w:spacing w:val="4"/>
          <w:kern w:val="0"/>
          <w:sz w:val="28"/>
          <w:szCs w:val="26"/>
        </w:rPr>
        <w:t>日起，納稅義務人</w:t>
      </w:r>
      <w:r>
        <w:rPr>
          <w:rFonts w:eastAsia="標楷體"/>
          <w:spacing w:val="4"/>
          <w:kern w:val="0"/>
          <w:sz w:val="28"/>
          <w:szCs w:val="26"/>
        </w:rPr>
        <w:t>5</w:t>
      </w:r>
      <w:r>
        <w:rPr>
          <w:rFonts w:eastAsia="標楷體"/>
          <w:spacing w:val="4"/>
          <w:kern w:val="0"/>
          <w:sz w:val="28"/>
          <w:szCs w:val="26"/>
        </w:rPr>
        <w:t>歲以下之子女，每人每年扣除</w:t>
      </w:r>
      <w:r>
        <w:rPr>
          <w:rFonts w:eastAsia="標楷體"/>
          <w:spacing w:val="4"/>
          <w:kern w:val="0"/>
          <w:sz w:val="28"/>
          <w:szCs w:val="26"/>
        </w:rPr>
        <w:t>2</w:t>
      </w:r>
      <w:r>
        <w:rPr>
          <w:rFonts w:eastAsia="標楷體"/>
          <w:spacing w:val="4"/>
          <w:kern w:val="0"/>
          <w:sz w:val="28"/>
          <w:szCs w:val="26"/>
        </w:rPr>
        <w:t>萬</w:t>
      </w:r>
      <w:r>
        <w:rPr>
          <w:rFonts w:eastAsia="標楷體"/>
          <w:spacing w:val="4"/>
          <w:kern w:val="0"/>
          <w:sz w:val="28"/>
          <w:szCs w:val="26"/>
        </w:rPr>
        <w:t>5,000</w:t>
      </w:r>
      <w:r>
        <w:rPr>
          <w:rFonts w:eastAsia="標楷體"/>
          <w:spacing w:val="4"/>
          <w:kern w:val="0"/>
          <w:sz w:val="28"/>
          <w:szCs w:val="26"/>
        </w:rPr>
        <w:t>元，於</w:t>
      </w:r>
      <w:r>
        <w:rPr>
          <w:rFonts w:eastAsia="標楷體"/>
          <w:spacing w:val="4"/>
          <w:kern w:val="0"/>
          <w:sz w:val="28"/>
          <w:szCs w:val="26"/>
        </w:rPr>
        <w:t>102</w:t>
      </w:r>
      <w:r>
        <w:rPr>
          <w:rFonts w:eastAsia="標楷體"/>
          <w:spacing w:val="4"/>
          <w:kern w:val="0"/>
          <w:sz w:val="28"/>
          <w:szCs w:val="26"/>
        </w:rPr>
        <w:t>年申報</w:t>
      </w:r>
      <w:r>
        <w:rPr>
          <w:rFonts w:eastAsia="標楷體"/>
          <w:spacing w:val="4"/>
          <w:kern w:val="0"/>
          <w:sz w:val="28"/>
          <w:szCs w:val="26"/>
        </w:rPr>
        <w:t>101</w:t>
      </w:r>
      <w:r>
        <w:rPr>
          <w:rFonts w:eastAsia="標楷體"/>
          <w:spacing w:val="4"/>
          <w:kern w:val="0"/>
          <w:sz w:val="28"/>
          <w:szCs w:val="26"/>
        </w:rPr>
        <w:t>年度綜合所得稅時開始適用。</w:t>
      </w:r>
    </w:p>
    <w:p w14:paraId="2D1A719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規劃推動長期照護保險制度</w:t>
      </w:r>
    </w:p>
    <w:p w14:paraId="6A842BF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研訂「長期照護保險法」，開發長照保險多元評估量表，進行長照保險教育宣導與溝通。</w:t>
      </w:r>
    </w:p>
    <w:p w14:paraId="6B9827A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規劃長照保險財務、給付支付及照顧管理制度。</w:t>
      </w:r>
    </w:p>
    <w:p w14:paraId="4735377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建構完善長照服務網絡</w:t>
      </w:r>
    </w:p>
    <w:p w14:paraId="5F9D79F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推動長照服務網計畫，將現行長照十年計畫轉銜為長照服務網計畫，逐步擴增服務對象，以鄉</w:t>
      </w:r>
      <w:r>
        <w:rPr>
          <w:rFonts w:ascii="標楷體" w:eastAsia="標楷體" w:hAnsi="標楷體"/>
          <w:spacing w:val="4"/>
          <w:kern w:val="0"/>
          <w:sz w:val="28"/>
          <w:szCs w:val="26"/>
        </w:rPr>
        <w:t>(鎮、市、區)為</w:t>
      </w:r>
      <w:r>
        <w:rPr>
          <w:rFonts w:eastAsia="標楷體"/>
          <w:spacing w:val="4"/>
          <w:kern w:val="0"/>
          <w:sz w:val="28"/>
          <w:szCs w:val="26"/>
        </w:rPr>
        <w:t>單位進行各項長期照顧服務資源與人力盤點，並規劃推動長期照顧服務網絡，透過</w:t>
      </w:r>
      <w:r>
        <w:rPr>
          <w:rFonts w:eastAsia="標楷體"/>
          <w:spacing w:val="4"/>
          <w:kern w:val="0"/>
          <w:sz w:val="28"/>
          <w:szCs w:val="26"/>
        </w:rPr>
        <w:t>22</w:t>
      </w:r>
      <w:r>
        <w:rPr>
          <w:rFonts w:eastAsia="標楷體"/>
          <w:spacing w:val="4"/>
          <w:kern w:val="0"/>
          <w:sz w:val="28"/>
          <w:szCs w:val="26"/>
        </w:rPr>
        <w:t>大區、</w:t>
      </w:r>
      <w:r>
        <w:rPr>
          <w:rFonts w:eastAsia="標楷體"/>
          <w:spacing w:val="4"/>
          <w:kern w:val="0"/>
          <w:sz w:val="28"/>
          <w:szCs w:val="26"/>
        </w:rPr>
        <w:t>63</w:t>
      </w:r>
      <w:r>
        <w:rPr>
          <w:rFonts w:eastAsia="標楷體"/>
          <w:spacing w:val="4"/>
          <w:kern w:val="0"/>
          <w:sz w:val="28"/>
          <w:szCs w:val="26"/>
        </w:rPr>
        <w:t>次區及</w:t>
      </w:r>
      <w:r>
        <w:rPr>
          <w:rFonts w:eastAsia="標楷體"/>
          <w:spacing w:val="4"/>
          <w:kern w:val="0"/>
          <w:sz w:val="28"/>
          <w:szCs w:val="26"/>
        </w:rPr>
        <w:t>368</w:t>
      </w:r>
      <w:r>
        <w:rPr>
          <w:rFonts w:eastAsia="標楷體"/>
          <w:spacing w:val="4"/>
          <w:kern w:val="0"/>
          <w:sz w:val="28"/>
          <w:szCs w:val="26"/>
        </w:rPr>
        <w:t>小區之規劃，減少城鄉差距，建置在地化與可近性的長照服務資源網絡。</w:t>
      </w:r>
    </w:p>
    <w:p w14:paraId="375CD9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2.</w:t>
      </w:r>
      <w:r>
        <w:rPr>
          <w:rFonts w:eastAsia="標楷體"/>
          <w:spacing w:val="4"/>
          <w:kern w:val="0"/>
          <w:sz w:val="28"/>
          <w:szCs w:val="26"/>
        </w:rPr>
        <w:t>強化長照管理機制，提升長照服務品質，建立完備之服務輸送機制，提升失能老人長照服務涵蓋率，以有效因應失能民眾之照顧需求。</w:t>
      </w:r>
    </w:p>
    <w:p w14:paraId="0006D13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持續強化照管中心之品質及量能。</w:t>
      </w:r>
    </w:p>
    <w:p w14:paraId="20947BC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加速開發長照服務人力，保障照顧服務員勞動權益與實質所得，並提升專業形象，促進照顧服務員留任與發展機會。</w:t>
      </w:r>
    </w:p>
    <w:p w14:paraId="7B5D4A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5.</w:t>
      </w:r>
      <w:r>
        <w:rPr>
          <w:rFonts w:eastAsia="標楷體"/>
          <w:spacing w:val="4"/>
          <w:kern w:val="0"/>
          <w:sz w:val="28"/>
          <w:szCs w:val="26"/>
        </w:rPr>
        <w:t>賡續推動長照服務法制化，整合現行相關法規，建立長照服務</w:t>
      </w:r>
      <w:r>
        <w:rPr>
          <w:rFonts w:eastAsia="標楷體"/>
          <w:spacing w:val="8"/>
          <w:kern w:val="0"/>
          <w:sz w:val="28"/>
          <w:szCs w:val="26"/>
        </w:rPr>
        <w:t>機構設立許可機制及人員訓練、認證、繼續教育及登錄</w:t>
      </w:r>
      <w:r>
        <w:rPr>
          <w:rFonts w:eastAsia="標楷體"/>
          <w:spacing w:val="4"/>
          <w:kern w:val="0"/>
          <w:sz w:val="28"/>
          <w:szCs w:val="26"/>
        </w:rPr>
        <w:t>制度；設置長照基金，透過獎補助方式，均衡區域服務資源發展。</w:t>
      </w:r>
    </w:p>
    <w:p w14:paraId="44FFE35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健全身心障礙服務體系</w:t>
      </w:r>
    </w:p>
    <w:p w14:paraId="27C289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推動身心障礙鑑定與需求評估新制，由專業團隊進行身心障礙者鑑定及個人需求評估，並以單一窗口方式，依需求評估結果主動為身心障礙者提供多元化且個人化之福利服務。預計</w:t>
      </w:r>
      <w:r>
        <w:rPr>
          <w:rFonts w:eastAsia="標楷體"/>
          <w:spacing w:val="4"/>
          <w:kern w:val="0"/>
          <w:sz w:val="28"/>
          <w:szCs w:val="26"/>
        </w:rPr>
        <w:t>104</w:t>
      </w:r>
      <w:r>
        <w:rPr>
          <w:rFonts w:eastAsia="標楷體"/>
          <w:spacing w:val="4"/>
          <w:kern w:val="0"/>
          <w:sz w:val="28"/>
          <w:szCs w:val="26"/>
        </w:rPr>
        <w:t>年</w:t>
      </w:r>
      <w:r>
        <w:rPr>
          <w:rFonts w:eastAsia="標楷體"/>
          <w:spacing w:val="4"/>
          <w:kern w:val="0"/>
          <w:sz w:val="28"/>
          <w:szCs w:val="26"/>
        </w:rPr>
        <w:t>7</w:t>
      </w:r>
      <w:r>
        <w:rPr>
          <w:rFonts w:eastAsia="標楷體"/>
          <w:spacing w:val="4"/>
          <w:kern w:val="0"/>
          <w:sz w:val="28"/>
          <w:szCs w:val="26"/>
        </w:rPr>
        <w:t>月前，針對新申請、申請重新鑑定及原領有手冊註記效期之身心障礙者完成換證作業，並完成評估工具之修正及流程之檢討。</w:t>
      </w:r>
    </w:p>
    <w:p w14:paraId="6D200E1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協助各地方政府廣設身心障礙者個人照顧及家庭支持服務網絡資源，提供普及化且多元化之照顧及支持服務。</w:t>
      </w:r>
    </w:p>
    <w:p w14:paraId="01C9783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持續積極開辦各項照顧及支持服務應具之專業知能研習課程，充實相關服務人力資源。</w:t>
      </w:r>
    </w:p>
    <w:p w14:paraId="291603E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結合民間具經驗及專業之身心障礙者團體並加強輔導，透過經費補助促進民間單位參與提供服務之能力及意願。</w:t>
      </w:r>
    </w:p>
    <w:p w14:paraId="4CA00BD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檢討修正相關新增服務措施之補助項目及基準，提升服務提供單位之量能。</w:t>
      </w:r>
    </w:p>
    <w:p w14:paraId="32F3D31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EF5B681"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肆、族群和諧</w:t>
      </w:r>
    </w:p>
    <w:p w14:paraId="43673F97"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6AFF5DB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我國人口結構除傳統認知的原住民、客家人、閩南人及大陸各省遷移來臺人士等四大族群外，外籍或大陸配偶等基於婚姻關係而移入</w:t>
      </w:r>
      <w:r>
        <w:rPr>
          <w:rFonts w:eastAsia="標楷體"/>
          <w:spacing w:val="4"/>
          <w:kern w:val="0"/>
          <w:sz w:val="28"/>
          <w:szCs w:val="26"/>
        </w:rPr>
        <w:lastRenderedPageBreak/>
        <w:t>之新住民及</w:t>
      </w:r>
      <w:r>
        <w:rPr>
          <w:rFonts w:eastAsia="標楷體"/>
          <w:spacing w:val="6"/>
          <w:kern w:val="0"/>
          <w:sz w:val="28"/>
          <w:szCs w:val="26"/>
        </w:rPr>
        <w:t>其子女等人口數亦快速成長，呈現多元族群文化面貌。</w:t>
      </w:r>
      <w:r>
        <w:rPr>
          <w:rFonts w:eastAsia="標楷體"/>
          <w:spacing w:val="4"/>
          <w:kern w:val="0"/>
          <w:sz w:val="28"/>
          <w:szCs w:val="26"/>
        </w:rPr>
        <w:t>惟此同時，面對原住民及客家族群文化式微、母語消失、族群認同隱抑、新住民生活適應與家庭教養等課題之重大挑戰，亦亟需積極審慎處理。</w:t>
      </w:r>
    </w:p>
    <w:p w14:paraId="61BA4756"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過去幾年，政府對於促進各族群融合，已累積相當成果。為進一步維護族群文化、語言、經濟之永續發展，未來四年，政府仍將致力尊重各族群多元文化、扶植族群特色產業、保障原住民族自主權、強化新移民適境照顧、完善原住民族福利服務網絡等，以創造多元族群和諧共榮社會，開創臺灣新文化。</w:t>
      </w:r>
    </w:p>
    <w:p w14:paraId="424F87C8"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0018DFD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研訂「原住民族自治法」，落實原住民族自治。</w:t>
      </w:r>
    </w:p>
    <w:p w14:paraId="554F3E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年，開辦「部落學校」</w:t>
      </w:r>
      <w:r>
        <w:rPr>
          <w:rFonts w:eastAsia="標楷體"/>
          <w:spacing w:val="4"/>
          <w:kern w:val="0"/>
          <w:sz w:val="28"/>
          <w:szCs w:val="22"/>
        </w:rPr>
        <w:t>12</w:t>
      </w:r>
      <w:r>
        <w:rPr>
          <w:rFonts w:eastAsia="標楷體"/>
          <w:spacing w:val="4"/>
          <w:kern w:val="0"/>
          <w:sz w:val="28"/>
          <w:szCs w:val="22"/>
        </w:rPr>
        <w:t>所，累積實驗結果成為後續正式設立民族學校之基石。</w:t>
      </w:r>
    </w:p>
    <w:p w14:paraId="5C290B3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發展在地客庄特色產業，平均每年創造客家產業經濟效益</w:t>
      </w:r>
      <w:r>
        <w:rPr>
          <w:rFonts w:eastAsia="標楷體"/>
          <w:spacing w:val="4"/>
          <w:kern w:val="0"/>
          <w:sz w:val="28"/>
          <w:szCs w:val="22"/>
        </w:rPr>
        <w:t>260</w:t>
      </w:r>
      <w:r>
        <w:rPr>
          <w:rFonts w:eastAsia="標楷體"/>
          <w:spacing w:val="4"/>
          <w:kern w:val="0"/>
          <w:sz w:val="28"/>
          <w:szCs w:val="22"/>
        </w:rPr>
        <w:t>億元。</w:t>
      </w:r>
    </w:p>
    <w:p w14:paraId="2D9F8B0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全方位推動移民輔導工作，在地服務涵蓋</w:t>
      </w:r>
      <w:r>
        <w:rPr>
          <w:rFonts w:eastAsia="標楷體"/>
          <w:spacing w:val="4"/>
          <w:kern w:val="0"/>
          <w:sz w:val="28"/>
          <w:szCs w:val="22"/>
        </w:rPr>
        <w:t>22</w:t>
      </w:r>
      <w:r>
        <w:rPr>
          <w:rFonts w:eastAsia="標楷體"/>
          <w:spacing w:val="4"/>
          <w:kern w:val="0"/>
          <w:sz w:val="28"/>
          <w:szCs w:val="22"/>
        </w:rPr>
        <w:t>直轄市、縣</w:t>
      </w:r>
      <w:r>
        <w:rPr>
          <w:rFonts w:ascii="標楷體" w:eastAsia="標楷體" w:hAnsi="標楷體"/>
          <w:spacing w:val="4"/>
          <w:kern w:val="0"/>
          <w:sz w:val="28"/>
          <w:szCs w:val="22"/>
        </w:rPr>
        <w:t>(</w:t>
      </w:r>
      <w:r>
        <w:rPr>
          <w:rFonts w:eastAsia="標楷體"/>
          <w:spacing w:val="4"/>
          <w:kern w:val="0"/>
          <w:sz w:val="28"/>
          <w:szCs w:val="22"/>
        </w:rPr>
        <w:t>市</w:t>
      </w:r>
      <w:r>
        <w:rPr>
          <w:rFonts w:ascii="標楷體" w:eastAsia="標楷體" w:hAnsi="標楷體"/>
          <w:spacing w:val="4"/>
          <w:kern w:val="0"/>
          <w:sz w:val="28"/>
          <w:szCs w:val="22"/>
        </w:rPr>
        <w:t>)</w:t>
      </w:r>
      <w:r>
        <w:rPr>
          <w:rFonts w:eastAsia="標楷體"/>
          <w:spacing w:val="4"/>
          <w:kern w:val="0"/>
          <w:sz w:val="28"/>
          <w:szCs w:val="22"/>
        </w:rPr>
        <w:t>，保障新移民之權利與福利。</w:t>
      </w:r>
    </w:p>
    <w:p w14:paraId="5CA47948"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2CCDA9C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尊重各族群多元文化</w:t>
      </w:r>
    </w:p>
    <w:p w14:paraId="68F7235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推動族群文化發展與保存</w:t>
      </w:r>
    </w:p>
    <w:p w14:paraId="6C13979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辦理文化平權活動，獎勵新移民及其他弱勢族群文化發展，逐步落實弱勢族群文化參與權利，彰顯文化平權理念。</w:t>
      </w:r>
    </w:p>
    <w:p w14:paraId="46AB9E0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)辦</w:t>
      </w:r>
      <w:r>
        <w:rPr>
          <w:rFonts w:eastAsia="標楷體"/>
          <w:spacing w:val="4"/>
          <w:kern w:val="0"/>
          <w:sz w:val="28"/>
          <w:szCs w:val="22"/>
        </w:rPr>
        <w:t>理多元文化保存，促進多元文化共存發展。</w:t>
      </w:r>
    </w:p>
    <w:p w14:paraId="40D9428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籌設國家級原住民族博物館</w:t>
      </w:r>
      <w:r>
        <w:rPr>
          <w:rFonts w:eastAsia="標楷體"/>
          <w:spacing w:val="4"/>
          <w:kern w:val="0"/>
          <w:sz w:val="28"/>
          <w:szCs w:val="22"/>
        </w:rPr>
        <w:t>1</w:t>
      </w:r>
      <w:r>
        <w:rPr>
          <w:rFonts w:eastAsia="標楷體"/>
          <w:spacing w:val="4"/>
          <w:kern w:val="0"/>
          <w:sz w:val="28"/>
          <w:szCs w:val="22"/>
        </w:rPr>
        <w:t>座、完成與原住民族相關之出版品</w:t>
      </w:r>
      <w:r>
        <w:rPr>
          <w:rFonts w:eastAsia="標楷體"/>
          <w:spacing w:val="4"/>
          <w:kern w:val="0"/>
          <w:sz w:val="28"/>
          <w:szCs w:val="22"/>
        </w:rPr>
        <w:t>5</w:t>
      </w:r>
      <w:r>
        <w:rPr>
          <w:rFonts w:eastAsia="標楷體"/>
          <w:spacing w:val="4"/>
          <w:kern w:val="0"/>
          <w:sz w:val="28"/>
          <w:szCs w:val="22"/>
        </w:rPr>
        <w:t>本，促進原住民族文化保存。</w:t>
      </w:r>
    </w:p>
    <w:p w14:paraId="69DA681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)獎</w:t>
      </w:r>
      <w:r>
        <w:rPr>
          <w:rFonts w:eastAsia="標楷體"/>
          <w:spacing w:val="4"/>
          <w:kern w:val="0"/>
          <w:sz w:val="28"/>
          <w:szCs w:val="22"/>
        </w:rPr>
        <w:t>掖客家文化創意，扶植藝文團隊，提升客家藝術品質及客家文化創新價值；賡續補助客家學術研究，深耕客家知識體系及人才培育。</w:t>
      </w:r>
    </w:p>
    <w:p w14:paraId="7AD94BB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4"/>
          <w:kern w:val="0"/>
          <w:sz w:val="28"/>
          <w:szCs w:val="22"/>
        </w:rPr>
        <w:t>加速完成眷村改建，保存眷村文化資產。</w:t>
      </w:r>
    </w:p>
    <w:p w14:paraId="7D3BBA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落實族群文化教育</w:t>
      </w:r>
    </w:p>
    <w:p w14:paraId="775F37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教育課程納入多元文化議題及族群語言，並培育相關教育人</w:t>
      </w:r>
      <w:r>
        <w:rPr>
          <w:rFonts w:eastAsia="標楷體"/>
          <w:spacing w:val="6"/>
          <w:kern w:val="0"/>
          <w:sz w:val="28"/>
          <w:szCs w:val="22"/>
        </w:rPr>
        <w:t>才，深耕族群文化發展基礎；舉辦多元文化活動、研</w:t>
      </w:r>
      <w:r>
        <w:rPr>
          <w:rFonts w:eastAsia="標楷體"/>
          <w:spacing w:val="4"/>
          <w:kern w:val="0"/>
          <w:sz w:val="28"/>
          <w:szCs w:val="22"/>
        </w:rPr>
        <w:t>討會、教師研習、交流活動等，增進國人對多元文化之認識；購買、編印多元文化教材、手冊或其他教學材料，辦理全國性多元文化教育優良教案甄選，提供多元文化教育資源。</w:t>
      </w:r>
    </w:p>
    <w:p w14:paraId="1AE15BC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建構原住民族教育體系，逐年開辦「部落學校」</w:t>
      </w:r>
      <w:r>
        <w:rPr>
          <w:rFonts w:eastAsia="標楷體"/>
          <w:spacing w:val="4"/>
          <w:kern w:val="0"/>
          <w:sz w:val="28"/>
          <w:szCs w:val="22"/>
        </w:rPr>
        <w:t>2</w:t>
      </w:r>
      <w:r>
        <w:rPr>
          <w:rFonts w:eastAsia="標楷體"/>
          <w:spacing w:val="4"/>
          <w:kern w:val="0"/>
          <w:sz w:val="28"/>
          <w:szCs w:val="22"/>
        </w:rPr>
        <w:t>至</w:t>
      </w:r>
      <w:r>
        <w:rPr>
          <w:rFonts w:eastAsia="標楷體"/>
          <w:spacing w:val="4"/>
          <w:kern w:val="0"/>
          <w:sz w:val="28"/>
          <w:szCs w:val="22"/>
        </w:rPr>
        <w:t>4</w:t>
      </w:r>
      <w:r>
        <w:rPr>
          <w:rFonts w:eastAsia="標楷體"/>
          <w:spacing w:val="4"/>
          <w:kern w:val="0"/>
          <w:sz w:val="28"/>
          <w:szCs w:val="22"/>
        </w:rPr>
        <w:t>所，至</w:t>
      </w:r>
      <w:r>
        <w:rPr>
          <w:rFonts w:eastAsia="標楷體"/>
          <w:spacing w:val="4"/>
          <w:kern w:val="0"/>
          <w:sz w:val="28"/>
          <w:szCs w:val="22"/>
        </w:rPr>
        <w:t>105</w:t>
      </w:r>
      <w:r>
        <w:rPr>
          <w:rFonts w:eastAsia="標楷體"/>
          <w:spacing w:val="4"/>
          <w:kern w:val="0"/>
          <w:sz w:val="28"/>
          <w:szCs w:val="22"/>
        </w:rPr>
        <w:t>年，累計開辦</w:t>
      </w:r>
      <w:r>
        <w:rPr>
          <w:rFonts w:eastAsia="標楷體"/>
          <w:spacing w:val="4"/>
          <w:kern w:val="0"/>
          <w:sz w:val="28"/>
          <w:szCs w:val="22"/>
        </w:rPr>
        <w:t>12</w:t>
      </w:r>
      <w:r>
        <w:rPr>
          <w:rFonts w:eastAsia="標楷體"/>
          <w:spacing w:val="4"/>
          <w:kern w:val="0"/>
          <w:sz w:val="28"/>
          <w:szCs w:val="22"/>
        </w:rPr>
        <w:t>所；編纂民族教育教材讀本</w:t>
      </w:r>
      <w:r>
        <w:rPr>
          <w:rFonts w:eastAsia="標楷體"/>
          <w:spacing w:val="4"/>
          <w:kern w:val="0"/>
          <w:sz w:val="28"/>
          <w:szCs w:val="22"/>
        </w:rPr>
        <w:t>90</w:t>
      </w:r>
      <w:r>
        <w:rPr>
          <w:rFonts w:eastAsia="標楷體"/>
          <w:spacing w:val="4"/>
          <w:kern w:val="0"/>
          <w:sz w:val="28"/>
          <w:szCs w:val="22"/>
        </w:rPr>
        <w:t>冊，落實原住民族教育。</w:t>
      </w:r>
    </w:p>
    <w:p w14:paraId="5289D9B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強化族群文化推廣</w:t>
      </w:r>
    </w:p>
    <w:p w14:paraId="0D735E0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辦理新住民幸福家庭生活短片與幸福家庭創意家譜、多元文化美食競賽等活動，倡導尊重多元文化。</w:t>
      </w:r>
    </w:p>
    <w:p w14:paraId="1DEB5D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全力推動「客家文化重點發展區」及南北客家文化園區「文化燈塔發光」計畫，提升園區參觀人次每年至少達</w:t>
      </w:r>
      <w:r>
        <w:rPr>
          <w:rFonts w:eastAsia="標楷體"/>
          <w:spacing w:val="4"/>
          <w:kern w:val="0"/>
          <w:sz w:val="28"/>
          <w:szCs w:val="22"/>
        </w:rPr>
        <w:t>70</w:t>
      </w:r>
      <w:r>
        <w:rPr>
          <w:rFonts w:eastAsia="標楷體"/>
          <w:spacing w:val="4"/>
          <w:kern w:val="0"/>
          <w:sz w:val="28"/>
          <w:szCs w:val="22"/>
        </w:rPr>
        <w:t>萬人次，遊客滿意度每年成長</w:t>
      </w:r>
      <w:r>
        <w:rPr>
          <w:rFonts w:eastAsia="標楷體"/>
          <w:spacing w:val="4"/>
          <w:kern w:val="0"/>
          <w:sz w:val="28"/>
          <w:szCs w:val="22"/>
        </w:rPr>
        <w:t>3%</w:t>
      </w:r>
      <w:r>
        <w:rPr>
          <w:rFonts w:eastAsia="標楷體"/>
          <w:spacing w:val="4"/>
          <w:kern w:val="0"/>
          <w:sz w:val="28"/>
          <w:szCs w:val="22"/>
        </w:rPr>
        <w:t>以上，充實園區機能成為全球客家文化與產業之交流及研究中心。</w:t>
      </w:r>
    </w:p>
    <w:p w14:paraId="696D115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提升客家傳播質量，推動客家電視法制化作業，客家電視節目觸達率每年提升超過</w:t>
      </w:r>
      <w:r>
        <w:rPr>
          <w:rFonts w:eastAsia="標楷體"/>
          <w:spacing w:val="4"/>
          <w:kern w:val="0"/>
          <w:sz w:val="28"/>
          <w:szCs w:val="22"/>
        </w:rPr>
        <w:t>1%</w:t>
      </w:r>
      <w:r>
        <w:rPr>
          <w:rFonts w:eastAsia="標楷體"/>
          <w:spacing w:val="4"/>
          <w:kern w:val="0"/>
          <w:sz w:val="28"/>
          <w:szCs w:val="22"/>
        </w:rPr>
        <w:t>；持續強化客家影視節目產製銷輔導及人才培育，委託、補助客家廣電節目每年至少</w:t>
      </w:r>
      <w:r>
        <w:rPr>
          <w:rFonts w:eastAsia="標楷體"/>
          <w:spacing w:val="4"/>
          <w:kern w:val="0"/>
          <w:sz w:val="28"/>
          <w:szCs w:val="22"/>
        </w:rPr>
        <w:t>40</w:t>
      </w:r>
      <w:r>
        <w:rPr>
          <w:rFonts w:eastAsia="標楷體"/>
          <w:spacing w:val="4"/>
          <w:kern w:val="0"/>
          <w:sz w:val="28"/>
          <w:szCs w:val="22"/>
        </w:rPr>
        <w:t>件、於平面、廣播及電視等各類媒體製作刊播客家相關節目及廣告每年至少</w:t>
      </w:r>
      <w:r>
        <w:rPr>
          <w:rFonts w:eastAsia="標楷體"/>
          <w:spacing w:val="4"/>
          <w:kern w:val="0"/>
          <w:sz w:val="28"/>
          <w:szCs w:val="22"/>
        </w:rPr>
        <w:t>165</w:t>
      </w:r>
      <w:r>
        <w:rPr>
          <w:rFonts w:eastAsia="標楷體"/>
          <w:spacing w:val="4"/>
          <w:kern w:val="0"/>
          <w:sz w:val="28"/>
          <w:szCs w:val="22"/>
        </w:rPr>
        <w:t>件，型塑客家新印象。</w:t>
      </w:r>
    </w:p>
    <w:p w14:paraId="183F2D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擴大辦理海內外客家合作交流活動，舉辦全球客家懇親大會、海外客家社團負責人諮詢會議，並持續鼓勵海外客家社團進行區域性整合；辦理海外客家會議、研習、展演及教學等，參與人數每年至少</w:t>
      </w:r>
      <w:r>
        <w:rPr>
          <w:rFonts w:eastAsia="標楷體"/>
          <w:spacing w:val="4"/>
          <w:kern w:val="0"/>
          <w:sz w:val="28"/>
          <w:szCs w:val="22"/>
        </w:rPr>
        <w:t>8,500</w:t>
      </w:r>
      <w:r>
        <w:rPr>
          <w:rFonts w:eastAsia="標楷體"/>
          <w:spacing w:val="4"/>
          <w:kern w:val="0"/>
          <w:sz w:val="28"/>
          <w:szCs w:val="22"/>
        </w:rPr>
        <w:t>人次。</w:t>
      </w:r>
    </w:p>
    <w:p w14:paraId="4AC204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振興族群語言發展</w:t>
      </w:r>
    </w:p>
    <w:p w14:paraId="10431DF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辦理原住民族語教材編輯－閱讀書寫篇之編纂計畫，完成</w:t>
      </w:r>
      <w:r>
        <w:rPr>
          <w:rFonts w:eastAsia="標楷體"/>
          <w:spacing w:val="4"/>
          <w:kern w:val="0"/>
          <w:sz w:val="28"/>
          <w:szCs w:val="22"/>
        </w:rPr>
        <w:t>42</w:t>
      </w:r>
      <w:r>
        <w:rPr>
          <w:rFonts w:eastAsia="標楷體"/>
          <w:spacing w:val="4"/>
          <w:kern w:val="0"/>
          <w:sz w:val="28"/>
          <w:szCs w:val="22"/>
        </w:rPr>
        <w:t>方言別之教材，推動原住民族語分級學習。</w:t>
      </w:r>
    </w:p>
    <w:p w14:paraId="79E12C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建構原住民族語言字詞典數位化計畫，完成</w:t>
      </w:r>
      <w:r>
        <w:rPr>
          <w:rFonts w:eastAsia="標楷體"/>
          <w:spacing w:val="4"/>
          <w:kern w:val="0"/>
          <w:sz w:val="28"/>
          <w:szCs w:val="22"/>
        </w:rPr>
        <w:t>14</w:t>
      </w:r>
      <w:r>
        <w:rPr>
          <w:rFonts w:eastAsia="標楷體"/>
          <w:spacing w:val="4"/>
          <w:kern w:val="0"/>
          <w:sz w:val="28"/>
          <w:szCs w:val="22"/>
        </w:rPr>
        <w:t>族群</w:t>
      </w:r>
      <w:r>
        <w:rPr>
          <w:rFonts w:eastAsia="標楷體"/>
          <w:spacing w:val="4"/>
          <w:kern w:val="0"/>
          <w:sz w:val="28"/>
          <w:szCs w:val="22"/>
        </w:rPr>
        <w:t>16</w:t>
      </w:r>
      <w:r>
        <w:rPr>
          <w:rFonts w:eastAsia="標楷體"/>
          <w:spacing w:val="4"/>
          <w:kern w:val="0"/>
          <w:sz w:val="28"/>
          <w:szCs w:val="22"/>
        </w:rPr>
        <w:t>方言別之字詞典計畫，各族群完成</w:t>
      </w:r>
      <w:r>
        <w:rPr>
          <w:rFonts w:eastAsia="標楷體"/>
          <w:spacing w:val="4"/>
          <w:kern w:val="0"/>
          <w:sz w:val="28"/>
          <w:szCs w:val="22"/>
        </w:rPr>
        <w:t>2,000</w:t>
      </w:r>
      <w:r>
        <w:rPr>
          <w:rFonts w:eastAsia="標楷體"/>
          <w:spacing w:val="4"/>
          <w:kern w:val="0"/>
          <w:sz w:val="28"/>
          <w:szCs w:val="22"/>
        </w:rPr>
        <w:t>個詞根、</w:t>
      </w:r>
      <w:r>
        <w:rPr>
          <w:rFonts w:eastAsia="標楷體"/>
          <w:spacing w:val="4"/>
          <w:kern w:val="0"/>
          <w:sz w:val="28"/>
          <w:szCs w:val="22"/>
        </w:rPr>
        <w:t>4,500</w:t>
      </w:r>
      <w:r>
        <w:rPr>
          <w:rFonts w:eastAsia="標楷體"/>
          <w:spacing w:val="4"/>
          <w:kern w:val="0"/>
          <w:sz w:val="28"/>
          <w:szCs w:val="22"/>
        </w:rPr>
        <w:t>個以上之詞條、例句及索引等。</w:t>
      </w:r>
    </w:p>
    <w:p w14:paraId="4E7504F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設置族語能力認證專職機構，協助辦理年度原住民族語能力認證考試</w:t>
      </w:r>
      <w:r>
        <w:rPr>
          <w:rFonts w:ascii="標楷體" w:eastAsia="標楷體" w:hAnsi="標楷體"/>
          <w:spacing w:val="4"/>
          <w:kern w:val="0"/>
          <w:sz w:val="28"/>
          <w:szCs w:val="22"/>
        </w:rPr>
        <w:t>(</w:t>
      </w:r>
      <w:r>
        <w:rPr>
          <w:rFonts w:eastAsia="標楷體"/>
          <w:spacing w:val="4"/>
          <w:kern w:val="0"/>
          <w:sz w:val="28"/>
          <w:szCs w:val="22"/>
        </w:rPr>
        <w:t>一般原住民族語認證增加至</w:t>
      </w:r>
      <w:r>
        <w:rPr>
          <w:rFonts w:eastAsia="標楷體"/>
          <w:spacing w:val="4"/>
          <w:kern w:val="0"/>
          <w:sz w:val="28"/>
          <w:szCs w:val="22"/>
        </w:rPr>
        <w:t>1,200</w:t>
      </w:r>
      <w:r>
        <w:rPr>
          <w:rFonts w:eastAsia="標楷體"/>
          <w:spacing w:val="4"/>
          <w:kern w:val="0"/>
          <w:sz w:val="28"/>
          <w:szCs w:val="22"/>
        </w:rPr>
        <w:t>人、原住民族學生增加至</w:t>
      </w:r>
      <w:r>
        <w:rPr>
          <w:rFonts w:eastAsia="標楷體"/>
          <w:spacing w:val="4"/>
          <w:kern w:val="0"/>
          <w:sz w:val="28"/>
          <w:szCs w:val="22"/>
        </w:rPr>
        <w:t>1</w:t>
      </w:r>
      <w:r>
        <w:rPr>
          <w:rFonts w:eastAsia="標楷體"/>
          <w:spacing w:val="4"/>
          <w:kern w:val="0"/>
          <w:sz w:val="28"/>
          <w:szCs w:val="22"/>
        </w:rPr>
        <w:t>萬</w:t>
      </w:r>
      <w:r>
        <w:rPr>
          <w:rFonts w:eastAsia="標楷體"/>
          <w:spacing w:val="4"/>
          <w:kern w:val="0"/>
          <w:sz w:val="28"/>
          <w:szCs w:val="22"/>
        </w:rPr>
        <w:t>3,000</w:t>
      </w:r>
      <w:r>
        <w:rPr>
          <w:rFonts w:eastAsia="標楷體"/>
          <w:spacing w:val="4"/>
          <w:kern w:val="0"/>
          <w:sz w:val="28"/>
          <w:szCs w:val="22"/>
        </w:rPr>
        <w:t>人</w:t>
      </w:r>
      <w:r>
        <w:rPr>
          <w:rFonts w:ascii="標楷體" w:eastAsia="標楷體" w:hAnsi="標楷體"/>
          <w:spacing w:val="4"/>
          <w:kern w:val="0"/>
          <w:sz w:val="28"/>
          <w:szCs w:val="22"/>
        </w:rPr>
        <w:t>)</w:t>
      </w:r>
      <w:r>
        <w:rPr>
          <w:rFonts w:eastAsia="標楷體"/>
          <w:spacing w:val="4"/>
          <w:kern w:val="0"/>
          <w:sz w:val="28"/>
          <w:szCs w:val="22"/>
        </w:rPr>
        <w:t>、族語題庫建置、族語人才培育及推廣原住民族語振興計畫等。</w:t>
      </w:r>
    </w:p>
    <w:p w14:paraId="7A4B4E5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推動客語認證普及化、數位化，提升客語使用能力；營造客語學習生活化，推動客語薪傳多元化，強化公事客語服務，落實客語向下扎根。</w:t>
      </w:r>
    </w:p>
    <w:p w14:paraId="36085F2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(二)扶</w:t>
      </w:r>
      <w:r>
        <w:rPr>
          <w:rFonts w:eastAsia="標楷體"/>
          <w:spacing w:val="4"/>
          <w:kern w:val="0"/>
          <w:sz w:val="28"/>
          <w:szCs w:val="22"/>
        </w:rPr>
        <w:t>植族群特色產業</w:t>
      </w:r>
    </w:p>
    <w:p w14:paraId="7A3834F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輔導族群創業發展</w:t>
      </w:r>
    </w:p>
    <w:p w14:paraId="5954A59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)補</w:t>
      </w:r>
      <w:r>
        <w:rPr>
          <w:rFonts w:eastAsia="標楷體"/>
          <w:spacing w:val="4"/>
          <w:kern w:val="0"/>
          <w:sz w:val="28"/>
          <w:szCs w:val="22"/>
        </w:rPr>
        <w:t>助多元藝術發展，透過創業補助計畫，協助藝術投入者進行文化及藝術創作，促進各族群文化交流與推廣。</w:t>
      </w:r>
    </w:p>
    <w:p w14:paraId="1F62A01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推動客庄區域產經整合，塑造客家文化產業形象；輔導客家特色產業創新育成，協助客家青年創業，推動微型產業朝事業化經營模式發展。</w:t>
      </w:r>
    </w:p>
    <w:p w14:paraId="25A4C90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強化產業行銷推廣</w:t>
      </w:r>
    </w:p>
    <w:p w14:paraId="3DC10B9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建置產業資訊平臺，協助拓展產業行銷通路，提升族群產業發展成長力與競爭力。</w:t>
      </w:r>
    </w:p>
    <w:p w14:paraId="31E6E8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6"/>
          <w:kern w:val="0"/>
          <w:sz w:val="28"/>
          <w:szCs w:val="22"/>
        </w:rPr>
        <w:t>國際行銷客家美食，推廣客家特色餐廳，發展客家特色產業</w:t>
      </w:r>
      <w:r>
        <w:rPr>
          <w:rFonts w:eastAsia="標楷體"/>
          <w:spacing w:val="4"/>
          <w:kern w:val="0"/>
          <w:sz w:val="28"/>
          <w:szCs w:val="22"/>
        </w:rPr>
        <w:t>。</w:t>
      </w:r>
    </w:p>
    <w:p w14:paraId="027893C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配合客家重大節慶活動，鼓勵海外鄉親來臺參訪特色客庄，帶動客庄繁榮發展。</w:t>
      </w:r>
    </w:p>
    <w:p w14:paraId="66CB1BB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協助創業資金取得：活化「原住民族綜合發展基金」，擴大微型貸款、提供優惠融資等金融服務，輔導原住民創業。</w:t>
      </w:r>
    </w:p>
    <w:p w14:paraId="18F2A8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推動產業文化加值</w:t>
      </w:r>
    </w:p>
    <w:p w14:paraId="30324F8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打造原住民族產業亮點，運用原住民族文化及生態資源等獨特性，重點輔導文化創意、觀光、生態旅遊、影音與表演藝術，型塑地區產業群聚部落，開創產業新藍</w:t>
      </w:r>
      <w:r>
        <w:rPr>
          <w:rFonts w:eastAsia="標楷體"/>
          <w:spacing w:val="4"/>
          <w:kern w:val="0"/>
          <w:sz w:val="28"/>
          <w:szCs w:val="22"/>
        </w:rPr>
        <w:lastRenderedPageBreak/>
        <w:t>海。</w:t>
      </w:r>
    </w:p>
    <w:p w14:paraId="1520DF8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推動原住民族文化國土復育，重現原住民族歷史遺址、祖靈聖地、傳統獵場等文化資產，建立共同經營管理機制，開創具人文歷史特色之地方產業。</w:t>
      </w:r>
    </w:p>
    <w:p w14:paraId="292C2BD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落實「原住民族傳統智慧創作保護條例」，建立權利認定、加值創新、授權與交易、利益共享機制，推動原住民族傳統智慧創作產業化。</w:t>
      </w:r>
    </w:p>
    <w:p w14:paraId="1E99A86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輔導客家文化業者通過「</w:t>
      </w:r>
      <w:r>
        <w:rPr>
          <w:rFonts w:eastAsia="標楷體"/>
          <w:spacing w:val="4"/>
          <w:kern w:val="0"/>
          <w:sz w:val="28"/>
          <w:szCs w:val="22"/>
        </w:rPr>
        <w:t>Hakka TAIWAN</w:t>
      </w:r>
      <w:r>
        <w:rPr>
          <w:rFonts w:eastAsia="標楷體"/>
          <w:spacing w:val="4"/>
          <w:kern w:val="0"/>
          <w:sz w:val="28"/>
          <w:szCs w:val="22"/>
        </w:rPr>
        <w:t>」商標認證，每年通過之商品數至少達</w:t>
      </w:r>
      <w:r>
        <w:rPr>
          <w:rFonts w:eastAsia="標楷體"/>
          <w:spacing w:val="4"/>
          <w:kern w:val="0"/>
          <w:sz w:val="28"/>
          <w:szCs w:val="22"/>
        </w:rPr>
        <w:t>250</w:t>
      </w:r>
      <w:r>
        <w:rPr>
          <w:rFonts w:eastAsia="標楷體"/>
          <w:spacing w:val="4"/>
          <w:kern w:val="0"/>
          <w:sz w:val="28"/>
          <w:szCs w:val="22"/>
        </w:rPr>
        <w:t>件，塑造客家文化產業形象。</w:t>
      </w:r>
    </w:p>
    <w:p w14:paraId="07DD2E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4"/>
          <w:kern w:val="0"/>
          <w:sz w:val="28"/>
          <w:szCs w:val="22"/>
        </w:rPr>
        <w:t>整合臺灣客家文化軟硬體環境，吸引全球人士來臺體驗客家文化，帶動觀光產業繁榮發展；推動客家美食國際行銷暨客家特色餐廳與產業鏈結發展，行銷推廣客家特色產業；配合客家重大節慶活動，鼓勵海外鄉親來臺參訪特色客庄，帶動客庄繁榮發展。</w:t>
      </w:r>
    </w:p>
    <w:p w14:paraId="4B4398F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保障原住民族自主權</w:t>
      </w:r>
    </w:p>
    <w:p w14:paraId="7B4F845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加速推動「原住民族自治法」立法</w:t>
      </w:r>
    </w:p>
    <w:p w14:paraId="34958E5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持續檢討修訂原住民族權利法制，加速完成「原住民族自治法」立法，推動原住民族自治。</w:t>
      </w:r>
    </w:p>
    <w:p w14:paraId="6882A66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完成全國原住民族部落核定，做為規劃推動原住民族自治之基礎。</w:t>
      </w:r>
    </w:p>
    <w:p w14:paraId="77368E7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)輔</w:t>
      </w:r>
      <w:r>
        <w:rPr>
          <w:rFonts w:eastAsia="標楷體"/>
          <w:spacing w:val="4"/>
          <w:kern w:val="0"/>
          <w:sz w:val="28"/>
          <w:szCs w:val="22"/>
        </w:rPr>
        <w:t>導部落辦理原住民族部落活力計畫，提升部落發展整體競爭力，凝聚部落意識，累積原住民族自治能量。</w:t>
      </w:r>
    </w:p>
    <w:p w14:paraId="03053FC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推動「原住民族土地及海域法」立法</w:t>
      </w:r>
    </w:p>
    <w:p w14:paraId="7B6CA48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加速完成「原住民族土地及海域法」立法，保障原住民族土地權益及自然資源利用權利。</w:t>
      </w:r>
    </w:p>
    <w:p w14:paraId="11F1F80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補辦「增劃編原住民保留地」及「原住民保留地權利賦予」等中長程實施計畫，健全原住民保留地開發與管理機制。</w:t>
      </w:r>
    </w:p>
    <w:p w14:paraId="0AC56C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強化新移民適境照顧</w:t>
      </w:r>
    </w:p>
    <w:p w14:paraId="52DB896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1.</w:t>
      </w:r>
      <w:r>
        <w:rPr>
          <w:rFonts w:eastAsia="標楷體"/>
          <w:spacing w:val="4"/>
          <w:kern w:val="0"/>
          <w:sz w:val="28"/>
          <w:szCs w:val="26"/>
        </w:rPr>
        <w:t>辦理新移民親職教育、外籍配偶成人基本教育、華語補救與母語傳承等課程，持續補助地方政府設置新移民學習中心，提升新住民自我認同意識、生活與學習適應能力。</w:t>
      </w:r>
    </w:p>
    <w:p w14:paraId="4B33D95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建</w:t>
      </w:r>
      <w:r>
        <w:rPr>
          <w:rFonts w:eastAsia="標楷體"/>
          <w:kern w:val="0"/>
          <w:sz w:val="28"/>
          <w:szCs w:val="26"/>
        </w:rPr>
        <w:t>構全方位服務輸送網絡，未來四年累積服務達</w:t>
      </w:r>
      <w:r>
        <w:rPr>
          <w:rFonts w:eastAsia="標楷體"/>
          <w:kern w:val="0"/>
          <w:sz w:val="28"/>
          <w:szCs w:val="26"/>
        </w:rPr>
        <w:t>8</w:t>
      </w:r>
      <w:r>
        <w:rPr>
          <w:rFonts w:eastAsia="標楷體"/>
          <w:kern w:val="0"/>
          <w:sz w:val="28"/>
          <w:szCs w:val="26"/>
        </w:rPr>
        <w:t>萬人次以上。</w:t>
      </w:r>
    </w:p>
    <w:p w14:paraId="1F24AD2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於各直轄市、</w:t>
      </w:r>
      <w:r>
        <w:rPr>
          <w:rFonts w:ascii="標楷體" w:eastAsia="標楷體" w:hAnsi="標楷體"/>
          <w:spacing w:val="4"/>
          <w:kern w:val="0"/>
          <w:sz w:val="28"/>
          <w:szCs w:val="22"/>
        </w:rPr>
        <w:t>縣(市)</w:t>
      </w:r>
      <w:r>
        <w:rPr>
          <w:rFonts w:eastAsia="標楷體"/>
          <w:spacing w:val="4"/>
          <w:kern w:val="0"/>
          <w:sz w:val="28"/>
          <w:szCs w:val="22"/>
        </w:rPr>
        <w:t>建置外籍與大陸配偶關懷網絡，強化新住民權益保障。</w:t>
      </w:r>
    </w:p>
    <w:p w14:paraId="5D146C6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推動行動服務列車，深入偏遠地區，提供新住民全方位即時性服務，未來四年，提供新住民定時定點行動服務達</w:t>
      </w:r>
      <w:r>
        <w:rPr>
          <w:rFonts w:eastAsia="標楷體"/>
          <w:spacing w:val="4"/>
          <w:kern w:val="0"/>
          <w:sz w:val="28"/>
          <w:szCs w:val="22"/>
        </w:rPr>
        <w:t>8,000</w:t>
      </w:r>
      <w:r>
        <w:rPr>
          <w:rFonts w:eastAsia="標楷體"/>
          <w:spacing w:val="4"/>
          <w:kern w:val="0"/>
          <w:sz w:val="28"/>
          <w:szCs w:val="22"/>
        </w:rPr>
        <w:t>人次，均衡城鄉差距。</w:t>
      </w:r>
    </w:p>
    <w:p w14:paraId="738F186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實施「初入境關懷訪談服務方案」及「結合資源辦理家庭教育課程」，提供關懷訪談服務、家庭教育及性別平等宣導，未來四年，提供服務達</w:t>
      </w:r>
      <w:r>
        <w:rPr>
          <w:rFonts w:eastAsia="標楷體"/>
          <w:spacing w:val="4"/>
          <w:kern w:val="0"/>
          <w:sz w:val="28"/>
          <w:szCs w:val="22"/>
        </w:rPr>
        <w:t>3</w:t>
      </w:r>
      <w:r>
        <w:rPr>
          <w:rFonts w:eastAsia="標楷體"/>
          <w:spacing w:val="4"/>
          <w:kern w:val="0"/>
          <w:sz w:val="28"/>
          <w:szCs w:val="22"/>
        </w:rPr>
        <w:t>萬</w:t>
      </w:r>
      <w:r>
        <w:rPr>
          <w:rFonts w:eastAsia="標楷體"/>
          <w:spacing w:val="4"/>
          <w:kern w:val="0"/>
          <w:sz w:val="28"/>
          <w:szCs w:val="22"/>
        </w:rPr>
        <w:t>8,400</w:t>
      </w:r>
      <w:r>
        <w:rPr>
          <w:rFonts w:eastAsia="標楷體"/>
          <w:spacing w:val="4"/>
          <w:kern w:val="0"/>
          <w:sz w:val="28"/>
          <w:szCs w:val="22"/>
        </w:rPr>
        <w:t>人次。</w:t>
      </w:r>
    </w:p>
    <w:p w14:paraId="53A7628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設置「外籍配偶諮詢專線」</w:t>
      </w:r>
      <w:r>
        <w:rPr>
          <w:rFonts w:ascii="標楷體" w:eastAsia="標楷體" w:hAnsi="標楷體"/>
          <w:spacing w:val="4"/>
          <w:kern w:val="0"/>
          <w:sz w:val="28"/>
          <w:szCs w:val="22"/>
        </w:rPr>
        <w:t>(</w:t>
      </w:r>
      <w:r>
        <w:rPr>
          <w:rFonts w:eastAsia="標楷體"/>
          <w:spacing w:val="4"/>
          <w:kern w:val="0"/>
          <w:sz w:val="28"/>
          <w:szCs w:val="22"/>
        </w:rPr>
        <w:t>0800-088-885</w:t>
      </w:r>
      <w:r>
        <w:rPr>
          <w:rFonts w:ascii="標楷體" w:eastAsia="標楷體" w:hAnsi="標楷體"/>
          <w:spacing w:val="4"/>
          <w:kern w:val="0"/>
          <w:sz w:val="28"/>
          <w:szCs w:val="22"/>
        </w:rPr>
        <w:t>)</w:t>
      </w:r>
      <w:r>
        <w:rPr>
          <w:rFonts w:eastAsia="標楷體"/>
          <w:spacing w:val="4"/>
          <w:kern w:val="0"/>
          <w:sz w:val="28"/>
          <w:szCs w:val="22"/>
        </w:rPr>
        <w:t>，通暢諮詢服務管道，未來四年，提供中、英、越、印、泰、柬等語言之免費諮詢服務達</w:t>
      </w:r>
      <w:r>
        <w:rPr>
          <w:rFonts w:eastAsia="標楷體"/>
          <w:spacing w:val="4"/>
          <w:kern w:val="0"/>
          <w:sz w:val="28"/>
          <w:szCs w:val="22"/>
        </w:rPr>
        <w:t>4</w:t>
      </w:r>
      <w:r>
        <w:rPr>
          <w:rFonts w:eastAsia="標楷體"/>
          <w:spacing w:val="4"/>
          <w:kern w:val="0"/>
          <w:sz w:val="28"/>
          <w:szCs w:val="22"/>
        </w:rPr>
        <w:t>萬人次。</w:t>
      </w:r>
    </w:p>
    <w:p w14:paraId="577CE4A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推動「全國新住民火炬計畫」：每年於全國</w:t>
      </w:r>
      <w:r>
        <w:rPr>
          <w:rFonts w:eastAsia="標楷體"/>
          <w:spacing w:val="4"/>
          <w:kern w:val="0"/>
          <w:sz w:val="28"/>
          <w:szCs w:val="26"/>
        </w:rPr>
        <w:t>304</w:t>
      </w:r>
      <w:r>
        <w:rPr>
          <w:rFonts w:eastAsia="標楷體"/>
          <w:spacing w:val="4"/>
          <w:kern w:val="0"/>
          <w:sz w:val="28"/>
          <w:szCs w:val="26"/>
        </w:rPr>
        <w:t>所新住民重點學校，推動新住民及其子女照護工作，辦理多元文化週、新住民輔導志工培訓、母語學習及家庭關懷訪視等工作，提供新住民及其子女完整之文教生活輔導機制與單一窗口的全方位服務。</w:t>
      </w:r>
    </w:p>
    <w:p w14:paraId="6D5C0F2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(五)完</w:t>
      </w:r>
      <w:r>
        <w:rPr>
          <w:rFonts w:eastAsia="標楷體"/>
          <w:spacing w:val="4"/>
          <w:kern w:val="0"/>
          <w:sz w:val="28"/>
          <w:szCs w:val="22"/>
        </w:rPr>
        <w:t>善原住民族福利服務網絡</w:t>
      </w:r>
    </w:p>
    <w:p w14:paraId="7FBDAE5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賡續辦理國民年金原住民給付發放、原住民團體意外險等，擴大照顧原住民經濟生活。</w:t>
      </w:r>
    </w:p>
    <w:p w14:paraId="2AD55C5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持續辦理原住</w:t>
      </w:r>
      <w:r>
        <w:rPr>
          <w:rFonts w:eastAsia="標楷體"/>
          <w:spacing w:val="6"/>
          <w:kern w:val="0"/>
          <w:sz w:val="28"/>
          <w:szCs w:val="26"/>
        </w:rPr>
        <w:t>民幼兒托教補助，補助原住民</w:t>
      </w:r>
      <w:r>
        <w:rPr>
          <w:rFonts w:eastAsia="標楷體"/>
          <w:spacing w:val="6"/>
          <w:kern w:val="0"/>
          <w:sz w:val="28"/>
          <w:szCs w:val="26"/>
        </w:rPr>
        <w:t>3</w:t>
      </w:r>
      <w:r>
        <w:rPr>
          <w:rFonts w:eastAsia="標楷體"/>
          <w:spacing w:val="6"/>
          <w:kern w:val="0"/>
          <w:sz w:val="28"/>
          <w:szCs w:val="26"/>
        </w:rPr>
        <w:t>歲至入學前就讀公立幼稚園每學期最高</w:t>
      </w:r>
      <w:r>
        <w:rPr>
          <w:rFonts w:eastAsia="標楷體"/>
          <w:spacing w:val="6"/>
          <w:kern w:val="0"/>
          <w:sz w:val="28"/>
          <w:szCs w:val="26"/>
        </w:rPr>
        <w:t>8,500</w:t>
      </w:r>
      <w:r>
        <w:rPr>
          <w:rFonts w:eastAsia="標楷體"/>
          <w:spacing w:val="6"/>
          <w:kern w:val="0"/>
          <w:sz w:val="28"/>
          <w:szCs w:val="26"/>
        </w:rPr>
        <w:t>元、私立幼稚園每學期最高</w:t>
      </w:r>
      <w:r>
        <w:rPr>
          <w:rFonts w:eastAsia="標楷體"/>
          <w:spacing w:val="6"/>
          <w:kern w:val="0"/>
          <w:sz w:val="28"/>
          <w:szCs w:val="26"/>
        </w:rPr>
        <w:t>1</w:t>
      </w:r>
      <w:r>
        <w:rPr>
          <w:rFonts w:eastAsia="標楷體"/>
          <w:spacing w:val="6"/>
          <w:kern w:val="0"/>
          <w:sz w:val="28"/>
          <w:szCs w:val="26"/>
        </w:rPr>
        <w:t>萬元。</w:t>
      </w:r>
    </w:p>
    <w:p w14:paraId="5643C29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辦理推介就業服務、職業訓練、工資補貼、促進就業措施等方式，並強化原住民合作社組織，增加原住民族就業機會。</w:t>
      </w:r>
    </w:p>
    <w:p w14:paraId="008C8D39"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B1274F0"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lastRenderedPageBreak/>
        <w:t>伍、居住正義</w:t>
      </w:r>
    </w:p>
    <w:p w14:paraId="7E1CDBA0"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422768F"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為健全房屋市場，滿足中低所得及受薪階級之基本居住需求，未來四年政府將賡續辦理「整合住宅補貼資源實施方案」、「青年安心成家方案」、「青年安心成家購屋優惠貸款」、合理調整公告地價及房屋評定現值、興建合宜及社會住宅、輔導不動產租賃服務產業專業化經營、輔導租屋服務平臺的成立，使不同所得水準、身心機能、性別、年齡、家戶組成及族群文化之國民，皆能擁有適居且有尊嚴的居住環境。另為改善國人居住環境品質，營造城鎮魅力及競爭力，將協助各地方政府推動城鎮風貌型塑整體規劃計畫，整合相關部門計畫，以發揮投資綜效，促進城鎮再發展及達到區域內各直轄市、</w:t>
      </w:r>
      <w:r>
        <w:rPr>
          <w:rFonts w:ascii="標楷體" w:eastAsia="標楷體" w:hAnsi="標楷體"/>
          <w:spacing w:val="4"/>
          <w:kern w:val="0"/>
          <w:sz w:val="28"/>
          <w:szCs w:val="26"/>
        </w:rPr>
        <w:t>縣(市)</w:t>
      </w:r>
      <w:r>
        <w:rPr>
          <w:rFonts w:eastAsia="標楷體"/>
          <w:spacing w:val="4"/>
          <w:kern w:val="0"/>
          <w:sz w:val="28"/>
          <w:szCs w:val="26"/>
        </w:rPr>
        <w:t>共享共榮之效果。</w:t>
      </w:r>
    </w:p>
    <w:p w14:paraId="292B1DB3"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761F160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建立符合社會公義之整體住宅政策，減輕國民居住負擔。</w:t>
      </w:r>
    </w:p>
    <w:p w14:paraId="219CAE4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營造具有美感及永續觀念之城鄉環境，提升國民居住品質。</w:t>
      </w:r>
    </w:p>
    <w:p w14:paraId="12D6F2B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5B2A72A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提供中低收入戶及弱勢者住宅補貼</w:t>
      </w:r>
    </w:p>
    <w:p w14:paraId="067C79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推動落實「住宅法」及相關子法，住宅法及相關子法於</w:t>
      </w:r>
      <w:r>
        <w:rPr>
          <w:rFonts w:eastAsia="標楷體"/>
          <w:spacing w:val="4"/>
          <w:kern w:val="0"/>
          <w:sz w:val="28"/>
          <w:szCs w:val="26"/>
        </w:rPr>
        <w:t>101</w:t>
      </w:r>
      <w:r>
        <w:rPr>
          <w:rFonts w:eastAsia="標楷體"/>
          <w:spacing w:val="4"/>
          <w:kern w:val="0"/>
          <w:sz w:val="28"/>
          <w:szCs w:val="26"/>
        </w:rPr>
        <w:t>年</w:t>
      </w:r>
      <w:r>
        <w:rPr>
          <w:rFonts w:eastAsia="標楷體"/>
          <w:spacing w:val="4"/>
          <w:kern w:val="0"/>
          <w:sz w:val="28"/>
          <w:szCs w:val="26"/>
        </w:rPr>
        <w:t>12</w:t>
      </w:r>
      <w:r>
        <w:rPr>
          <w:rFonts w:eastAsia="標楷體"/>
          <w:spacing w:val="4"/>
          <w:kern w:val="0"/>
          <w:sz w:val="28"/>
          <w:szCs w:val="26"/>
        </w:rPr>
        <w:t>月</w:t>
      </w:r>
      <w:r>
        <w:rPr>
          <w:rFonts w:eastAsia="標楷體"/>
          <w:spacing w:val="4"/>
          <w:kern w:val="0"/>
          <w:sz w:val="28"/>
          <w:szCs w:val="26"/>
        </w:rPr>
        <w:t>30</w:t>
      </w:r>
      <w:r>
        <w:rPr>
          <w:rFonts w:eastAsia="標楷體"/>
          <w:spacing w:val="4"/>
          <w:kern w:val="0"/>
          <w:sz w:val="28"/>
          <w:szCs w:val="26"/>
        </w:rPr>
        <w:t>日同步施行。</w:t>
      </w:r>
    </w:p>
    <w:p w14:paraId="703B187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賡續辦理「整合住宅補貼資源實施方案」：每年度針對無力購置住宅家庭提供租金補貼</w:t>
      </w:r>
      <w:r>
        <w:rPr>
          <w:rFonts w:eastAsia="標楷體"/>
          <w:spacing w:val="4"/>
          <w:kern w:val="0"/>
          <w:sz w:val="28"/>
          <w:szCs w:val="26"/>
        </w:rPr>
        <w:t>2</w:t>
      </w:r>
      <w:r>
        <w:rPr>
          <w:rFonts w:eastAsia="標楷體"/>
          <w:spacing w:val="4"/>
          <w:kern w:val="0"/>
          <w:sz w:val="28"/>
          <w:szCs w:val="26"/>
        </w:rPr>
        <w:t>萬</w:t>
      </w:r>
      <w:r>
        <w:rPr>
          <w:rFonts w:eastAsia="標楷體"/>
          <w:spacing w:val="4"/>
          <w:kern w:val="0"/>
          <w:sz w:val="28"/>
          <w:szCs w:val="26"/>
        </w:rPr>
        <w:t>5,000</w:t>
      </w:r>
      <w:r>
        <w:rPr>
          <w:rFonts w:eastAsia="標楷體"/>
          <w:spacing w:val="4"/>
          <w:kern w:val="0"/>
          <w:sz w:val="28"/>
          <w:szCs w:val="26"/>
        </w:rPr>
        <w:t>戶、購置住宅貸款利息補貼</w:t>
      </w:r>
      <w:r>
        <w:rPr>
          <w:rFonts w:eastAsia="標楷體"/>
          <w:spacing w:val="4"/>
          <w:kern w:val="0"/>
          <w:sz w:val="28"/>
          <w:szCs w:val="26"/>
        </w:rPr>
        <w:t>5,000</w:t>
      </w:r>
      <w:r>
        <w:rPr>
          <w:rFonts w:eastAsia="標楷體"/>
          <w:spacing w:val="4"/>
          <w:kern w:val="0"/>
          <w:sz w:val="28"/>
          <w:szCs w:val="26"/>
        </w:rPr>
        <w:t>戶、自建住宅貸款利息補貼</w:t>
      </w:r>
      <w:r>
        <w:rPr>
          <w:rFonts w:eastAsia="標楷體"/>
          <w:spacing w:val="4"/>
          <w:kern w:val="0"/>
          <w:sz w:val="28"/>
          <w:szCs w:val="26"/>
        </w:rPr>
        <w:t>500</w:t>
      </w:r>
      <w:r>
        <w:rPr>
          <w:rFonts w:eastAsia="標楷體"/>
          <w:spacing w:val="4"/>
          <w:kern w:val="0"/>
          <w:sz w:val="28"/>
          <w:szCs w:val="26"/>
        </w:rPr>
        <w:t>戶、修繕住宅貸款利息補貼</w:t>
      </w:r>
      <w:r>
        <w:rPr>
          <w:rFonts w:eastAsia="標楷體"/>
          <w:spacing w:val="4"/>
          <w:kern w:val="0"/>
          <w:sz w:val="28"/>
          <w:szCs w:val="26"/>
        </w:rPr>
        <w:t>3,000</w:t>
      </w:r>
      <w:r>
        <w:rPr>
          <w:rFonts w:eastAsia="標楷體"/>
          <w:spacing w:val="4"/>
          <w:kern w:val="0"/>
          <w:sz w:val="28"/>
          <w:szCs w:val="26"/>
        </w:rPr>
        <w:t>戶、簡易修繕住宅費用補貼</w:t>
      </w:r>
      <w:r>
        <w:rPr>
          <w:rFonts w:eastAsia="標楷體"/>
          <w:spacing w:val="4"/>
          <w:kern w:val="0"/>
          <w:sz w:val="28"/>
          <w:szCs w:val="26"/>
        </w:rPr>
        <w:t>1,000</w:t>
      </w:r>
      <w:r>
        <w:rPr>
          <w:rFonts w:eastAsia="標楷體"/>
          <w:spacing w:val="4"/>
          <w:kern w:val="0"/>
          <w:sz w:val="28"/>
          <w:szCs w:val="26"/>
        </w:rPr>
        <w:t>戶。</w:t>
      </w:r>
    </w:p>
    <w:p w14:paraId="262780A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賡續辦理「青年安心成家方案」：每年度提供「租金補貼」</w:t>
      </w:r>
      <w:r>
        <w:rPr>
          <w:rFonts w:eastAsia="標楷體"/>
          <w:spacing w:val="4"/>
          <w:kern w:val="0"/>
          <w:sz w:val="28"/>
          <w:szCs w:val="26"/>
        </w:rPr>
        <w:t>1</w:t>
      </w:r>
      <w:r>
        <w:rPr>
          <w:rFonts w:eastAsia="標楷體"/>
          <w:spacing w:val="4"/>
          <w:kern w:val="0"/>
          <w:sz w:val="28"/>
          <w:szCs w:val="26"/>
        </w:rPr>
        <w:t>萬戶及「前兩年零利率購置住宅貸款利息補貼」</w:t>
      </w:r>
      <w:r>
        <w:rPr>
          <w:rFonts w:eastAsia="標楷體"/>
          <w:spacing w:val="4"/>
          <w:kern w:val="0"/>
          <w:sz w:val="28"/>
          <w:szCs w:val="26"/>
        </w:rPr>
        <w:t>1</w:t>
      </w:r>
      <w:r>
        <w:rPr>
          <w:rFonts w:eastAsia="標楷體"/>
          <w:spacing w:val="4"/>
          <w:kern w:val="0"/>
          <w:sz w:val="28"/>
          <w:szCs w:val="26"/>
        </w:rPr>
        <w:t>萬</w:t>
      </w:r>
      <w:r>
        <w:rPr>
          <w:rFonts w:eastAsia="標楷體"/>
          <w:spacing w:val="4"/>
          <w:kern w:val="0"/>
          <w:sz w:val="28"/>
          <w:szCs w:val="26"/>
        </w:rPr>
        <w:t>5,000</w:t>
      </w:r>
      <w:r>
        <w:rPr>
          <w:rFonts w:eastAsia="標楷體"/>
          <w:spacing w:val="4"/>
          <w:kern w:val="0"/>
          <w:sz w:val="28"/>
          <w:szCs w:val="26"/>
        </w:rPr>
        <w:t>戶。</w:t>
      </w:r>
      <w:r>
        <w:rPr>
          <w:rFonts w:ascii="標楷體" w:eastAsia="標楷體" w:hAnsi="標楷體"/>
          <w:spacing w:val="4"/>
          <w:kern w:val="0"/>
          <w:sz w:val="28"/>
          <w:szCs w:val="26"/>
        </w:rPr>
        <w:t>(</w:t>
      </w:r>
      <w:r>
        <w:rPr>
          <w:rFonts w:eastAsia="標楷體"/>
          <w:spacing w:val="4"/>
          <w:kern w:val="0"/>
          <w:sz w:val="28"/>
          <w:szCs w:val="26"/>
        </w:rPr>
        <w:t>有關本方案修正草案擬將計畫期程由</w:t>
      </w:r>
      <w:r>
        <w:rPr>
          <w:rFonts w:eastAsia="標楷體"/>
          <w:spacing w:val="4"/>
          <w:kern w:val="0"/>
          <w:sz w:val="28"/>
          <w:szCs w:val="26"/>
        </w:rPr>
        <w:t>98</w:t>
      </w:r>
      <w:r>
        <w:rPr>
          <w:rFonts w:eastAsia="標楷體"/>
          <w:spacing w:val="4"/>
          <w:kern w:val="0"/>
          <w:sz w:val="28"/>
          <w:szCs w:val="26"/>
        </w:rPr>
        <w:t>至</w:t>
      </w:r>
      <w:r>
        <w:rPr>
          <w:rFonts w:eastAsia="標楷體"/>
          <w:spacing w:val="4"/>
          <w:kern w:val="0"/>
          <w:sz w:val="28"/>
          <w:szCs w:val="26"/>
        </w:rPr>
        <w:t>101</w:t>
      </w:r>
      <w:r>
        <w:rPr>
          <w:rFonts w:eastAsia="標楷體"/>
          <w:spacing w:val="4"/>
          <w:kern w:val="0"/>
          <w:sz w:val="28"/>
          <w:szCs w:val="26"/>
        </w:rPr>
        <w:t>年延長至</w:t>
      </w:r>
      <w:r>
        <w:rPr>
          <w:rFonts w:eastAsia="標楷體"/>
          <w:spacing w:val="4"/>
          <w:kern w:val="0"/>
          <w:sz w:val="28"/>
          <w:szCs w:val="26"/>
        </w:rPr>
        <w:t>105</w:t>
      </w:r>
      <w:r>
        <w:rPr>
          <w:rFonts w:eastAsia="標楷體"/>
          <w:spacing w:val="4"/>
          <w:kern w:val="0"/>
          <w:sz w:val="28"/>
          <w:szCs w:val="26"/>
        </w:rPr>
        <w:t>年，行政院刻正審議中</w:t>
      </w:r>
      <w:r>
        <w:rPr>
          <w:rFonts w:ascii="標楷體" w:eastAsia="標楷體" w:hAnsi="標楷體"/>
          <w:spacing w:val="4"/>
          <w:kern w:val="0"/>
          <w:sz w:val="28"/>
          <w:szCs w:val="26"/>
        </w:rPr>
        <w:t>)</w:t>
      </w:r>
    </w:p>
    <w:p w14:paraId="547F494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ab/>
      </w:r>
      <w:r>
        <w:rPr>
          <w:rFonts w:eastAsia="標楷體"/>
          <w:spacing w:val="4"/>
          <w:kern w:val="0"/>
          <w:sz w:val="28"/>
          <w:szCs w:val="26"/>
        </w:rPr>
        <w:t>檢討不動產相關稅制：落實漲價歸公，並促使地方政府實施不動產評價機制，合理調整公告現值、公告地價及房屋評定</w:t>
      </w:r>
      <w:r>
        <w:rPr>
          <w:rFonts w:eastAsia="標楷體"/>
          <w:spacing w:val="4"/>
          <w:kern w:val="0"/>
          <w:sz w:val="28"/>
          <w:szCs w:val="26"/>
        </w:rPr>
        <w:lastRenderedPageBreak/>
        <w:t>現值。</w:t>
      </w:r>
    </w:p>
    <w:p w14:paraId="322B14F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平衡都會地區住宅供需</w:t>
      </w:r>
    </w:p>
    <w:p w14:paraId="39D112D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ab/>
      </w:r>
      <w:r>
        <w:rPr>
          <w:rFonts w:eastAsia="標楷體"/>
          <w:spacing w:val="4"/>
          <w:kern w:val="0"/>
          <w:sz w:val="28"/>
          <w:szCs w:val="26"/>
        </w:rPr>
        <w:t>興辦合宜住宅</w:t>
      </w:r>
    </w:p>
    <w:p w14:paraId="24CC8F4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興建機場捷運</w:t>
      </w:r>
      <w:r>
        <w:rPr>
          <w:rFonts w:eastAsia="標楷體"/>
          <w:spacing w:val="4"/>
          <w:kern w:val="0"/>
          <w:sz w:val="28"/>
          <w:szCs w:val="22"/>
        </w:rPr>
        <w:t>A7</w:t>
      </w:r>
      <w:r>
        <w:rPr>
          <w:rFonts w:eastAsia="標楷體"/>
          <w:spacing w:val="4"/>
          <w:kern w:val="0"/>
          <w:sz w:val="28"/>
          <w:szCs w:val="22"/>
        </w:rPr>
        <w:t>站合宜住宅及板橋浮洲合宜住宅。由政府提供土地，民間提供資金技術，將以低於市場之價格優先售予家庭年收入低於臺北市</w:t>
      </w:r>
      <w:r>
        <w:rPr>
          <w:rFonts w:eastAsia="標楷體"/>
          <w:spacing w:val="4"/>
          <w:kern w:val="0"/>
          <w:sz w:val="28"/>
          <w:szCs w:val="22"/>
        </w:rPr>
        <w:t>50%</w:t>
      </w:r>
      <w:r>
        <w:rPr>
          <w:rFonts w:eastAsia="標楷體"/>
          <w:spacing w:val="4"/>
          <w:kern w:val="0"/>
          <w:sz w:val="28"/>
          <w:szCs w:val="22"/>
        </w:rPr>
        <w:t>家庭平均所得之無自有住宅家庭，並提供部分戶數為出租住宅。為避免投機炒作，將於簽約時以預告登記方式限制承購戶一定時期內不得轉售。</w:t>
      </w:r>
    </w:p>
    <w:p w14:paraId="56A19A7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「機場捷運</w:t>
      </w:r>
      <w:r>
        <w:rPr>
          <w:rFonts w:eastAsia="標楷體"/>
          <w:spacing w:val="4"/>
          <w:kern w:val="0"/>
          <w:sz w:val="28"/>
          <w:szCs w:val="22"/>
        </w:rPr>
        <w:t>A7</w:t>
      </w:r>
      <w:r>
        <w:rPr>
          <w:rFonts w:eastAsia="標楷體"/>
          <w:spacing w:val="4"/>
          <w:kern w:val="0"/>
          <w:sz w:val="28"/>
          <w:szCs w:val="22"/>
        </w:rPr>
        <w:t>站合宜住宅」預計興建約</w:t>
      </w:r>
      <w:r>
        <w:rPr>
          <w:rFonts w:eastAsia="標楷體"/>
          <w:spacing w:val="4"/>
          <w:kern w:val="0"/>
          <w:sz w:val="28"/>
          <w:szCs w:val="22"/>
        </w:rPr>
        <w:t>3,960</w:t>
      </w:r>
      <w:r>
        <w:rPr>
          <w:rFonts w:eastAsia="標楷體"/>
          <w:spacing w:val="4"/>
          <w:kern w:val="0"/>
          <w:sz w:val="28"/>
          <w:szCs w:val="22"/>
        </w:rPr>
        <w:t>戶</w:t>
      </w:r>
      <w:r>
        <w:rPr>
          <w:rFonts w:ascii="標楷體" w:eastAsia="標楷體" w:hAnsi="標楷體"/>
          <w:spacing w:val="4"/>
          <w:kern w:val="0"/>
          <w:sz w:val="28"/>
          <w:szCs w:val="22"/>
        </w:rPr>
        <w:t>(</w:t>
      </w:r>
      <w:r>
        <w:rPr>
          <w:rFonts w:eastAsia="標楷體"/>
          <w:spacing w:val="4"/>
          <w:kern w:val="0"/>
          <w:sz w:val="28"/>
          <w:szCs w:val="22"/>
        </w:rPr>
        <w:t>含出租住宅</w:t>
      </w:r>
      <w:r>
        <w:rPr>
          <w:rFonts w:eastAsia="標楷體"/>
          <w:spacing w:val="4"/>
          <w:kern w:val="0"/>
          <w:sz w:val="28"/>
          <w:szCs w:val="22"/>
        </w:rPr>
        <w:t>199</w:t>
      </w:r>
      <w:r>
        <w:rPr>
          <w:rFonts w:eastAsia="標楷體"/>
          <w:spacing w:val="4"/>
          <w:kern w:val="0"/>
          <w:sz w:val="28"/>
          <w:szCs w:val="22"/>
        </w:rPr>
        <w:t>戶</w:t>
      </w:r>
      <w:r>
        <w:rPr>
          <w:rFonts w:ascii="標楷體" w:eastAsia="標楷體" w:hAnsi="標楷體"/>
          <w:spacing w:val="4"/>
          <w:kern w:val="0"/>
          <w:sz w:val="28"/>
          <w:szCs w:val="22"/>
        </w:rPr>
        <w:t>)</w:t>
      </w:r>
      <w:r>
        <w:rPr>
          <w:rFonts w:eastAsia="標楷體"/>
          <w:spacing w:val="4"/>
          <w:kern w:val="0"/>
          <w:sz w:val="28"/>
          <w:szCs w:val="22"/>
        </w:rPr>
        <w:t>，預計</w:t>
      </w:r>
      <w:r>
        <w:rPr>
          <w:rFonts w:eastAsia="標楷體"/>
          <w:spacing w:val="4"/>
          <w:kern w:val="0"/>
          <w:sz w:val="28"/>
          <w:szCs w:val="22"/>
        </w:rPr>
        <w:t>104</w:t>
      </w:r>
      <w:r>
        <w:rPr>
          <w:rFonts w:eastAsia="標楷體"/>
          <w:spacing w:val="4"/>
          <w:kern w:val="0"/>
          <w:sz w:val="28"/>
          <w:szCs w:val="22"/>
        </w:rPr>
        <w:t>年陸續完工交屋；「板橋浮洲合宜住宅」則預計興建約</w:t>
      </w:r>
      <w:r>
        <w:rPr>
          <w:rFonts w:eastAsia="標楷體"/>
          <w:spacing w:val="4"/>
          <w:kern w:val="0"/>
          <w:sz w:val="28"/>
          <w:szCs w:val="22"/>
        </w:rPr>
        <w:t>4,455</w:t>
      </w:r>
      <w:r>
        <w:rPr>
          <w:rFonts w:eastAsia="標楷體"/>
          <w:spacing w:val="4"/>
          <w:kern w:val="0"/>
          <w:sz w:val="28"/>
          <w:szCs w:val="22"/>
        </w:rPr>
        <w:t>戶</w:t>
      </w:r>
      <w:r>
        <w:rPr>
          <w:rFonts w:ascii="標楷體" w:eastAsia="標楷體" w:hAnsi="標楷體"/>
          <w:spacing w:val="4"/>
          <w:kern w:val="0"/>
          <w:sz w:val="28"/>
          <w:szCs w:val="22"/>
        </w:rPr>
        <w:t>(</w:t>
      </w:r>
      <w:r>
        <w:rPr>
          <w:rFonts w:eastAsia="標楷體"/>
          <w:spacing w:val="4"/>
          <w:kern w:val="0"/>
          <w:sz w:val="28"/>
          <w:szCs w:val="22"/>
        </w:rPr>
        <w:t>含出租住宅</w:t>
      </w:r>
      <w:r>
        <w:rPr>
          <w:rFonts w:eastAsia="標楷體"/>
          <w:spacing w:val="4"/>
          <w:kern w:val="0"/>
          <w:sz w:val="28"/>
          <w:szCs w:val="22"/>
        </w:rPr>
        <w:t>446</w:t>
      </w:r>
      <w:r>
        <w:rPr>
          <w:rFonts w:eastAsia="標楷體"/>
          <w:spacing w:val="4"/>
          <w:kern w:val="0"/>
          <w:sz w:val="28"/>
          <w:szCs w:val="22"/>
        </w:rPr>
        <w:t>戶</w:t>
      </w:r>
      <w:r>
        <w:rPr>
          <w:rFonts w:ascii="標楷體" w:eastAsia="標楷體" w:hAnsi="標楷體"/>
          <w:spacing w:val="4"/>
          <w:kern w:val="0"/>
          <w:sz w:val="28"/>
          <w:szCs w:val="22"/>
        </w:rPr>
        <w:t>)</w:t>
      </w:r>
      <w:r>
        <w:rPr>
          <w:rFonts w:eastAsia="標楷體"/>
          <w:spacing w:val="4"/>
          <w:kern w:val="0"/>
          <w:sz w:val="28"/>
          <w:szCs w:val="22"/>
        </w:rPr>
        <w:t>，預計</w:t>
      </w:r>
      <w:r>
        <w:rPr>
          <w:rFonts w:eastAsia="標楷體"/>
          <w:spacing w:val="4"/>
          <w:kern w:val="0"/>
          <w:sz w:val="28"/>
          <w:szCs w:val="22"/>
        </w:rPr>
        <w:t>104</w:t>
      </w:r>
      <w:r>
        <w:rPr>
          <w:rFonts w:eastAsia="標楷體"/>
          <w:spacing w:val="4"/>
          <w:kern w:val="0"/>
          <w:sz w:val="28"/>
          <w:szCs w:val="22"/>
        </w:rPr>
        <w:t>年</w:t>
      </w:r>
      <w:r>
        <w:rPr>
          <w:rFonts w:eastAsia="標楷體"/>
          <w:spacing w:val="4"/>
          <w:kern w:val="0"/>
          <w:sz w:val="28"/>
          <w:szCs w:val="22"/>
        </w:rPr>
        <w:t>3</w:t>
      </w:r>
      <w:r>
        <w:rPr>
          <w:rFonts w:eastAsia="標楷體"/>
          <w:spacing w:val="4"/>
          <w:kern w:val="0"/>
          <w:sz w:val="28"/>
          <w:szCs w:val="22"/>
        </w:rPr>
        <w:t>月底完工交屋。</w:t>
      </w:r>
    </w:p>
    <w:p w14:paraId="10AEC05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後續將檢視兩案興辦成效，回饋制定更具全面性、整體性及多元性之住宅政策，減輕更多民眾居住負擔；各地方政府亦得視實際情形，考量評估於其他條件適宜地區興辦合宜住宅。</w:t>
      </w:r>
    </w:p>
    <w:p w14:paraId="1B16651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ab/>
      </w:r>
      <w:r>
        <w:rPr>
          <w:rFonts w:eastAsia="標楷體"/>
          <w:spacing w:val="4"/>
          <w:kern w:val="0"/>
          <w:sz w:val="28"/>
          <w:szCs w:val="26"/>
        </w:rPr>
        <w:t>興辦社會住宅</w:t>
      </w:r>
    </w:p>
    <w:p w14:paraId="452FCF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100</w:t>
      </w:r>
      <w:r>
        <w:rPr>
          <w:rFonts w:eastAsia="標楷體"/>
          <w:spacing w:val="4"/>
          <w:kern w:val="0"/>
          <w:sz w:val="28"/>
          <w:szCs w:val="22"/>
        </w:rPr>
        <w:t>年</w:t>
      </w:r>
      <w:r>
        <w:rPr>
          <w:rFonts w:eastAsia="標楷體"/>
          <w:spacing w:val="4"/>
          <w:kern w:val="0"/>
          <w:sz w:val="28"/>
          <w:szCs w:val="22"/>
        </w:rPr>
        <w:t>6</w:t>
      </w:r>
      <w:r>
        <w:rPr>
          <w:rFonts w:eastAsia="標楷體"/>
          <w:spacing w:val="4"/>
          <w:kern w:val="0"/>
          <w:sz w:val="28"/>
          <w:szCs w:val="22"/>
        </w:rPr>
        <w:t>月</w:t>
      </w:r>
      <w:r>
        <w:rPr>
          <w:rFonts w:eastAsia="標楷體"/>
          <w:spacing w:val="4"/>
          <w:kern w:val="0"/>
          <w:sz w:val="28"/>
          <w:szCs w:val="22"/>
        </w:rPr>
        <w:t>16</w:t>
      </w:r>
      <w:r>
        <w:rPr>
          <w:rFonts w:eastAsia="標楷體"/>
          <w:spacing w:val="4"/>
          <w:kern w:val="0"/>
          <w:sz w:val="28"/>
          <w:szCs w:val="22"/>
        </w:rPr>
        <w:t>日核定「社會住宅短期實施方案」，推動臺北市、新北市</w:t>
      </w:r>
      <w:r>
        <w:rPr>
          <w:rFonts w:eastAsia="標楷體"/>
          <w:spacing w:val="4"/>
          <w:kern w:val="0"/>
          <w:sz w:val="28"/>
          <w:szCs w:val="22"/>
        </w:rPr>
        <w:t>5</w:t>
      </w:r>
      <w:r>
        <w:rPr>
          <w:rFonts w:eastAsia="標楷體"/>
          <w:spacing w:val="4"/>
          <w:kern w:val="0"/>
          <w:sz w:val="28"/>
          <w:szCs w:val="22"/>
        </w:rPr>
        <w:t>處社會住宅之興辦，中央政府協助提供土地，由地方政府決定採用因地制宜之興辦方式，預計興建</w:t>
      </w:r>
      <w:r>
        <w:rPr>
          <w:rFonts w:eastAsia="標楷體"/>
          <w:spacing w:val="4"/>
          <w:kern w:val="0"/>
          <w:sz w:val="28"/>
          <w:szCs w:val="22"/>
        </w:rPr>
        <w:t>1,661</w:t>
      </w:r>
      <w:r>
        <w:rPr>
          <w:rFonts w:eastAsia="標楷體"/>
          <w:spacing w:val="4"/>
          <w:kern w:val="0"/>
          <w:sz w:val="28"/>
          <w:szCs w:val="22"/>
        </w:rPr>
        <w:t>戶。將採「混居」方式，除社會經濟弱勢者外，青年族群、新婚家庭及中低收入家庭亦可居住，建築物將朝高品質方向規劃設計，社區環境及建築物外觀並與一般民間建商興建之大樓類似，避免產生「貧民窟化」或「標籤化」現象。預定於</w:t>
      </w:r>
      <w:r>
        <w:rPr>
          <w:rFonts w:eastAsia="標楷體"/>
          <w:spacing w:val="4"/>
          <w:kern w:val="0"/>
          <w:sz w:val="28"/>
          <w:szCs w:val="22"/>
        </w:rPr>
        <w:t>102</w:t>
      </w:r>
      <w:r>
        <w:rPr>
          <w:rFonts w:eastAsia="標楷體"/>
          <w:spacing w:val="4"/>
          <w:kern w:val="0"/>
          <w:sz w:val="28"/>
          <w:szCs w:val="22"/>
        </w:rPr>
        <w:t>年底前動工、</w:t>
      </w:r>
      <w:r>
        <w:rPr>
          <w:rFonts w:eastAsia="標楷體"/>
          <w:spacing w:val="4"/>
          <w:kern w:val="0"/>
          <w:sz w:val="28"/>
          <w:szCs w:val="22"/>
        </w:rPr>
        <w:t>104</w:t>
      </w:r>
      <w:r>
        <w:rPr>
          <w:rFonts w:eastAsia="標楷體"/>
          <w:spacing w:val="4"/>
          <w:kern w:val="0"/>
          <w:sz w:val="28"/>
          <w:szCs w:val="22"/>
        </w:rPr>
        <w:t>年陸續完工。</w:t>
      </w:r>
    </w:p>
    <w:p w14:paraId="5647E0D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未來將充分檢討短期實施方案</w:t>
      </w:r>
      <w:r>
        <w:rPr>
          <w:rFonts w:eastAsia="標楷體"/>
          <w:spacing w:val="4"/>
          <w:kern w:val="0"/>
          <w:sz w:val="28"/>
          <w:szCs w:val="22"/>
        </w:rPr>
        <w:t>5</w:t>
      </w:r>
      <w:r>
        <w:rPr>
          <w:rFonts w:eastAsia="標楷體"/>
          <w:spacing w:val="4"/>
          <w:kern w:val="0"/>
          <w:sz w:val="28"/>
          <w:szCs w:val="22"/>
        </w:rPr>
        <w:t>處基地推動情形及政府財政狀況，研議後續政府直接興辦社會住宅之方向。除政府直接興辦外，考量政府財政有限，且民間經營管理效</w:t>
      </w:r>
      <w:r>
        <w:rPr>
          <w:rFonts w:eastAsia="標楷體"/>
          <w:spacing w:val="4"/>
          <w:kern w:val="0"/>
          <w:sz w:val="28"/>
          <w:szCs w:val="22"/>
        </w:rPr>
        <w:lastRenderedPageBreak/>
        <w:t>率較佳，爰將以多元方式獎勵民間興辦，除依據「住宅法」研擬相關子法建立獎勵民間興辦機制，亦研議補助成立租屋服務平臺，運用民間空餘屋作為社會住宅，以提供弱勢戶多元化居住選擇。</w:t>
      </w:r>
    </w:p>
    <w:p w14:paraId="1E8A08C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ab/>
      </w:r>
      <w:r>
        <w:rPr>
          <w:rFonts w:eastAsia="標楷體"/>
          <w:spacing w:val="4"/>
          <w:kern w:val="0"/>
          <w:sz w:val="28"/>
          <w:szCs w:val="26"/>
        </w:rPr>
        <w:t>針對房價偏高地區可建而未建之閒置或囤積土地，推動限期建築及課徵空地稅，增加土地供給。</w:t>
      </w:r>
    </w:p>
    <w:p w14:paraId="307F7E4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(三)健</w:t>
      </w:r>
      <w:r>
        <w:rPr>
          <w:rFonts w:eastAsia="標楷體"/>
          <w:spacing w:val="4"/>
          <w:kern w:val="0"/>
          <w:sz w:val="28"/>
          <w:szCs w:val="22"/>
        </w:rPr>
        <w:t>全不動產交易資訊及住宅租賃市場</w:t>
      </w:r>
    </w:p>
    <w:p w14:paraId="261B53C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ab/>
      </w:r>
      <w:r>
        <w:rPr>
          <w:rFonts w:eastAsia="標楷體"/>
          <w:spacing w:val="4"/>
          <w:kern w:val="0"/>
          <w:sz w:val="28"/>
          <w:szCs w:val="26"/>
        </w:rPr>
        <w:t>賡續推動不動產交易實價登錄制度：責成不動產經紀業者、地政士或權利人申報不動產買賣價格、預售屋成交價格及土地建物租賃價格等交易資訊，全面登錄成交案件資訊，促進不動產交易資訊透明化。</w:t>
      </w:r>
    </w:p>
    <w:p w14:paraId="016A2D8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ab/>
      </w:r>
      <w:r>
        <w:rPr>
          <w:rFonts w:eastAsia="標楷體"/>
          <w:spacing w:val="4"/>
          <w:kern w:val="0"/>
          <w:sz w:val="28"/>
          <w:szCs w:val="26"/>
        </w:rPr>
        <w:t>健全住宅租賃市場</w:t>
      </w:r>
    </w:p>
    <w:p w14:paraId="616035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推廣與輔導不動產租賃服務產業專業化經營與管理，適時檢討房屋租賃相關契約書範本，研訂定型化契約應記載及不得記載事項，以健全住宅租賃市場。</w:t>
      </w:r>
    </w:p>
    <w:p w14:paraId="42E044B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依據「輔導獎勵民間成立租屋服務平臺辦法」，補助有急迫需求之直轄市或縣</w:t>
      </w:r>
      <w:r>
        <w:rPr>
          <w:rFonts w:ascii="標楷體" w:eastAsia="標楷體" w:hAnsi="標楷體"/>
          <w:spacing w:val="4"/>
          <w:kern w:val="0"/>
          <w:sz w:val="28"/>
          <w:szCs w:val="22"/>
        </w:rPr>
        <w:t>(市)政</w:t>
      </w:r>
      <w:r>
        <w:rPr>
          <w:rFonts w:eastAsia="標楷體"/>
          <w:spacing w:val="4"/>
          <w:kern w:val="0"/>
          <w:sz w:val="28"/>
          <w:szCs w:val="22"/>
        </w:rPr>
        <w:t>府推動示範性租屋服務平臺；輔導獎勵民間公司或非營利組織成立租屋服務平臺，提供租屋市場資訊、媒合服務、專業管理協助及糾紛諮詢等相關服務；並協助弱勢者租屋市場相關事務作業，未來四年租屋服務平臺預計協助中低所得家庭租屋戶數總計達</w:t>
      </w:r>
      <w:r>
        <w:rPr>
          <w:rFonts w:eastAsia="標楷體"/>
          <w:spacing w:val="4"/>
          <w:kern w:val="0"/>
          <w:sz w:val="28"/>
          <w:szCs w:val="22"/>
        </w:rPr>
        <w:t>6,960</w:t>
      </w:r>
      <w:r>
        <w:rPr>
          <w:rFonts w:eastAsia="標楷體"/>
          <w:spacing w:val="4"/>
          <w:kern w:val="0"/>
          <w:sz w:val="28"/>
          <w:szCs w:val="22"/>
        </w:rPr>
        <w:t>戶。</w:t>
      </w:r>
    </w:p>
    <w:p w14:paraId="30B8CB4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實現土地徵收以市價補償</w:t>
      </w:r>
    </w:p>
    <w:p w14:paraId="3C5ABEA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業於</w:t>
      </w:r>
      <w:r>
        <w:rPr>
          <w:rFonts w:eastAsia="標楷體"/>
          <w:spacing w:val="4"/>
          <w:kern w:val="0"/>
          <w:sz w:val="28"/>
          <w:szCs w:val="26"/>
        </w:rPr>
        <w:t>101</w:t>
      </w:r>
      <w:r>
        <w:rPr>
          <w:rFonts w:eastAsia="標楷體"/>
          <w:spacing w:val="4"/>
          <w:kern w:val="0"/>
          <w:sz w:val="28"/>
          <w:szCs w:val="26"/>
        </w:rPr>
        <w:t>年</w:t>
      </w:r>
      <w:r>
        <w:rPr>
          <w:rFonts w:eastAsia="標楷體"/>
          <w:spacing w:val="4"/>
          <w:kern w:val="0"/>
          <w:sz w:val="28"/>
          <w:szCs w:val="26"/>
        </w:rPr>
        <w:t>1</w:t>
      </w:r>
      <w:r>
        <w:rPr>
          <w:rFonts w:eastAsia="標楷體"/>
          <w:spacing w:val="4"/>
          <w:kern w:val="0"/>
          <w:sz w:val="28"/>
          <w:szCs w:val="26"/>
        </w:rPr>
        <w:t>月</w:t>
      </w:r>
      <w:r>
        <w:rPr>
          <w:rFonts w:eastAsia="標楷體"/>
          <w:spacing w:val="4"/>
          <w:kern w:val="0"/>
          <w:sz w:val="28"/>
          <w:szCs w:val="26"/>
        </w:rPr>
        <w:t>4</w:t>
      </w:r>
      <w:r>
        <w:rPr>
          <w:rFonts w:eastAsia="標楷體"/>
          <w:spacing w:val="4"/>
          <w:kern w:val="0"/>
          <w:sz w:val="28"/>
          <w:szCs w:val="26"/>
        </w:rPr>
        <w:t>日修正「土地徵收條例」第</w:t>
      </w:r>
      <w:r>
        <w:rPr>
          <w:rFonts w:eastAsia="標楷體"/>
          <w:spacing w:val="4"/>
          <w:kern w:val="0"/>
          <w:sz w:val="28"/>
          <w:szCs w:val="26"/>
        </w:rPr>
        <w:t>11</w:t>
      </w:r>
      <w:r>
        <w:rPr>
          <w:rFonts w:eastAsia="標楷體"/>
          <w:spacing w:val="4"/>
          <w:kern w:val="0"/>
          <w:sz w:val="28"/>
          <w:szCs w:val="26"/>
        </w:rPr>
        <w:t>條及第</w:t>
      </w:r>
      <w:r>
        <w:rPr>
          <w:rFonts w:eastAsia="標楷體"/>
          <w:spacing w:val="4"/>
          <w:kern w:val="0"/>
          <w:sz w:val="28"/>
          <w:szCs w:val="26"/>
        </w:rPr>
        <w:t>30</w:t>
      </w:r>
      <w:r>
        <w:rPr>
          <w:rFonts w:eastAsia="標楷體"/>
          <w:spacing w:val="4"/>
          <w:kern w:val="0"/>
          <w:sz w:val="28"/>
          <w:szCs w:val="26"/>
        </w:rPr>
        <w:t>條，於第</w:t>
      </w:r>
      <w:r>
        <w:rPr>
          <w:rFonts w:eastAsia="標楷體"/>
          <w:spacing w:val="4"/>
          <w:kern w:val="0"/>
          <w:sz w:val="28"/>
          <w:szCs w:val="26"/>
        </w:rPr>
        <w:t>11</w:t>
      </w:r>
      <w:r>
        <w:rPr>
          <w:rFonts w:eastAsia="標楷體"/>
          <w:spacing w:val="4"/>
          <w:kern w:val="0"/>
          <w:sz w:val="28"/>
          <w:szCs w:val="26"/>
        </w:rPr>
        <w:t>條明確定義「市價」為「市場正常交易價格」，規定需用土地人協議價購應以市價為之；並於第</w:t>
      </w:r>
      <w:r>
        <w:rPr>
          <w:rFonts w:eastAsia="標楷體"/>
          <w:spacing w:val="4"/>
          <w:kern w:val="0"/>
          <w:sz w:val="28"/>
          <w:szCs w:val="26"/>
        </w:rPr>
        <w:t>30</w:t>
      </w:r>
      <w:r>
        <w:rPr>
          <w:rFonts w:eastAsia="標楷體"/>
          <w:spacing w:val="4"/>
          <w:kern w:val="0"/>
          <w:sz w:val="28"/>
          <w:szCs w:val="26"/>
        </w:rPr>
        <w:t>條規定徵收補償為市價，未來地方政府必須每</w:t>
      </w:r>
      <w:r>
        <w:rPr>
          <w:rFonts w:eastAsia="標楷體"/>
          <w:spacing w:val="4"/>
          <w:kern w:val="0"/>
          <w:sz w:val="28"/>
          <w:szCs w:val="26"/>
        </w:rPr>
        <w:t>6</w:t>
      </w:r>
      <w:r>
        <w:rPr>
          <w:rFonts w:eastAsia="標楷體"/>
          <w:spacing w:val="4"/>
          <w:kern w:val="0"/>
          <w:sz w:val="28"/>
          <w:szCs w:val="26"/>
        </w:rPr>
        <w:t>個月評定一次被徵收地區的正常交易價格，以利土地被徵收者可獲得更合理之補償。</w:t>
      </w:r>
    </w:p>
    <w:p w14:paraId="0051DDE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確保土地徵收符合公益性及必要性，並加強優良農地保護。</w:t>
      </w:r>
    </w:p>
    <w:p w14:paraId="5FBB6FD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提升城鄉居住環境品質</w:t>
      </w:r>
    </w:p>
    <w:p w14:paraId="34BF55E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1.</w:t>
      </w:r>
      <w:r>
        <w:rPr>
          <w:rFonts w:eastAsia="標楷體"/>
          <w:spacing w:val="4"/>
          <w:kern w:val="0"/>
          <w:sz w:val="28"/>
          <w:szCs w:val="26"/>
        </w:rPr>
        <w:tab/>
      </w:r>
      <w:r>
        <w:rPr>
          <w:rFonts w:eastAsia="標楷體"/>
          <w:spacing w:val="4"/>
          <w:kern w:val="0"/>
          <w:sz w:val="28"/>
          <w:szCs w:val="26"/>
        </w:rPr>
        <w:t>營造城鎮新風貌</w:t>
      </w:r>
    </w:p>
    <w:p w14:paraId="2B4FD81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跨域整合計畫：採「由下而上」及「由上而下」方式，鼓勵各地方政府提出跨域、跨直轄市、縣（市）且具創新性及前瞻性之整合型計畫，藉由示範區整體規劃，引導相關補助資源共同投入，俾發揮計畫投資綜效及帶動城鎮整體發展。</w:t>
      </w:r>
    </w:p>
    <w:p w14:paraId="3120A06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主題型縫補串連計畫：檢討過去年度已執行計畫進行資源盤點，就生態城市及氣候變遷調適策略，提出整體環境改善工作，以生態城市概念，進行城鎮街區風貌改造，以及推動綠色城鄉創意治理，並同步結合城鎮相關部門建設計畫，以促進城鎮再發展。</w:t>
      </w:r>
    </w:p>
    <w:p w14:paraId="4BB73B6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建立國內景觀制度：透過計畫管制及改善，營造低碳、綠意及生態之城鄉生活環境，並加速推動「景觀法」之立法。</w:t>
      </w:r>
    </w:p>
    <w:p w14:paraId="4F6FCFE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ab/>
      </w:r>
      <w:r>
        <w:rPr>
          <w:rFonts w:eastAsia="標楷體"/>
          <w:spacing w:val="4"/>
          <w:kern w:val="0"/>
          <w:sz w:val="28"/>
          <w:szCs w:val="26"/>
        </w:rPr>
        <w:t>增加住宅土地供給，加速開發淡海新市鎮：以永續生態城市為方向，於淡海新市鎮後期發展區劃設住宅區與產業專用區，強化聯外交通建設及儲備土地，並積極引導產業進駐與輔導在地產業轉型，引進節能、低碳排及高附加價值之綠色新興產業，實現「在地就業、在地就學與在地就養」之在地生活目標。</w:t>
      </w:r>
    </w:p>
    <w:p w14:paraId="0F872B0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ab/>
      </w:r>
      <w:r>
        <w:rPr>
          <w:rFonts w:eastAsia="標楷體"/>
          <w:spacing w:val="4"/>
          <w:kern w:val="0"/>
          <w:sz w:val="28"/>
          <w:szCs w:val="26"/>
        </w:rPr>
        <w:t>持續推動都市更新</w:t>
      </w:r>
    </w:p>
    <w:p w14:paraId="4F89A2A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由「基地再開發」為主的更新模式，推進到「地區再發展」及「地域再生」；由「投資型」擴展為「社區自助型」都市更新；由「重建型」延伸到「整建維護型」都市更新。</w:t>
      </w:r>
    </w:p>
    <w:p w14:paraId="6E31999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採政府為主都市更新案選商投資或整合實施方式，及民間為主都市更新案輔導實施方式，雙軌並行推動都市更新，將建置完備之都市更新法令，預定每年推動</w:t>
      </w:r>
      <w:r>
        <w:rPr>
          <w:rFonts w:eastAsia="標楷體"/>
          <w:spacing w:val="4"/>
          <w:kern w:val="0"/>
          <w:sz w:val="28"/>
          <w:szCs w:val="22"/>
        </w:rPr>
        <w:t>13</w:t>
      </w:r>
      <w:r>
        <w:rPr>
          <w:rFonts w:eastAsia="標楷體"/>
          <w:spacing w:val="4"/>
          <w:kern w:val="0"/>
          <w:sz w:val="28"/>
          <w:szCs w:val="22"/>
        </w:rPr>
        <w:t>處政府為主都市更新計畫及輔導</w:t>
      </w:r>
      <w:r>
        <w:rPr>
          <w:rFonts w:eastAsia="標楷體"/>
          <w:spacing w:val="4"/>
          <w:kern w:val="0"/>
          <w:sz w:val="28"/>
          <w:szCs w:val="22"/>
        </w:rPr>
        <w:t>25</w:t>
      </w:r>
      <w:r>
        <w:rPr>
          <w:rFonts w:eastAsia="標楷體"/>
          <w:spacing w:val="4"/>
          <w:kern w:val="0"/>
          <w:sz w:val="28"/>
          <w:szCs w:val="22"/>
        </w:rPr>
        <w:t>件以上民間都市更新事業計畫核定實施。</w:t>
      </w:r>
    </w:p>
    <w:p w14:paraId="7FDEF7A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建立多元實施與獎助方式，北部採重建、整建維護並重，以及投資、自力更新並重；中南部以整建維護為主、重建為輔，以及自力更新為主、並鼓勵建築開發業投資。另因應不同更新策略，研議建立多元獎勵補助機制。</w:t>
      </w:r>
    </w:p>
    <w:p w14:paraId="27D0610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加強都市更新專業培訓與宣導，提升公、私部門都市更新專業技能，培訓具有都市更新、都市計畫、建築、地政及財務等不同背景人士作為社區自力更新推動之種子，教導各種更新規劃方法、作業程序及居民溝通技巧等，並於結訓後進入社區整合住戶自力更新，投入重建、整建及維護之永續發展城市改造工作。</w:t>
      </w:r>
    </w:p>
    <w:p w14:paraId="0026C71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4"/>
          <w:kern w:val="0"/>
          <w:sz w:val="28"/>
          <w:szCs w:val="22"/>
        </w:rPr>
        <w:t>配合推動都市更新政策，除積極參與民間申請之都市更新事業，另配合推動公辦都市更新需要，適時提供國有土地相關資訊，並訂定分年處理目標。</w:t>
      </w:r>
    </w:p>
    <w:p w14:paraId="6AAFD79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6</w:t>
      </w:r>
      <w:r>
        <w:rPr>
          <w:rFonts w:ascii="標楷體" w:eastAsia="標楷體" w:hAnsi="標楷體"/>
          <w:spacing w:val="4"/>
          <w:kern w:val="0"/>
          <w:sz w:val="28"/>
          <w:szCs w:val="22"/>
        </w:rPr>
        <w:t>)</w:t>
      </w:r>
      <w:r>
        <w:rPr>
          <w:rFonts w:eastAsia="標楷體"/>
          <w:spacing w:val="4"/>
          <w:kern w:val="0"/>
          <w:sz w:val="28"/>
          <w:szCs w:val="22"/>
        </w:rPr>
        <w:t>運用中央都市更新基金，補助住戶推動自主更新；補助辦理都市更新重建先期整合作業、輔導成立都市更新會及擬具都市更新事業計畫報核；補助辦理私有老舊公寓大廈整建、維護先期整合及規劃設計與工程。</w:t>
      </w:r>
    </w:p>
    <w:p w14:paraId="76EF15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ab/>
      </w:r>
      <w:r>
        <w:rPr>
          <w:rFonts w:eastAsia="標楷體"/>
          <w:spacing w:val="4"/>
          <w:kern w:val="0"/>
          <w:sz w:val="28"/>
          <w:szCs w:val="26"/>
        </w:rPr>
        <w:t>營造部落傳統建築風貌</w:t>
      </w:r>
    </w:p>
    <w:p w14:paraId="4D19911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補助地方政府辦理部落文化語彙及部落文化風貌計畫，創造具有附加價值的文化與觀光產業。</w:t>
      </w:r>
    </w:p>
    <w:p w14:paraId="68E0104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推動原住民族部落遷建，補助地方政府辦理遷建工作。</w:t>
      </w:r>
    </w:p>
    <w:p w14:paraId="76DD1D0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ab/>
      </w:r>
      <w:r>
        <w:rPr>
          <w:rFonts w:eastAsia="標楷體"/>
          <w:spacing w:val="4"/>
          <w:kern w:val="0"/>
          <w:sz w:val="28"/>
          <w:szCs w:val="26"/>
        </w:rPr>
        <w:t>充實文化設施，營造優質藝文環境</w:t>
      </w:r>
    </w:p>
    <w:p w14:paraId="1BAE85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協助地方政府充實及活化文化設施，改善整體藝文環境。臺中大都會歌劇院</w:t>
      </w:r>
      <w:r>
        <w:rPr>
          <w:rFonts w:eastAsia="標楷體"/>
          <w:spacing w:val="4"/>
          <w:kern w:val="0"/>
          <w:sz w:val="28"/>
          <w:szCs w:val="22"/>
        </w:rPr>
        <w:t>104</w:t>
      </w:r>
      <w:r>
        <w:rPr>
          <w:rFonts w:eastAsia="標楷體"/>
          <w:spacing w:val="4"/>
          <w:kern w:val="0"/>
          <w:sz w:val="28"/>
          <w:szCs w:val="22"/>
        </w:rPr>
        <w:t>年完工；屏東縣演藝廳</w:t>
      </w:r>
      <w:r>
        <w:rPr>
          <w:rFonts w:eastAsia="標楷體"/>
          <w:spacing w:val="4"/>
          <w:kern w:val="0"/>
          <w:sz w:val="28"/>
          <w:szCs w:val="22"/>
        </w:rPr>
        <w:t>104</w:t>
      </w:r>
      <w:r>
        <w:rPr>
          <w:rFonts w:eastAsia="標楷體"/>
          <w:spacing w:val="4"/>
          <w:kern w:val="0"/>
          <w:sz w:val="28"/>
          <w:szCs w:val="22"/>
        </w:rPr>
        <w:t>年完工；彰化藝術中心</w:t>
      </w:r>
      <w:r>
        <w:rPr>
          <w:rFonts w:eastAsia="標楷體"/>
          <w:spacing w:val="4"/>
          <w:kern w:val="0"/>
          <w:sz w:val="28"/>
          <w:szCs w:val="22"/>
        </w:rPr>
        <w:t>102</w:t>
      </w:r>
      <w:r>
        <w:rPr>
          <w:rFonts w:eastAsia="標楷體"/>
          <w:spacing w:val="4"/>
          <w:kern w:val="0"/>
          <w:sz w:val="28"/>
          <w:szCs w:val="22"/>
        </w:rPr>
        <w:t>年完工、</w:t>
      </w:r>
      <w:r>
        <w:rPr>
          <w:rFonts w:eastAsia="標楷體"/>
          <w:spacing w:val="4"/>
          <w:kern w:val="0"/>
          <w:sz w:val="28"/>
          <w:szCs w:val="22"/>
        </w:rPr>
        <w:t>103</w:t>
      </w:r>
      <w:r>
        <w:rPr>
          <w:rFonts w:eastAsia="標楷體"/>
          <w:spacing w:val="4"/>
          <w:kern w:val="0"/>
          <w:sz w:val="28"/>
          <w:szCs w:val="22"/>
        </w:rPr>
        <w:t>年營運。</w:t>
      </w:r>
    </w:p>
    <w:p w14:paraId="1142A81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建構在地生活美學空間，評估各村落文化據點所需文化展演需求，協助改善並提升規劃、運用能力，輔導村落發掘在地生活美學空間，提升生活空間品質及文化觀光潛力，發展具在地美學之生活空間。</w:t>
      </w:r>
    </w:p>
    <w:p w14:paraId="4537DC0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B01495F"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陸、性別平等</w:t>
      </w:r>
    </w:p>
    <w:p w14:paraId="4B687DE7"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2B2F032"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聯合國</w:t>
      </w:r>
      <w:r>
        <w:rPr>
          <w:rFonts w:eastAsia="標楷體"/>
          <w:spacing w:val="4"/>
          <w:kern w:val="0"/>
          <w:sz w:val="28"/>
          <w:szCs w:val="26"/>
        </w:rPr>
        <w:t>2011</w:t>
      </w:r>
      <w:r>
        <w:rPr>
          <w:rFonts w:eastAsia="標楷體"/>
          <w:spacing w:val="4"/>
          <w:kern w:val="0"/>
          <w:sz w:val="28"/>
          <w:szCs w:val="26"/>
        </w:rPr>
        <w:t>年人類發展報告</w:t>
      </w:r>
      <w:r>
        <w:rPr>
          <w:rFonts w:ascii="標楷體" w:eastAsia="標楷體" w:hAnsi="標楷體"/>
          <w:spacing w:val="4"/>
          <w:kern w:val="0"/>
          <w:sz w:val="28"/>
          <w:szCs w:val="26"/>
        </w:rPr>
        <w:t>(</w:t>
      </w:r>
      <w:r>
        <w:rPr>
          <w:rFonts w:eastAsia="標楷體"/>
          <w:spacing w:val="4"/>
          <w:kern w:val="0"/>
          <w:sz w:val="28"/>
          <w:szCs w:val="26"/>
        </w:rPr>
        <w:t>Human Development Report</w:t>
      </w:r>
      <w:r>
        <w:rPr>
          <w:rFonts w:ascii="標楷體" w:eastAsia="標楷體" w:hAnsi="標楷體"/>
          <w:spacing w:val="4"/>
          <w:kern w:val="0"/>
          <w:sz w:val="28"/>
          <w:szCs w:val="26"/>
        </w:rPr>
        <w:t>)</w:t>
      </w:r>
      <w:r>
        <w:rPr>
          <w:rFonts w:eastAsia="標楷體"/>
          <w:spacing w:val="4"/>
          <w:kern w:val="0"/>
          <w:sz w:val="28"/>
          <w:szCs w:val="26"/>
        </w:rPr>
        <w:t>公布全球</w:t>
      </w:r>
      <w:r>
        <w:rPr>
          <w:rFonts w:eastAsia="標楷體"/>
          <w:spacing w:val="4"/>
          <w:kern w:val="0"/>
          <w:sz w:val="28"/>
          <w:szCs w:val="26"/>
        </w:rPr>
        <w:t>146</w:t>
      </w:r>
      <w:r>
        <w:rPr>
          <w:rFonts w:eastAsia="標楷體"/>
          <w:spacing w:val="4"/>
          <w:kern w:val="0"/>
          <w:sz w:val="28"/>
          <w:szCs w:val="26"/>
        </w:rPr>
        <w:t>個國家</w:t>
      </w:r>
      <w:r>
        <w:rPr>
          <w:rFonts w:ascii="標楷體" w:eastAsia="標楷體" w:hAnsi="標楷體"/>
          <w:spacing w:val="4"/>
          <w:kern w:val="0"/>
          <w:sz w:val="28"/>
          <w:szCs w:val="26"/>
        </w:rPr>
        <w:t>(</w:t>
      </w:r>
      <w:r>
        <w:rPr>
          <w:rFonts w:eastAsia="標楷體"/>
          <w:spacing w:val="4"/>
          <w:kern w:val="0"/>
          <w:sz w:val="28"/>
          <w:szCs w:val="26"/>
        </w:rPr>
        <w:t>地區</w:t>
      </w:r>
      <w:r>
        <w:rPr>
          <w:rFonts w:ascii="標楷體" w:eastAsia="標楷體" w:hAnsi="標楷體"/>
          <w:spacing w:val="4"/>
          <w:kern w:val="0"/>
          <w:sz w:val="28"/>
          <w:szCs w:val="26"/>
        </w:rPr>
        <w:t>)</w:t>
      </w:r>
      <w:r>
        <w:rPr>
          <w:rFonts w:eastAsia="標楷體"/>
          <w:spacing w:val="4"/>
          <w:kern w:val="0"/>
          <w:sz w:val="28"/>
          <w:szCs w:val="26"/>
        </w:rPr>
        <w:t>性別不平等指數</w:t>
      </w:r>
      <w:r>
        <w:rPr>
          <w:rFonts w:ascii="標楷體" w:eastAsia="標楷體" w:hAnsi="標楷體"/>
          <w:spacing w:val="4"/>
          <w:kern w:val="0"/>
          <w:sz w:val="28"/>
          <w:szCs w:val="26"/>
        </w:rPr>
        <w:t>(</w:t>
      </w:r>
      <w:r>
        <w:rPr>
          <w:rFonts w:eastAsia="標楷體"/>
          <w:spacing w:val="4"/>
          <w:kern w:val="0"/>
          <w:sz w:val="28"/>
          <w:szCs w:val="26"/>
        </w:rPr>
        <w:t>Gender Inequality Index</w:t>
      </w:r>
      <w:r>
        <w:rPr>
          <w:rFonts w:eastAsia="標楷體"/>
          <w:spacing w:val="4"/>
          <w:kern w:val="0"/>
          <w:sz w:val="28"/>
          <w:szCs w:val="26"/>
        </w:rPr>
        <w:t>，簡稱</w:t>
      </w:r>
      <w:r>
        <w:rPr>
          <w:rFonts w:eastAsia="標楷體"/>
          <w:spacing w:val="4"/>
          <w:kern w:val="0"/>
          <w:sz w:val="28"/>
          <w:szCs w:val="26"/>
        </w:rPr>
        <w:t xml:space="preserve"> GII</w:t>
      </w:r>
      <w:r>
        <w:rPr>
          <w:rFonts w:ascii="標楷體" w:eastAsia="標楷體" w:hAnsi="標楷體"/>
          <w:spacing w:val="4"/>
          <w:kern w:val="0"/>
          <w:sz w:val="28"/>
          <w:szCs w:val="26"/>
        </w:rPr>
        <w:t>)</w:t>
      </w:r>
      <w:r>
        <w:rPr>
          <w:rFonts w:eastAsia="標楷體"/>
          <w:spacing w:val="4"/>
          <w:kern w:val="0"/>
          <w:sz w:val="28"/>
          <w:szCs w:val="26"/>
        </w:rPr>
        <w:t>評比結果，以比較世界各國</w:t>
      </w:r>
      <w:r>
        <w:rPr>
          <w:rFonts w:ascii="標楷體" w:eastAsia="標楷體" w:hAnsi="標楷體"/>
          <w:spacing w:val="4"/>
          <w:kern w:val="0"/>
          <w:sz w:val="28"/>
          <w:szCs w:val="26"/>
        </w:rPr>
        <w:t>(地區)</w:t>
      </w:r>
      <w:r>
        <w:rPr>
          <w:rFonts w:eastAsia="標楷體"/>
          <w:spacing w:val="4"/>
          <w:kern w:val="0"/>
          <w:sz w:val="28"/>
          <w:szCs w:val="26"/>
        </w:rPr>
        <w:t>在「生殖健康」、「賦權」與「勞動市場」三大面向，因性別不平等所造成的人類發展損失程度。為瞭解我國在國際間的水準，行政院主計總處參照該指數推算我國</w:t>
      </w:r>
      <w:r>
        <w:rPr>
          <w:rFonts w:eastAsia="標楷體"/>
          <w:spacing w:val="4"/>
          <w:kern w:val="0"/>
          <w:sz w:val="28"/>
          <w:szCs w:val="26"/>
        </w:rPr>
        <w:t>G</w:t>
      </w:r>
      <w:r>
        <w:rPr>
          <w:rFonts w:eastAsia="標楷體"/>
          <w:spacing w:val="6"/>
          <w:kern w:val="0"/>
          <w:sz w:val="28"/>
          <w:szCs w:val="26"/>
        </w:rPr>
        <w:t>II</w:t>
      </w:r>
      <w:r>
        <w:rPr>
          <w:rFonts w:eastAsia="標楷體"/>
          <w:spacing w:val="6"/>
          <w:kern w:val="0"/>
          <w:sz w:val="28"/>
          <w:szCs w:val="26"/>
        </w:rPr>
        <w:t>為</w:t>
      </w:r>
      <w:r>
        <w:rPr>
          <w:rFonts w:eastAsia="標楷體"/>
          <w:spacing w:val="6"/>
          <w:kern w:val="0"/>
          <w:sz w:val="28"/>
          <w:szCs w:val="26"/>
        </w:rPr>
        <w:t>0.061</w:t>
      </w:r>
      <w:r>
        <w:rPr>
          <w:rFonts w:eastAsia="標楷體"/>
          <w:spacing w:val="6"/>
          <w:kern w:val="0"/>
          <w:sz w:val="28"/>
          <w:szCs w:val="26"/>
        </w:rPr>
        <w:t>，排名全球第</w:t>
      </w:r>
      <w:r>
        <w:rPr>
          <w:rFonts w:eastAsia="標楷體"/>
          <w:spacing w:val="6"/>
          <w:kern w:val="0"/>
          <w:sz w:val="28"/>
          <w:szCs w:val="26"/>
        </w:rPr>
        <w:t>4</w:t>
      </w:r>
      <w:r>
        <w:rPr>
          <w:rFonts w:eastAsia="標楷體"/>
          <w:spacing w:val="6"/>
          <w:kern w:val="0"/>
          <w:sz w:val="28"/>
          <w:szCs w:val="26"/>
        </w:rPr>
        <w:t>，為亞洲</w:t>
      </w:r>
      <w:r>
        <w:rPr>
          <w:rFonts w:eastAsia="標楷體"/>
          <w:spacing w:val="4"/>
          <w:kern w:val="0"/>
          <w:sz w:val="28"/>
          <w:szCs w:val="26"/>
        </w:rPr>
        <w:t>之冠，明顯優於新加坡、南韓及日本。惟就我國</w:t>
      </w:r>
      <w:r>
        <w:rPr>
          <w:rFonts w:eastAsia="標楷體"/>
          <w:spacing w:val="4"/>
          <w:kern w:val="0"/>
          <w:sz w:val="28"/>
          <w:szCs w:val="26"/>
        </w:rPr>
        <w:t>100</w:t>
      </w:r>
      <w:r>
        <w:rPr>
          <w:rFonts w:ascii="標楷體" w:eastAsia="標楷體" w:hAnsi="標楷體"/>
          <w:spacing w:val="4"/>
          <w:kern w:val="0"/>
          <w:sz w:val="28"/>
          <w:szCs w:val="26"/>
        </w:rPr>
        <w:t>(學)</w:t>
      </w:r>
      <w:r>
        <w:rPr>
          <w:rFonts w:eastAsia="標楷體"/>
          <w:spacing w:val="4"/>
          <w:kern w:val="0"/>
          <w:sz w:val="28"/>
          <w:szCs w:val="26"/>
        </w:rPr>
        <w:t>年度在學碩、博士生女性比率、女性平均勞動參與率、女性在各行業受僱人數之平均薪資、通報之家庭暴力案件及性侵害案件中被害人為女性之比率等相關性別統計觀察，仍有進步空間。</w:t>
      </w:r>
    </w:p>
    <w:p w14:paraId="25B56982"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為顯示對性別平權之重視，以及與國際人權潮流接軌之決心，政府於</w:t>
      </w:r>
      <w:r>
        <w:rPr>
          <w:rFonts w:eastAsia="標楷體"/>
          <w:spacing w:val="4"/>
          <w:kern w:val="0"/>
          <w:sz w:val="28"/>
          <w:szCs w:val="26"/>
        </w:rPr>
        <w:t>101</w:t>
      </w:r>
      <w:r>
        <w:rPr>
          <w:rFonts w:eastAsia="標楷體"/>
          <w:spacing w:val="4"/>
          <w:kern w:val="0"/>
          <w:sz w:val="28"/>
          <w:szCs w:val="26"/>
        </w:rPr>
        <w:t>年</w:t>
      </w:r>
      <w:r>
        <w:rPr>
          <w:rFonts w:eastAsia="標楷體"/>
          <w:spacing w:val="4"/>
          <w:kern w:val="0"/>
          <w:sz w:val="28"/>
          <w:szCs w:val="26"/>
        </w:rPr>
        <w:t>1</w:t>
      </w:r>
      <w:r>
        <w:rPr>
          <w:rFonts w:eastAsia="標楷體"/>
          <w:spacing w:val="4"/>
          <w:kern w:val="0"/>
          <w:sz w:val="28"/>
          <w:szCs w:val="26"/>
        </w:rPr>
        <w:t>月</w:t>
      </w:r>
      <w:r>
        <w:rPr>
          <w:rFonts w:eastAsia="標楷體"/>
          <w:spacing w:val="4"/>
          <w:kern w:val="0"/>
          <w:sz w:val="28"/>
          <w:szCs w:val="26"/>
        </w:rPr>
        <w:t>1</w:t>
      </w:r>
      <w:r>
        <w:rPr>
          <w:rFonts w:eastAsia="標楷體"/>
          <w:spacing w:val="4"/>
          <w:kern w:val="0"/>
          <w:sz w:val="28"/>
          <w:szCs w:val="26"/>
        </w:rPr>
        <w:t>日公布施行「消除對婦女一切形式歧視公</w:t>
      </w:r>
      <w:r>
        <w:rPr>
          <w:rFonts w:ascii="標楷體" w:eastAsia="標楷體" w:hAnsi="標楷體"/>
          <w:spacing w:val="4"/>
          <w:kern w:val="0"/>
          <w:sz w:val="28"/>
          <w:szCs w:val="26"/>
        </w:rPr>
        <w:t>約(</w:t>
      </w:r>
      <w:r>
        <w:rPr>
          <w:rFonts w:eastAsia="標楷體"/>
          <w:spacing w:val="4"/>
          <w:kern w:val="0"/>
          <w:sz w:val="28"/>
          <w:szCs w:val="26"/>
        </w:rPr>
        <w:t>簡稱</w:t>
      </w:r>
      <w:r>
        <w:rPr>
          <w:rFonts w:eastAsia="標楷體"/>
          <w:spacing w:val="4"/>
          <w:kern w:val="0"/>
          <w:sz w:val="28"/>
          <w:szCs w:val="26"/>
        </w:rPr>
        <w:t>CEDAW</w:t>
      </w:r>
      <w:r>
        <w:rPr>
          <w:rFonts w:ascii="標楷體" w:eastAsia="標楷體" w:hAnsi="標楷體"/>
          <w:spacing w:val="4"/>
          <w:kern w:val="0"/>
          <w:sz w:val="28"/>
          <w:szCs w:val="26"/>
        </w:rPr>
        <w:t>)</w:t>
      </w:r>
      <w:r>
        <w:rPr>
          <w:rFonts w:eastAsia="標楷體"/>
          <w:spacing w:val="4"/>
          <w:kern w:val="0"/>
          <w:sz w:val="28"/>
          <w:szCs w:val="26"/>
        </w:rPr>
        <w:t>施行法」。此外，行政院於</w:t>
      </w:r>
      <w:r>
        <w:rPr>
          <w:rFonts w:eastAsia="標楷體"/>
          <w:spacing w:val="4"/>
          <w:kern w:val="0"/>
          <w:sz w:val="28"/>
          <w:szCs w:val="26"/>
        </w:rPr>
        <w:t>100</w:t>
      </w:r>
      <w:r>
        <w:rPr>
          <w:rFonts w:eastAsia="標楷體"/>
          <w:spacing w:val="4"/>
          <w:kern w:val="0"/>
          <w:sz w:val="28"/>
          <w:szCs w:val="26"/>
        </w:rPr>
        <w:t>年</w:t>
      </w:r>
      <w:r>
        <w:rPr>
          <w:rFonts w:eastAsia="標楷體"/>
          <w:spacing w:val="4"/>
          <w:kern w:val="0"/>
          <w:sz w:val="28"/>
          <w:szCs w:val="26"/>
        </w:rPr>
        <w:t>12</w:t>
      </w:r>
      <w:r>
        <w:rPr>
          <w:rFonts w:eastAsia="標楷體"/>
          <w:spacing w:val="4"/>
          <w:kern w:val="0"/>
          <w:sz w:val="28"/>
          <w:szCs w:val="26"/>
        </w:rPr>
        <w:t>月</w:t>
      </w:r>
      <w:r>
        <w:rPr>
          <w:rFonts w:eastAsia="標楷體"/>
          <w:spacing w:val="4"/>
          <w:kern w:val="0"/>
          <w:sz w:val="28"/>
          <w:szCs w:val="26"/>
        </w:rPr>
        <w:t>19</w:t>
      </w:r>
      <w:r>
        <w:rPr>
          <w:rFonts w:eastAsia="標楷體"/>
          <w:spacing w:val="4"/>
          <w:kern w:val="0"/>
          <w:sz w:val="28"/>
          <w:szCs w:val="26"/>
        </w:rPr>
        <w:t>日頒布「性別平等政策綱領」，揭示中央政府機關為達到性別平等施政所應完成之各項具體行動措施，並於</w:t>
      </w:r>
      <w:r>
        <w:rPr>
          <w:rFonts w:eastAsia="標楷體"/>
          <w:spacing w:val="4"/>
          <w:kern w:val="0"/>
          <w:sz w:val="28"/>
          <w:szCs w:val="26"/>
        </w:rPr>
        <w:t>101</w:t>
      </w:r>
      <w:r>
        <w:rPr>
          <w:rFonts w:eastAsia="標楷體"/>
          <w:spacing w:val="4"/>
          <w:kern w:val="0"/>
          <w:sz w:val="28"/>
          <w:szCs w:val="26"/>
        </w:rPr>
        <w:t>年成立「性別平等處」，統籌性別平等政策。</w:t>
      </w:r>
    </w:p>
    <w:p w14:paraId="3B9D74A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12" w:lineRule="exact"/>
        <w:ind w:left="-72" w:firstLine="576"/>
        <w:jc w:val="both"/>
        <w:textAlignment w:val="center"/>
        <w:rPr>
          <w:rFonts w:eastAsia="標楷體"/>
          <w:spacing w:val="4"/>
          <w:kern w:val="0"/>
          <w:sz w:val="28"/>
          <w:szCs w:val="26"/>
        </w:rPr>
      </w:pPr>
      <w:r>
        <w:rPr>
          <w:rFonts w:eastAsia="標楷體"/>
          <w:spacing w:val="4"/>
          <w:kern w:val="0"/>
          <w:sz w:val="28"/>
          <w:szCs w:val="26"/>
        </w:rPr>
        <w:t>未來四年，政府將賡續推動及落實「性別平等政策綱領」，依</w:t>
      </w:r>
      <w:r>
        <w:rPr>
          <w:rFonts w:eastAsia="標楷體"/>
          <w:spacing w:val="4"/>
          <w:kern w:val="0"/>
          <w:sz w:val="28"/>
          <w:szCs w:val="26"/>
        </w:rPr>
        <w:t>CEDAW</w:t>
      </w:r>
      <w:r>
        <w:rPr>
          <w:rFonts w:eastAsia="標楷體"/>
          <w:spacing w:val="4"/>
          <w:kern w:val="0"/>
          <w:sz w:val="28"/>
          <w:szCs w:val="26"/>
        </w:rPr>
        <w:t>施行法規定，完成全國法規檢視及編纂國家報告，引領政策及各項施政融入性別平等之價值理念；培力婦女及性別團體等非政府組織參與公共事務及國際活動，建構尊重多元性別認同之友善社會。</w:t>
      </w:r>
    </w:p>
    <w:p w14:paraId="2291D02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12"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4EEBA164"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提升婦女權益，消除性別歧視，打造一個性別平等共治、共享、共贏的永續社會。</w:t>
      </w:r>
    </w:p>
    <w:p w14:paraId="409B53C4"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792" w:hanging="576"/>
        <w:jc w:val="both"/>
        <w:textAlignment w:val="center"/>
      </w:pPr>
      <w:r>
        <w:rPr>
          <w:rFonts w:ascii="標楷體" w:eastAsia="標楷體" w:hAnsi="標楷體"/>
          <w:spacing w:val="4"/>
          <w:kern w:val="0"/>
          <w:sz w:val="28"/>
          <w:szCs w:val="22"/>
        </w:rPr>
        <w:t>(二)</w:t>
      </w:r>
      <w:r>
        <w:rPr>
          <w:rFonts w:eastAsia="標楷體"/>
          <w:spacing w:val="2"/>
          <w:kern w:val="0"/>
          <w:sz w:val="28"/>
          <w:szCs w:val="22"/>
        </w:rPr>
        <w:t>落實性別主流化理念，使政府一切施政皆能符合性別平等原則。</w:t>
      </w:r>
    </w:p>
    <w:p w14:paraId="21E96943"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確保臺灣在國際性別評比中，居於亞洲各國領先地位。</w:t>
      </w:r>
    </w:p>
    <w:p w14:paraId="1277E7C4"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12"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1D02F511"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792" w:hanging="576"/>
        <w:jc w:val="both"/>
        <w:textAlignment w:val="center"/>
      </w:pPr>
      <w:r>
        <w:rPr>
          <w:rFonts w:ascii="標楷體" w:eastAsia="標楷體" w:hAnsi="標楷體"/>
          <w:spacing w:val="4"/>
          <w:kern w:val="0"/>
          <w:sz w:val="28"/>
          <w:szCs w:val="22"/>
        </w:rPr>
        <w:lastRenderedPageBreak/>
        <w:t>(一)</w:t>
      </w:r>
      <w:r>
        <w:rPr>
          <w:rFonts w:eastAsia="標楷體"/>
          <w:spacing w:val="4"/>
          <w:kern w:val="0"/>
          <w:sz w:val="28"/>
          <w:szCs w:val="22"/>
        </w:rPr>
        <w:t>引領政策及各項施政融入性別平等之價值理念</w:t>
      </w:r>
    </w:p>
    <w:p w14:paraId="15803CC2"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推動及落實「性別平等政策綱領」各項具體行動措施</w:t>
      </w:r>
    </w:p>
    <w:p w14:paraId="73A79F10"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性別平等政策綱領」揭示「權力、決策與影響力」、「就業、經濟與福利」、「人口、婚姻與家庭」、「教育、文化與媒體」、「人身安全與司法」、「健康、醫療與照顧」、「環境、能源與科技」等七大政策領域，計</w:t>
      </w:r>
      <w:r>
        <w:rPr>
          <w:rFonts w:eastAsia="標楷體"/>
          <w:spacing w:val="4"/>
          <w:kern w:val="0"/>
          <w:sz w:val="28"/>
          <w:szCs w:val="22"/>
        </w:rPr>
        <w:t>245</w:t>
      </w:r>
      <w:r>
        <w:rPr>
          <w:rFonts w:eastAsia="標楷體"/>
          <w:spacing w:val="4"/>
          <w:kern w:val="0"/>
          <w:sz w:val="28"/>
          <w:szCs w:val="22"/>
        </w:rPr>
        <w:t>項具體行動措施。</w:t>
      </w:r>
    </w:p>
    <w:p w14:paraId="008E18AF"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各部會定期填報前揭各項具體行動措施之辦理情形，並透過行政院性別平等會分工小組會議、會前協商會議及委員會議審查及監督。</w:t>
      </w:r>
    </w:p>
    <w:p w14:paraId="6655AC64"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藉由滾動式修正，更加完備「性別平等政策綱領」各項具體行動措施之內容、更為精進推動落實情形。</w:t>
      </w:r>
    </w:p>
    <w:p w14:paraId="7FC368B8"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依</w:t>
      </w:r>
      <w:r>
        <w:rPr>
          <w:rFonts w:eastAsia="標楷體"/>
          <w:spacing w:val="4"/>
          <w:kern w:val="0"/>
          <w:sz w:val="28"/>
          <w:szCs w:val="26"/>
        </w:rPr>
        <w:t>CEDAW</w:t>
      </w:r>
      <w:r>
        <w:rPr>
          <w:rFonts w:eastAsia="標楷體"/>
          <w:spacing w:val="4"/>
          <w:kern w:val="0"/>
          <w:sz w:val="28"/>
          <w:szCs w:val="26"/>
        </w:rPr>
        <w:t>施行法規定，完成全國法規檢視及編纂國家報告等工作事宜</w:t>
      </w:r>
    </w:p>
    <w:p w14:paraId="069551D5"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依</w:t>
      </w:r>
      <w:r>
        <w:rPr>
          <w:rFonts w:eastAsia="標楷體"/>
          <w:spacing w:val="4"/>
          <w:kern w:val="0"/>
          <w:sz w:val="28"/>
          <w:szCs w:val="22"/>
        </w:rPr>
        <w:t>CEDAW</w:t>
      </w:r>
      <w:r>
        <w:rPr>
          <w:rFonts w:eastAsia="標楷體"/>
          <w:spacing w:val="4"/>
          <w:kern w:val="0"/>
          <w:sz w:val="28"/>
          <w:szCs w:val="22"/>
        </w:rPr>
        <w:t>施行法第</w:t>
      </w:r>
      <w:r>
        <w:rPr>
          <w:rFonts w:eastAsia="標楷體"/>
          <w:spacing w:val="4"/>
          <w:kern w:val="0"/>
          <w:sz w:val="28"/>
          <w:szCs w:val="22"/>
        </w:rPr>
        <w:t>8</w:t>
      </w:r>
      <w:r>
        <w:rPr>
          <w:rFonts w:eastAsia="標楷體"/>
          <w:spacing w:val="4"/>
          <w:kern w:val="0"/>
          <w:sz w:val="28"/>
          <w:szCs w:val="22"/>
        </w:rPr>
        <w:t>條規定，各級政府機關於</w:t>
      </w:r>
      <w:r>
        <w:rPr>
          <w:rFonts w:eastAsia="標楷體"/>
          <w:spacing w:val="4"/>
          <w:kern w:val="0"/>
          <w:sz w:val="28"/>
          <w:szCs w:val="22"/>
        </w:rPr>
        <w:t>102</w:t>
      </w:r>
      <w:r>
        <w:rPr>
          <w:rFonts w:eastAsia="標楷體"/>
          <w:spacing w:val="4"/>
          <w:kern w:val="0"/>
          <w:sz w:val="28"/>
          <w:szCs w:val="22"/>
        </w:rPr>
        <w:t>年底前，檢視業管法規及行政措施是否符合</w:t>
      </w:r>
      <w:r>
        <w:rPr>
          <w:rFonts w:eastAsia="標楷體"/>
          <w:spacing w:val="4"/>
          <w:kern w:val="0"/>
          <w:sz w:val="28"/>
          <w:szCs w:val="22"/>
        </w:rPr>
        <w:t>CEDAW</w:t>
      </w:r>
      <w:r>
        <w:rPr>
          <w:rFonts w:eastAsia="標楷體"/>
          <w:spacing w:val="4"/>
          <w:kern w:val="0"/>
          <w:sz w:val="28"/>
          <w:szCs w:val="22"/>
        </w:rPr>
        <w:t>規定之內容，完成法規之制定、修正或廢止等事宜。</w:t>
      </w:r>
    </w:p>
    <w:p w14:paraId="29711CF1" w14:textId="77777777" w:rsidR="00052596" w:rsidRDefault="00000000">
      <w:pPr>
        <w:tabs>
          <w:tab w:val="left" w:pos="960"/>
          <w:tab w:val="left" w:pos="1920"/>
          <w:tab w:val="left" w:pos="2880"/>
          <w:tab w:val="left" w:pos="3840"/>
          <w:tab w:val="left" w:pos="4800"/>
          <w:tab w:val="left" w:pos="5760"/>
        </w:tabs>
        <w:overflowPunct w:val="0"/>
        <w:autoSpaceDE w:val="0"/>
        <w:spacing w:line="412"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依</w:t>
      </w:r>
      <w:r>
        <w:rPr>
          <w:rFonts w:eastAsia="標楷體"/>
          <w:spacing w:val="4"/>
          <w:kern w:val="0"/>
          <w:sz w:val="28"/>
          <w:szCs w:val="22"/>
        </w:rPr>
        <w:t>CEDAW</w:t>
      </w:r>
      <w:r>
        <w:rPr>
          <w:rFonts w:eastAsia="標楷體"/>
          <w:spacing w:val="4"/>
          <w:kern w:val="0"/>
          <w:sz w:val="28"/>
          <w:szCs w:val="22"/>
        </w:rPr>
        <w:t>施行法第</w:t>
      </w:r>
      <w:r>
        <w:rPr>
          <w:rFonts w:eastAsia="標楷體"/>
          <w:spacing w:val="4"/>
          <w:kern w:val="0"/>
          <w:sz w:val="28"/>
          <w:szCs w:val="22"/>
        </w:rPr>
        <w:t>6</w:t>
      </w:r>
      <w:r>
        <w:rPr>
          <w:rFonts w:eastAsia="標楷體"/>
          <w:spacing w:val="4"/>
          <w:kern w:val="0"/>
          <w:sz w:val="28"/>
          <w:szCs w:val="22"/>
        </w:rPr>
        <w:t>條規定，辦理國家報告撰寫人員訓練、編纂報告、意見收集及國內外專家審閱等工作，預計於</w:t>
      </w:r>
      <w:r>
        <w:rPr>
          <w:rFonts w:eastAsia="標楷體"/>
          <w:spacing w:val="4"/>
          <w:kern w:val="0"/>
          <w:sz w:val="28"/>
          <w:szCs w:val="22"/>
        </w:rPr>
        <w:t>103</w:t>
      </w:r>
      <w:r>
        <w:rPr>
          <w:rFonts w:eastAsia="標楷體"/>
          <w:spacing w:val="4"/>
          <w:kern w:val="0"/>
          <w:sz w:val="28"/>
          <w:szCs w:val="22"/>
        </w:rPr>
        <w:t>年</w:t>
      </w:r>
      <w:r>
        <w:rPr>
          <w:rFonts w:eastAsia="標楷體"/>
          <w:spacing w:val="4"/>
          <w:kern w:val="0"/>
          <w:sz w:val="28"/>
          <w:szCs w:val="22"/>
        </w:rPr>
        <w:t>5</w:t>
      </w:r>
      <w:r>
        <w:rPr>
          <w:rFonts w:eastAsia="標楷體"/>
          <w:spacing w:val="4"/>
          <w:kern w:val="0"/>
          <w:sz w:val="28"/>
          <w:szCs w:val="22"/>
        </w:rPr>
        <w:t>月發表國家報告。</w:t>
      </w:r>
    </w:p>
    <w:p w14:paraId="737004B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)補</w:t>
      </w:r>
      <w:r>
        <w:rPr>
          <w:rFonts w:eastAsia="標楷體"/>
          <w:spacing w:val="4"/>
          <w:kern w:val="0"/>
          <w:sz w:val="28"/>
          <w:szCs w:val="22"/>
        </w:rPr>
        <w:t>助民間團體辦理</w:t>
      </w:r>
      <w:r>
        <w:rPr>
          <w:rFonts w:eastAsia="標楷體"/>
          <w:spacing w:val="4"/>
          <w:kern w:val="0"/>
          <w:sz w:val="28"/>
          <w:szCs w:val="22"/>
        </w:rPr>
        <w:t>CEDAW</w:t>
      </w:r>
      <w:r>
        <w:rPr>
          <w:rFonts w:eastAsia="標楷體"/>
          <w:spacing w:val="4"/>
          <w:kern w:val="0"/>
          <w:sz w:val="28"/>
          <w:szCs w:val="22"/>
        </w:rPr>
        <w:t>訓練課程及撰寫替</w:t>
      </w:r>
      <w:r>
        <w:rPr>
          <w:rFonts w:ascii="標楷體" w:eastAsia="標楷體" w:hAnsi="標楷體"/>
          <w:spacing w:val="4"/>
          <w:kern w:val="0"/>
          <w:sz w:val="28"/>
          <w:szCs w:val="22"/>
        </w:rPr>
        <w:t>代(影子)</w:t>
      </w:r>
      <w:r>
        <w:rPr>
          <w:rFonts w:eastAsia="標楷體"/>
          <w:spacing w:val="4"/>
          <w:kern w:val="0"/>
          <w:sz w:val="28"/>
          <w:szCs w:val="22"/>
        </w:rPr>
        <w:t>報告。</w:t>
      </w:r>
    </w:p>
    <w:p w14:paraId="2B72D9E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研發性別主流化之各項工具，推動各部會及地方行政機關性別主流化各項工作</w:t>
      </w:r>
    </w:p>
    <w:p w14:paraId="701DFD2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修</w:t>
      </w:r>
      <w:r>
        <w:rPr>
          <w:rFonts w:eastAsia="標楷體"/>
          <w:spacing w:val="6"/>
          <w:kern w:val="0"/>
          <w:sz w:val="28"/>
          <w:szCs w:val="22"/>
        </w:rPr>
        <w:t>訂「行政院各部會辦理性別主流化實施計畫」，持</w:t>
      </w:r>
      <w:r>
        <w:rPr>
          <w:rFonts w:eastAsia="標楷體"/>
          <w:spacing w:val="4"/>
          <w:kern w:val="0"/>
          <w:sz w:val="28"/>
          <w:szCs w:val="22"/>
        </w:rPr>
        <w:t>續推動各部會辦理各項性別主流化工作，精進性別影響評估制度。</w:t>
      </w:r>
    </w:p>
    <w:p w14:paraId="4986C97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規劃及建置國內外性別人才資料庫、性別統計資料庫及性別影響評估資源平臺，以完備各項性別主流化工具。</w:t>
      </w:r>
    </w:p>
    <w:p w14:paraId="52ECC34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)辦</w:t>
      </w:r>
      <w:r>
        <w:rPr>
          <w:rFonts w:eastAsia="標楷體"/>
          <w:spacing w:val="4"/>
          <w:kern w:val="0"/>
          <w:sz w:val="28"/>
          <w:szCs w:val="22"/>
        </w:rPr>
        <w:t>理地方政府高階主管性別主流化訓練，提升性別意識、強化對各項施政之性別敏感度。</w:t>
      </w:r>
    </w:p>
    <w:p w14:paraId="600D940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獎勵及表揚推動性別主流化有卓越成效之行政機關。</w:t>
      </w:r>
    </w:p>
    <w:p w14:paraId="03F5953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培力婦女及性別團體等非政府組織參與公共事務及國際活動</w:t>
      </w:r>
    </w:p>
    <w:p w14:paraId="7F69EDF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厚植各地方婦女及性別團體之倡議能力及參與公共事務</w:t>
      </w:r>
    </w:p>
    <w:p w14:paraId="1DDB032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針對各地婦女權益促進委員會之民間委員及婦女、性別團體代表，規劃辦理相關培力活動，強化於相關性別議題之倡議能量。</w:t>
      </w:r>
    </w:p>
    <w:p w14:paraId="7614FB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研議規劃或補助辦理地方政府婦女權益促進委員會之議事運作與議題形塑相關教育訓練活動。</w:t>
      </w:r>
    </w:p>
    <w:p w14:paraId="1DF04D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強化地方政府婦女權益促進委員會之民間委員積極參與</w:t>
      </w:r>
      <w:r>
        <w:rPr>
          <w:rFonts w:eastAsia="標楷體"/>
          <w:spacing w:val="4"/>
          <w:kern w:val="0"/>
          <w:sz w:val="28"/>
          <w:szCs w:val="22"/>
        </w:rPr>
        <w:t>CEDAW</w:t>
      </w:r>
      <w:r>
        <w:rPr>
          <w:rFonts w:eastAsia="標楷體"/>
          <w:spacing w:val="4"/>
          <w:kern w:val="0"/>
          <w:sz w:val="28"/>
          <w:szCs w:val="22"/>
        </w:rPr>
        <w:t>法規檢視之相關工作。</w:t>
      </w:r>
    </w:p>
    <w:p w14:paraId="26C7288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促進民間婦女、性別團體參與國際活動，提升我國性別平權工作之國際能見度。</w:t>
      </w:r>
    </w:p>
    <w:p w14:paraId="416BBFD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補助民間團體辦理培育婦女國際參與計畫，培力我國婦女參與國際活動並推廣在地經驗。</w:t>
      </w:r>
    </w:p>
    <w:p w14:paraId="5DAB059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)積</w:t>
      </w:r>
      <w:r>
        <w:rPr>
          <w:rFonts w:eastAsia="標楷體"/>
          <w:spacing w:val="4"/>
          <w:kern w:val="0"/>
          <w:sz w:val="28"/>
          <w:szCs w:val="22"/>
        </w:rPr>
        <w:t>極協助及補助國內婦女、性別團體參與聯合國體系及各類重要之國際組織、會議與活動，增進與國際社群之聯繫，藉以吸收國際經驗，並宣揚我國在性別平等工作上之努力。</w:t>
      </w:r>
    </w:p>
    <w:p w14:paraId="0502B9C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鼓勵我國優秀女性進入國際組織，使國際組織重視我國女性之專業長才，提升我國女性之國際能見度。</w:t>
      </w:r>
    </w:p>
    <w:p w14:paraId="549D5F5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營造女性幸福之生活、學習、工作及就醫環境</w:t>
      </w:r>
    </w:p>
    <w:p w14:paraId="3460070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鼓勵規劃及提供符合女性需求之課程與活動</w:t>
      </w:r>
    </w:p>
    <w:p w14:paraId="62F9FFF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考量不同生命週期女性之需求，規劃發展在地化、社區化之社會教育課程及休閒文康活動。</w:t>
      </w:r>
    </w:p>
    <w:p w14:paraId="2BDC921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鼓勵民間團體舉辦有關女性生命經驗之文藝及影音活動。</w:t>
      </w:r>
    </w:p>
    <w:p w14:paraId="47DCAE5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調查女性運動狀況，持續宣導及鼓勵女性參與各類體育活動、賽事，研擬強化女性投入各項運動相關機制。</w:t>
      </w:r>
    </w:p>
    <w:p w14:paraId="7819AF8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活化閒置空間，提升女性於各類場館之利用</w:t>
      </w:r>
    </w:p>
    <w:p w14:paraId="0C6F990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加強清查公共設施之閒置空間，積極輔導各部會將轄管</w:t>
      </w:r>
      <w:r>
        <w:rPr>
          <w:rFonts w:eastAsia="標楷體"/>
          <w:spacing w:val="4"/>
          <w:kern w:val="0"/>
          <w:sz w:val="28"/>
          <w:szCs w:val="22"/>
        </w:rPr>
        <w:lastRenderedPageBreak/>
        <w:t>之國有閒置空間或時段，提供女性休閒或學習使用。</w:t>
      </w:r>
    </w:p>
    <w:p w14:paraId="304F34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結合地方政府活化閒置空間，規劃以女性生命經驗為主體且適合女性使用之空間及設施。</w:t>
      </w:r>
    </w:p>
    <w:p w14:paraId="699C30D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持續宣導各類場館之設施符合女性使用之需求，並規劃提升女性使用率之相關</w:t>
      </w:r>
      <w:r>
        <w:rPr>
          <w:rFonts w:ascii="標楷體" w:eastAsia="標楷體" w:hAnsi="標楷體"/>
          <w:spacing w:val="4"/>
          <w:kern w:val="0"/>
          <w:sz w:val="28"/>
          <w:szCs w:val="22"/>
        </w:rPr>
        <w:t>獎(補)助措</w:t>
      </w:r>
      <w:r>
        <w:rPr>
          <w:rFonts w:eastAsia="標楷體"/>
          <w:spacing w:val="4"/>
          <w:kern w:val="0"/>
          <w:sz w:val="28"/>
          <w:szCs w:val="22"/>
        </w:rPr>
        <w:t>施。</w:t>
      </w:r>
    </w:p>
    <w:p w14:paraId="280A74C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強化女性科技運用能力，弭平性別數位落差</w:t>
      </w:r>
    </w:p>
    <w:p w14:paraId="342E095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)辦</w:t>
      </w:r>
      <w:r>
        <w:rPr>
          <w:rFonts w:eastAsia="標楷體"/>
          <w:spacing w:val="4"/>
          <w:kern w:val="0"/>
          <w:sz w:val="28"/>
          <w:szCs w:val="22"/>
        </w:rPr>
        <w:t>理數位機會調查工作，將調查結果提供行政院「深耕數位關懷計畫」之推動機關研擬政策。</w:t>
      </w:r>
    </w:p>
    <w:p w14:paraId="6529711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辦理「提升弱勢族群數位運用能力暨充實設備計畫」，補助民間團體辦理相關資訊教育訓練課程，強化女性科技運用能力。</w:t>
      </w:r>
    </w:p>
    <w:p w14:paraId="01E5B1A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持續向相關部會宣導，積極規劃強化女性資訊運用能力之相關輔導措施或計畫。</w:t>
      </w:r>
    </w:p>
    <w:p w14:paraId="63DCB25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打造平等友善之工作環境及強化企業社會責任</w:t>
      </w:r>
    </w:p>
    <w:p w14:paraId="24B1FA8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)加</w:t>
      </w:r>
      <w:r>
        <w:rPr>
          <w:rFonts w:eastAsia="標楷體"/>
          <w:spacing w:val="4"/>
          <w:kern w:val="0"/>
          <w:sz w:val="28"/>
          <w:szCs w:val="22"/>
        </w:rPr>
        <w:t>強宣導「性別工作平等法」等有關職場性別平等之規定。</w:t>
      </w:r>
    </w:p>
    <w:p w14:paraId="5AE454B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透過舉辦企業社會責任之宣導活動，推廣性別平等之相關理念，鼓勵企業營造友善之職場文化與環境。</w:t>
      </w:r>
    </w:p>
    <w:p w14:paraId="04921A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持續向事業單位宣導建構友善女性之工作環境及勞動條件，並辦理具性別平等觀念之員工教育訓練課程及員工協助方案。</w:t>
      </w:r>
    </w:p>
    <w:p w14:paraId="73FFADA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)獎</w:t>
      </w:r>
      <w:r>
        <w:rPr>
          <w:rFonts w:eastAsia="標楷體"/>
          <w:spacing w:val="4"/>
          <w:kern w:val="0"/>
          <w:sz w:val="28"/>
          <w:szCs w:val="22"/>
        </w:rPr>
        <w:t>勵或表揚推廣友善職場及宣導性別平等之績優企業。</w:t>
      </w:r>
    </w:p>
    <w:p w14:paraId="32B5126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5.</w:t>
      </w:r>
      <w:r>
        <w:rPr>
          <w:rFonts w:eastAsia="標楷體"/>
          <w:spacing w:val="4"/>
          <w:kern w:val="0"/>
          <w:sz w:val="28"/>
          <w:szCs w:val="26"/>
        </w:rPr>
        <w:t>加速建立整合性門診服務，降低女性延遲就診機率</w:t>
      </w:r>
    </w:p>
    <w:p w14:paraId="6790625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)責</w:t>
      </w:r>
      <w:r>
        <w:rPr>
          <w:rFonts w:eastAsia="標楷體"/>
          <w:spacing w:val="4"/>
          <w:kern w:val="0"/>
          <w:sz w:val="28"/>
          <w:szCs w:val="22"/>
        </w:rPr>
        <w:t>成全國公立醫院針對女性常見疾病，於</w:t>
      </w:r>
      <w:r>
        <w:rPr>
          <w:rFonts w:eastAsia="標楷體"/>
          <w:spacing w:val="4"/>
          <w:kern w:val="0"/>
          <w:sz w:val="28"/>
          <w:szCs w:val="22"/>
        </w:rPr>
        <w:t>105</w:t>
      </w:r>
      <w:r>
        <w:rPr>
          <w:rFonts w:eastAsia="標楷體"/>
          <w:spacing w:val="4"/>
          <w:kern w:val="0"/>
          <w:sz w:val="28"/>
          <w:szCs w:val="22"/>
        </w:rPr>
        <w:t>年前完成設立友善女性之整合性門診服務，並納入醫院評鑑項目。</w:t>
      </w:r>
    </w:p>
    <w:p w14:paraId="291AA5A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eastAsia="標楷體"/>
          <w:spacing w:val="4"/>
          <w:kern w:val="0"/>
          <w:sz w:val="28"/>
          <w:szCs w:val="22"/>
        </w:rPr>
        <w:t>透過媒體、醫院及衛生</w:t>
      </w:r>
      <w:r>
        <w:rPr>
          <w:rFonts w:ascii="標楷體" w:eastAsia="標楷體" w:hAnsi="標楷體"/>
          <w:spacing w:val="4"/>
          <w:kern w:val="0"/>
          <w:sz w:val="28"/>
          <w:szCs w:val="22"/>
        </w:rPr>
        <w:t>局(所)等</w:t>
      </w:r>
      <w:r>
        <w:rPr>
          <w:rFonts w:eastAsia="標楷體"/>
          <w:spacing w:val="4"/>
          <w:kern w:val="0"/>
          <w:sz w:val="28"/>
          <w:szCs w:val="22"/>
        </w:rPr>
        <w:t>，針對年輕女性好發癌症，加強宣導遠離癌症危險因子及癌症篩檢之重要性，以預防並及早治療。</w:t>
      </w:r>
    </w:p>
    <w:p w14:paraId="7E5130D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)針</w:t>
      </w:r>
      <w:r>
        <w:rPr>
          <w:rFonts w:eastAsia="標楷體"/>
          <w:spacing w:val="4"/>
          <w:kern w:val="0"/>
          <w:sz w:val="28"/>
          <w:szCs w:val="22"/>
        </w:rPr>
        <w:t>對女性癌症篩檢需要及女性健康風險因素召開相關會議，持續檢討改善篩檢政策。</w:t>
      </w:r>
    </w:p>
    <w:p w14:paraId="0BCC4F2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lastRenderedPageBreak/>
        <w:t>(四)</w:t>
      </w:r>
      <w:r>
        <w:rPr>
          <w:rFonts w:eastAsia="標楷體"/>
          <w:spacing w:val="4"/>
          <w:kern w:val="0"/>
          <w:sz w:val="28"/>
          <w:szCs w:val="22"/>
        </w:rPr>
        <w:t>積極預防性別暴力並健全受害人之保護機制</w:t>
      </w:r>
    </w:p>
    <w:p w14:paraId="3806308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充實性別暴力防治工作之本土化知識體系</w:t>
      </w:r>
    </w:p>
    <w:p w14:paraId="607FF02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持續收集各國性別暴力防治議題之政策措施、研究報告及統計等資料，提供社會大眾及研究社群使用。</w:t>
      </w:r>
    </w:p>
    <w:p w14:paraId="272CC47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針對我國性別暴力議題、重要案例及相關法規適用疑義，辦理相關研討會，充實及建</w:t>
      </w:r>
      <w:r>
        <w:rPr>
          <w:rFonts w:eastAsia="標楷體"/>
          <w:spacing w:val="6"/>
          <w:kern w:val="0"/>
          <w:sz w:val="28"/>
          <w:szCs w:val="22"/>
        </w:rPr>
        <w:t>構國內性別暴力防治之知識體</w:t>
      </w:r>
      <w:r>
        <w:rPr>
          <w:rFonts w:eastAsia="標楷體"/>
          <w:spacing w:val="4"/>
          <w:kern w:val="0"/>
          <w:sz w:val="28"/>
          <w:szCs w:val="22"/>
        </w:rPr>
        <w:t>系。</w:t>
      </w:r>
    </w:p>
    <w:p w14:paraId="7B7AAB5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發展性騷擾申訴及調查事件檢核表，確保申訴調查案件程序正義。</w:t>
      </w:r>
    </w:p>
    <w:p w14:paraId="2C0C818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凝聚社會大眾反性別暴力之力量</w:t>
      </w:r>
    </w:p>
    <w:p w14:paraId="76D1C5D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持續充實「反性別暴力資源網」，並透過多元媒體及不同管道向社會大眾宣導，共同參與反性別暴力。</w:t>
      </w:r>
    </w:p>
    <w:p w14:paraId="689F08D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針對不同族群研發製作符合需求之家庭暴力、性侵害及性騷擾防治之教育宣導品。</w:t>
      </w:r>
    </w:p>
    <w:p w14:paraId="382219C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)獎</w:t>
      </w:r>
      <w:r>
        <w:rPr>
          <w:rFonts w:eastAsia="標楷體"/>
          <w:spacing w:val="4"/>
          <w:kern w:val="0"/>
          <w:sz w:val="28"/>
          <w:szCs w:val="22"/>
        </w:rPr>
        <w:t>勵或補助民間團體、社區、企業辦理反性別暴力教育宣導活動。</w:t>
      </w:r>
    </w:p>
    <w:p w14:paraId="0F430D8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建構整合性、可近性、以受害人為中心之保護服務體系</w:t>
      </w:r>
    </w:p>
    <w:p w14:paraId="1A6ADD0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強化參與家庭暴力、性侵害及性騷擾防治工作人員之專業訓練，釐定訓練課程標準，並建立專業認證及督導制度。</w:t>
      </w:r>
    </w:p>
    <w:p w14:paraId="10ADCEA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)針</w:t>
      </w:r>
      <w:r>
        <w:rPr>
          <w:rFonts w:eastAsia="標楷體"/>
          <w:spacing w:val="4"/>
          <w:kern w:val="0"/>
          <w:sz w:val="28"/>
          <w:szCs w:val="22"/>
        </w:rPr>
        <w:t>對原住民族、新移民、同志伴侶等多元族群之被害人，發展家庭暴力及性侵害多元處遇模式。</w:t>
      </w:r>
    </w:p>
    <w:p w14:paraId="76DD9B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)推</w:t>
      </w:r>
      <w:r>
        <w:rPr>
          <w:rFonts w:eastAsia="標楷體"/>
          <w:spacing w:val="4"/>
          <w:kern w:val="0"/>
          <w:sz w:val="28"/>
          <w:szCs w:val="22"/>
        </w:rPr>
        <w:t>動地方政府發展多元化之庇護安置服務方案，及規劃</w:t>
      </w:r>
      <w:r>
        <w:rPr>
          <w:rFonts w:eastAsia="標楷體"/>
          <w:spacing w:val="4"/>
          <w:kern w:val="0"/>
          <w:sz w:val="28"/>
          <w:szCs w:val="22"/>
        </w:rPr>
        <w:t>3</w:t>
      </w:r>
      <w:r>
        <w:rPr>
          <w:rFonts w:eastAsia="標楷體"/>
          <w:spacing w:val="4"/>
          <w:kern w:val="0"/>
          <w:sz w:val="28"/>
          <w:szCs w:val="22"/>
        </w:rPr>
        <w:t>個月以上中長期之庇護安置資源及處所。</w:t>
      </w:r>
    </w:p>
    <w:p w14:paraId="2E9919F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6"/>
        </w:rPr>
        <w:t>針對性別暴力受害者之需求，進行跨專業人力及跨領域資源之整合，推動建立友善受害者之司法環境。</w:t>
      </w:r>
    </w:p>
    <w:p w14:paraId="428642E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推動企業參與反性別暴力</w:t>
      </w:r>
    </w:p>
    <w:p w14:paraId="33C1121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)研</w:t>
      </w:r>
      <w:r>
        <w:rPr>
          <w:rFonts w:eastAsia="標楷體"/>
          <w:spacing w:val="4"/>
          <w:kern w:val="0"/>
          <w:sz w:val="28"/>
          <w:szCs w:val="22"/>
        </w:rPr>
        <w:t>議修正「勞工安全衛生法」，增訂雇主對勞工執行職務，因他人行為遭受身體或精神不法侵害，應妥為規劃並採取必要之職場暴力預防措施。</w:t>
      </w:r>
    </w:p>
    <w:p w14:paraId="10DF364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6"/>
          <w:kern w:val="0"/>
          <w:sz w:val="28"/>
          <w:szCs w:val="22"/>
        </w:rPr>
        <w:t>持續透過企業社會責任宣導活動，鼓勵企業參與反性別暴力</w:t>
      </w:r>
      <w:r>
        <w:rPr>
          <w:rFonts w:eastAsia="標楷體"/>
          <w:spacing w:val="4"/>
          <w:kern w:val="0"/>
          <w:sz w:val="28"/>
          <w:szCs w:val="22"/>
        </w:rPr>
        <w:t>。</w:t>
      </w:r>
    </w:p>
    <w:p w14:paraId="5E32E1D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)規</w:t>
      </w:r>
      <w:r>
        <w:rPr>
          <w:rFonts w:eastAsia="標楷體"/>
          <w:spacing w:val="4"/>
          <w:kern w:val="0"/>
          <w:sz w:val="28"/>
          <w:szCs w:val="22"/>
        </w:rPr>
        <w:t>劃辦理相關講座及種子訓練，協助企業建立制度化的職場性騷擾防治措施。</w:t>
      </w:r>
    </w:p>
    <w:p w14:paraId="610DF17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)鼓</w:t>
      </w:r>
      <w:r>
        <w:rPr>
          <w:rFonts w:eastAsia="標楷體"/>
          <w:spacing w:val="4"/>
          <w:kern w:val="0"/>
          <w:sz w:val="28"/>
          <w:szCs w:val="22"/>
        </w:rPr>
        <w:t>勵事業單位推動「員工協助方案」，發展有助於維護婦女人身安全之職場環境。</w:t>
      </w:r>
    </w:p>
    <w:p w14:paraId="6EF4E9D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)強</w:t>
      </w:r>
      <w:r>
        <w:rPr>
          <w:rFonts w:eastAsia="標楷體"/>
          <w:spacing w:val="4"/>
          <w:kern w:val="0"/>
          <w:sz w:val="28"/>
          <w:szCs w:val="22"/>
        </w:rPr>
        <w:t>化地方政府查訪雇主對外籍勞工之生活管理，督促雇主積</w:t>
      </w:r>
      <w:r>
        <w:rPr>
          <w:rFonts w:eastAsia="標楷體"/>
          <w:spacing w:val="6"/>
          <w:kern w:val="0"/>
          <w:sz w:val="28"/>
          <w:szCs w:val="22"/>
        </w:rPr>
        <w:t>極協助預防外籍勞工遭受人身侵害，確保其在</w:t>
      </w:r>
      <w:r>
        <w:rPr>
          <w:rFonts w:eastAsia="標楷體"/>
          <w:spacing w:val="4"/>
          <w:kern w:val="0"/>
          <w:sz w:val="28"/>
          <w:szCs w:val="22"/>
        </w:rPr>
        <w:t>臺工作權益。</w:t>
      </w:r>
    </w:p>
    <w:p w14:paraId="44BCFE1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建構尊重多元性別認同之友善社會</w:t>
      </w:r>
    </w:p>
    <w:p w14:paraId="216C3F0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維護多元性別認同者之權益及教育社會大眾認識多元性別</w:t>
      </w:r>
    </w:p>
    <w:p w14:paraId="50BAA96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各部會研議推動保障多元性別認同者權益之相關政策措施，以及發展、推動認識多元性別認同之教育課程。</w:t>
      </w:r>
    </w:p>
    <w:p w14:paraId="24011D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持續向社會大眾宣導以尊重、理性之態度討論多元性別之相關議題。</w:t>
      </w:r>
    </w:p>
    <w:p w14:paraId="59D5658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)獎</w:t>
      </w:r>
      <w:r>
        <w:rPr>
          <w:rFonts w:eastAsia="標楷體"/>
          <w:spacing w:val="4"/>
          <w:kern w:val="0"/>
          <w:sz w:val="28"/>
          <w:szCs w:val="22"/>
        </w:rPr>
        <w:t>勵或補助民間團體及社區開設相關課程及辦理相關活動，促進社會大眾認識多元性別相關議題。</w:t>
      </w:r>
    </w:p>
    <w:p w14:paraId="6AA3F3E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鼓勵媒體製作具性別友善精神之廣電節目</w:t>
      </w:r>
    </w:p>
    <w:p w14:paraId="2ED1EB2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)鼓</w:t>
      </w:r>
      <w:r>
        <w:rPr>
          <w:rFonts w:eastAsia="標楷體"/>
          <w:spacing w:val="4"/>
          <w:kern w:val="0"/>
          <w:sz w:val="28"/>
          <w:szCs w:val="22"/>
        </w:rPr>
        <w:t>勵公民參與推動媒體自律，並強化申訴機制，建立性別友善的媒體傳播環境。</w:t>
      </w:r>
    </w:p>
    <w:p w14:paraId="4636C3A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)結</w:t>
      </w:r>
      <w:r>
        <w:rPr>
          <w:rFonts w:eastAsia="標楷體"/>
          <w:spacing w:val="4"/>
          <w:kern w:val="0"/>
          <w:sz w:val="28"/>
          <w:szCs w:val="22"/>
        </w:rPr>
        <w:t>合評鑑換照機制，督促媒體業者重視性別平等議題。</w:t>
      </w:r>
    </w:p>
    <w:p w14:paraId="3DFDD0D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)獎勵</w:t>
      </w:r>
      <w:r>
        <w:rPr>
          <w:rFonts w:eastAsia="標楷體"/>
          <w:spacing w:val="4"/>
          <w:kern w:val="0"/>
          <w:sz w:val="28"/>
          <w:szCs w:val="22"/>
        </w:rPr>
        <w:t>或補助製播有關多元性別或性別友善之影劇節目。</w:t>
      </w:r>
    </w:p>
    <w:p w14:paraId="4D428247"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第三節</w:t>
      </w:r>
      <w:r>
        <w:rPr>
          <w:rFonts w:eastAsia="標楷體"/>
          <w:b/>
          <w:color w:val="0000FF"/>
          <w:kern w:val="0"/>
          <w:sz w:val="28"/>
          <w:szCs w:val="28"/>
        </w:rPr>
        <w:t xml:space="preserve">  </w:t>
      </w:r>
      <w:r>
        <w:rPr>
          <w:rFonts w:eastAsia="標楷體"/>
          <w:b/>
          <w:color w:val="0000FF"/>
          <w:kern w:val="0"/>
          <w:sz w:val="28"/>
          <w:szCs w:val="28"/>
        </w:rPr>
        <w:t>廉能政府</w:t>
      </w:r>
    </w:p>
    <w:p w14:paraId="0B8CCF63"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3FCCA87"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8"/>
        </w:rPr>
        <w:t>廉能政府是</w:t>
      </w:r>
      <w:r>
        <w:rPr>
          <w:rFonts w:eastAsia="標楷體"/>
          <w:spacing w:val="4"/>
          <w:kern w:val="0"/>
          <w:sz w:val="28"/>
          <w:szCs w:val="26"/>
        </w:rPr>
        <w:t>國家穩健發展及競爭力提升的關鍵，亦是民眾信賴的基礎。未來四年，</w:t>
      </w:r>
      <w:r>
        <w:rPr>
          <w:rFonts w:eastAsia="標楷體"/>
          <w:spacing w:val="4"/>
          <w:kern w:val="0"/>
          <w:sz w:val="28"/>
          <w:szCs w:val="28"/>
        </w:rPr>
        <w:t>政府將以「廉政革新」及「效能躍升」為施政主軸，完備陽光法制，健全防貪、肅貪體制，提升政府清廉度與透明度，確立乾淨政府；同時，</w:t>
      </w:r>
      <w:r>
        <w:rPr>
          <w:rFonts w:eastAsia="標楷體"/>
          <w:bCs/>
          <w:spacing w:val="4"/>
          <w:sz w:val="28"/>
          <w:szCs w:val="28"/>
        </w:rPr>
        <w:t>持續提升政府服務效能，建立政府服務流程改造推動機制，推動服務品質創新，以提供「</w:t>
      </w:r>
      <w:r>
        <w:rPr>
          <w:rFonts w:eastAsia="標楷體"/>
          <w:spacing w:val="4"/>
          <w:kern w:val="0"/>
          <w:sz w:val="28"/>
          <w:szCs w:val="28"/>
        </w:rPr>
        <w:t>廉潔、專業、效能、便民」的高品質服務，引領國家向上提升。</w:t>
      </w:r>
    </w:p>
    <w:p w14:paraId="03F2746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768B20C"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壹、廉政革新</w:t>
      </w:r>
    </w:p>
    <w:p w14:paraId="568317ED"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E39C752"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政府於</w:t>
      </w:r>
      <w:r>
        <w:rPr>
          <w:rFonts w:eastAsia="標楷體"/>
          <w:spacing w:val="4"/>
          <w:kern w:val="0"/>
          <w:sz w:val="28"/>
          <w:szCs w:val="26"/>
        </w:rPr>
        <w:t>100</w:t>
      </w:r>
      <w:r>
        <w:rPr>
          <w:rFonts w:eastAsia="標楷體"/>
          <w:spacing w:val="4"/>
          <w:kern w:val="0"/>
          <w:sz w:val="28"/>
          <w:szCs w:val="26"/>
        </w:rPr>
        <w:t>年</w:t>
      </w:r>
      <w:r>
        <w:rPr>
          <w:rFonts w:eastAsia="標楷體"/>
          <w:spacing w:val="4"/>
          <w:kern w:val="0"/>
          <w:sz w:val="28"/>
          <w:szCs w:val="26"/>
        </w:rPr>
        <w:t>7</w:t>
      </w:r>
      <w:r>
        <w:rPr>
          <w:rFonts w:eastAsia="標楷體"/>
          <w:spacing w:val="4"/>
          <w:kern w:val="0"/>
          <w:sz w:val="28"/>
          <w:szCs w:val="26"/>
        </w:rPr>
        <w:t>月成立「法務部廉政署」，致力反貪、防貪、肅貪，並推動「司法脫胎．除民怨」等司法革新作為，保障人民司法權益，建立公義社會。另為因應國際人權潮流，遵行「</w:t>
      </w:r>
      <w:r>
        <w:rPr>
          <w:rFonts w:ascii="新細明體" w:eastAsia="標楷體" w:hAnsi="新細明體"/>
          <w:spacing w:val="4"/>
          <w:kern w:val="0"/>
          <w:sz w:val="28"/>
          <w:szCs w:val="26"/>
        </w:rPr>
        <w:t>公民與政治權利國際公約</w:t>
      </w:r>
      <w:r>
        <w:rPr>
          <w:rFonts w:eastAsia="標楷體"/>
          <w:spacing w:val="4"/>
          <w:kern w:val="0"/>
          <w:sz w:val="28"/>
          <w:szCs w:val="26"/>
        </w:rPr>
        <w:t>」及「</w:t>
      </w:r>
      <w:r>
        <w:rPr>
          <w:rFonts w:ascii="新細明體" w:eastAsia="標楷體" w:hAnsi="新細明體"/>
          <w:spacing w:val="4"/>
          <w:kern w:val="0"/>
          <w:sz w:val="28"/>
          <w:szCs w:val="26"/>
        </w:rPr>
        <w:t>經濟社會與文化權利國際公約</w:t>
      </w:r>
      <w:r>
        <w:rPr>
          <w:rFonts w:eastAsia="標楷體"/>
          <w:spacing w:val="4"/>
          <w:kern w:val="0"/>
          <w:sz w:val="28"/>
          <w:szCs w:val="26"/>
        </w:rPr>
        <w:t>」</w:t>
      </w:r>
      <w:r>
        <w:rPr>
          <w:rFonts w:ascii="標楷體" w:eastAsia="標楷體" w:hAnsi="標楷體"/>
          <w:spacing w:val="4"/>
          <w:kern w:val="0"/>
          <w:sz w:val="28"/>
          <w:szCs w:val="26"/>
        </w:rPr>
        <w:t>(</w:t>
      </w:r>
      <w:r>
        <w:rPr>
          <w:rFonts w:eastAsia="標楷體"/>
          <w:spacing w:val="4"/>
          <w:kern w:val="0"/>
          <w:sz w:val="28"/>
          <w:szCs w:val="26"/>
        </w:rPr>
        <w:t>簡稱「兩公約」</w:t>
      </w:r>
      <w:r>
        <w:rPr>
          <w:rFonts w:ascii="標楷體" w:eastAsia="標楷體" w:hAnsi="標楷體"/>
          <w:spacing w:val="4"/>
          <w:kern w:val="0"/>
          <w:sz w:val="28"/>
          <w:szCs w:val="26"/>
        </w:rPr>
        <w:t>)國際規範，</w:t>
      </w:r>
      <w:r>
        <w:rPr>
          <w:rFonts w:eastAsia="標楷體"/>
          <w:spacing w:val="4"/>
          <w:kern w:val="0"/>
          <w:sz w:val="28"/>
          <w:szCs w:val="26"/>
        </w:rPr>
        <w:t>大力推行「兩公約施行法」，致力促進人權保障。</w:t>
      </w:r>
    </w:p>
    <w:p w14:paraId="09A08808"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未來四年，政府將持續杜絕貪瀆，加強「落實反貪腐法律」、「促進行政透明」、「防止利益衝突」及「提倡企業誠信倫理」等防貪工作，營造透明課責之公務環境，提升整體清廉指標及國家競爭力；積極打擊犯罪，排除民怨，落實司法保護，關懷弱勢，健全國際互助法制；加速國際人權公約內國法化，建立國內人權指標。</w:t>
      </w:r>
    </w:p>
    <w:p w14:paraId="6E8F5C7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0CDB3EF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積極查辦貪瀆犯罪，</w:t>
      </w:r>
      <w:r>
        <w:rPr>
          <w:rFonts w:eastAsia="標楷體"/>
          <w:spacing w:val="4"/>
          <w:kern w:val="0"/>
          <w:sz w:val="28"/>
          <w:szCs w:val="22"/>
        </w:rPr>
        <w:t>105</w:t>
      </w:r>
      <w:r>
        <w:rPr>
          <w:rFonts w:eastAsia="標楷體"/>
          <w:spacing w:val="4"/>
          <w:kern w:val="0"/>
          <w:sz w:val="28"/>
          <w:szCs w:val="22"/>
        </w:rPr>
        <w:t>年貪瀆案件定罪率提升至</w:t>
      </w:r>
      <w:r>
        <w:rPr>
          <w:rFonts w:eastAsia="標楷體"/>
          <w:spacing w:val="4"/>
          <w:kern w:val="0"/>
          <w:sz w:val="28"/>
          <w:szCs w:val="22"/>
        </w:rPr>
        <w:t>73%</w:t>
      </w:r>
      <w:r>
        <w:rPr>
          <w:rFonts w:eastAsia="標楷體"/>
          <w:spacing w:val="4"/>
          <w:kern w:val="0"/>
          <w:sz w:val="28"/>
          <w:szCs w:val="22"/>
        </w:rPr>
        <w:t>。</w:t>
      </w:r>
    </w:p>
    <w:p w14:paraId="520B35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於各國際人權公約內國法化後，預計</w:t>
      </w:r>
      <w:r>
        <w:rPr>
          <w:rFonts w:eastAsia="標楷體"/>
          <w:spacing w:val="4"/>
          <w:kern w:val="0"/>
          <w:sz w:val="28"/>
          <w:szCs w:val="22"/>
        </w:rPr>
        <w:t>105</w:t>
      </w:r>
      <w:r>
        <w:rPr>
          <w:rFonts w:eastAsia="標楷體"/>
          <w:spacing w:val="4"/>
          <w:kern w:val="0"/>
          <w:sz w:val="28"/>
          <w:szCs w:val="22"/>
        </w:rPr>
        <w:t>年完成相關法令之制</w:t>
      </w:r>
      <w:r>
        <w:rPr>
          <w:rFonts w:ascii="標楷體" w:eastAsia="標楷體" w:hAnsi="標楷體"/>
          <w:spacing w:val="4"/>
          <w:kern w:val="0"/>
          <w:sz w:val="28"/>
          <w:szCs w:val="22"/>
        </w:rPr>
        <w:t>(訂)</w:t>
      </w:r>
      <w:r>
        <w:rPr>
          <w:rFonts w:eastAsia="標楷體"/>
          <w:spacing w:val="4"/>
          <w:kern w:val="0"/>
          <w:sz w:val="28"/>
          <w:szCs w:val="22"/>
        </w:rPr>
        <w:t>定、修正或廢止，以及行政措施之改進。</w:t>
      </w:r>
    </w:p>
    <w:p w14:paraId="130CF9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105</w:t>
      </w:r>
      <w:r>
        <w:rPr>
          <w:rFonts w:eastAsia="標楷體"/>
          <w:spacing w:val="4"/>
          <w:kern w:val="0"/>
          <w:sz w:val="28"/>
          <w:szCs w:val="22"/>
        </w:rPr>
        <w:t>年於全國各地檢署全面建置司法保護中心。</w:t>
      </w:r>
    </w:p>
    <w:p w14:paraId="73C7B7D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提升檢察效能，</w:t>
      </w:r>
      <w:r>
        <w:rPr>
          <w:rFonts w:eastAsia="標楷體"/>
          <w:spacing w:val="4"/>
          <w:kern w:val="0"/>
          <w:sz w:val="28"/>
          <w:szCs w:val="22"/>
        </w:rPr>
        <w:t>105</w:t>
      </w:r>
      <w:r>
        <w:rPr>
          <w:rFonts w:eastAsia="標楷體"/>
          <w:spacing w:val="4"/>
          <w:kern w:val="0"/>
          <w:sz w:val="28"/>
          <w:szCs w:val="22"/>
        </w:rPr>
        <w:t>年檢察官辦案</w:t>
      </w:r>
      <w:r>
        <w:rPr>
          <w:rFonts w:ascii="標楷體" w:eastAsia="標楷體" w:hAnsi="標楷體"/>
          <w:spacing w:val="4"/>
          <w:kern w:val="0"/>
          <w:sz w:val="28"/>
          <w:szCs w:val="22"/>
        </w:rPr>
        <w:t>平均每一偵字案件終結所需日數</w:t>
      </w:r>
      <w:r>
        <w:rPr>
          <w:rFonts w:eastAsia="標楷體"/>
          <w:spacing w:val="4"/>
          <w:kern w:val="0"/>
          <w:sz w:val="28"/>
          <w:szCs w:val="22"/>
        </w:rPr>
        <w:t>為</w:t>
      </w:r>
      <w:r>
        <w:rPr>
          <w:rFonts w:eastAsia="標楷體"/>
          <w:spacing w:val="4"/>
          <w:kern w:val="0"/>
          <w:sz w:val="28"/>
          <w:szCs w:val="22"/>
        </w:rPr>
        <w:t>53.5</w:t>
      </w:r>
      <w:r>
        <w:rPr>
          <w:rFonts w:eastAsia="標楷體"/>
          <w:spacing w:val="4"/>
          <w:kern w:val="0"/>
          <w:sz w:val="28"/>
          <w:szCs w:val="22"/>
        </w:rPr>
        <w:t>日以下。</w:t>
      </w:r>
    </w:p>
    <w:p w14:paraId="4FE5408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落實犯罪被害人法律協助，</w:t>
      </w:r>
      <w:r>
        <w:rPr>
          <w:rFonts w:eastAsia="標楷體"/>
          <w:spacing w:val="4"/>
          <w:kern w:val="0"/>
          <w:sz w:val="28"/>
          <w:szCs w:val="22"/>
        </w:rPr>
        <w:t>105</w:t>
      </w:r>
      <w:r>
        <w:rPr>
          <w:rFonts w:eastAsia="標楷體"/>
          <w:spacing w:val="4"/>
          <w:kern w:val="0"/>
          <w:sz w:val="28"/>
          <w:szCs w:val="22"/>
        </w:rPr>
        <w:t>年法律協助專案滿意度達</w:t>
      </w:r>
      <w:r>
        <w:rPr>
          <w:rFonts w:eastAsia="標楷體"/>
          <w:spacing w:val="4"/>
          <w:kern w:val="0"/>
          <w:sz w:val="28"/>
          <w:szCs w:val="22"/>
        </w:rPr>
        <w:t>77%</w:t>
      </w:r>
      <w:r>
        <w:rPr>
          <w:rFonts w:eastAsia="標楷體"/>
          <w:spacing w:val="4"/>
          <w:kern w:val="0"/>
          <w:sz w:val="28"/>
          <w:szCs w:val="22"/>
        </w:rPr>
        <w:t>。</w:t>
      </w:r>
    </w:p>
    <w:p w14:paraId="28EA1B9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執行社會勞動案件，</w:t>
      </w:r>
      <w:r>
        <w:rPr>
          <w:rFonts w:eastAsia="標楷體"/>
          <w:spacing w:val="4"/>
          <w:kern w:val="0"/>
          <w:sz w:val="28"/>
          <w:szCs w:val="22"/>
        </w:rPr>
        <w:t>105</w:t>
      </w:r>
      <w:r>
        <w:rPr>
          <w:rFonts w:eastAsia="標楷體"/>
          <w:spacing w:val="4"/>
          <w:kern w:val="0"/>
          <w:sz w:val="28"/>
          <w:szCs w:val="22"/>
        </w:rPr>
        <w:t>年社會勞動者提供服務滿意度調查指標達</w:t>
      </w:r>
      <w:r>
        <w:rPr>
          <w:rFonts w:eastAsia="標楷體"/>
          <w:spacing w:val="4"/>
          <w:kern w:val="0"/>
          <w:sz w:val="28"/>
          <w:szCs w:val="22"/>
        </w:rPr>
        <w:t>92.5%</w:t>
      </w:r>
      <w:r>
        <w:rPr>
          <w:rFonts w:eastAsia="標楷體"/>
          <w:spacing w:val="4"/>
          <w:kern w:val="0"/>
          <w:sz w:val="28"/>
          <w:szCs w:val="22"/>
        </w:rPr>
        <w:t>。</w:t>
      </w:r>
    </w:p>
    <w:p w14:paraId="38315CC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(七)健全國際互助法制，</w:t>
      </w:r>
      <w:r>
        <w:rPr>
          <w:rFonts w:eastAsia="標楷體"/>
          <w:spacing w:val="4"/>
          <w:kern w:val="0"/>
          <w:sz w:val="28"/>
          <w:szCs w:val="22"/>
        </w:rPr>
        <w:t>推動簽署司法互助協定。</w:t>
      </w:r>
    </w:p>
    <w:p w14:paraId="58C2025B"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25E14DC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(一)執行聯合國反貪腐公約，全民監督政府</w:t>
      </w:r>
    </w:p>
    <w:p w14:paraId="4F709FC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強化防貪網絡，落實「中央廉政委員會」及機關廉政會報運作功能，建立廉政品管及風險評估機制，落實執行與課責；</w:t>
      </w:r>
      <w:r>
        <w:rPr>
          <w:rFonts w:eastAsia="標楷體"/>
          <w:spacing w:val="4"/>
          <w:kern w:val="0"/>
          <w:sz w:val="28"/>
          <w:szCs w:val="26"/>
        </w:rPr>
        <w:lastRenderedPageBreak/>
        <w:t>促進行政透明，強化公務機密及機關安全；杜絕違法請託關說，落實執行陽光法案，型塑廉政倫理。</w:t>
      </w:r>
    </w:p>
    <w:p w14:paraId="2EAE9E1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促進全民反貪，持續推動「國家廉政建設行動方案」，設置村里廉政平臺；舉辦廉政議題論壇及「</w:t>
      </w:r>
      <w:r>
        <w:rPr>
          <w:rFonts w:eastAsia="標楷體"/>
          <w:spacing w:val="4"/>
          <w:kern w:val="0"/>
          <w:sz w:val="28"/>
          <w:szCs w:val="26"/>
        </w:rPr>
        <w:t>1209</w:t>
      </w:r>
      <w:r>
        <w:rPr>
          <w:rFonts w:eastAsia="標楷體"/>
          <w:spacing w:val="4"/>
          <w:kern w:val="0"/>
          <w:sz w:val="28"/>
          <w:szCs w:val="26"/>
        </w:rPr>
        <w:t>國際反貪日」系列活動；加強廉政策略研究；促進企業誠信及專業倫理等。</w:t>
      </w:r>
    </w:p>
    <w:p w14:paraId="7BF48BE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積極查辦貪瀆犯罪，精準打擊貪污，提升定罪率；積極鼓勵檢舉貪瀆不法，修訂「獎勵保護檢舉貪污瀆職辦法」、研議制定我國揭弊者保護法等，型塑機關內部人員勇於舉發不法行為風氣。</w:t>
      </w:r>
    </w:p>
    <w:p w14:paraId="6FA942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4.</w:t>
      </w:r>
      <w:r>
        <w:rPr>
          <w:rFonts w:eastAsia="標楷體"/>
          <w:bCs/>
          <w:spacing w:val="4"/>
          <w:sz w:val="28"/>
          <w:szCs w:val="28"/>
        </w:rPr>
        <w:t>加強教育訓練，培育全方位廉政人員；</w:t>
      </w:r>
      <w:r>
        <w:rPr>
          <w:rFonts w:eastAsia="標楷體"/>
          <w:spacing w:val="4"/>
          <w:kern w:val="0"/>
          <w:sz w:val="28"/>
          <w:szCs w:val="26"/>
        </w:rPr>
        <w:t>建立我國監測貪腐程度及變化的指標工具；籌辦國際廉政研討會，掌握廉政趨勢，推動國際交流。</w:t>
      </w:r>
    </w:p>
    <w:p w14:paraId="4B56666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(二)積極實踐人權公約，增進人權保障</w:t>
      </w:r>
    </w:p>
    <w:p w14:paraId="4CA333E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持續推動違反人權法令之修正，於相關國際人權公約批准後，限期檢討現行法規及行政措施。</w:t>
      </w:r>
    </w:p>
    <w:p w14:paraId="2C0A8DB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定期提出國家人權報告，督促機關重視施政人權問題，排除各項人權保障障礙，促使我國人權保障標準與國際接軌，營造國民優質的生活條件與環境。</w:t>
      </w:r>
    </w:p>
    <w:p w14:paraId="2BEA8D4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積極推動人權教育，落實「以人為本」價值，建立全民「人權主流化」觀念。</w:t>
      </w:r>
    </w:p>
    <w:p w14:paraId="603BA02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(三)建構公正友善司法環境，保障司法人權</w:t>
      </w:r>
    </w:p>
    <w:p w14:paraId="6A7D03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建立人民參與司法審判制度，推動「人民觀審制度」。</w:t>
      </w:r>
    </w:p>
    <w:p w14:paraId="58F8D94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落實司法官評鑑及淘汰機制，維護人民訴訟權利。</w:t>
      </w:r>
    </w:p>
    <w:p w14:paraId="5DB3E4C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推動公正、透明、合理及一致性之量刑改革，並精實司法人力，提高裁判品質。</w:t>
      </w:r>
    </w:p>
    <w:p w14:paraId="595CE01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改善問案態度，力行準時開庭，建立溫馨辦案之訴訟環境，強化司法保障人權功能。</w:t>
      </w:r>
    </w:p>
    <w:p w14:paraId="5B0EA45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加強犯罪被害人司法保護措施，於各地檢署全面建置司法保護中心；積極推動修復式司法程序，使加、被害人真誠溝通、修復創傷，解決紛爭；編撰犯罪被害補償相關手冊，協</w:t>
      </w:r>
      <w:r>
        <w:rPr>
          <w:rFonts w:eastAsia="標楷體"/>
          <w:spacing w:val="4"/>
          <w:kern w:val="0"/>
          <w:sz w:val="28"/>
          <w:szCs w:val="26"/>
        </w:rPr>
        <w:lastRenderedPageBreak/>
        <w:t>助被害人知悉應有權益，提升被害人保護成效。</w:t>
      </w:r>
    </w:p>
    <w:p w14:paraId="5BC41F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推動「改善監所十年計畫」，以解決矯正機關超額收容問題。</w:t>
      </w:r>
    </w:p>
    <w:p w14:paraId="0DF9A0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(四)打擊犯罪，排除民怨，創造公義社會</w:t>
      </w:r>
    </w:p>
    <w:p w14:paraId="3C7C482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研訂防止企業賄賂相關法制，落實廉能政府理念。</w:t>
      </w:r>
    </w:p>
    <w:p w14:paraId="06E857A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研修「刑法」及「刑事特別法」關於犯罪所得沒收規定，以消除鉅額不法利益犯罪誘因，澈底剝奪不法犯罪所得。</w:t>
      </w:r>
    </w:p>
    <w:p w14:paraId="1A76B16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加強查扣貪瀆犯罪不法所得，建立跨部會聯繫機制，積極尋求跨國偵查合作，有效掌控貪瀆犯不法資金境內外移動情形，及時查扣不法所得。</w:t>
      </w:r>
    </w:p>
    <w:p w14:paraId="568178B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積極查緝重大貪瀆案件，針對指標性、長期性、結構性、集團性之貪瀆案件，列為重點偵辦案件，依法積極偵辦，建立人民對清廉執政之信賴。</w:t>
      </w:r>
    </w:p>
    <w:p w14:paraId="3FFFECD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落實精緻偵查，定期辦理肅貪檢討會議，改進偵查品質，提升整體檢察效能；強化督導權責，落實協同辦案，審慎啟動偵查作為，提升整體檢察效能。</w:t>
      </w:r>
    </w:p>
    <w:p w14:paraId="582D424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持續推動「檢察機關排怨計畫」，採取積極及目標導向之策略性作為，結合相關司法機關力量強力掃蕩。</w:t>
      </w:r>
    </w:p>
    <w:p w14:paraId="5B547FA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降低貪瀆犯罪率，透過反貪、防貪、肅貪作為，嚴密打擊公私部門貪腐行為，防堵貪瀆案件發生。</w:t>
      </w:r>
    </w:p>
    <w:p w14:paraId="53B1E5A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8.</w:t>
      </w:r>
      <w:r>
        <w:rPr>
          <w:rFonts w:eastAsia="標楷體"/>
          <w:spacing w:val="4"/>
          <w:kern w:val="0"/>
          <w:sz w:val="28"/>
          <w:szCs w:val="26"/>
        </w:rPr>
        <w:t>深化我國刑事程序之補償機制，持續研議並適時研修「刑事補償法」及相關法規，俾刑事人權保障更臻完備。</w:t>
      </w:r>
    </w:p>
    <w:p w14:paraId="6AC5575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(五)深化國際與兩岸司法互助，共同打擊犯罪</w:t>
      </w:r>
    </w:p>
    <w:p w14:paraId="2FB5A77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建立打擊犯罪模式，藉由個案之司法合作，型塑跨國、跨境打擊犯罪及司法互助模式。</w:t>
      </w:r>
    </w:p>
    <w:p w14:paraId="66E62C8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kern w:val="0"/>
          <w:sz w:val="28"/>
          <w:szCs w:val="26"/>
        </w:rPr>
        <w:t>健全國內相關法制，研訂司法互助法案，如「跨國移交受刑人法」、「國際偵查及執行互助法」，並研修「引渡法」及相關子法。另通盤檢討「外國法院委託事件協助法」修正草案。</w:t>
      </w:r>
    </w:p>
    <w:p w14:paraId="274684D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推動洽簽條約協定，陸續與數國洽談引渡條約及刑事司法互</w:t>
      </w:r>
      <w:r>
        <w:rPr>
          <w:rFonts w:eastAsia="標楷體"/>
          <w:spacing w:val="4"/>
          <w:kern w:val="0"/>
          <w:sz w:val="28"/>
          <w:szCs w:val="26"/>
        </w:rPr>
        <w:lastRenderedPageBreak/>
        <w:t>助協定，強化司法合作基礎；落實「臺越民事司法互助協定」，提升臺越司法領域合作，進而保障雙方人民權益。</w:t>
      </w:r>
    </w:p>
    <w:p w14:paraId="5763117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4.</w:t>
      </w:r>
      <w:r>
        <w:rPr>
          <w:rFonts w:eastAsia="標楷體"/>
          <w:spacing w:val="4"/>
          <w:kern w:val="0"/>
          <w:sz w:val="28"/>
          <w:szCs w:val="26"/>
        </w:rPr>
        <w:t>遏止兩岸跨境犯罪，透過個案合作、業務交流及制度研修，強化新犯罪預防模式及查緝經驗，共同打擊犯罪；以「海峽兩岸共同打擊犯罪及司法互助協議」為基礎，擴展多元互助，建立制度化交流模式，健全雙方法治環境，增進司法互助效能，落實人道關懷，保障兩岸民眾權益。</w:t>
      </w:r>
    </w:p>
    <w:p w14:paraId="0EA292A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DE1950C"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貳、效能躍升</w:t>
      </w:r>
    </w:p>
    <w:p w14:paraId="221FA88E"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3921618"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84"/>
        <w:jc w:val="both"/>
        <w:textAlignment w:val="center"/>
      </w:pPr>
      <w:r>
        <w:rPr>
          <w:rFonts w:eastAsia="標楷體"/>
          <w:spacing w:val="6"/>
          <w:kern w:val="0"/>
          <w:sz w:val="28"/>
          <w:szCs w:val="26"/>
        </w:rPr>
        <w:t>近年來，政府積極推動政府組織改造，整合與調整行政部門，以建立靈活、機動的組織體系，</w:t>
      </w:r>
      <w:r>
        <w:rPr>
          <w:rFonts w:eastAsia="標楷體"/>
          <w:spacing w:val="6"/>
          <w:kern w:val="0"/>
          <w:sz w:val="28"/>
          <w:szCs w:val="26"/>
        </w:rPr>
        <w:t>99</w:t>
      </w:r>
      <w:r>
        <w:rPr>
          <w:rFonts w:eastAsia="標楷體"/>
          <w:spacing w:val="6"/>
          <w:kern w:val="0"/>
          <w:sz w:val="28"/>
          <w:szCs w:val="26"/>
        </w:rPr>
        <w:t>年</w:t>
      </w:r>
      <w:r>
        <w:rPr>
          <w:rFonts w:eastAsia="標楷體"/>
          <w:spacing w:val="6"/>
          <w:kern w:val="0"/>
          <w:sz w:val="28"/>
          <w:szCs w:val="26"/>
        </w:rPr>
        <w:t>12</w:t>
      </w:r>
      <w:r>
        <w:rPr>
          <w:rFonts w:eastAsia="標楷體"/>
          <w:spacing w:val="6"/>
          <w:kern w:val="0"/>
          <w:sz w:val="28"/>
          <w:szCs w:val="26"/>
        </w:rPr>
        <w:t>月完成新北市等</w:t>
      </w:r>
      <w:r>
        <w:rPr>
          <w:rFonts w:eastAsia="標楷體"/>
          <w:spacing w:val="6"/>
          <w:kern w:val="0"/>
          <w:sz w:val="28"/>
          <w:szCs w:val="26"/>
        </w:rPr>
        <w:t>4</w:t>
      </w:r>
      <w:r>
        <w:rPr>
          <w:rFonts w:eastAsia="標楷體"/>
          <w:spacing w:val="6"/>
          <w:kern w:val="0"/>
          <w:sz w:val="28"/>
          <w:szCs w:val="26"/>
        </w:rPr>
        <w:t>個新直轄市改制，並完成行政院組織改造五法之立法，於</w:t>
      </w:r>
      <w:r>
        <w:rPr>
          <w:rFonts w:eastAsia="標楷體"/>
          <w:spacing w:val="6"/>
          <w:kern w:val="0"/>
          <w:sz w:val="28"/>
          <w:szCs w:val="26"/>
        </w:rPr>
        <w:t>101</w:t>
      </w:r>
      <w:r>
        <w:rPr>
          <w:rFonts w:eastAsia="標楷體"/>
          <w:spacing w:val="6"/>
          <w:kern w:val="0"/>
          <w:sz w:val="28"/>
          <w:szCs w:val="26"/>
        </w:rPr>
        <w:t>年</w:t>
      </w:r>
      <w:r>
        <w:rPr>
          <w:rFonts w:eastAsia="標楷體"/>
          <w:spacing w:val="6"/>
          <w:kern w:val="0"/>
          <w:sz w:val="28"/>
          <w:szCs w:val="26"/>
        </w:rPr>
        <w:t>1</w:t>
      </w:r>
      <w:r>
        <w:rPr>
          <w:rFonts w:eastAsia="標楷體"/>
          <w:spacing w:val="6"/>
          <w:kern w:val="0"/>
          <w:sz w:val="28"/>
          <w:szCs w:val="26"/>
        </w:rPr>
        <w:t>月開始陸續施行。另為</w:t>
      </w:r>
      <w:r>
        <w:rPr>
          <w:rFonts w:ascii="標楷體" w:eastAsia="標楷體" w:hAnsi="標楷體"/>
          <w:bCs/>
          <w:color w:val="000000"/>
          <w:spacing w:val="6"/>
          <w:kern w:val="0"/>
          <w:sz w:val="28"/>
          <w:szCs w:val="26"/>
        </w:rPr>
        <w:t>提升施政效能及服務水準，政府亦陸續推動「政府服務創新精進方案」及</w:t>
      </w:r>
      <w:r>
        <w:rPr>
          <w:rFonts w:eastAsia="標楷體"/>
          <w:spacing w:val="6"/>
          <w:kern w:val="0"/>
          <w:sz w:val="28"/>
          <w:szCs w:val="26"/>
        </w:rPr>
        <w:t>「整合服務效能躍升方案」，提供</w:t>
      </w:r>
      <w:r>
        <w:rPr>
          <w:rFonts w:ascii="標楷體" w:eastAsia="標楷體" w:hAnsi="標楷體"/>
          <w:bCs/>
          <w:color w:val="000000"/>
          <w:spacing w:val="6"/>
          <w:kern w:val="0"/>
          <w:sz w:val="28"/>
          <w:szCs w:val="26"/>
        </w:rPr>
        <w:t>專業、便民及高品質的服務。</w:t>
      </w:r>
      <w:r>
        <w:rPr>
          <w:rFonts w:eastAsia="標楷體"/>
          <w:spacing w:val="4"/>
          <w:kern w:val="0"/>
          <w:sz w:val="28"/>
          <w:szCs w:val="26"/>
        </w:rPr>
        <w:t>根據</w:t>
      </w:r>
      <w:r>
        <w:rPr>
          <w:rFonts w:ascii="標楷體" w:eastAsia="標楷體" w:hAnsi="標楷體"/>
          <w:spacing w:val="4"/>
          <w:kern w:val="0"/>
          <w:sz w:val="28"/>
          <w:szCs w:val="26"/>
        </w:rPr>
        <w:t>瑞士</w:t>
      </w:r>
      <w:r>
        <w:rPr>
          <w:rFonts w:eastAsia="標楷體"/>
          <w:spacing w:val="4"/>
          <w:kern w:val="0"/>
          <w:sz w:val="28"/>
          <w:szCs w:val="28"/>
        </w:rPr>
        <w:t>洛桑</w:t>
      </w:r>
      <w:r>
        <w:rPr>
          <w:rFonts w:ascii="標楷體" w:eastAsia="標楷體" w:hAnsi="標楷體"/>
          <w:spacing w:val="4"/>
          <w:kern w:val="0"/>
          <w:sz w:val="28"/>
          <w:szCs w:val="26"/>
        </w:rPr>
        <w:t>國際管理學院(</w:t>
      </w:r>
      <w:r>
        <w:rPr>
          <w:rFonts w:eastAsia="標楷體"/>
          <w:spacing w:val="4"/>
          <w:kern w:val="0"/>
          <w:sz w:val="28"/>
          <w:szCs w:val="26"/>
        </w:rPr>
        <w:t>IMD</w:t>
      </w:r>
      <w:r>
        <w:rPr>
          <w:rFonts w:ascii="標楷體" w:eastAsia="標楷體" w:hAnsi="標楷體"/>
          <w:spacing w:val="4"/>
          <w:kern w:val="0"/>
          <w:sz w:val="28"/>
          <w:szCs w:val="26"/>
        </w:rPr>
        <w:t>)</w:t>
      </w:r>
      <w:r>
        <w:rPr>
          <w:rFonts w:eastAsia="標楷體"/>
          <w:spacing w:val="4"/>
          <w:kern w:val="0"/>
          <w:sz w:val="28"/>
          <w:szCs w:val="26"/>
        </w:rPr>
        <w:t>2012</w:t>
      </w:r>
      <w:r>
        <w:rPr>
          <w:rFonts w:eastAsia="標楷體"/>
          <w:spacing w:val="4"/>
          <w:kern w:val="0"/>
          <w:sz w:val="28"/>
          <w:szCs w:val="26"/>
        </w:rPr>
        <w:t>年</w:t>
      </w:r>
      <w:r>
        <w:rPr>
          <w:rFonts w:ascii="標楷體" w:eastAsia="標楷體" w:hAnsi="標楷體"/>
          <w:spacing w:val="4"/>
          <w:kern w:val="0"/>
          <w:sz w:val="28"/>
          <w:szCs w:val="26"/>
        </w:rPr>
        <w:t>「世界競爭力年報」</w:t>
      </w:r>
      <w:r>
        <w:rPr>
          <w:rFonts w:eastAsia="標楷體"/>
          <w:spacing w:val="4"/>
          <w:kern w:val="0"/>
          <w:sz w:val="28"/>
          <w:szCs w:val="26"/>
        </w:rPr>
        <w:t>，我國</w:t>
      </w:r>
      <w:r>
        <w:rPr>
          <w:rFonts w:ascii="標楷體" w:eastAsia="標楷體" w:hAnsi="標楷體"/>
          <w:spacing w:val="4"/>
          <w:kern w:val="0"/>
          <w:sz w:val="28"/>
          <w:szCs w:val="26"/>
        </w:rPr>
        <w:t>在</w:t>
      </w:r>
      <w:r>
        <w:rPr>
          <w:rFonts w:eastAsia="標楷體"/>
          <w:spacing w:val="4"/>
          <w:kern w:val="0"/>
          <w:sz w:val="28"/>
          <w:szCs w:val="26"/>
        </w:rPr>
        <w:t>59</w:t>
      </w:r>
      <w:r>
        <w:rPr>
          <w:rFonts w:ascii="標楷體" w:eastAsia="標楷體" w:hAnsi="標楷體"/>
          <w:spacing w:val="4"/>
          <w:kern w:val="0"/>
          <w:sz w:val="28"/>
          <w:szCs w:val="26"/>
        </w:rPr>
        <w:t>個受評比國家中，總排名第</w:t>
      </w:r>
      <w:r>
        <w:rPr>
          <w:rFonts w:eastAsia="標楷體"/>
          <w:spacing w:val="4"/>
          <w:kern w:val="0"/>
          <w:sz w:val="28"/>
          <w:szCs w:val="26"/>
        </w:rPr>
        <w:t>7</w:t>
      </w:r>
      <w:r>
        <w:rPr>
          <w:rFonts w:ascii="標楷體" w:eastAsia="標楷體" w:hAnsi="標楷體"/>
          <w:spacing w:val="4"/>
          <w:kern w:val="0"/>
          <w:sz w:val="28"/>
          <w:szCs w:val="26"/>
        </w:rPr>
        <w:t>，其中</w:t>
      </w:r>
      <w:r>
        <w:rPr>
          <w:rFonts w:eastAsia="標楷體"/>
          <w:spacing w:val="4"/>
          <w:kern w:val="0"/>
          <w:sz w:val="28"/>
          <w:szCs w:val="28"/>
        </w:rPr>
        <w:t>「政府效能」排名，由</w:t>
      </w:r>
      <w:r>
        <w:rPr>
          <w:rFonts w:eastAsia="標楷體"/>
          <w:spacing w:val="4"/>
          <w:kern w:val="0"/>
          <w:sz w:val="28"/>
          <w:szCs w:val="28"/>
        </w:rPr>
        <w:t>2011</w:t>
      </w:r>
      <w:r>
        <w:rPr>
          <w:rFonts w:eastAsia="標楷體"/>
          <w:spacing w:val="4"/>
          <w:kern w:val="0"/>
          <w:sz w:val="28"/>
          <w:szCs w:val="28"/>
        </w:rPr>
        <w:t>年之第</w:t>
      </w:r>
      <w:r>
        <w:rPr>
          <w:rFonts w:eastAsia="標楷體"/>
          <w:spacing w:val="4"/>
          <w:kern w:val="0"/>
          <w:sz w:val="28"/>
          <w:szCs w:val="28"/>
        </w:rPr>
        <w:t>10</w:t>
      </w:r>
      <w:r>
        <w:rPr>
          <w:rFonts w:eastAsia="標楷體"/>
          <w:spacing w:val="4"/>
          <w:kern w:val="0"/>
          <w:sz w:val="28"/>
          <w:szCs w:val="28"/>
        </w:rPr>
        <w:t>名躍升至第</w:t>
      </w:r>
      <w:r>
        <w:rPr>
          <w:rFonts w:eastAsia="標楷體"/>
          <w:spacing w:val="4"/>
          <w:kern w:val="0"/>
          <w:sz w:val="28"/>
          <w:szCs w:val="28"/>
        </w:rPr>
        <w:t>5</w:t>
      </w:r>
      <w:r>
        <w:rPr>
          <w:rFonts w:eastAsia="標楷體"/>
          <w:spacing w:val="4"/>
          <w:kern w:val="0"/>
          <w:sz w:val="28"/>
          <w:szCs w:val="28"/>
        </w:rPr>
        <w:t>名，創歷年最佳成績。</w:t>
      </w:r>
    </w:p>
    <w:p w14:paraId="06666DA4"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ascii="標楷體" w:eastAsia="標楷體" w:hAnsi="標楷體"/>
          <w:bCs/>
          <w:color w:val="000000"/>
          <w:spacing w:val="4"/>
          <w:kern w:val="0"/>
          <w:sz w:val="28"/>
          <w:szCs w:val="26"/>
        </w:rPr>
        <w:t>為回應民眾多元化的需求，政府將發揮良善治理效能，秉持「創新」、「整合」、「顧客至上」理念，推動「黃金十年『效能躍升』施政主軸實施計畫」，打造「真正感動人心」的政府服務。</w:t>
      </w:r>
    </w:p>
    <w:p w14:paraId="2288D4AB"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76535E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)推動組織改造法案完成立法，</w:t>
      </w:r>
      <w:r>
        <w:rPr>
          <w:rFonts w:eastAsia="標楷體"/>
          <w:spacing w:val="4"/>
          <w:kern w:val="0"/>
          <w:sz w:val="28"/>
          <w:szCs w:val="22"/>
        </w:rPr>
        <w:t>期於</w:t>
      </w:r>
      <w:r>
        <w:rPr>
          <w:rFonts w:eastAsia="標楷體"/>
          <w:spacing w:val="4"/>
          <w:kern w:val="0"/>
          <w:sz w:val="28"/>
          <w:szCs w:val="22"/>
        </w:rPr>
        <w:t>103</w:t>
      </w:r>
      <w:r>
        <w:rPr>
          <w:rFonts w:eastAsia="標楷體"/>
          <w:spacing w:val="4"/>
          <w:kern w:val="0"/>
          <w:sz w:val="28"/>
          <w:szCs w:val="22"/>
        </w:rPr>
        <w:t>年</w:t>
      </w:r>
      <w:r>
        <w:rPr>
          <w:rFonts w:eastAsia="標楷體"/>
          <w:spacing w:val="4"/>
          <w:kern w:val="0"/>
          <w:sz w:val="28"/>
          <w:szCs w:val="22"/>
        </w:rPr>
        <w:t>12</w:t>
      </w:r>
      <w:r>
        <w:rPr>
          <w:rFonts w:eastAsia="標楷體"/>
          <w:spacing w:val="4"/>
          <w:kern w:val="0"/>
          <w:sz w:val="28"/>
          <w:szCs w:val="22"/>
        </w:rPr>
        <w:t>月</w:t>
      </w:r>
      <w:r>
        <w:rPr>
          <w:rFonts w:eastAsia="標楷體"/>
          <w:spacing w:val="4"/>
          <w:kern w:val="0"/>
          <w:sz w:val="28"/>
          <w:szCs w:val="22"/>
        </w:rPr>
        <w:t>31</w:t>
      </w:r>
      <w:r>
        <w:rPr>
          <w:rFonts w:eastAsia="標楷體"/>
          <w:spacing w:val="4"/>
          <w:kern w:val="0"/>
          <w:sz w:val="28"/>
          <w:szCs w:val="22"/>
        </w:rPr>
        <w:t>日前完成政府一體的組織改造作業。</w:t>
      </w:r>
    </w:p>
    <w:p w14:paraId="7759EE7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(二)每年維持電子化政府評比世界排名前</w:t>
      </w:r>
      <w:r>
        <w:rPr>
          <w:rFonts w:eastAsia="標楷體"/>
          <w:spacing w:val="4"/>
          <w:kern w:val="0"/>
          <w:sz w:val="28"/>
          <w:szCs w:val="22"/>
        </w:rPr>
        <w:t>10</w:t>
      </w:r>
      <w:r>
        <w:rPr>
          <w:rFonts w:ascii="標楷體" w:eastAsia="標楷體" w:hAnsi="標楷體"/>
          <w:spacing w:val="4"/>
          <w:kern w:val="0"/>
          <w:sz w:val="28"/>
          <w:szCs w:val="22"/>
        </w:rPr>
        <w:t>名。</w:t>
      </w:r>
    </w:p>
    <w:p w14:paraId="501EED2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強化服務效率及縮短處理時</w:t>
      </w:r>
      <w:r>
        <w:rPr>
          <w:rFonts w:ascii="標楷體" w:eastAsia="標楷體" w:hAnsi="標楷體"/>
          <w:spacing w:val="4"/>
          <w:kern w:val="0"/>
          <w:sz w:val="28"/>
          <w:szCs w:val="22"/>
        </w:rPr>
        <w:t>效</w:t>
      </w:r>
      <w:r>
        <w:rPr>
          <w:rFonts w:eastAsia="標楷體"/>
          <w:spacing w:val="4"/>
          <w:kern w:val="0"/>
          <w:sz w:val="28"/>
          <w:szCs w:val="22"/>
        </w:rPr>
        <w:t>，減少申辦案件核章數，</w:t>
      </w:r>
      <w:r>
        <w:rPr>
          <w:rFonts w:eastAsia="標楷體"/>
          <w:spacing w:val="4"/>
          <w:kern w:val="0"/>
          <w:sz w:val="28"/>
          <w:szCs w:val="22"/>
        </w:rPr>
        <w:t>105</w:t>
      </w:r>
      <w:r>
        <w:rPr>
          <w:rFonts w:eastAsia="標楷體"/>
          <w:spacing w:val="4"/>
          <w:kern w:val="0"/>
          <w:sz w:val="28"/>
          <w:szCs w:val="22"/>
        </w:rPr>
        <w:t>年累計減少達</w:t>
      </w:r>
      <w:r>
        <w:rPr>
          <w:rFonts w:eastAsia="標楷體"/>
          <w:spacing w:val="4"/>
          <w:kern w:val="0"/>
          <w:sz w:val="28"/>
          <w:szCs w:val="22"/>
        </w:rPr>
        <w:t>20%</w:t>
      </w:r>
      <w:r>
        <w:rPr>
          <w:rFonts w:eastAsia="標楷體"/>
          <w:spacing w:val="4"/>
          <w:kern w:val="0"/>
          <w:sz w:val="28"/>
          <w:szCs w:val="22"/>
        </w:rPr>
        <w:t>。</w:t>
      </w:r>
    </w:p>
    <w:p w14:paraId="4D7BDBF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(四)全面提升公文電子交換比率，</w:t>
      </w:r>
      <w:r>
        <w:rPr>
          <w:rFonts w:eastAsia="標楷體"/>
          <w:spacing w:val="4"/>
          <w:kern w:val="0"/>
          <w:sz w:val="28"/>
          <w:szCs w:val="22"/>
        </w:rPr>
        <w:t>105</w:t>
      </w:r>
      <w:r>
        <w:rPr>
          <w:rFonts w:ascii="標楷體" w:eastAsia="標楷體" w:hAnsi="標楷體"/>
          <w:spacing w:val="4"/>
          <w:kern w:val="0"/>
          <w:sz w:val="28"/>
          <w:szCs w:val="22"/>
        </w:rPr>
        <w:t>年中央一、二級機關與地方一級機關達</w:t>
      </w:r>
      <w:r>
        <w:rPr>
          <w:rFonts w:eastAsia="標楷體"/>
          <w:spacing w:val="4"/>
          <w:kern w:val="0"/>
          <w:sz w:val="28"/>
          <w:szCs w:val="22"/>
        </w:rPr>
        <w:t>71%</w:t>
      </w:r>
      <w:r>
        <w:rPr>
          <w:rFonts w:ascii="標楷體" w:eastAsia="標楷體" w:hAnsi="標楷體"/>
          <w:spacing w:val="4"/>
          <w:kern w:val="0"/>
          <w:sz w:val="28"/>
          <w:szCs w:val="22"/>
        </w:rPr>
        <w:t>。</w:t>
      </w:r>
    </w:p>
    <w:p w14:paraId="23B339F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(五)實施公文線上簽核機關比率</w:t>
      </w:r>
      <w:r>
        <w:rPr>
          <w:rFonts w:eastAsia="標楷體"/>
          <w:spacing w:val="4"/>
          <w:kern w:val="0"/>
          <w:sz w:val="28"/>
          <w:szCs w:val="22"/>
        </w:rPr>
        <w:t>，</w:t>
      </w:r>
      <w:r>
        <w:rPr>
          <w:rFonts w:eastAsia="標楷體"/>
          <w:spacing w:val="4"/>
          <w:kern w:val="0"/>
          <w:sz w:val="28"/>
          <w:szCs w:val="22"/>
        </w:rPr>
        <w:t>105</w:t>
      </w:r>
      <w:r>
        <w:rPr>
          <w:rFonts w:eastAsia="標楷體"/>
          <w:spacing w:val="4"/>
          <w:kern w:val="0"/>
          <w:sz w:val="28"/>
          <w:szCs w:val="22"/>
        </w:rPr>
        <w:t>年達</w:t>
      </w:r>
      <w:r>
        <w:rPr>
          <w:rFonts w:eastAsia="標楷體"/>
          <w:spacing w:val="4"/>
          <w:kern w:val="0"/>
          <w:sz w:val="28"/>
          <w:szCs w:val="22"/>
        </w:rPr>
        <w:t>70%</w:t>
      </w:r>
      <w:r>
        <w:rPr>
          <w:rFonts w:eastAsia="標楷體"/>
          <w:spacing w:val="4"/>
          <w:kern w:val="0"/>
          <w:sz w:val="28"/>
          <w:szCs w:val="22"/>
        </w:rPr>
        <w:t>。</w:t>
      </w:r>
    </w:p>
    <w:p w14:paraId="2DC2EC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lastRenderedPageBreak/>
        <w:t>(六)</w:t>
      </w:r>
      <w:r>
        <w:rPr>
          <w:rFonts w:eastAsia="標楷體"/>
          <w:spacing w:val="4"/>
          <w:kern w:val="0"/>
          <w:sz w:val="28"/>
          <w:szCs w:val="22"/>
        </w:rPr>
        <w:t>檢討調適國內財經法規，持續精進法規品質，建置與國際接軌並具競爭力之經貿體制。</w:t>
      </w:r>
    </w:p>
    <w:p w14:paraId="29ED5BD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11E826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(一)加速機關行政流程改造，強化政府內部控制</w:t>
      </w:r>
    </w:p>
    <w:p w14:paraId="120FA65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pPr>
      <w:r>
        <w:rPr>
          <w:rFonts w:eastAsia="標楷體"/>
          <w:spacing w:val="4"/>
          <w:kern w:val="0"/>
          <w:sz w:val="28"/>
          <w:szCs w:val="28"/>
        </w:rPr>
        <w:t>1.</w:t>
      </w:r>
      <w:r>
        <w:rPr>
          <w:rFonts w:eastAsia="標楷體"/>
          <w:spacing w:val="4"/>
          <w:kern w:val="0"/>
          <w:sz w:val="28"/>
          <w:szCs w:val="28"/>
        </w:rPr>
        <w:t>推動中央二、三級機關</w:t>
      </w:r>
      <w:r>
        <w:rPr>
          <w:rFonts w:ascii="標楷體" w:eastAsia="標楷體" w:hAnsi="標楷體"/>
          <w:spacing w:val="4"/>
          <w:kern w:val="0"/>
          <w:sz w:val="28"/>
          <w:szCs w:val="28"/>
        </w:rPr>
        <w:t>(</w:t>
      </w:r>
      <w:r>
        <w:rPr>
          <w:rFonts w:eastAsia="標楷體"/>
          <w:spacing w:val="4"/>
          <w:kern w:val="0"/>
          <w:sz w:val="28"/>
          <w:szCs w:val="28"/>
        </w:rPr>
        <w:t>構</w:t>
      </w:r>
      <w:r>
        <w:rPr>
          <w:rFonts w:ascii="標楷體" w:eastAsia="標楷體" w:hAnsi="標楷體"/>
          <w:spacing w:val="4"/>
          <w:kern w:val="0"/>
          <w:sz w:val="28"/>
          <w:szCs w:val="28"/>
        </w:rPr>
        <w:t>)</w:t>
      </w:r>
      <w:r>
        <w:rPr>
          <w:rFonts w:eastAsia="標楷體"/>
          <w:spacing w:val="4"/>
          <w:kern w:val="0"/>
          <w:sz w:val="28"/>
          <w:szCs w:val="28"/>
        </w:rPr>
        <w:t>組織法案完成立法，並配合立法院進程，周延相關組織法規制</w:t>
      </w:r>
      <w:r>
        <w:rPr>
          <w:rFonts w:ascii="標楷體" w:eastAsia="標楷體" w:hAnsi="標楷體"/>
          <w:spacing w:val="4"/>
          <w:kern w:val="0"/>
          <w:sz w:val="28"/>
          <w:szCs w:val="28"/>
        </w:rPr>
        <w:t>(</w:t>
      </w:r>
      <w:r>
        <w:rPr>
          <w:rFonts w:eastAsia="標楷體"/>
          <w:spacing w:val="4"/>
          <w:kern w:val="0"/>
          <w:sz w:val="28"/>
          <w:szCs w:val="28"/>
        </w:rPr>
        <w:t>修</w:t>
      </w:r>
      <w:r>
        <w:rPr>
          <w:rFonts w:ascii="標楷體" w:eastAsia="標楷體" w:hAnsi="標楷體"/>
          <w:spacing w:val="4"/>
          <w:kern w:val="0"/>
          <w:sz w:val="28"/>
          <w:szCs w:val="28"/>
        </w:rPr>
        <w:t>)</w:t>
      </w:r>
      <w:r>
        <w:rPr>
          <w:rFonts w:eastAsia="標楷體"/>
          <w:spacing w:val="4"/>
          <w:kern w:val="0"/>
          <w:sz w:val="28"/>
          <w:szCs w:val="28"/>
        </w:rPr>
        <w:t>定，於</w:t>
      </w:r>
      <w:r>
        <w:rPr>
          <w:rFonts w:eastAsia="標楷體"/>
          <w:spacing w:val="4"/>
          <w:kern w:val="0"/>
          <w:sz w:val="28"/>
          <w:szCs w:val="28"/>
        </w:rPr>
        <w:t>103</w:t>
      </w:r>
      <w:r>
        <w:rPr>
          <w:rFonts w:eastAsia="標楷體"/>
          <w:spacing w:val="4"/>
          <w:kern w:val="0"/>
          <w:sz w:val="28"/>
          <w:szCs w:val="28"/>
        </w:rPr>
        <w:t>年</w:t>
      </w:r>
      <w:r>
        <w:rPr>
          <w:rFonts w:eastAsia="標楷體"/>
          <w:spacing w:val="4"/>
          <w:kern w:val="0"/>
          <w:sz w:val="28"/>
          <w:szCs w:val="28"/>
        </w:rPr>
        <w:t>12</w:t>
      </w:r>
      <w:r>
        <w:rPr>
          <w:rFonts w:eastAsia="標楷體"/>
          <w:spacing w:val="4"/>
          <w:kern w:val="0"/>
          <w:sz w:val="28"/>
          <w:szCs w:val="28"/>
        </w:rPr>
        <w:t>月</w:t>
      </w:r>
      <w:r>
        <w:rPr>
          <w:rFonts w:eastAsia="標楷體"/>
          <w:spacing w:val="4"/>
          <w:kern w:val="0"/>
          <w:sz w:val="28"/>
          <w:szCs w:val="28"/>
        </w:rPr>
        <w:t>31</w:t>
      </w:r>
      <w:r>
        <w:rPr>
          <w:rFonts w:eastAsia="標楷體"/>
          <w:spacing w:val="4"/>
          <w:kern w:val="0"/>
          <w:sz w:val="28"/>
          <w:szCs w:val="28"/>
        </w:rPr>
        <w:t>日前完成政府一體的組織改造作業，建構適應國家未來發展需要的行政院新架構。</w:t>
      </w:r>
    </w:p>
    <w:p w14:paraId="7D6C0EB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2.</w:t>
      </w:r>
      <w:r>
        <w:rPr>
          <w:rFonts w:eastAsia="標楷體"/>
          <w:spacing w:val="4"/>
          <w:kern w:val="0"/>
          <w:sz w:val="28"/>
          <w:szCs w:val="28"/>
        </w:rPr>
        <w:t>推動「健全內部控制實施方案」，訂頒內部控制制度相關規範，落實「依限完成、明確賞罰」原則，督促重大施政依限完成，提升服務效能。</w:t>
      </w:r>
    </w:p>
    <w:p w14:paraId="357DA9D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3.</w:t>
      </w:r>
      <w:r>
        <w:rPr>
          <w:rFonts w:eastAsia="標楷體"/>
          <w:spacing w:val="4"/>
          <w:kern w:val="0"/>
          <w:sz w:val="28"/>
          <w:szCs w:val="28"/>
        </w:rPr>
        <w:t>提升公文時效，配合資訊網路發展，調整公文電子交換網路，提高公文電子交換量，建置機關文檔系統作業服務環境，推動政府機關節能減紙作業，持續發展電子檔案保存技能。</w:t>
      </w:r>
    </w:p>
    <w:p w14:paraId="30EAA1C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(二)落實主動服務與服務評價機制</w:t>
      </w:r>
    </w:p>
    <w:p w14:paraId="344C6FD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1.</w:t>
      </w:r>
      <w:r>
        <w:rPr>
          <w:rFonts w:eastAsia="標楷體"/>
          <w:spacing w:val="4"/>
          <w:kern w:val="0"/>
          <w:sz w:val="28"/>
          <w:szCs w:val="28"/>
        </w:rPr>
        <w:t>主動提供民眾所需服務資訊，落實申辦案件免書證、免謄本服務及推動單據謄本電子化，推動單一窗口全功能服務及跨機關業務整合。</w:t>
      </w:r>
    </w:p>
    <w:p w14:paraId="736B2ED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2.</w:t>
      </w:r>
      <w:r>
        <w:rPr>
          <w:rFonts w:eastAsia="標楷體"/>
          <w:spacing w:val="4"/>
          <w:kern w:val="0"/>
          <w:sz w:val="28"/>
          <w:szCs w:val="28"/>
        </w:rPr>
        <w:t>加強申辦案件資訊及流程完整透明，進行表單簡化及標準化，深化電子化政府便民服務。</w:t>
      </w:r>
    </w:p>
    <w:p w14:paraId="71F106F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3.</w:t>
      </w:r>
      <w:r>
        <w:rPr>
          <w:rFonts w:eastAsia="標楷體"/>
          <w:spacing w:val="4"/>
          <w:kern w:val="0"/>
          <w:sz w:val="28"/>
          <w:szCs w:val="28"/>
        </w:rPr>
        <w:t>強化納稅服務，實施「稅額試算服務」，主動提供民眾所得稅申報資料；賡續推動綜合所得稅扣除額單據電子化、扣除額資料查詢服務及網路報稅等便民措施。</w:t>
      </w:r>
    </w:p>
    <w:p w14:paraId="46A4D3D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4.</w:t>
      </w:r>
      <w:r>
        <w:rPr>
          <w:rFonts w:eastAsia="標楷體"/>
          <w:spacing w:val="4"/>
          <w:kern w:val="0"/>
          <w:sz w:val="28"/>
          <w:szCs w:val="28"/>
        </w:rPr>
        <w:t>整合稅務資訊資源，主動通知國稅、地方稅稅務服務，並逐年增加服務項目。</w:t>
      </w:r>
    </w:p>
    <w:p w14:paraId="3C5F120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5.</w:t>
      </w:r>
      <w:r>
        <w:rPr>
          <w:rFonts w:eastAsia="標楷體"/>
          <w:spacing w:val="4"/>
          <w:kern w:val="0"/>
          <w:sz w:val="28"/>
          <w:szCs w:val="28"/>
        </w:rPr>
        <w:t>賡續推動統一發票電子化，降低營業人交易成本，提升稽徵效能，落實節能環保。</w:t>
      </w:r>
    </w:p>
    <w:p w14:paraId="26428DB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6.</w:t>
      </w:r>
      <w:r>
        <w:rPr>
          <w:rFonts w:eastAsia="標楷體"/>
          <w:spacing w:val="4"/>
          <w:kern w:val="0"/>
          <w:sz w:val="28"/>
          <w:szCs w:val="28"/>
        </w:rPr>
        <w:t>擴大推動各機關主管室內公共區域提供免費無線上網服務，開放室內公共區域供民間業者建置商用服務，並委由</w:t>
      </w:r>
      <w:r>
        <w:rPr>
          <w:rFonts w:eastAsia="標楷體"/>
          <w:spacing w:val="4"/>
          <w:kern w:val="0"/>
          <w:sz w:val="28"/>
          <w:szCs w:val="28"/>
        </w:rPr>
        <w:lastRenderedPageBreak/>
        <w:t>民間業者同時營運及免費提供民眾</w:t>
      </w:r>
      <w:r>
        <w:rPr>
          <w:rFonts w:eastAsia="標楷體"/>
          <w:spacing w:val="4"/>
          <w:kern w:val="0"/>
          <w:sz w:val="28"/>
          <w:szCs w:val="28"/>
        </w:rPr>
        <w:t>iTaiwan</w:t>
      </w:r>
      <w:r>
        <w:rPr>
          <w:rFonts w:eastAsia="標楷體"/>
          <w:spacing w:val="4"/>
          <w:kern w:val="0"/>
          <w:sz w:val="28"/>
          <w:szCs w:val="28"/>
        </w:rPr>
        <w:t>無線上網服務，並推動地方無線上網熱點佈建。</w:t>
      </w:r>
    </w:p>
    <w:p w14:paraId="6243D87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7.</w:t>
      </w:r>
      <w:r>
        <w:rPr>
          <w:rFonts w:eastAsia="標楷體"/>
          <w:spacing w:val="4"/>
          <w:kern w:val="0"/>
          <w:sz w:val="28"/>
          <w:szCs w:val="28"/>
        </w:rPr>
        <w:t>推廣機關建立服務評價機制，瞭解民眾接受服務意見，改善業務流程，提供優質服務。</w:t>
      </w:r>
    </w:p>
    <w:p w14:paraId="5FD4E49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(三)建立政府服務流程改造推動機制</w:t>
      </w:r>
    </w:p>
    <w:p w14:paraId="0551482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pPr>
      <w:r>
        <w:rPr>
          <w:rFonts w:eastAsia="標楷體"/>
          <w:spacing w:val="4"/>
          <w:kern w:val="0"/>
          <w:sz w:val="28"/>
          <w:szCs w:val="28"/>
        </w:rPr>
        <w:t>1.</w:t>
      </w:r>
      <w:r>
        <w:rPr>
          <w:rFonts w:eastAsia="標楷體"/>
          <w:spacing w:val="4"/>
          <w:kern w:val="0"/>
          <w:sz w:val="28"/>
          <w:szCs w:val="28"/>
        </w:rPr>
        <w:t>持續執行「第四階段電子化政府計畫」</w:t>
      </w:r>
      <w:r>
        <w:rPr>
          <w:rFonts w:ascii="標楷體" w:eastAsia="標楷體" w:hAnsi="標楷體"/>
          <w:spacing w:val="4"/>
          <w:kern w:val="0"/>
          <w:sz w:val="28"/>
          <w:szCs w:val="28"/>
        </w:rPr>
        <w:t>(</w:t>
      </w:r>
      <w:r>
        <w:rPr>
          <w:rFonts w:eastAsia="標楷體"/>
          <w:spacing w:val="4"/>
          <w:kern w:val="0"/>
          <w:sz w:val="28"/>
          <w:szCs w:val="28"/>
        </w:rPr>
        <w:t>101</w:t>
      </w:r>
      <w:r>
        <w:rPr>
          <w:rFonts w:eastAsia="標楷體"/>
          <w:spacing w:val="4"/>
          <w:kern w:val="0"/>
          <w:sz w:val="28"/>
          <w:szCs w:val="28"/>
        </w:rPr>
        <w:t>至</w:t>
      </w:r>
      <w:r>
        <w:rPr>
          <w:rFonts w:eastAsia="標楷體"/>
          <w:spacing w:val="4"/>
          <w:kern w:val="0"/>
          <w:sz w:val="28"/>
          <w:szCs w:val="28"/>
        </w:rPr>
        <w:t>105</w:t>
      </w:r>
      <w:r>
        <w:rPr>
          <w:rFonts w:eastAsia="標楷體"/>
          <w:spacing w:val="4"/>
          <w:kern w:val="0"/>
          <w:sz w:val="28"/>
          <w:szCs w:val="28"/>
        </w:rPr>
        <w:t>年</w:t>
      </w:r>
      <w:r>
        <w:rPr>
          <w:rFonts w:ascii="標楷體" w:eastAsia="標楷體" w:hAnsi="標楷體"/>
          <w:spacing w:val="4"/>
          <w:kern w:val="0"/>
          <w:sz w:val="28"/>
          <w:szCs w:val="28"/>
        </w:rPr>
        <w:t>)</w:t>
      </w:r>
      <w:r>
        <w:rPr>
          <w:rFonts w:eastAsia="標楷體"/>
          <w:spacing w:val="4"/>
          <w:kern w:val="0"/>
          <w:sz w:val="28"/>
          <w:szCs w:val="28"/>
        </w:rPr>
        <w:t>，以民眾觀點推動跨機關服務整合，提供友善、便民及信賴的全程服務品質。</w:t>
      </w:r>
    </w:p>
    <w:p w14:paraId="1A4999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2.</w:t>
      </w:r>
      <w:r>
        <w:rPr>
          <w:rFonts w:eastAsia="標楷體"/>
          <w:spacing w:val="4"/>
          <w:kern w:val="0"/>
          <w:sz w:val="28"/>
          <w:szCs w:val="28"/>
        </w:rPr>
        <w:t>持續推動「黃金十年『效能躍升』施政主軸實施計畫」，定期檢視各機關執行成效，落實效能躍升目標。</w:t>
      </w:r>
    </w:p>
    <w:p w14:paraId="14925FC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3.</w:t>
      </w:r>
      <w:r>
        <w:rPr>
          <w:rFonts w:eastAsia="標楷體"/>
          <w:spacing w:val="4"/>
          <w:kern w:val="0"/>
          <w:sz w:val="28"/>
          <w:szCs w:val="28"/>
        </w:rPr>
        <w:t>持續推動「政府服務創新精進方案」，深化創新整合服務，辦理服務品質評選。</w:t>
      </w:r>
    </w:p>
    <w:p w14:paraId="4E700E9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(四)強化法規檢討平臺機能，推動法規合理化</w:t>
      </w:r>
    </w:p>
    <w:p w14:paraId="3BEC4F0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1.</w:t>
      </w:r>
      <w:r>
        <w:rPr>
          <w:rFonts w:eastAsia="標楷體"/>
          <w:spacing w:val="4"/>
          <w:kern w:val="0"/>
          <w:sz w:val="28"/>
          <w:szCs w:val="28"/>
        </w:rPr>
        <w:t>調適法規並強化法規凝聚力，以打造高效能的行政體制，引領臺灣經濟走向開放接軌。</w:t>
      </w:r>
    </w:p>
    <w:p w14:paraId="73A1BF9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rPr>
          <w:rFonts w:eastAsia="標楷體"/>
          <w:spacing w:val="4"/>
          <w:kern w:val="0"/>
          <w:sz w:val="28"/>
          <w:szCs w:val="28"/>
        </w:rPr>
      </w:pPr>
      <w:r>
        <w:rPr>
          <w:rFonts w:eastAsia="標楷體"/>
          <w:spacing w:val="4"/>
          <w:kern w:val="0"/>
          <w:sz w:val="28"/>
          <w:szCs w:val="28"/>
        </w:rPr>
        <w:t>2.</w:t>
      </w:r>
      <w:r>
        <w:rPr>
          <w:rFonts w:eastAsia="標楷體"/>
          <w:spacing w:val="4"/>
          <w:kern w:val="0"/>
          <w:sz w:val="28"/>
          <w:szCs w:val="28"/>
        </w:rPr>
        <w:t>加強各部會政策目標整合，進行全面法規之調適，以確保整體經貿利益。</w:t>
      </w:r>
    </w:p>
    <w:p w14:paraId="1F413A6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46AAD88" w14:textId="77777777" w:rsidR="00052596" w:rsidRDefault="00052596">
      <w:pPr>
        <w:pageBreakBefore/>
        <w:widowControl/>
      </w:pPr>
    </w:p>
    <w:p w14:paraId="2B8FF6A6"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第四節</w:t>
      </w:r>
      <w:r>
        <w:rPr>
          <w:rFonts w:eastAsia="標楷體"/>
          <w:b/>
          <w:color w:val="0000FF"/>
          <w:spacing w:val="10"/>
          <w:kern w:val="0"/>
          <w:sz w:val="30"/>
          <w:szCs w:val="28"/>
        </w:rPr>
        <w:t xml:space="preserve">  </w:t>
      </w:r>
      <w:r>
        <w:rPr>
          <w:rFonts w:eastAsia="標楷體"/>
          <w:b/>
          <w:color w:val="0000FF"/>
          <w:spacing w:val="10"/>
          <w:kern w:val="0"/>
          <w:sz w:val="30"/>
          <w:szCs w:val="28"/>
        </w:rPr>
        <w:t>優質文教</w:t>
      </w:r>
    </w:p>
    <w:p w14:paraId="4CF619A4"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8429288"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未來四年，政府將賡續推動「文化創意」與「教育革新」施政主軸，以建設臺灣成為中華文化領航者，並培育出具國際競爭力之優質人力，打造我國成為優質文化大國及東亞高等教育重鎮。</w:t>
      </w:r>
    </w:p>
    <w:p w14:paraId="4CFC18BD"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E4DE060"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壹、文化創意</w:t>
      </w:r>
    </w:p>
    <w:p w14:paraId="0CA5BB4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D0EB576"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臺灣擁有深厚文化底蘊、優秀文創人才、良好創新研發及市場消費能力，造就臺灣獨有的文化創意發展潛力及環境。為持續提升我國文化軟實力，政府特將文化創意列為六大新興產業之一，打造臺灣成為精緻、創新及當代華人文化孕育地；近年來，臺灣影視與流行音樂產業正逐步邁向國際，顯見政府推動文化創意產業已初見成效。</w:t>
      </w:r>
    </w:p>
    <w:p w14:paraId="485456D2"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面對後</w:t>
      </w:r>
      <w:r>
        <w:rPr>
          <w:rFonts w:eastAsia="標楷體"/>
          <w:spacing w:val="4"/>
          <w:kern w:val="0"/>
          <w:sz w:val="28"/>
          <w:szCs w:val="26"/>
        </w:rPr>
        <w:t>ECFA</w:t>
      </w:r>
      <w:r>
        <w:rPr>
          <w:rFonts w:eastAsia="標楷體"/>
          <w:spacing w:val="4"/>
          <w:kern w:val="0"/>
          <w:sz w:val="28"/>
          <w:szCs w:val="26"/>
        </w:rPr>
        <w:t>時代，為掌握兩岸與亞洲華人所形成之華語市場商機，政府對內將積極規劃與推動文創產業經營輔導等計畫，提升產業效益；對外則加速提升臺灣文創產業能見度，形塑臺灣文化創意精品之整體品牌意象。此外，為加速文化資本累積，使臺灣成為華文世界的文化創意領航者，政府將透過「向下扎根」與「走向國際」雙管齊下，讓臺灣的文化發展更深更廣。</w:t>
      </w:r>
    </w:p>
    <w:p w14:paraId="66937FCB"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未來四年，政府將以軟性經濟創意開拓發展新動能，結合現有文創資源與資訊通訊產業，優化產業結構，提升文創產業附加價值，打造我國成為優質文化大國。</w:t>
      </w:r>
    </w:p>
    <w:p w14:paraId="439A6FD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16C1E79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鼓勵製播優質數位電視節目，活絡數位影視製作環境。</w:t>
      </w:r>
    </w:p>
    <w:p w14:paraId="27DF880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吸引民間產業與資金投入，發展我國數位影視產業；推動數位科技，提升文化創意空間，活絡文化內涵，帶動文化創意產業發展。</w:t>
      </w:r>
    </w:p>
    <w:p w14:paraId="4572DA3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建置專屬硬體設施，完整建構臺灣文化展演設施，提升流行音樂現場演出產能。</w:t>
      </w:r>
    </w:p>
    <w:p w14:paraId="6229A5F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均衡城鄉文化資源，增加藝文消費人口。</w:t>
      </w:r>
    </w:p>
    <w:p w14:paraId="72D049C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健全文化創意產業環境發展整備，加強文創人才訓練與育成。</w:t>
      </w:r>
    </w:p>
    <w:p w14:paraId="3BABEDE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六</w:t>
      </w:r>
      <w:r>
        <w:rPr>
          <w:rFonts w:ascii="標楷體" w:eastAsia="標楷體" w:hAnsi="標楷體"/>
          <w:spacing w:val="4"/>
          <w:kern w:val="0"/>
          <w:sz w:val="28"/>
          <w:szCs w:val="22"/>
        </w:rPr>
        <w:t>)</w:t>
      </w:r>
      <w:r>
        <w:rPr>
          <w:rFonts w:eastAsia="標楷體"/>
          <w:spacing w:val="4"/>
          <w:kern w:val="0"/>
          <w:sz w:val="28"/>
          <w:szCs w:val="22"/>
        </w:rPr>
        <w:t>打造臺灣文創企業成為華人文創經濟領先者；推動文創產業，帶動國家美學經濟。</w:t>
      </w:r>
    </w:p>
    <w:p w14:paraId="4DD1916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7BC3ECE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輔導核心藝術與創作之傳承及創新</w:t>
      </w:r>
    </w:p>
    <w:p w14:paraId="2663C3D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建立著作權經紀人制度：協助作家或出版社洽談國際及數位著作權；規劃專業培訓課程，結合華文作品國際行銷計畫，培養實務經驗，逐步接觸並投入市場。</w:t>
      </w:r>
    </w:p>
    <w:p w14:paraId="5C5BEC6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持續輔助民間藝文團體辦理文學寫作班、文學獎、文藝營等計畫，培育文學創作人才。</w:t>
      </w:r>
    </w:p>
    <w:p w14:paraId="4D8A51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辦理金鼎獎及金漫獎等獎勵活動，鼓勵優秀文創工作者。</w:t>
      </w:r>
    </w:p>
    <w:p w14:paraId="4E62295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培育文化資產、表演藝術、文學創作、視覺美術、電視電影、音樂舞蹈、工藝雕刻、影像紀錄、文史調查等不同面向之在地文化人才，輔導成立在地藝文團體，加強文化扎根。</w:t>
      </w:r>
    </w:p>
    <w:p w14:paraId="26D90D0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推動專業藝文團體駐鄉服務，舉辦各種藝術展演、行動博物館及文學館列車巡迴村落活動，提供多元文化資源。</w:t>
      </w:r>
    </w:p>
    <w:p w14:paraId="6FD4B8C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6.</w:t>
      </w:r>
      <w:r>
        <w:rPr>
          <w:rFonts w:eastAsia="標楷體"/>
          <w:spacing w:val="4"/>
          <w:kern w:val="0"/>
          <w:sz w:val="28"/>
          <w:szCs w:val="26"/>
        </w:rPr>
        <w:t>輔導村落微型文化產業，扶植人才回</w:t>
      </w:r>
      <w:r>
        <w:rPr>
          <w:rFonts w:ascii="標楷體" w:eastAsia="標楷體" w:hAnsi="標楷體"/>
          <w:spacing w:val="4"/>
          <w:kern w:val="0"/>
          <w:sz w:val="28"/>
          <w:szCs w:val="26"/>
        </w:rPr>
        <w:t>(</w:t>
      </w:r>
      <w:r>
        <w:rPr>
          <w:rFonts w:eastAsia="標楷體"/>
          <w:spacing w:val="4"/>
          <w:kern w:val="0"/>
          <w:sz w:val="28"/>
          <w:szCs w:val="26"/>
        </w:rPr>
        <w:t>留</w:t>
      </w:r>
      <w:r>
        <w:rPr>
          <w:rFonts w:ascii="標楷體" w:eastAsia="標楷體" w:hAnsi="標楷體"/>
          <w:spacing w:val="4"/>
          <w:kern w:val="0"/>
          <w:sz w:val="28"/>
          <w:szCs w:val="26"/>
        </w:rPr>
        <w:t>)</w:t>
      </w:r>
      <w:r>
        <w:rPr>
          <w:rFonts w:eastAsia="標楷體"/>
          <w:spacing w:val="4"/>
          <w:kern w:val="0"/>
          <w:sz w:val="28"/>
          <w:szCs w:val="26"/>
        </w:rPr>
        <w:t>鄉就業、創業，創造村落微型文化產業行銷通路，建立工藝及文化觀光人才交流平臺。</w:t>
      </w:r>
    </w:p>
    <w:p w14:paraId="4EC0925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透過多元活動拓展村落文化服務範圍，加強輔導村落發掘在地美學，改善傳統常民生活空間，提升文化觀光潛力。</w:t>
      </w:r>
    </w:p>
    <w:p w14:paraId="4CBADF5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)完</w:t>
      </w:r>
      <w:r>
        <w:rPr>
          <w:rFonts w:eastAsia="標楷體"/>
          <w:spacing w:val="4"/>
          <w:kern w:val="0"/>
          <w:sz w:val="28"/>
          <w:szCs w:val="22"/>
        </w:rPr>
        <w:t>成興建重要藝文空間，提升場館經營專業</w:t>
      </w:r>
    </w:p>
    <w:p w14:paraId="3817986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完成興建衛武營藝術文化中心、屏東縣演藝廳、臺中大都會歌劇院、海洋文化及流行音樂中心與北部流行音樂中心、臺灣電影文化中心，訂定營運計畫，促進重要藝文空間城鄉配置均衡發展。</w:t>
      </w:r>
    </w:p>
    <w:p w14:paraId="7C3E61E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2.104</w:t>
      </w:r>
      <w:r>
        <w:rPr>
          <w:rFonts w:eastAsia="標楷體"/>
          <w:spacing w:val="4"/>
          <w:kern w:val="0"/>
          <w:sz w:val="28"/>
          <w:szCs w:val="26"/>
        </w:rPr>
        <w:t>年完成故宮南部院區建設與開館試營運；推動大故宮計畫，大幅擴增展覽面積，打造故宮為中華文化的領航基地。</w:t>
      </w:r>
    </w:p>
    <w:p w14:paraId="004008B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均衡城鄉文化資源，增加藝文消費人口</w:t>
      </w:r>
    </w:p>
    <w:p w14:paraId="339ADD6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1.</w:t>
      </w:r>
      <w:r>
        <w:rPr>
          <w:rFonts w:eastAsia="標楷體"/>
          <w:spacing w:val="4"/>
          <w:kern w:val="0"/>
          <w:sz w:val="28"/>
          <w:szCs w:val="26"/>
        </w:rPr>
        <w:t>擴大辦理偏鄉閱讀；推動獨立書店成為閱讀基地，鼓勵獨立書店針對關懷社群辦理閱讀推廣活動。</w:t>
      </w:r>
    </w:p>
    <w:p w14:paraId="572C5D2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推廣數位展覽至城、鄉、原鄉、離島舉辦行動巡展。</w:t>
      </w:r>
    </w:p>
    <w:p w14:paraId="5BFDC9B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推動故宮複製文物教育巡迴展至矯正機關、偏遠地區學校等，均衡城鄉文化資源發展，提升各階層民眾文化參與。</w:t>
      </w:r>
    </w:p>
    <w:p w14:paraId="3230BF6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配合故宮南部院區開館營運，推出織品、佛教、陶瓷、茶文化、嘉義史等常設展，並透過專題展等方式展出院藏青花瓷及玉器。</w:t>
      </w:r>
    </w:p>
    <w:p w14:paraId="132AF22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服務弱勢團體，賡續辦理「跨越障礙</w:t>
      </w:r>
      <w:r>
        <w:rPr>
          <w:rFonts w:eastAsia="標楷體"/>
          <w:spacing w:val="4"/>
          <w:kern w:val="0"/>
          <w:sz w:val="28"/>
          <w:szCs w:val="26"/>
        </w:rPr>
        <w:t>‧</w:t>
      </w:r>
      <w:r>
        <w:rPr>
          <w:rFonts w:eastAsia="標楷體"/>
          <w:spacing w:val="4"/>
          <w:kern w:val="0"/>
          <w:sz w:val="28"/>
          <w:szCs w:val="26"/>
        </w:rPr>
        <w:t>欣賞美麗」活動，提供視障者觸接式導覽服務；逐年針對不同障別，開發符合需求之導覽服務。</w:t>
      </w:r>
    </w:p>
    <w:p w14:paraId="7197F2E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健全文化創意產業環境與人才育成之整備</w:t>
      </w:r>
    </w:p>
    <w:p w14:paraId="6D4E0E4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協助優秀核心藝術者及文創工作者參與國際競賽，辦理專業人才培訓，激勵新生代創作者投入核心藝術及文創工作。</w:t>
      </w:r>
    </w:p>
    <w:p w14:paraId="6686F1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鼓勵民間提供空間供文創事業使用，強化產業群聚連結；推動核心創作及獨立工作者進駐文創聚落，透過群聚效益促進文化創意產業發展。</w:t>
      </w:r>
    </w:p>
    <w:p w14:paraId="61E39DF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成立文化創意產業發展研究院，強化產業輔導，提升文創產業研發及創新能量。</w:t>
      </w:r>
    </w:p>
    <w:p w14:paraId="742EFC4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結合民間資金、創投機制，建置產官學研究合作網絡，育成原創與跨域文創人才。</w:t>
      </w:r>
    </w:p>
    <w:p w14:paraId="4990B51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運用故宮典藏建立文創資源平臺，提供我國文創產業加值應用，並提升文創商品的內涵和產業競爭力。</w:t>
      </w:r>
    </w:p>
    <w:p w14:paraId="4F80EF7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強化創新產製能力，打造優質影音龍頭重鎮</w:t>
      </w:r>
    </w:p>
    <w:p w14:paraId="2070024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整備電影產業政策及法規研究，健全電影產業發展環境，協助電影產業拓展全球市場。</w:t>
      </w:r>
    </w:p>
    <w:p w14:paraId="041400F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透過辦理研討會、專業展覽等方式，提升相關領域人才參與數位產業意願，擴大業界、學界技術交流，使數位影視發展更具多元普遍性。</w:t>
      </w:r>
    </w:p>
    <w:p w14:paraId="0E74B1E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推廣數位新技術優點，提升民眾換購數位電視設備意願。</w:t>
      </w:r>
    </w:p>
    <w:p w14:paraId="2DDAE0E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4.</w:t>
      </w:r>
      <w:r>
        <w:rPr>
          <w:rFonts w:eastAsia="標楷體"/>
          <w:spacing w:val="4"/>
          <w:kern w:val="0"/>
          <w:sz w:val="28"/>
          <w:szCs w:val="26"/>
        </w:rPr>
        <w:t>協助公共電視營運高畫質頻道，凸顯高畫質節目特性，提供民眾更高品質的視聽服務。</w:t>
      </w:r>
    </w:p>
    <w:p w14:paraId="40F22DB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協助中央廣播電臺分臺遷建整併：捐助中央廣播電臺辦理分臺遷建整併計畫，將虎尾及臺南分臺分別遷建整併至褒忠及淡水分臺。</w:t>
      </w:r>
    </w:p>
    <w:p w14:paraId="25D1C49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六</w:t>
      </w:r>
      <w:r>
        <w:rPr>
          <w:rFonts w:ascii="標楷體" w:eastAsia="標楷體" w:hAnsi="標楷體"/>
          <w:spacing w:val="4"/>
          <w:kern w:val="0"/>
          <w:sz w:val="28"/>
          <w:szCs w:val="22"/>
        </w:rPr>
        <w:t>)</w:t>
      </w:r>
      <w:r>
        <w:rPr>
          <w:rFonts w:eastAsia="標楷體"/>
          <w:spacing w:val="4"/>
          <w:kern w:val="0"/>
          <w:sz w:val="28"/>
          <w:szCs w:val="22"/>
        </w:rPr>
        <w:t>促進國際文化交流，成為中華文化領航者</w:t>
      </w:r>
    </w:p>
    <w:p w14:paraId="7B6FA44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透過臺灣書院整合部會資源，建立部會文化業務整合平臺，規劃整體文化資源，積極與國際社會接軌。</w:t>
      </w:r>
    </w:p>
    <w:p w14:paraId="04FE265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建構文化雲端運用服務，與國際社會接軌</w:t>
      </w:r>
    </w:p>
    <w:p w14:paraId="2510A1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規劃建置「文創產業雲」、「故宮雲」基礎環境。</w:t>
      </w:r>
    </w:p>
    <w:p w14:paraId="0A2008C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規劃建置雲端故宮應用典範。</w:t>
      </w:r>
    </w:p>
    <w:p w14:paraId="09FD059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擴充故宮典藏文物知識庫系統網路服務平臺。</w:t>
      </w:r>
    </w:p>
    <w:p w14:paraId="4ACD640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七</w:t>
      </w:r>
      <w:r>
        <w:rPr>
          <w:rFonts w:ascii="標楷體" w:eastAsia="標楷體" w:hAnsi="標楷體"/>
          <w:spacing w:val="4"/>
          <w:kern w:val="0"/>
          <w:sz w:val="28"/>
          <w:szCs w:val="22"/>
        </w:rPr>
        <w:t>)</w:t>
      </w:r>
      <w:r>
        <w:rPr>
          <w:rFonts w:eastAsia="標楷體"/>
          <w:spacing w:val="4"/>
          <w:kern w:val="0"/>
          <w:sz w:val="28"/>
          <w:szCs w:val="22"/>
        </w:rPr>
        <w:t>文創產業價值產值化</w:t>
      </w:r>
    </w:p>
    <w:p w14:paraId="4482398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推動文化內容開放</w:t>
      </w:r>
      <w:r>
        <w:rPr>
          <w:rFonts w:ascii="標楷體" w:eastAsia="標楷體" w:hAnsi="標楷體"/>
          <w:spacing w:val="4"/>
          <w:kern w:val="0"/>
          <w:sz w:val="28"/>
          <w:szCs w:val="26"/>
        </w:rPr>
        <w:t>(</w:t>
      </w:r>
      <w:r>
        <w:rPr>
          <w:rFonts w:eastAsia="標楷體"/>
          <w:spacing w:val="4"/>
          <w:kern w:val="0"/>
          <w:sz w:val="28"/>
          <w:szCs w:val="26"/>
        </w:rPr>
        <w:t>Open Data</w:t>
      </w:r>
      <w:r>
        <w:rPr>
          <w:rFonts w:ascii="標楷體" w:eastAsia="標楷體" w:hAnsi="標楷體"/>
          <w:spacing w:val="4"/>
          <w:kern w:val="0"/>
          <w:sz w:val="28"/>
          <w:szCs w:val="26"/>
        </w:rPr>
        <w:t>)</w:t>
      </w:r>
      <w:r>
        <w:rPr>
          <w:rFonts w:eastAsia="標楷體"/>
          <w:spacing w:val="4"/>
          <w:kern w:val="0"/>
          <w:sz w:val="28"/>
          <w:szCs w:val="26"/>
        </w:rPr>
        <w:t>與加值應用</w:t>
      </w:r>
    </w:p>
    <w:p w14:paraId="52E5CE9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推動公部門資料公開與促進加值應用，並開放民間使用，促進創新與民眾參與。</w:t>
      </w:r>
    </w:p>
    <w:p w14:paraId="5533CCA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鼓勵將文化創意內容進行加值應用，形成具商業應用模式專案，並透過平臺加速投資人或跨界跨領域應用需求者之媒合。</w:t>
      </w:r>
    </w:p>
    <w:p w14:paraId="3F3DF86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建構一源多用營運模式；發展中介服務體系，促進文創內容流通，健全產業鏈發展。</w:t>
      </w:r>
    </w:p>
    <w:p w14:paraId="477079C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促成跨界與跨業整合，提升文創產業價值。</w:t>
      </w:r>
    </w:p>
    <w:p w14:paraId="40FD0E74"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7204A56"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貳、教育革新</w:t>
      </w:r>
    </w:p>
    <w:p w14:paraId="3CD0A90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BF2091A"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邁入知識化、資訊化與全球化的</w:t>
      </w:r>
      <w:r>
        <w:rPr>
          <w:rFonts w:eastAsia="標楷體"/>
          <w:spacing w:val="4"/>
          <w:kern w:val="0"/>
          <w:sz w:val="28"/>
          <w:szCs w:val="26"/>
        </w:rPr>
        <w:t>21</w:t>
      </w:r>
      <w:r>
        <w:rPr>
          <w:rFonts w:eastAsia="標楷體"/>
          <w:spacing w:val="4"/>
          <w:kern w:val="0"/>
          <w:sz w:val="28"/>
          <w:szCs w:val="26"/>
        </w:rPr>
        <w:t>世紀，人力資本已成為全球國力競賽的勝敗關鍵，教育政策重點不再只是追求數量的增加，更要積極追求品質的提升。因此，世界各國莫不積極致力教育革新，以提升教育的國際競爭力，其中高等教育的卓越化與國際化，更受到關注。過去四年來，政府大力推動擴大教育投資、發展高等教育、推動技職</w:t>
      </w:r>
      <w:r>
        <w:rPr>
          <w:rFonts w:eastAsia="標楷體"/>
          <w:spacing w:val="4"/>
          <w:kern w:val="0"/>
          <w:sz w:val="28"/>
          <w:szCs w:val="26"/>
        </w:rPr>
        <w:lastRenderedPageBreak/>
        <w:t>教育及提升教育人力，人力資本的質與量皆較以往明顯增進，惟面對日益嚴峻的國際競爭，不可諱言仍面臨許多挑戰，舉如：少子女化與高齡化、教育</w:t>
      </w:r>
      <w:r>
        <w:rPr>
          <w:rFonts w:eastAsia="標楷體"/>
          <w:spacing w:val="4"/>
          <w:kern w:val="0"/>
          <w:sz w:val="28"/>
          <w:szCs w:val="26"/>
        </w:rPr>
        <w:t>M</w:t>
      </w:r>
      <w:r>
        <w:rPr>
          <w:rFonts w:eastAsia="標楷體"/>
          <w:spacing w:val="4"/>
          <w:kern w:val="0"/>
          <w:sz w:val="28"/>
          <w:szCs w:val="26"/>
        </w:rPr>
        <w:t>型化、全球化競爭、本土化意識興起等，均亟待積極因應。</w:t>
      </w:r>
    </w:p>
    <w:p w14:paraId="7F53F8D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因此，未來四年，政府將全力強化教育革新，對內將全力實施十二年國民基本教育、加強產學合作與培育知識經濟人才、提升國人英語能力，並藉由專業教學與適性輔導，培養具有新世代創新能力之世界公民；對外將積極延攬國際人才、加強華語文產業輸出，以厚植國際競爭力，造就「東亞高等教育重鎮」，使人力資本成為未來國家發展的比較優勢。</w:t>
      </w:r>
    </w:p>
    <w:p w14:paraId="537D69F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0D5785F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逐年擴大免試入學名額比率，為實施十二年國民基本教育墊基</w:t>
      </w:r>
    </w:p>
    <w:p w14:paraId="71BC49D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1.103</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學年各免試就學區免試入學名額分別達</w:t>
      </w:r>
      <w:r>
        <w:rPr>
          <w:rFonts w:eastAsia="標楷體"/>
          <w:spacing w:val="4"/>
          <w:kern w:val="0"/>
          <w:sz w:val="28"/>
          <w:szCs w:val="26"/>
        </w:rPr>
        <w:t>75%</w:t>
      </w:r>
      <w:r>
        <w:rPr>
          <w:rFonts w:eastAsia="標楷體"/>
          <w:spacing w:val="4"/>
          <w:kern w:val="0"/>
          <w:sz w:val="28"/>
          <w:szCs w:val="26"/>
        </w:rPr>
        <w:t>、</w:t>
      </w:r>
      <w:r>
        <w:rPr>
          <w:rFonts w:eastAsia="標楷體"/>
          <w:spacing w:val="4"/>
          <w:kern w:val="0"/>
          <w:sz w:val="28"/>
          <w:szCs w:val="26"/>
        </w:rPr>
        <w:t>77%</w:t>
      </w:r>
      <w:r>
        <w:rPr>
          <w:rFonts w:eastAsia="標楷體"/>
          <w:spacing w:val="4"/>
          <w:kern w:val="0"/>
          <w:sz w:val="28"/>
          <w:szCs w:val="26"/>
        </w:rPr>
        <w:t>、</w:t>
      </w:r>
      <w:r>
        <w:rPr>
          <w:rFonts w:eastAsia="標楷體"/>
          <w:spacing w:val="4"/>
          <w:kern w:val="0"/>
          <w:sz w:val="28"/>
          <w:szCs w:val="26"/>
        </w:rPr>
        <w:t>79%</w:t>
      </w:r>
      <w:r>
        <w:rPr>
          <w:rFonts w:eastAsia="標楷體"/>
          <w:spacing w:val="4"/>
          <w:kern w:val="0"/>
          <w:sz w:val="28"/>
          <w:szCs w:val="26"/>
        </w:rPr>
        <w:t>以上。</w:t>
      </w:r>
    </w:p>
    <w:p w14:paraId="5F6ADFB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推動高中職優質化，提升高中職就近入學率，由</w:t>
      </w:r>
      <w:r>
        <w:rPr>
          <w:rFonts w:eastAsia="標楷體"/>
          <w:spacing w:val="4"/>
          <w:kern w:val="0"/>
          <w:sz w:val="28"/>
          <w:szCs w:val="26"/>
        </w:rPr>
        <w:t>101</w:t>
      </w:r>
      <w:r>
        <w:rPr>
          <w:rFonts w:eastAsia="標楷體"/>
          <w:spacing w:val="4"/>
          <w:kern w:val="0"/>
          <w:sz w:val="28"/>
          <w:szCs w:val="26"/>
        </w:rPr>
        <w:t>學年之</w:t>
      </w:r>
      <w:r>
        <w:rPr>
          <w:rFonts w:eastAsia="標楷體"/>
          <w:spacing w:val="4"/>
          <w:kern w:val="0"/>
          <w:sz w:val="28"/>
          <w:szCs w:val="26"/>
        </w:rPr>
        <w:t>92%</w:t>
      </w:r>
      <w:r>
        <w:rPr>
          <w:rFonts w:eastAsia="標楷體"/>
          <w:spacing w:val="4"/>
          <w:kern w:val="0"/>
          <w:sz w:val="28"/>
          <w:szCs w:val="26"/>
        </w:rPr>
        <w:t>，提升至</w:t>
      </w:r>
      <w:r>
        <w:rPr>
          <w:rFonts w:eastAsia="標楷體"/>
          <w:spacing w:val="4"/>
          <w:kern w:val="0"/>
          <w:sz w:val="28"/>
          <w:szCs w:val="26"/>
        </w:rPr>
        <w:t>103</w:t>
      </w:r>
      <w:r>
        <w:rPr>
          <w:rFonts w:eastAsia="標楷體"/>
          <w:spacing w:val="4"/>
          <w:kern w:val="0"/>
          <w:sz w:val="28"/>
          <w:szCs w:val="26"/>
        </w:rPr>
        <w:t>學年之</w:t>
      </w:r>
      <w:r>
        <w:rPr>
          <w:rFonts w:eastAsia="標楷體"/>
          <w:spacing w:val="4"/>
          <w:kern w:val="0"/>
          <w:sz w:val="28"/>
          <w:szCs w:val="26"/>
        </w:rPr>
        <w:t>95%</w:t>
      </w:r>
      <w:r>
        <w:rPr>
          <w:rFonts w:eastAsia="標楷體"/>
          <w:spacing w:val="4"/>
          <w:kern w:val="0"/>
          <w:sz w:val="28"/>
          <w:szCs w:val="26"/>
        </w:rPr>
        <w:t>。</w:t>
      </w:r>
    </w:p>
    <w:p w14:paraId="2215DC2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實施高中職學校評鑑以及優質學校認證，優質學校比率由</w:t>
      </w:r>
      <w:r>
        <w:rPr>
          <w:rFonts w:eastAsia="標楷體"/>
          <w:spacing w:val="4"/>
          <w:kern w:val="0"/>
          <w:sz w:val="28"/>
          <w:szCs w:val="26"/>
        </w:rPr>
        <w:t>100</w:t>
      </w:r>
      <w:r>
        <w:rPr>
          <w:rFonts w:eastAsia="標楷體"/>
          <w:spacing w:val="4"/>
          <w:kern w:val="0"/>
          <w:sz w:val="28"/>
          <w:szCs w:val="26"/>
        </w:rPr>
        <w:t>學年之</w:t>
      </w:r>
      <w:r>
        <w:rPr>
          <w:rFonts w:eastAsia="標楷體"/>
          <w:spacing w:val="4"/>
          <w:kern w:val="0"/>
          <w:sz w:val="28"/>
          <w:szCs w:val="26"/>
        </w:rPr>
        <w:t>62%</w:t>
      </w:r>
      <w:r>
        <w:rPr>
          <w:rFonts w:eastAsia="標楷體"/>
          <w:spacing w:val="4"/>
          <w:kern w:val="0"/>
          <w:sz w:val="28"/>
          <w:szCs w:val="26"/>
        </w:rPr>
        <w:t>，提升至</w:t>
      </w:r>
      <w:r>
        <w:rPr>
          <w:rFonts w:eastAsia="標楷體"/>
          <w:spacing w:val="4"/>
          <w:kern w:val="0"/>
          <w:sz w:val="28"/>
          <w:szCs w:val="26"/>
        </w:rPr>
        <w:t>105</w:t>
      </w:r>
      <w:r>
        <w:rPr>
          <w:rFonts w:eastAsia="標楷體"/>
          <w:spacing w:val="4"/>
          <w:kern w:val="0"/>
          <w:sz w:val="28"/>
          <w:szCs w:val="26"/>
        </w:rPr>
        <w:t>學年之</w:t>
      </w:r>
      <w:r>
        <w:rPr>
          <w:rFonts w:eastAsia="標楷體"/>
          <w:spacing w:val="4"/>
          <w:kern w:val="0"/>
          <w:sz w:val="28"/>
          <w:szCs w:val="26"/>
        </w:rPr>
        <w:t>86%</w:t>
      </w:r>
      <w:r>
        <w:rPr>
          <w:rFonts w:eastAsia="標楷體"/>
          <w:spacing w:val="4"/>
          <w:kern w:val="0"/>
          <w:sz w:val="28"/>
          <w:szCs w:val="26"/>
        </w:rPr>
        <w:t>。</w:t>
      </w:r>
    </w:p>
    <w:p w14:paraId="3BACA2F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持續擴大高等教育輸出，</w:t>
      </w:r>
      <w:r>
        <w:rPr>
          <w:rFonts w:eastAsia="標楷體"/>
          <w:spacing w:val="4"/>
          <w:kern w:val="0"/>
          <w:sz w:val="28"/>
          <w:szCs w:val="22"/>
        </w:rPr>
        <w:t>105</w:t>
      </w:r>
      <w:r>
        <w:rPr>
          <w:rFonts w:eastAsia="標楷體"/>
          <w:spacing w:val="4"/>
          <w:kern w:val="0"/>
          <w:sz w:val="28"/>
          <w:szCs w:val="22"/>
        </w:rPr>
        <w:t>年在臺留學或研修之境外學生人數達</w:t>
      </w:r>
      <w:r>
        <w:rPr>
          <w:rFonts w:eastAsia="標楷體"/>
          <w:spacing w:val="4"/>
          <w:kern w:val="0"/>
          <w:sz w:val="28"/>
          <w:szCs w:val="22"/>
        </w:rPr>
        <w:t>11</w:t>
      </w:r>
      <w:r>
        <w:rPr>
          <w:rFonts w:eastAsia="標楷體"/>
          <w:spacing w:val="4"/>
          <w:kern w:val="0"/>
          <w:sz w:val="28"/>
          <w:szCs w:val="22"/>
        </w:rPr>
        <w:t>萬餘人。</w:t>
      </w:r>
    </w:p>
    <w:p w14:paraId="68F561F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提升大專校院創新研發競爭力，</w:t>
      </w:r>
      <w:r>
        <w:rPr>
          <w:rFonts w:eastAsia="標楷體"/>
          <w:spacing w:val="4"/>
          <w:kern w:val="0"/>
          <w:sz w:val="28"/>
          <w:szCs w:val="22"/>
        </w:rPr>
        <w:t>105</w:t>
      </w:r>
      <w:r>
        <w:rPr>
          <w:rFonts w:eastAsia="標楷體"/>
          <w:spacing w:val="4"/>
          <w:kern w:val="0"/>
          <w:sz w:val="28"/>
          <w:szCs w:val="22"/>
        </w:rPr>
        <w:t>年大專校院智財收入成長至逾</w:t>
      </w:r>
      <w:r>
        <w:rPr>
          <w:rFonts w:eastAsia="標楷體"/>
          <w:spacing w:val="4"/>
          <w:kern w:val="0"/>
          <w:sz w:val="28"/>
          <w:szCs w:val="22"/>
        </w:rPr>
        <w:t>9.5</w:t>
      </w:r>
      <w:r>
        <w:rPr>
          <w:rFonts w:eastAsia="標楷體"/>
          <w:spacing w:val="4"/>
          <w:kern w:val="0"/>
          <w:sz w:val="28"/>
          <w:szCs w:val="22"/>
        </w:rPr>
        <w:t>億元。</w:t>
      </w:r>
    </w:p>
    <w:p w14:paraId="28BBC7A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深耕生涯發展教育，</w:t>
      </w:r>
      <w:r>
        <w:rPr>
          <w:rFonts w:eastAsia="標楷體"/>
          <w:spacing w:val="4"/>
          <w:kern w:val="0"/>
          <w:sz w:val="28"/>
          <w:szCs w:val="22"/>
        </w:rPr>
        <w:t>105</w:t>
      </w:r>
      <w:r>
        <w:rPr>
          <w:rFonts w:eastAsia="標楷體"/>
          <w:spacing w:val="4"/>
          <w:kern w:val="0"/>
          <w:sz w:val="28"/>
          <w:szCs w:val="22"/>
        </w:rPr>
        <w:t>年各直轄市及縣</w:t>
      </w:r>
      <w:r>
        <w:rPr>
          <w:rFonts w:ascii="標楷體" w:eastAsia="標楷體" w:hAnsi="標楷體"/>
          <w:spacing w:val="4"/>
          <w:kern w:val="0"/>
          <w:sz w:val="28"/>
          <w:szCs w:val="22"/>
        </w:rPr>
        <w:t>(</w:t>
      </w:r>
      <w:r>
        <w:rPr>
          <w:rFonts w:eastAsia="標楷體"/>
          <w:spacing w:val="4"/>
          <w:kern w:val="0"/>
          <w:sz w:val="28"/>
          <w:szCs w:val="22"/>
        </w:rPr>
        <w:t>市</w:t>
      </w:r>
      <w:r>
        <w:rPr>
          <w:rFonts w:ascii="標楷體" w:eastAsia="標楷體" w:hAnsi="標楷體"/>
          <w:spacing w:val="4"/>
          <w:kern w:val="0"/>
          <w:sz w:val="28"/>
          <w:szCs w:val="22"/>
        </w:rPr>
        <w:t>)</w:t>
      </w:r>
      <w:r>
        <w:rPr>
          <w:rFonts w:eastAsia="標楷體"/>
          <w:spacing w:val="4"/>
          <w:kern w:val="0"/>
          <w:sz w:val="28"/>
          <w:szCs w:val="22"/>
        </w:rPr>
        <w:t>生涯發展績優學校比率達</w:t>
      </w:r>
      <w:r>
        <w:rPr>
          <w:rFonts w:eastAsia="標楷體"/>
          <w:spacing w:val="4"/>
          <w:kern w:val="0"/>
          <w:sz w:val="28"/>
          <w:szCs w:val="22"/>
        </w:rPr>
        <w:t>90%</w:t>
      </w:r>
      <w:r>
        <w:rPr>
          <w:rFonts w:eastAsia="標楷體"/>
          <w:spacing w:val="4"/>
          <w:kern w:val="0"/>
          <w:sz w:val="28"/>
          <w:szCs w:val="22"/>
        </w:rPr>
        <w:t>。</w:t>
      </w:r>
    </w:p>
    <w:p w14:paraId="46E613E0"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03954E8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實施十二年國民基本教育</w:t>
      </w:r>
    </w:p>
    <w:p w14:paraId="11F2FFF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落實推動高中高職免試入學實施方案，逐步擴大免試入學比率，確保各區提供充分免試入學機會。</w:t>
      </w:r>
    </w:p>
    <w:p w14:paraId="3253706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秉持「穩健推動」原則，逐年就入學方式進行專業評估，自</w:t>
      </w:r>
      <w:r>
        <w:rPr>
          <w:rFonts w:eastAsia="標楷體"/>
          <w:spacing w:val="4"/>
          <w:kern w:val="0"/>
          <w:sz w:val="28"/>
          <w:szCs w:val="26"/>
        </w:rPr>
        <w:lastRenderedPageBreak/>
        <w:t>105</w:t>
      </w:r>
      <w:r>
        <w:rPr>
          <w:rFonts w:eastAsia="標楷體"/>
          <w:spacing w:val="4"/>
          <w:kern w:val="0"/>
          <w:sz w:val="28"/>
          <w:szCs w:val="26"/>
        </w:rPr>
        <w:t>年起每</w:t>
      </w:r>
      <w:r>
        <w:rPr>
          <w:rFonts w:eastAsia="標楷體"/>
          <w:spacing w:val="4"/>
          <w:kern w:val="0"/>
          <w:sz w:val="28"/>
          <w:szCs w:val="26"/>
        </w:rPr>
        <w:t>3</w:t>
      </w:r>
      <w:r>
        <w:rPr>
          <w:rFonts w:eastAsia="標楷體"/>
          <w:spacing w:val="4"/>
          <w:kern w:val="0"/>
          <w:sz w:val="28"/>
          <w:szCs w:val="26"/>
        </w:rPr>
        <w:t>年進行一次總檢討。</w:t>
      </w:r>
    </w:p>
    <w:p w14:paraId="460C74B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提升高中職就近入學率，建構高中職與國中、大專校院及社區機構合作關係，達成師資、課程、設備等教育資源的共享。</w:t>
      </w:r>
    </w:p>
    <w:p w14:paraId="66E7558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4.</w:t>
      </w:r>
      <w:r>
        <w:rPr>
          <w:rFonts w:eastAsia="標楷體"/>
          <w:spacing w:val="4"/>
          <w:kern w:val="0"/>
          <w:sz w:val="28"/>
          <w:szCs w:val="26"/>
        </w:rPr>
        <w:t>分階段實施高中職免學費，第</w:t>
      </w:r>
      <w:r>
        <w:rPr>
          <w:rFonts w:eastAsia="標楷體"/>
          <w:spacing w:val="4"/>
          <w:kern w:val="0"/>
          <w:sz w:val="28"/>
          <w:szCs w:val="26"/>
        </w:rPr>
        <w:t>1</w:t>
      </w:r>
      <w:r>
        <w:rPr>
          <w:rFonts w:eastAsia="標楷體"/>
          <w:spacing w:val="4"/>
          <w:kern w:val="0"/>
          <w:sz w:val="28"/>
          <w:szCs w:val="26"/>
        </w:rPr>
        <w:t>階段</w:t>
      </w:r>
      <w:r>
        <w:rPr>
          <w:rFonts w:ascii="標楷體" w:eastAsia="標楷體" w:hAnsi="標楷體"/>
          <w:spacing w:val="4"/>
          <w:kern w:val="0"/>
          <w:sz w:val="28"/>
          <w:szCs w:val="26"/>
        </w:rPr>
        <w:t>(</w:t>
      </w:r>
      <w:r>
        <w:rPr>
          <w:rFonts w:eastAsia="標楷體"/>
          <w:spacing w:val="4"/>
          <w:kern w:val="0"/>
          <w:sz w:val="28"/>
          <w:szCs w:val="26"/>
        </w:rPr>
        <w:t>100</w:t>
      </w:r>
      <w:r>
        <w:rPr>
          <w:rFonts w:eastAsia="標楷體"/>
          <w:spacing w:val="4"/>
          <w:kern w:val="0"/>
          <w:sz w:val="28"/>
          <w:szCs w:val="26"/>
        </w:rPr>
        <w:t>年</w:t>
      </w:r>
      <w:r>
        <w:rPr>
          <w:rFonts w:eastAsia="標楷體"/>
          <w:spacing w:val="4"/>
          <w:kern w:val="0"/>
          <w:sz w:val="28"/>
          <w:szCs w:val="26"/>
        </w:rPr>
        <w:t>8</w:t>
      </w:r>
      <w:r>
        <w:rPr>
          <w:rFonts w:eastAsia="標楷體"/>
          <w:spacing w:val="4"/>
          <w:kern w:val="0"/>
          <w:sz w:val="28"/>
          <w:szCs w:val="26"/>
        </w:rPr>
        <w:t>月</w:t>
      </w:r>
      <w:r>
        <w:rPr>
          <w:rFonts w:eastAsia="標楷體"/>
          <w:spacing w:val="4"/>
          <w:kern w:val="0"/>
          <w:sz w:val="28"/>
          <w:szCs w:val="26"/>
        </w:rPr>
        <w:t>1</w:t>
      </w:r>
      <w:r>
        <w:rPr>
          <w:rFonts w:eastAsia="標楷體"/>
          <w:spacing w:val="4"/>
          <w:kern w:val="0"/>
          <w:sz w:val="28"/>
          <w:szCs w:val="26"/>
        </w:rPr>
        <w:t>日至</w:t>
      </w:r>
      <w:r>
        <w:rPr>
          <w:rFonts w:eastAsia="標楷體"/>
          <w:spacing w:val="4"/>
          <w:kern w:val="0"/>
          <w:sz w:val="28"/>
          <w:szCs w:val="26"/>
        </w:rPr>
        <w:t>103</w:t>
      </w:r>
      <w:r>
        <w:rPr>
          <w:rFonts w:eastAsia="標楷體"/>
          <w:spacing w:val="4"/>
          <w:kern w:val="0"/>
          <w:sz w:val="28"/>
          <w:szCs w:val="26"/>
        </w:rPr>
        <w:t>年</w:t>
      </w:r>
      <w:r>
        <w:rPr>
          <w:rFonts w:eastAsia="標楷體"/>
          <w:spacing w:val="4"/>
          <w:kern w:val="0"/>
          <w:sz w:val="28"/>
          <w:szCs w:val="26"/>
        </w:rPr>
        <w:t>7</w:t>
      </w:r>
      <w:r>
        <w:rPr>
          <w:rFonts w:eastAsia="標楷體"/>
          <w:spacing w:val="4"/>
          <w:kern w:val="0"/>
          <w:sz w:val="28"/>
          <w:szCs w:val="26"/>
        </w:rPr>
        <w:t>月</w:t>
      </w:r>
      <w:r>
        <w:rPr>
          <w:rFonts w:eastAsia="標楷體"/>
          <w:spacing w:val="4"/>
          <w:kern w:val="0"/>
          <w:sz w:val="28"/>
          <w:szCs w:val="26"/>
        </w:rPr>
        <w:t>31</w:t>
      </w:r>
      <w:r>
        <w:rPr>
          <w:rFonts w:eastAsia="標楷體"/>
          <w:spacing w:val="4"/>
          <w:kern w:val="0"/>
          <w:sz w:val="28"/>
          <w:szCs w:val="26"/>
        </w:rPr>
        <w:t>日</w:t>
      </w:r>
      <w:r>
        <w:rPr>
          <w:rFonts w:ascii="標楷體" w:eastAsia="標楷體" w:hAnsi="標楷體"/>
          <w:spacing w:val="4"/>
          <w:kern w:val="0"/>
          <w:sz w:val="28"/>
          <w:szCs w:val="26"/>
        </w:rPr>
        <w:t>)</w:t>
      </w:r>
      <w:r>
        <w:rPr>
          <w:rFonts w:eastAsia="標楷體"/>
          <w:spacing w:val="4"/>
          <w:kern w:val="0"/>
          <w:sz w:val="28"/>
          <w:szCs w:val="26"/>
        </w:rPr>
        <w:t>推動家戶年所得</w:t>
      </w:r>
      <w:r>
        <w:rPr>
          <w:rFonts w:eastAsia="標楷體"/>
          <w:spacing w:val="4"/>
          <w:kern w:val="0"/>
          <w:sz w:val="28"/>
          <w:szCs w:val="26"/>
        </w:rPr>
        <w:t>114</w:t>
      </w:r>
      <w:r>
        <w:rPr>
          <w:rFonts w:eastAsia="標楷體"/>
          <w:spacing w:val="4"/>
          <w:kern w:val="0"/>
          <w:sz w:val="28"/>
          <w:szCs w:val="26"/>
        </w:rPr>
        <w:t>萬元以下學生「高職免學費」</w:t>
      </w:r>
      <w:r>
        <w:rPr>
          <w:rFonts w:ascii="標楷體" w:eastAsia="標楷體" w:hAnsi="標楷體"/>
          <w:spacing w:val="4"/>
          <w:kern w:val="0"/>
          <w:sz w:val="28"/>
          <w:szCs w:val="26"/>
        </w:rPr>
        <w:t>(</w:t>
      </w:r>
      <w:r>
        <w:rPr>
          <w:rFonts w:eastAsia="標楷體"/>
          <w:spacing w:val="4"/>
          <w:kern w:val="0"/>
          <w:sz w:val="28"/>
          <w:szCs w:val="26"/>
        </w:rPr>
        <w:t>含五專前</w:t>
      </w:r>
      <w:r>
        <w:rPr>
          <w:rFonts w:eastAsia="標楷體"/>
          <w:spacing w:val="4"/>
          <w:kern w:val="0"/>
          <w:sz w:val="28"/>
          <w:szCs w:val="26"/>
        </w:rPr>
        <w:t>3</w:t>
      </w:r>
      <w:r>
        <w:rPr>
          <w:rFonts w:eastAsia="標楷體"/>
          <w:spacing w:val="4"/>
          <w:kern w:val="0"/>
          <w:sz w:val="28"/>
          <w:szCs w:val="26"/>
        </w:rPr>
        <w:t>年</w:t>
      </w:r>
      <w:r>
        <w:rPr>
          <w:rFonts w:ascii="標楷體" w:eastAsia="標楷體" w:hAnsi="標楷體"/>
          <w:spacing w:val="4"/>
          <w:kern w:val="0"/>
          <w:sz w:val="28"/>
          <w:szCs w:val="26"/>
        </w:rPr>
        <w:t>)</w:t>
      </w:r>
      <w:r>
        <w:rPr>
          <w:rFonts w:eastAsia="標楷體"/>
          <w:spacing w:val="4"/>
          <w:kern w:val="0"/>
          <w:sz w:val="28"/>
          <w:szCs w:val="26"/>
        </w:rPr>
        <w:t>及「齊一公私立高中學費」，預估受益學生比率為</w:t>
      </w:r>
      <w:r>
        <w:rPr>
          <w:rFonts w:eastAsia="標楷體"/>
          <w:spacing w:val="4"/>
          <w:kern w:val="0"/>
          <w:sz w:val="28"/>
          <w:szCs w:val="26"/>
        </w:rPr>
        <w:t>56%</w:t>
      </w:r>
      <w:r>
        <w:rPr>
          <w:rFonts w:eastAsia="標楷體"/>
          <w:spacing w:val="4"/>
          <w:kern w:val="0"/>
          <w:sz w:val="28"/>
          <w:szCs w:val="26"/>
        </w:rPr>
        <w:t>；第</w:t>
      </w:r>
      <w:r>
        <w:rPr>
          <w:rFonts w:eastAsia="標楷體"/>
          <w:spacing w:val="4"/>
          <w:kern w:val="0"/>
          <w:sz w:val="28"/>
          <w:szCs w:val="26"/>
        </w:rPr>
        <w:t>2</w:t>
      </w:r>
      <w:r>
        <w:rPr>
          <w:rFonts w:eastAsia="標楷體"/>
          <w:spacing w:val="4"/>
          <w:kern w:val="0"/>
          <w:sz w:val="28"/>
          <w:szCs w:val="26"/>
        </w:rPr>
        <w:t>階段</w:t>
      </w:r>
      <w:r>
        <w:rPr>
          <w:rFonts w:ascii="標楷體" w:eastAsia="標楷體" w:hAnsi="標楷體"/>
          <w:spacing w:val="4"/>
          <w:kern w:val="0"/>
          <w:sz w:val="28"/>
          <w:szCs w:val="26"/>
        </w:rPr>
        <w:t>(</w:t>
      </w:r>
      <w:r>
        <w:rPr>
          <w:rFonts w:eastAsia="標楷體"/>
          <w:spacing w:val="4"/>
          <w:kern w:val="0"/>
          <w:sz w:val="28"/>
          <w:szCs w:val="26"/>
        </w:rPr>
        <w:t>103</w:t>
      </w:r>
      <w:r>
        <w:rPr>
          <w:rFonts w:eastAsia="標楷體"/>
          <w:spacing w:val="4"/>
          <w:kern w:val="0"/>
          <w:sz w:val="28"/>
          <w:szCs w:val="26"/>
        </w:rPr>
        <w:t>年</w:t>
      </w:r>
      <w:r>
        <w:rPr>
          <w:rFonts w:eastAsia="標楷體"/>
          <w:spacing w:val="4"/>
          <w:kern w:val="0"/>
          <w:sz w:val="28"/>
          <w:szCs w:val="26"/>
        </w:rPr>
        <w:t>8</w:t>
      </w:r>
      <w:r>
        <w:rPr>
          <w:rFonts w:eastAsia="標楷體"/>
          <w:spacing w:val="4"/>
          <w:kern w:val="0"/>
          <w:sz w:val="28"/>
          <w:szCs w:val="26"/>
        </w:rPr>
        <w:t>月</w:t>
      </w:r>
      <w:r>
        <w:rPr>
          <w:rFonts w:eastAsia="標楷體"/>
          <w:spacing w:val="4"/>
          <w:kern w:val="0"/>
          <w:sz w:val="28"/>
          <w:szCs w:val="26"/>
        </w:rPr>
        <w:t>1</w:t>
      </w:r>
      <w:r>
        <w:rPr>
          <w:rFonts w:eastAsia="標楷體"/>
          <w:spacing w:val="4"/>
          <w:kern w:val="0"/>
          <w:sz w:val="28"/>
          <w:szCs w:val="26"/>
        </w:rPr>
        <w:t>日起</w:t>
      </w:r>
      <w:r>
        <w:rPr>
          <w:rFonts w:ascii="標楷體" w:eastAsia="標楷體" w:hAnsi="標楷體"/>
          <w:spacing w:val="4"/>
          <w:kern w:val="0"/>
          <w:sz w:val="28"/>
          <w:szCs w:val="26"/>
        </w:rPr>
        <w:t>)</w:t>
      </w:r>
      <w:r>
        <w:rPr>
          <w:rFonts w:eastAsia="標楷體"/>
          <w:spacing w:val="4"/>
          <w:kern w:val="0"/>
          <w:sz w:val="28"/>
          <w:szCs w:val="26"/>
        </w:rPr>
        <w:t>推動公私立高中職</w:t>
      </w:r>
      <w:r>
        <w:rPr>
          <w:rFonts w:ascii="標楷體" w:eastAsia="標楷體" w:hAnsi="標楷體"/>
          <w:spacing w:val="4"/>
          <w:kern w:val="0"/>
          <w:sz w:val="28"/>
          <w:szCs w:val="26"/>
        </w:rPr>
        <w:t>(</w:t>
      </w:r>
      <w:r>
        <w:rPr>
          <w:rFonts w:eastAsia="標楷體"/>
          <w:spacing w:val="4"/>
          <w:kern w:val="0"/>
          <w:sz w:val="28"/>
          <w:szCs w:val="26"/>
        </w:rPr>
        <w:t>含五專前</w:t>
      </w:r>
      <w:r>
        <w:rPr>
          <w:rFonts w:eastAsia="標楷體"/>
          <w:spacing w:val="4"/>
          <w:kern w:val="0"/>
          <w:sz w:val="28"/>
          <w:szCs w:val="26"/>
        </w:rPr>
        <w:t>3</w:t>
      </w:r>
      <w:r>
        <w:rPr>
          <w:rFonts w:eastAsia="標楷體"/>
          <w:spacing w:val="4"/>
          <w:kern w:val="0"/>
          <w:sz w:val="28"/>
          <w:szCs w:val="26"/>
        </w:rPr>
        <w:t>年</w:t>
      </w:r>
      <w:r>
        <w:rPr>
          <w:rFonts w:ascii="標楷體" w:eastAsia="標楷體" w:hAnsi="標楷體"/>
          <w:spacing w:val="4"/>
          <w:kern w:val="0"/>
          <w:sz w:val="28"/>
          <w:szCs w:val="26"/>
        </w:rPr>
        <w:t>)</w:t>
      </w:r>
      <w:r>
        <w:rPr>
          <w:rFonts w:eastAsia="標楷體"/>
          <w:spacing w:val="4"/>
          <w:kern w:val="0"/>
          <w:sz w:val="28"/>
          <w:szCs w:val="26"/>
        </w:rPr>
        <w:t>全面免學費。</w:t>
      </w:r>
    </w:p>
    <w:p w14:paraId="53C8A7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實施高中職學校評鑑以及優質學校認證，落實</w:t>
      </w:r>
      <w:r>
        <w:rPr>
          <w:rFonts w:eastAsia="標楷體"/>
          <w:spacing w:val="4"/>
          <w:kern w:val="0"/>
          <w:sz w:val="28"/>
          <w:szCs w:val="26"/>
        </w:rPr>
        <w:t>103</w:t>
      </w:r>
      <w:r>
        <w:rPr>
          <w:rFonts w:eastAsia="標楷體"/>
          <w:spacing w:val="4"/>
          <w:kern w:val="0"/>
          <w:sz w:val="28"/>
          <w:szCs w:val="26"/>
        </w:rPr>
        <w:t>學年全國優質高中職達</w:t>
      </w:r>
      <w:r>
        <w:rPr>
          <w:rFonts w:eastAsia="標楷體"/>
          <w:spacing w:val="4"/>
          <w:kern w:val="0"/>
          <w:sz w:val="28"/>
          <w:szCs w:val="26"/>
        </w:rPr>
        <w:t>8</w:t>
      </w:r>
      <w:r>
        <w:rPr>
          <w:rFonts w:eastAsia="標楷體"/>
          <w:spacing w:val="4"/>
          <w:kern w:val="0"/>
          <w:sz w:val="28"/>
          <w:szCs w:val="26"/>
        </w:rPr>
        <w:t>成以上，各免試就學區優質學校可提供國中畢業生</w:t>
      </w:r>
      <w:r>
        <w:rPr>
          <w:rFonts w:eastAsia="標楷體"/>
          <w:spacing w:val="4"/>
          <w:kern w:val="0"/>
          <w:sz w:val="28"/>
          <w:szCs w:val="26"/>
        </w:rPr>
        <w:t>100%</w:t>
      </w:r>
      <w:r>
        <w:rPr>
          <w:rFonts w:eastAsia="標楷體"/>
          <w:spacing w:val="4"/>
          <w:kern w:val="0"/>
          <w:sz w:val="28"/>
          <w:szCs w:val="26"/>
        </w:rPr>
        <w:t>就學機會。</w:t>
      </w:r>
    </w:p>
    <w:p w14:paraId="53CEF80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持續推動「高等教育輸出－擴大招收境外學生行動計畫」</w:t>
      </w:r>
    </w:p>
    <w:p w14:paraId="460ECBA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精進在臺留學友善環境</w:t>
      </w:r>
    </w:p>
    <w:p w14:paraId="40A8E4E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提供外國學生獎學金：每年持續提供全球外國學生臺灣獎學金約</w:t>
      </w:r>
      <w:r>
        <w:rPr>
          <w:rFonts w:eastAsia="標楷體"/>
          <w:spacing w:val="4"/>
          <w:kern w:val="0"/>
          <w:sz w:val="28"/>
          <w:szCs w:val="22"/>
        </w:rPr>
        <w:t>250</w:t>
      </w:r>
      <w:r>
        <w:rPr>
          <w:rFonts w:eastAsia="標楷體"/>
          <w:spacing w:val="4"/>
          <w:kern w:val="0"/>
          <w:sz w:val="28"/>
          <w:szCs w:val="22"/>
        </w:rPr>
        <w:t>名，來臺攻讀學士及碩、博士學位；華語文獎學金來臺短期修讀華語</w:t>
      </w:r>
      <w:r>
        <w:rPr>
          <w:rFonts w:eastAsia="標楷體"/>
          <w:spacing w:val="4"/>
          <w:kern w:val="0"/>
          <w:sz w:val="28"/>
          <w:szCs w:val="22"/>
        </w:rPr>
        <w:t>285</w:t>
      </w:r>
      <w:r>
        <w:rPr>
          <w:rFonts w:eastAsia="標楷體"/>
          <w:spacing w:val="4"/>
          <w:kern w:val="0"/>
          <w:sz w:val="28"/>
          <w:szCs w:val="22"/>
        </w:rPr>
        <w:t>名，並補助國內大專校院設立外國學生獎學金。</w:t>
      </w:r>
    </w:p>
    <w:p w14:paraId="2A62FE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強化全英語授課環境：持續辦理「大專校院全英語學位學程學制班別訪視計畫」，推動「補助大學校院精進全英語學位學程計畫」，引導大學校院開設具特色之全英語授課學制，輔以華語研習資源，吸引優秀境外學生來臺留學。</w:t>
      </w:r>
    </w:p>
    <w:p w14:paraId="32C02F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檢討放寬僑外生畢業後申請在臺實習規定，鼓勵優秀僑外生畢業後留臺實習。</w:t>
      </w:r>
    </w:p>
    <w:p w14:paraId="11DB89C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強化高等教育優勢行銷</w:t>
      </w:r>
    </w:p>
    <w:p w14:paraId="2E4089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加強重點國家來臺留學資訊宣傳，持續精進境外臺灣教育中心功能，促進境外優秀學生來臺留學及研習華語。</w:t>
      </w:r>
    </w:p>
    <w:p w14:paraId="7CE3270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持續邀請東南亞主流大學講師及高階公務員來臺攻讀博士學位或短期進修，固守東南亞高等教育輸出利基。</w:t>
      </w:r>
    </w:p>
    <w:p w14:paraId="315D1AC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推動新興市場國家學子來臺就學：邀請新興國家具發展性之主流高中、大學校長來臺訪問，瞭解臺灣高等教育優勢，並擴大提供新興市場學子來臺研習華語獎學金，積極培育具發展潛力之青年學子。</w:t>
      </w:r>
    </w:p>
    <w:p w14:paraId="5BD7FE1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鼓勵出國留學，培育國家發展所需人才</w:t>
      </w:r>
    </w:p>
    <w:p w14:paraId="083C412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積極推廣與世界排名頂尖大學以共資、共名、共選方式，基於平等互惠原則，雙方平均分攤學費、生活費等獎學金計畫。</w:t>
      </w:r>
    </w:p>
    <w:p w14:paraId="0A9C4BD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設立「尖端科技人才培育」博士獎學金，每年甄選</w:t>
      </w:r>
      <w:r>
        <w:rPr>
          <w:rFonts w:eastAsia="標楷體"/>
          <w:spacing w:val="4"/>
          <w:kern w:val="0"/>
          <w:sz w:val="28"/>
          <w:szCs w:val="22"/>
        </w:rPr>
        <w:t>30</w:t>
      </w:r>
      <w:r>
        <w:rPr>
          <w:rFonts w:eastAsia="標楷體"/>
          <w:spacing w:val="4"/>
          <w:kern w:val="0"/>
          <w:sz w:val="28"/>
          <w:szCs w:val="22"/>
        </w:rPr>
        <w:t>名，</w:t>
      </w:r>
      <w:r>
        <w:rPr>
          <w:rFonts w:eastAsia="標楷體"/>
          <w:spacing w:val="4"/>
          <w:kern w:val="0"/>
          <w:sz w:val="28"/>
          <w:szCs w:val="22"/>
        </w:rPr>
        <w:t>3</w:t>
      </w:r>
      <w:r>
        <w:rPr>
          <w:rFonts w:eastAsia="標楷體"/>
          <w:spacing w:val="4"/>
          <w:kern w:val="0"/>
          <w:sz w:val="28"/>
          <w:szCs w:val="22"/>
        </w:rPr>
        <w:t>年為期，並檢討評估成效。</w:t>
      </w:r>
    </w:p>
    <w:p w14:paraId="291716D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研議調整公費留學考試學門領域，並辦理留學獎學金甄試，鼓勵及獎助頂尖優秀人才出國攻讀學位。</w:t>
      </w:r>
    </w:p>
    <w:p w14:paraId="75D3B00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擴大獎助大專校院選送優秀學生出國研習或國外專業實習</w:t>
      </w:r>
      <w:r>
        <w:rPr>
          <w:rFonts w:ascii="標楷體" w:eastAsia="標楷體" w:hAnsi="標楷體"/>
          <w:spacing w:val="4"/>
          <w:kern w:val="0"/>
          <w:sz w:val="28"/>
          <w:szCs w:val="22"/>
        </w:rPr>
        <w:t>(</w:t>
      </w:r>
      <w:r>
        <w:rPr>
          <w:rFonts w:eastAsia="標楷體"/>
          <w:spacing w:val="4"/>
          <w:kern w:val="0"/>
          <w:sz w:val="28"/>
          <w:szCs w:val="22"/>
        </w:rPr>
        <w:t>學海系列計畫</w:t>
      </w:r>
      <w:r>
        <w:rPr>
          <w:rFonts w:ascii="標楷體" w:eastAsia="標楷體" w:hAnsi="標楷體"/>
          <w:spacing w:val="4"/>
          <w:kern w:val="0"/>
          <w:sz w:val="28"/>
          <w:szCs w:val="22"/>
        </w:rPr>
        <w:t>)</w:t>
      </w:r>
      <w:r>
        <w:rPr>
          <w:rFonts w:eastAsia="標楷體"/>
          <w:spacing w:val="4"/>
          <w:kern w:val="0"/>
          <w:sz w:val="28"/>
          <w:szCs w:val="22"/>
        </w:rPr>
        <w:t>，增進國際經驗、拓展國際視野。</w:t>
      </w:r>
    </w:p>
    <w:p w14:paraId="55152E1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4"/>
          <w:kern w:val="0"/>
          <w:sz w:val="28"/>
          <w:szCs w:val="22"/>
        </w:rPr>
        <w:t>教育部歐盟獎學金：與「伊拉斯莫斯世界計畫」協調處合作設置「歐盟獎學金」，每年獎助碩、博士生定額</w:t>
      </w:r>
      <w:r>
        <w:rPr>
          <w:rFonts w:eastAsia="標楷體"/>
          <w:spacing w:val="4"/>
          <w:kern w:val="0"/>
          <w:sz w:val="28"/>
          <w:szCs w:val="22"/>
        </w:rPr>
        <w:t>1</w:t>
      </w:r>
      <w:r>
        <w:rPr>
          <w:rFonts w:eastAsia="標楷體"/>
          <w:spacing w:val="4"/>
          <w:kern w:val="0"/>
          <w:sz w:val="28"/>
          <w:szCs w:val="22"/>
        </w:rPr>
        <w:t>萬</w:t>
      </w:r>
      <w:r>
        <w:rPr>
          <w:rFonts w:eastAsia="標楷體"/>
          <w:spacing w:val="4"/>
          <w:kern w:val="0"/>
          <w:sz w:val="28"/>
          <w:szCs w:val="22"/>
        </w:rPr>
        <w:t>2,000</w:t>
      </w:r>
      <w:r>
        <w:rPr>
          <w:rFonts w:eastAsia="標楷體"/>
          <w:spacing w:val="4"/>
          <w:kern w:val="0"/>
          <w:sz w:val="28"/>
          <w:szCs w:val="22"/>
        </w:rPr>
        <w:t>歐元，獎助年限為博士</w:t>
      </w:r>
      <w:r>
        <w:rPr>
          <w:rFonts w:eastAsia="標楷體"/>
          <w:spacing w:val="4"/>
          <w:kern w:val="0"/>
          <w:sz w:val="28"/>
          <w:szCs w:val="22"/>
        </w:rPr>
        <w:t>3</w:t>
      </w:r>
      <w:r>
        <w:rPr>
          <w:rFonts w:eastAsia="標楷體"/>
          <w:spacing w:val="4"/>
          <w:kern w:val="0"/>
          <w:sz w:val="28"/>
          <w:szCs w:val="22"/>
        </w:rPr>
        <w:t>年、碩士</w:t>
      </w:r>
      <w:r>
        <w:rPr>
          <w:rFonts w:eastAsia="標楷體"/>
          <w:spacing w:val="4"/>
          <w:kern w:val="0"/>
          <w:sz w:val="28"/>
          <w:szCs w:val="22"/>
        </w:rPr>
        <w:t>1</w:t>
      </w:r>
      <w:r>
        <w:rPr>
          <w:rFonts w:eastAsia="標楷體"/>
          <w:spacing w:val="4"/>
          <w:kern w:val="0"/>
          <w:sz w:val="28"/>
          <w:szCs w:val="22"/>
        </w:rPr>
        <w:t>年。</w:t>
      </w:r>
    </w:p>
    <w:p w14:paraId="289747F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6</w:t>
      </w:r>
      <w:r>
        <w:rPr>
          <w:rFonts w:ascii="標楷體" w:eastAsia="標楷體" w:hAnsi="標楷體"/>
          <w:spacing w:val="4"/>
          <w:kern w:val="0"/>
          <w:sz w:val="28"/>
          <w:szCs w:val="22"/>
        </w:rPr>
        <w:t>)</w:t>
      </w:r>
      <w:r>
        <w:rPr>
          <w:rFonts w:ascii="標楷體" w:eastAsia="標楷體" w:hAnsi="標楷體"/>
          <w:spacing w:val="6"/>
          <w:kern w:val="0"/>
          <w:sz w:val="28"/>
          <w:szCs w:val="22"/>
        </w:rPr>
        <w:t>持</w:t>
      </w:r>
      <w:r>
        <w:rPr>
          <w:rFonts w:eastAsia="標楷體"/>
          <w:spacing w:val="6"/>
          <w:kern w:val="0"/>
          <w:sz w:val="28"/>
          <w:szCs w:val="22"/>
        </w:rPr>
        <w:t>續辦理留學生就學貸款，鼓勵學生出國攻讀碩、博士學位。</w:t>
      </w:r>
    </w:p>
    <w:p w14:paraId="4EB1578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推動全球華語文教育</w:t>
      </w:r>
    </w:p>
    <w:p w14:paraId="0477ACB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訂定全球布局策略，協助友邦及友好國家發展在地化之華語教學。</w:t>
      </w:r>
    </w:p>
    <w:p w14:paraId="7E2A883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建立我國華語教育師資、教材與測驗三合一完整組合模式輸出之特色。</w:t>
      </w:r>
    </w:p>
    <w:p w14:paraId="40B81FE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設立華語文專責推動組織，整合部會資源。</w:t>
      </w:r>
    </w:p>
    <w:p w14:paraId="72AD129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來臺學習華語文學生人數由</w:t>
      </w:r>
      <w:r>
        <w:rPr>
          <w:rFonts w:eastAsia="標楷體"/>
          <w:spacing w:val="4"/>
          <w:kern w:val="0"/>
          <w:sz w:val="28"/>
          <w:szCs w:val="22"/>
        </w:rPr>
        <w:t>100</w:t>
      </w:r>
      <w:r>
        <w:rPr>
          <w:rFonts w:eastAsia="標楷體"/>
          <w:spacing w:val="4"/>
          <w:kern w:val="0"/>
          <w:sz w:val="28"/>
          <w:szCs w:val="22"/>
        </w:rPr>
        <w:t>年</w:t>
      </w:r>
      <w:r>
        <w:rPr>
          <w:rFonts w:eastAsia="標楷體"/>
          <w:spacing w:val="4"/>
          <w:kern w:val="0"/>
          <w:sz w:val="28"/>
          <w:szCs w:val="22"/>
        </w:rPr>
        <w:t>1</w:t>
      </w:r>
      <w:r>
        <w:rPr>
          <w:rFonts w:eastAsia="標楷體"/>
          <w:spacing w:val="4"/>
          <w:kern w:val="0"/>
          <w:sz w:val="28"/>
          <w:szCs w:val="22"/>
        </w:rPr>
        <w:t>萬</w:t>
      </w:r>
      <w:r>
        <w:rPr>
          <w:rFonts w:eastAsia="標楷體"/>
          <w:spacing w:val="4"/>
          <w:kern w:val="0"/>
          <w:sz w:val="28"/>
          <w:szCs w:val="22"/>
        </w:rPr>
        <w:t>4,480</w:t>
      </w:r>
      <w:r>
        <w:rPr>
          <w:rFonts w:eastAsia="標楷體"/>
          <w:spacing w:val="4"/>
          <w:kern w:val="0"/>
          <w:sz w:val="28"/>
          <w:szCs w:val="22"/>
        </w:rPr>
        <w:t>人，</w:t>
      </w:r>
      <w:r>
        <w:rPr>
          <w:rFonts w:eastAsia="標楷體"/>
          <w:spacing w:val="4"/>
          <w:kern w:val="0"/>
          <w:sz w:val="28"/>
          <w:szCs w:val="22"/>
        </w:rPr>
        <w:t>105</w:t>
      </w:r>
      <w:r>
        <w:rPr>
          <w:rFonts w:eastAsia="標楷體"/>
          <w:spacing w:val="4"/>
          <w:kern w:val="0"/>
          <w:sz w:val="28"/>
          <w:szCs w:val="22"/>
        </w:rPr>
        <w:t>年成長至</w:t>
      </w:r>
      <w:r>
        <w:rPr>
          <w:rFonts w:eastAsia="標楷體"/>
          <w:spacing w:val="4"/>
          <w:kern w:val="0"/>
          <w:sz w:val="28"/>
          <w:szCs w:val="22"/>
        </w:rPr>
        <w:t>2</w:t>
      </w:r>
      <w:r>
        <w:rPr>
          <w:rFonts w:eastAsia="標楷體"/>
          <w:spacing w:val="4"/>
          <w:kern w:val="0"/>
          <w:sz w:val="28"/>
          <w:szCs w:val="22"/>
        </w:rPr>
        <w:t>萬</w:t>
      </w:r>
      <w:r>
        <w:rPr>
          <w:rFonts w:eastAsia="標楷體"/>
          <w:spacing w:val="4"/>
          <w:kern w:val="0"/>
          <w:sz w:val="28"/>
          <w:szCs w:val="22"/>
        </w:rPr>
        <w:t>9,000</w:t>
      </w:r>
      <w:r>
        <w:rPr>
          <w:rFonts w:eastAsia="標楷體"/>
          <w:spacing w:val="4"/>
          <w:kern w:val="0"/>
          <w:sz w:val="28"/>
          <w:szCs w:val="22"/>
        </w:rPr>
        <w:t>人以上。</w:t>
      </w:r>
    </w:p>
    <w:p w14:paraId="74AE5E9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推動邁向頂尖大學計畫，協助大學以優勢研究中心或重點領域做為平臺，整合各界資源，全面提升教學研究能量、國際影響力及國內整體高等教育水準。</w:t>
      </w:r>
    </w:p>
    <w:p w14:paraId="606F313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6.</w:t>
      </w:r>
      <w:r>
        <w:rPr>
          <w:rFonts w:eastAsia="標楷體"/>
          <w:spacing w:val="4"/>
          <w:kern w:val="0"/>
          <w:sz w:val="28"/>
          <w:szCs w:val="26"/>
        </w:rPr>
        <w:t>放寬優秀人才來臺任教相關規定，改善國際人才及其眷屬之簽證、工作許可申請、就業就學等相關法規或措施。</w:t>
      </w:r>
    </w:p>
    <w:p w14:paraId="24BF5ED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重新設計大學院校教研人員薪資結構，以符合大學學術工作異於公務行政之特性。</w:t>
      </w:r>
    </w:p>
    <w:p w14:paraId="5CA6853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提升技專校院創新研發競爭力</w:t>
      </w:r>
    </w:p>
    <w:p w14:paraId="7B50AB3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強化學校智財管理機制，加值技術創新成果，聯合技轉案件由每年</w:t>
      </w:r>
      <w:r>
        <w:rPr>
          <w:rFonts w:eastAsia="標楷體"/>
          <w:spacing w:val="4"/>
          <w:kern w:val="0"/>
          <w:sz w:val="28"/>
          <w:szCs w:val="26"/>
        </w:rPr>
        <w:t>300</w:t>
      </w:r>
      <w:r>
        <w:rPr>
          <w:rFonts w:eastAsia="標楷體"/>
          <w:spacing w:val="4"/>
          <w:kern w:val="0"/>
          <w:sz w:val="28"/>
          <w:szCs w:val="26"/>
        </w:rPr>
        <w:t>件，</w:t>
      </w:r>
      <w:r>
        <w:rPr>
          <w:rFonts w:eastAsia="標楷體"/>
          <w:spacing w:val="4"/>
          <w:kern w:val="0"/>
          <w:sz w:val="28"/>
          <w:szCs w:val="26"/>
        </w:rPr>
        <w:t>5</w:t>
      </w:r>
      <w:r>
        <w:rPr>
          <w:rFonts w:eastAsia="標楷體"/>
          <w:spacing w:val="4"/>
          <w:kern w:val="0"/>
          <w:sz w:val="28"/>
          <w:szCs w:val="26"/>
        </w:rPr>
        <w:t>年內提升至</w:t>
      </w:r>
      <w:r>
        <w:rPr>
          <w:rFonts w:eastAsia="標楷體"/>
          <w:spacing w:val="4"/>
          <w:kern w:val="0"/>
          <w:sz w:val="28"/>
          <w:szCs w:val="26"/>
        </w:rPr>
        <w:t>450</w:t>
      </w:r>
      <w:r>
        <w:rPr>
          <w:rFonts w:eastAsia="標楷體"/>
          <w:spacing w:val="4"/>
          <w:kern w:val="0"/>
          <w:sz w:val="28"/>
          <w:szCs w:val="26"/>
        </w:rPr>
        <w:t>件</w:t>
      </w:r>
    </w:p>
    <w:p w14:paraId="60C6992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在課程教學與研發上，扎根智財觀念。</w:t>
      </w:r>
    </w:p>
    <w:p w14:paraId="3DEE64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調整智財管理人才培育之質與量，符合社會需求。</w:t>
      </w:r>
    </w:p>
    <w:p w14:paraId="7D8DB6B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建立量產技術開發機制，提升技術移轉價值。</w:t>
      </w:r>
    </w:p>
    <w:p w14:paraId="40A6EC9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kern w:val="0"/>
          <w:sz w:val="28"/>
          <w:szCs w:val="22"/>
        </w:rPr>
        <w:t>建立以服務為導向之智財資訊平臺，便利產學查詢及運用。</w:t>
      </w:r>
    </w:p>
    <w:p w14:paraId="5ECEFE3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結合產業需求，改進技職教育，</w:t>
      </w:r>
      <w:r>
        <w:rPr>
          <w:rFonts w:eastAsia="標楷體"/>
          <w:spacing w:val="4"/>
          <w:kern w:val="0"/>
          <w:sz w:val="28"/>
          <w:szCs w:val="26"/>
        </w:rPr>
        <w:t>102</w:t>
      </w:r>
      <w:r>
        <w:rPr>
          <w:rFonts w:eastAsia="標楷體"/>
          <w:spacing w:val="4"/>
          <w:kern w:val="0"/>
          <w:sz w:val="28"/>
          <w:szCs w:val="26"/>
        </w:rPr>
        <w:t>年起推動第</w:t>
      </w:r>
      <w:r>
        <w:rPr>
          <w:rFonts w:eastAsia="標楷體"/>
          <w:spacing w:val="4"/>
          <w:kern w:val="0"/>
          <w:sz w:val="28"/>
          <w:szCs w:val="26"/>
        </w:rPr>
        <w:t>2</w:t>
      </w:r>
      <w:r>
        <w:rPr>
          <w:rFonts w:eastAsia="標楷體"/>
          <w:spacing w:val="4"/>
          <w:kern w:val="0"/>
          <w:sz w:val="28"/>
          <w:szCs w:val="26"/>
        </w:rPr>
        <w:t>期技職教育再造工程，落實技職教育政策一體化及科技大學技職化，培育具實作力、就業力、創新力之優質人力。</w:t>
      </w:r>
    </w:p>
    <w:p w14:paraId="45FABDD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鼓勵國立高職工業類科學校，配合各區職訓中心，分別開設精密鑄造班、機密機械班及精密機械班等專班。</w:t>
      </w:r>
    </w:p>
    <w:p w14:paraId="3F52071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推動發展典範科技大學計畫，整合區域內之教學、智慧財產及產業資源；長期推動產學一體之「人才培育、研發布局及成果推廣」，帶動人力及智慧財產加值。</w:t>
      </w:r>
    </w:p>
    <w:p w14:paraId="48E6243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持續辦理大專校院就業學程計畫及補助共通核心職能課程，降低大專生學用落差。</w:t>
      </w:r>
    </w:p>
    <w:p w14:paraId="40073F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配合區域產學發展，深化產學訓合作模式之訓練，提升青年專業技能，培訓符合企業需求之優質人力。</w:t>
      </w:r>
    </w:p>
    <w:p w14:paraId="7127405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增進青年就業力，</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年累計培訓</w:t>
      </w:r>
      <w:r>
        <w:rPr>
          <w:rFonts w:eastAsia="標楷體"/>
          <w:spacing w:val="4"/>
          <w:kern w:val="0"/>
          <w:sz w:val="28"/>
          <w:szCs w:val="26"/>
        </w:rPr>
        <w:t>8</w:t>
      </w:r>
      <w:r>
        <w:rPr>
          <w:rFonts w:eastAsia="標楷體"/>
          <w:spacing w:val="4"/>
          <w:kern w:val="0"/>
          <w:sz w:val="28"/>
          <w:szCs w:val="26"/>
        </w:rPr>
        <w:t>萬人。</w:t>
      </w:r>
    </w:p>
    <w:p w14:paraId="09DC0B2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)落</w:t>
      </w:r>
      <w:r>
        <w:rPr>
          <w:rFonts w:eastAsia="標楷體"/>
          <w:spacing w:val="4"/>
          <w:kern w:val="0"/>
          <w:sz w:val="28"/>
          <w:szCs w:val="22"/>
        </w:rPr>
        <w:t>實適性揚才教育理念，使學生能力多元發展，深耕生涯發展教育</w:t>
      </w:r>
    </w:p>
    <w:p w14:paraId="59A5481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落實國中教學正常化、學生適性輔導。</w:t>
      </w:r>
    </w:p>
    <w:p w14:paraId="34CA66A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具體發揮「國中學生生涯輔導紀錄手冊」之功能，協助學生進行妥善之生涯規劃。</w:t>
      </w:r>
    </w:p>
    <w:p w14:paraId="53D1E50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3.</w:t>
      </w:r>
      <w:r>
        <w:rPr>
          <w:rFonts w:eastAsia="標楷體"/>
          <w:spacing w:val="4"/>
          <w:kern w:val="0"/>
          <w:sz w:val="28"/>
          <w:szCs w:val="26"/>
        </w:rPr>
        <w:t>推動辦理「技藝教育抽離式班級」及「</w:t>
      </w:r>
      <w:r>
        <w:rPr>
          <w:rFonts w:eastAsia="標楷體"/>
          <w:spacing w:val="4"/>
          <w:kern w:val="0"/>
          <w:sz w:val="28"/>
          <w:szCs w:val="26"/>
        </w:rPr>
        <w:t>8</w:t>
      </w:r>
      <w:r>
        <w:rPr>
          <w:rFonts w:eastAsia="標楷體"/>
          <w:spacing w:val="4"/>
          <w:kern w:val="0"/>
          <w:sz w:val="28"/>
          <w:szCs w:val="26"/>
        </w:rPr>
        <w:t>年級社區高職參訪」，務求達成校校皆開辦之目標。</w:t>
      </w:r>
    </w:p>
    <w:p w14:paraId="364BD96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提高教師輔導知能，藉由教師之增能研習及領域研究會，將生涯發展教育確實融入課程。</w:t>
      </w:r>
    </w:p>
    <w:p w14:paraId="16E0A73B"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第五節　永續環境</w:t>
      </w:r>
    </w:p>
    <w:p w14:paraId="437C2F3E"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E2D28D4"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面對傳統能源日漸稀少及全球暖化之趨勢，各國皆在尋求替代能源並積極抑制二氧化碳排放，以因應能源危機及減緩氣候變遷對環境的衝擊；有鑒於此，未來四年，政府將持續推動「綠能減碳」、「生態家園」、「災害防救」等施政主軸，推廣再生能源，拓展綠能產業，減緩二氧化碳的排放；藉由推動國土規劃、資源循環再利用及流域管理，建立健康的生態家園；持續推動氣候變遷調適，提升災害防救能力及效率，強化災害預警及疏散撤離能量，建構美麗、綠意、生生不息的永續環境。</w:t>
      </w:r>
    </w:p>
    <w:p w14:paraId="7584158B"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673B6F1A"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壹、綠能減碳</w:t>
      </w:r>
    </w:p>
    <w:p w14:paraId="6E223127"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0C496E9"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二氧化碳等氣體排放造成的溫室效應，加速地球暖化與全球氣候變遷，導致極端氣候頻傳。為減緩二氧化碳的排放，世界各國莫不競相投入太陽能、風能、生質能、海洋能、地熱等潔淨再生能源的開發，並致力推動節能照明、高效能空調、省能運具、能源管理等節約能源措施。我國約有</w:t>
      </w:r>
      <w:r>
        <w:rPr>
          <w:rFonts w:eastAsia="標楷體"/>
          <w:spacing w:val="4"/>
          <w:kern w:val="0"/>
          <w:sz w:val="28"/>
          <w:szCs w:val="26"/>
        </w:rPr>
        <w:t>99%</w:t>
      </w:r>
      <w:r>
        <w:rPr>
          <w:rFonts w:eastAsia="標楷體"/>
          <w:spacing w:val="4"/>
          <w:kern w:val="0"/>
          <w:sz w:val="28"/>
          <w:szCs w:val="26"/>
        </w:rPr>
        <w:t>能源需仰賴進口，因此積極發展綠能產業與自主再生能源，並加速推動節能減碳，減緩隨經濟成長所需之能源需求，已是當前經濟發展的重要課題。</w:t>
      </w:r>
    </w:p>
    <w:p w14:paraId="00DE384C"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未來四年政府除積極推動「綠色能源產業躍升方案」，制定再生能源相關政策及法案，營造綠色產業發展利基外，更將逐步強化節能推動措施，建構有利節能減碳之財稅及經濟誘因與法規制度，以進一步擴大節能成效。同時，政府也將結合地方環境特色與文化投入，鼓勵全民綠色消費，提升民眾節能減碳意識，營造低碳化的城市與社會。</w:t>
      </w:r>
    </w:p>
    <w:p w14:paraId="6822724E"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一、目標</w:t>
      </w:r>
    </w:p>
    <w:p w14:paraId="0C880B1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推動智慧電動車產業發展，至</w:t>
      </w:r>
      <w:r>
        <w:rPr>
          <w:rFonts w:eastAsia="標楷體"/>
          <w:spacing w:val="4"/>
          <w:kern w:val="0"/>
          <w:sz w:val="28"/>
          <w:szCs w:val="22"/>
        </w:rPr>
        <w:t>105</w:t>
      </w:r>
      <w:r>
        <w:rPr>
          <w:rFonts w:eastAsia="標楷體"/>
          <w:spacing w:val="4"/>
          <w:kern w:val="0"/>
          <w:sz w:val="28"/>
          <w:szCs w:val="22"/>
        </w:rPr>
        <w:t>年新車耗能與</w:t>
      </w:r>
      <w:r>
        <w:rPr>
          <w:rFonts w:eastAsia="標楷體"/>
          <w:spacing w:val="4"/>
          <w:kern w:val="0"/>
          <w:sz w:val="28"/>
          <w:szCs w:val="22"/>
        </w:rPr>
        <w:t>CO</w:t>
      </w:r>
      <w:r>
        <w:rPr>
          <w:rFonts w:eastAsia="標楷體"/>
          <w:spacing w:val="4"/>
          <w:kern w:val="0"/>
          <w:sz w:val="28"/>
          <w:szCs w:val="22"/>
          <w:vertAlign w:val="subscript"/>
        </w:rPr>
        <w:t>2</w:t>
      </w:r>
      <w:r>
        <w:rPr>
          <w:rFonts w:eastAsia="標楷體"/>
          <w:spacing w:val="4"/>
          <w:kern w:val="0"/>
          <w:sz w:val="28"/>
          <w:szCs w:val="22"/>
        </w:rPr>
        <w:t>排放量均減少</w:t>
      </w:r>
      <w:r>
        <w:rPr>
          <w:rFonts w:eastAsia="標楷體"/>
          <w:spacing w:val="4"/>
          <w:kern w:val="0"/>
          <w:sz w:val="28"/>
          <w:szCs w:val="22"/>
        </w:rPr>
        <w:t>15%</w:t>
      </w:r>
      <w:r>
        <w:rPr>
          <w:rFonts w:eastAsia="標楷體"/>
          <w:spacing w:val="4"/>
          <w:kern w:val="0"/>
          <w:sz w:val="28"/>
          <w:szCs w:val="22"/>
        </w:rPr>
        <w:t>。</w:t>
      </w:r>
    </w:p>
    <w:p w14:paraId="5A1ED7E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每年提高能源效率</w:t>
      </w:r>
      <w:r>
        <w:rPr>
          <w:rFonts w:eastAsia="標楷體"/>
          <w:spacing w:val="4"/>
          <w:kern w:val="0"/>
          <w:sz w:val="28"/>
          <w:szCs w:val="22"/>
        </w:rPr>
        <w:t>2%</w:t>
      </w:r>
      <w:r>
        <w:rPr>
          <w:rFonts w:eastAsia="標楷體"/>
          <w:spacing w:val="4"/>
          <w:kern w:val="0"/>
          <w:sz w:val="28"/>
          <w:szCs w:val="22"/>
        </w:rPr>
        <w:t>以上，能源密集度於</w:t>
      </w:r>
      <w:r>
        <w:rPr>
          <w:rFonts w:eastAsia="標楷體"/>
          <w:spacing w:val="4"/>
          <w:kern w:val="0"/>
          <w:sz w:val="28"/>
          <w:szCs w:val="22"/>
        </w:rPr>
        <w:t>105</w:t>
      </w:r>
      <w:r>
        <w:rPr>
          <w:rFonts w:eastAsia="標楷體"/>
          <w:spacing w:val="4"/>
          <w:kern w:val="0"/>
          <w:sz w:val="28"/>
          <w:szCs w:val="22"/>
        </w:rPr>
        <w:t>年較</w:t>
      </w:r>
      <w:r>
        <w:rPr>
          <w:rFonts w:eastAsia="標楷體"/>
          <w:spacing w:val="4"/>
          <w:kern w:val="0"/>
          <w:sz w:val="28"/>
          <w:szCs w:val="22"/>
        </w:rPr>
        <w:t>99</w:t>
      </w:r>
      <w:r>
        <w:rPr>
          <w:rFonts w:eastAsia="標楷體"/>
          <w:spacing w:val="4"/>
          <w:kern w:val="0"/>
          <w:sz w:val="28"/>
          <w:szCs w:val="22"/>
        </w:rPr>
        <w:t>年下降</w:t>
      </w:r>
      <w:r>
        <w:rPr>
          <w:rFonts w:eastAsia="標楷體"/>
          <w:spacing w:val="4"/>
          <w:kern w:val="0"/>
          <w:sz w:val="28"/>
          <w:szCs w:val="22"/>
        </w:rPr>
        <w:t>12%</w:t>
      </w:r>
      <w:r>
        <w:rPr>
          <w:rFonts w:eastAsia="標楷體"/>
          <w:spacing w:val="4"/>
          <w:kern w:val="0"/>
          <w:sz w:val="28"/>
          <w:szCs w:val="22"/>
        </w:rPr>
        <w:t>。</w:t>
      </w:r>
    </w:p>
    <w:p w14:paraId="6C4DDBF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kern w:val="0"/>
          <w:sz w:val="28"/>
          <w:szCs w:val="22"/>
        </w:rPr>
        <w:t>綠色能源產業產值於</w:t>
      </w:r>
      <w:r>
        <w:rPr>
          <w:rFonts w:eastAsia="標楷體"/>
          <w:kern w:val="0"/>
          <w:sz w:val="28"/>
          <w:szCs w:val="22"/>
        </w:rPr>
        <w:t>105</w:t>
      </w:r>
      <w:r>
        <w:rPr>
          <w:rFonts w:eastAsia="標楷體"/>
          <w:kern w:val="0"/>
          <w:sz w:val="28"/>
          <w:szCs w:val="22"/>
        </w:rPr>
        <w:t>年達</w:t>
      </w:r>
      <w:r>
        <w:rPr>
          <w:rFonts w:eastAsia="標楷體"/>
          <w:kern w:val="0"/>
          <w:sz w:val="28"/>
          <w:szCs w:val="22"/>
        </w:rPr>
        <w:t>6,580</w:t>
      </w:r>
      <w:r>
        <w:rPr>
          <w:rFonts w:eastAsia="標楷體"/>
          <w:kern w:val="0"/>
          <w:sz w:val="28"/>
          <w:szCs w:val="22"/>
        </w:rPr>
        <w:t>億元，創造</w:t>
      </w:r>
      <w:r>
        <w:rPr>
          <w:rFonts w:eastAsia="標楷體"/>
          <w:kern w:val="0"/>
          <w:sz w:val="28"/>
          <w:szCs w:val="22"/>
        </w:rPr>
        <w:t>7.9</w:t>
      </w:r>
      <w:r>
        <w:rPr>
          <w:rFonts w:eastAsia="標楷體"/>
          <w:kern w:val="0"/>
          <w:sz w:val="28"/>
          <w:szCs w:val="22"/>
        </w:rPr>
        <w:t>萬個就業機會。</w:t>
      </w:r>
    </w:p>
    <w:p w14:paraId="01FC4FC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105</w:t>
      </w:r>
      <w:r>
        <w:rPr>
          <w:rFonts w:eastAsia="標楷體"/>
          <w:spacing w:val="4"/>
          <w:kern w:val="0"/>
          <w:sz w:val="28"/>
          <w:szCs w:val="22"/>
        </w:rPr>
        <w:t>年再生能源總設置容量達</w:t>
      </w:r>
      <w:r>
        <w:rPr>
          <w:rFonts w:eastAsia="標楷體"/>
          <w:spacing w:val="4"/>
          <w:kern w:val="0"/>
          <w:sz w:val="28"/>
          <w:szCs w:val="22"/>
        </w:rPr>
        <w:t>458</w:t>
      </w:r>
      <w:r>
        <w:rPr>
          <w:rFonts w:eastAsia="標楷體"/>
          <w:spacing w:val="4"/>
          <w:kern w:val="0"/>
          <w:sz w:val="28"/>
          <w:szCs w:val="22"/>
        </w:rPr>
        <w:t>萬瓩，年發電量為</w:t>
      </w:r>
      <w:r>
        <w:rPr>
          <w:rFonts w:eastAsia="標楷體"/>
          <w:spacing w:val="4"/>
          <w:kern w:val="0"/>
          <w:sz w:val="28"/>
          <w:szCs w:val="22"/>
        </w:rPr>
        <w:t>122</w:t>
      </w:r>
      <w:r>
        <w:rPr>
          <w:rFonts w:eastAsia="標楷體"/>
          <w:spacing w:val="4"/>
          <w:kern w:val="0"/>
          <w:sz w:val="28"/>
          <w:szCs w:val="22"/>
        </w:rPr>
        <w:t>億度電。</w:t>
      </w:r>
    </w:p>
    <w:p w14:paraId="478E207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推動低碳家園，倡導節能減碳新生活，全民綠色消費</w:t>
      </w:r>
    </w:p>
    <w:p w14:paraId="327F9F5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1.4</w:t>
      </w:r>
      <w:r>
        <w:rPr>
          <w:rFonts w:eastAsia="標楷體"/>
          <w:spacing w:val="4"/>
          <w:kern w:val="0"/>
          <w:sz w:val="28"/>
          <w:szCs w:val="26"/>
        </w:rPr>
        <w:t>年建構</w:t>
      </w:r>
      <w:r>
        <w:rPr>
          <w:rFonts w:eastAsia="標楷體"/>
          <w:spacing w:val="4"/>
          <w:kern w:val="0"/>
          <w:sz w:val="28"/>
          <w:szCs w:val="26"/>
        </w:rPr>
        <w:t>100</w:t>
      </w:r>
      <w:r>
        <w:rPr>
          <w:rFonts w:eastAsia="標楷體"/>
          <w:spacing w:val="4"/>
          <w:kern w:val="0"/>
          <w:sz w:val="28"/>
          <w:szCs w:val="26"/>
        </w:rPr>
        <w:t>處低碳永續社區，用電量較</w:t>
      </w:r>
      <w:r>
        <w:rPr>
          <w:rFonts w:eastAsia="標楷體"/>
          <w:spacing w:val="4"/>
          <w:kern w:val="0"/>
          <w:sz w:val="28"/>
          <w:szCs w:val="26"/>
        </w:rPr>
        <w:t>94</w:t>
      </w:r>
      <w:r>
        <w:rPr>
          <w:rFonts w:eastAsia="標楷體"/>
          <w:spacing w:val="4"/>
          <w:kern w:val="0"/>
          <w:sz w:val="28"/>
          <w:szCs w:val="26"/>
        </w:rPr>
        <w:t>年減少</w:t>
      </w:r>
      <w:r>
        <w:rPr>
          <w:rFonts w:eastAsia="標楷體"/>
          <w:spacing w:val="4"/>
          <w:kern w:val="0"/>
          <w:sz w:val="28"/>
          <w:szCs w:val="26"/>
        </w:rPr>
        <w:t>15%</w:t>
      </w:r>
      <w:r>
        <w:rPr>
          <w:rFonts w:eastAsia="標楷體"/>
          <w:spacing w:val="4"/>
          <w:kern w:val="0"/>
          <w:sz w:val="28"/>
          <w:szCs w:val="26"/>
        </w:rPr>
        <w:t>。</w:t>
      </w:r>
    </w:p>
    <w:p w14:paraId="65119D7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ab/>
      </w:r>
      <w:r>
        <w:rPr>
          <w:rFonts w:eastAsia="標楷體"/>
          <w:spacing w:val="4"/>
          <w:kern w:val="0"/>
          <w:sz w:val="28"/>
          <w:szCs w:val="26"/>
        </w:rPr>
        <w:t>推動公部門以</w:t>
      </w:r>
      <w:r>
        <w:rPr>
          <w:rFonts w:eastAsia="標楷體"/>
          <w:spacing w:val="4"/>
          <w:kern w:val="0"/>
          <w:sz w:val="28"/>
          <w:szCs w:val="26"/>
        </w:rPr>
        <w:t>96</w:t>
      </w:r>
      <w:r>
        <w:rPr>
          <w:rFonts w:eastAsia="標楷體"/>
          <w:spacing w:val="4"/>
          <w:kern w:val="0"/>
          <w:sz w:val="28"/>
          <w:szCs w:val="26"/>
        </w:rPr>
        <w:t>年為用電量、用油量及用水量為基期年，並以至</w:t>
      </w:r>
      <w:r>
        <w:rPr>
          <w:rFonts w:eastAsia="標楷體"/>
          <w:spacing w:val="4"/>
          <w:kern w:val="0"/>
          <w:sz w:val="28"/>
          <w:szCs w:val="26"/>
        </w:rPr>
        <w:t>104</w:t>
      </w:r>
      <w:r>
        <w:rPr>
          <w:rFonts w:eastAsia="標楷體"/>
          <w:spacing w:val="4"/>
          <w:kern w:val="0"/>
          <w:sz w:val="28"/>
          <w:szCs w:val="26"/>
        </w:rPr>
        <w:t>年當年度總體節約用電、節約用油及節約用水</w:t>
      </w:r>
      <w:r>
        <w:rPr>
          <w:rFonts w:eastAsia="標楷體"/>
          <w:spacing w:val="4"/>
          <w:kern w:val="0"/>
          <w:sz w:val="28"/>
          <w:szCs w:val="26"/>
        </w:rPr>
        <w:t>10%</w:t>
      </w:r>
      <w:r>
        <w:rPr>
          <w:rFonts w:eastAsia="標楷體"/>
          <w:spacing w:val="4"/>
          <w:kern w:val="0"/>
          <w:sz w:val="28"/>
          <w:szCs w:val="26"/>
        </w:rPr>
        <w:t>為目標。</w:t>
      </w:r>
    </w:p>
    <w:p w14:paraId="6FD36AB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ab/>
      </w:r>
      <w:r>
        <w:rPr>
          <w:rFonts w:eastAsia="標楷體"/>
          <w:spacing w:val="4"/>
          <w:kern w:val="0"/>
          <w:sz w:val="28"/>
          <w:szCs w:val="26"/>
        </w:rPr>
        <w:t>推動農業用水節水灌溉，促進水資源之有效使用，</w:t>
      </w:r>
      <w:r>
        <w:rPr>
          <w:rFonts w:eastAsia="標楷體"/>
          <w:spacing w:val="4"/>
          <w:kern w:val="0"/>
          <w:sz w:val="28"/>
          <w:szCs w:val="26"/>
        </w:rPr>
        <w:t>105</w:t>
      </w:r>
      <w:r>
        <w:rPr>
          <w:rFonts w:eastAsia="標楷體"/>
          <w:spacing w:val="4"/>
          <w:kern w:val="0"/>
          <w:sz w:val="28"/>
          <w:szCs w:val="26"/>
        </w:rPr>
        <w:t>年農業用水節水量</w:t>
      </w:r>
      <w:r>
        <w:rPr>
          <w:rFonts w:ascii="標楷體" w:eastAsia="標楷體" w:hAnsi="標楷體"/>
          <w:spacing w:val="4"/>
          <w:kern w:val="0"/>
          <w:sz w:val="28"/>
          <w:szCs w:val="26"/>
        </w:rPr>
        <w:t>(</w:t>
      </w:r>
      <w:r>
        <w:rPr>
          <w:rFonts w:eastAsia="標楷體"/>
          <w:spacing w:val="4"/>
          <w:kern w:val="0"/>
          <w:sz w:val="28"/>
          <w:szCs w:val="26"/>
        </w:rPr>
        <w:t>含灌溉、畜牧用水</w:t>
      </w:r>
      <w:r>
        <w:rPr>
          <w:rFonts w:ascii="標楷體" w:eastAsia="標楷體" w:hAnsi="標楷體"/>
          <w:spacing w:val="4"/>
          <w:kern w:val="0"/>
          <w:sz w:val="28"/>
          <w:szCs w:val="26"/>
        </w:rPr>
        <w:t>)</w:t>
      </w:r>
      <w:r>
        <w:rPr>
          <w:rFonts w:eastAsia="標楷體"/>
          <w:spacing w:val="4"/>
          <w:kern w:val="0"/>
          <w:sz w:val="28"/>
          <w:szCs w:val="26"/>
        </w:rPr>
        <w:t>累計達</w:t>
      </w:r>
      <w:r>
        <w:rPr>
          <w:rFonts w:eastAsia="標楷體"/>
          <w:spacing w:val="4"/>
          <w:kern w:val="0"/>
          <w:sz w:val="28"/>
          <w:szCs w:val="26"/>
        </w:rPr>
        <w:t>5,130</w:t>
      </w:r>
      <w:r>
        <w:rPr>
          <w:rFonts w:eastAsia="標楷體"/>
          <w:spacing w:val="4"/>
          <w:kern w:val="0"/>
          <w:sz w:val="28"/>
          <w:szCs w:val="26"/>
        </w:rPr>
        <w:t>萬公噸，較</w:t>
      </w:r>
      <w:r>
        <w:rPr>
          <w:rFonts w:eastAsia="標楷體"/>
          <w:spacing w:val="4"/>
          <w:kern w:val="0"/>
          <w:sz w:val="28"/>
          <w:szCs w:val="26"/>
        </w:rPr>
        <w:t>100</w:t>
      </w:r>
      <w:r>
        <w:rPr>
          <w:rFonts w:eastAsia="標楷體"/>
          <w:spacing w:val="4"/>
          <w:kern w:val="0"/>
          <w:sz w:val="28"/>
          <w:szCs w:val="26"/>
        </w:rPr>
        <w:t>年成長</w:t>
      </w:r>
      <w:r>
        <w:rPr>
          <w:rFonts w:eastAsia="標楷體"/>
          <w:spacing w:val="4"/>
          <w:kern w:val="0"/>
          <w:sz w:val="28"/>
          <w:szCs w:val="26"/>
        </w:rPr>
        <w:t>52%</w:t>
      </w:r>
      <w:r>
        <w:rPr>
          <w:rFonts w:eastAsia="標楷體"/>
          <w:spacing w:val="4"/>
          <w:kern w:val="0"/>
          <w:sz w:val="28"/>
          <w:szCs w:val="26"/>
        </w:rPr>
        <w:t>。</w:t>
      </w:r>
    </w:p>
    <w:p w14:paraId="1CB127E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535478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全力推動再生能源，促進低碳能源合理使用</w:t>
      </w:r>
    </w:p>
    <w:p w14:paraId="6A9F871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ab/>
      </w:r>
      <w:r>
        <w:rPr>
          <w:rFonts w:eastAsia="標楷體"/>
          <w:spacing w:val="4"/>
          <w:kern w:val="0"/>
          <w:sz w:val="28"/>
          <w:szCs w:val="26"/>
        </w:rPr>
        <w:t>風力發電：開發優良陸域風場，協助業者開發潛在次佳風場；針對離岸風場，以「先淺海、後深海；先示範、後區域」為原則進行規劃，於</w:t>
      </w:r>
      <w:r>
        <w:rPr>
          <w:rFonts w:eastAsia="標楷體"/>
          <w:spacing w:val="4"/>
          <w:kern w:val="0"/>
          <w:sz w:val="28"/>
          <w:szCs w:val="26"/>
        </w:rPr>
        <w:t>104</w:t>
      </w:r>
      <w:r>
        <w:rPr>
          <w:rFonts w:eastAsia="標楷體"/>
          <w:spacing w:val="4"/>
          <w:kern w:val="0"/>
          <w:sz w:val="28"/>
          <w:szCs w:val="26"/>
        </w:rPr>
        <w:t>年完成國內首座離岸風場示範開發設置；</w:t>
      </w:r>
      <w:r>
        <w:rPr>
          <w:rFonts w:eastAsia="標楷體"/>
          <w:spacing w:val="4"/>
          <w:kern w:val="0"/>
          <w:sz w:val="28"/>
          <w:szCs w:val="26"/>
        </w:rPr>
        <w:t>105</w:t>
      </w:r>
      <w:r>
        <w:rPr>
          <w:rFonts w:eastAsia="標楷體"/>
          <w:spacing w:val="4"/>
          <w:kern w:val="0"/>
          <w:sz w:val="28"/>
          <w:szCs w:val="26"/>
        </w:rPr>
        <w:t>年陸域風力發電累計裝置量達</w:t>
      </w:r>
      <w:r>
        <w:rPr>
          <w:rFonts w:eastAsia="標楷體"/>
          <w:spacing w:val="4"/>
          <w:kern w:val="0"/>
          <w:sz w:val="28"/>
          <w:szCs w:val="26"/>
        </w:rPr>
        <w:t>933 MW</w:t>
      </w:r>
      <w:r>
        <w:rPr>
          <w:rFonts w:eastAsia="標楷體"/>
          <w:spacing w:val="4"/>
          <w:kern w:val="0"/>
          <w:sz w:val="28"/>
          <w:szCs w:val="26"/>
        </w:rPr>
        <w:t>，離岸風力發電則透過示範獎勵辦法完成</w:t>
      </w:r>
      <w:r>
        <w:rPr>
          <w:rFonts w:eastAsia="標楷體"/>
          <w:spacing w:val="4"/>
          <w:kern w:val="0"/>
          <w:sz w:val="28"/>
          <w:szCs w:val="26"/>
        </w:rPr>
        <w:t>4</w:t>
      </w:r>
      <w:r>
        <w:rPr>
          <w:rFonts w:eastAsia="標楷體"/>
          <w:spacing w:val="4"/>
          <w:kern w:val="0"/>
          <w:sz w:val="28"/>
          <w:szCs w:val="26"/>
        </w:rPr>
        <w:t>至</w:t>
      </w:r>
      <w:r>
        <w:rPr>
          <w:rFonts w:eastAsia="標楷體"/>
          <w:spacing w:val="4"/>
          <w:kern w:val="0"/>
          <w:sz w:val="28"/>
          <w:szCs w:val="26"/>
        </w:rPr>
        <w:t>6</w:t>
      </w:r>
      <w:r>
        <w:rPr>
          <w:rFonts w:eastAsia="標楷體"/>
          <w:spacing w:val="4"/>
          <w:kern w:val="0"/>
          <w:sz w:val="28"/>
          <w:szCs w:val="26"/>
        </w:rPr>
        <w:t>部示範機組。</w:t>
      </w:r>
    </w:p>
    <w:p w14:paraId="050E46D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ab/>
      </w:r>
      <w:r>
        <w:rPr>
          <w:rFonts w:eastAsia="標楷體"/>
          <w:spacing w:val="4"/>
          <w:kern w:val="0"/>
          <w:sz w:val="28"/>
          <w:szCs w:val="26"/>
        </w:rPr>
        <w:t>太陽光電：採「先緩後快；先屋頂後地面」策略，於發電成本較市電價格為高之階段，推動民宅及廠房建築物屋頂應用為主，達家戶普及設置目的，待太陽光電發電成本具競爭力後，再推動地面大容量利用；</w:t>
      </w:r>
      <w:r>
        <w:rPr>
          <w:rFonts w:eastAsia="標楷體"/>
          <w:spacing w:val="4"/>
          <w:kern w:val="0"/>
          <w:sz w:val="28"/>
          <w:szCs w:val="26"/>
        </w:rPr>
        <w:t>105</w:t>
      </w:r>
      <w:r>
        <w:rPr>
          <w:rFonts w:eastAsia="標楷體"/>
          <w:spacing w:val="4"/>
          <w:kern w:val="0"/>
          <w:sz w:val="28"/>
          <w:szCs w:val="26"/>
        </w:rPr>
        <w:t>年國內太陽光電系統累計設置量達</w:t>
      </w:r>
      <w:r>
        <w:rPr>
          <w:rFonts w:eastAsia="標楷體"/>
          <w:spacing w:val="4"/>
          <w:kern w:val="0"/>
          <w:sz w:val="28"/>
          <w:szCs w:val="26"/>
        </w:rPr>
        <w:t>588MW</w:t>
      </w:r>
      <w:r>
        <w:rPr>
          <w:rFonts w:eastAsia="標楷體"/>
          <w:spacing w:val="4"/>
          <w:kern w:val="0"/>
          <w:sz w:val="28"/>
          <w:szCs w:val="26"/>
        </w:rPr>
        <w:t>。</w:t>
      </w:r>
    </w:p>
    <w:p w14:paraId="0FC1470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3.</w:t>
      </w:r>
      <w:r>
        <w:rPr>
          <w:rFonts w:eastAsia="標楷體"/>
          <w:spacing w:val="4"/>
          <w:kern w:val="0"/>
          <w:sz w:val="28"/>
          <w:szCs w:val="26"/>
        </w:rPr>
        <w:t>透過合宜的天然氣價格，促使民眾合理使用天然氣，建置必要輸儲設備，增加天然氣普及率。</w:t>
      </w:r>
    </w:p>
    <w:p w14:paraId="04CEC0F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推動整合型示範計畫，加速相關綠能產業發展</w:t>
      </w:r>
    </w:p>
    <w:p w14:paraId="0ACDB361" w14:textId="77777777" w:rsidR="00052596" w:rsidRDefault="00000000">
      <w:pPr>
        <w:overflowPunct w:val="0"/>
        <w:autoSpaceDE w:val="0"/>
        <w:spacing w:line="420" w:lineRule="exact"/>
        <w:ind w:left="1032" w:firstLine="576"/>
        <w:jc w:val="both"/>
        <w:textAlignment w:val="center"/>
        <w:rPr>
          <w:rFonts w:eastAsia="標楷體"/>
          <w:spacing w:val="4"/>
          <w:kern w:val="0"/>
          <w:sz w:val="28"/>
          <w:szCs w:val="22"/>
        </w:rPr>
      </w:pPr>
      <w:r>
        <w:rPr>
          <w:rFonts w:eastAsia="標楷體"/>
          <w:spacing w:val="4"/>
          <w:kern w:val="0"/>
          <w:sz w:val="28"/>
          <w:szCs w:val="22"/>
        </w:rPr>
        <w:t>推動綠能產業躍升方案，</w:t>
      </w:r>
      <w:r>
        <w:rPr>
          <w:rFonts w:eastAsia="標楷體"/>
          <w:spacing w:val="4"/>
          <w:kern w:val="0"/>
          <w:sz w:val="28"/>
          <w:szCs w:val="22"/>
        </w:rPr>
        <w:t>104</w:t>
      </w:r>
      <w:r>
        <w:rPr>
          <w:rFonts w:eastAsia="標楷體"/>
          <w:spacing w:val="4"/>
          <w:kern w:val="0"/>
          <w:sz w:val="28"/>
          <w:szCs w:val="22"/>
        </w:rPr>
        <w:t>年太陽光電裝設容量達</w:t>
      </w:r>
      <w:r>
        <w:rPr>
          <w:rFonts w:eastAsia="標楷體"/>
          <w:spacing w:val="4"/>
          <w:kern w:val="0"/>
          <w:sz w:val="28"/>
          <w:szCs w:val="22"/>
        </w:rPr>
        <w:t>492MW</w:t>
      </w:r>
      <w:r>
        <w:rPr>
          <w:rFonts w:eastAsia="標楷體"/>
          <w:spacing w:val="4"/>
          <w:kern w:val="0"/>
          <w:sz w:val="28"/>
          <w:szCs w:val="22"/>
        </w:rPr>
        <w:t>、海陸風力機達</w:t>
      </w:r>
      <w:r>
        <w:rPr>
          <w:rFonts w:eastAsia="標楷體"/>
          <w:spacing w:val="4"/>
          <w:kern w:val="0"/>
          <w:sz w:val="28"/>
          <w:szCs w:val="22"/>
        </w:rPr>
        <w:t>881MW</w:t>
      </w:r>
      <w:r>
        <w:rPr>
          <w:rFonts w:eastAsia="標楷體"/>
          <w:spacing w:val="4"/>
          <w:kern w:val="0"/>
          <w:sz w:val="28"/>
          <w:szCs w:val="22"/>
        </w:rPr>
        <w:t>、生質燃料達</w:t>
      </w:r>
      <w:r>
        <w:rPr>
          <w:rFonts w:eastAsia="標楷體"/>
          <w:spacing w:val="4"/>
          <w:kern w:val="0"/>
          <w:sz w:val="28"/>
          <w:szCs w:val="22"/>
        </w:rPr>
        <w:t>877MW</w:t>
      </w:r>
      <w:r>
        <w:rPr>
          <w:rFonts w:eastAsia="標楷體"/>
          <w:spacing w:val="4"/>
          <w:kern w:val="0"/>
          <w:sz w:val="28"/>
          <w:szCs w:val="22"/>
        </w:rPr>
        <w:t>、氫能與燃料電池達</w:t>
      </w:r>
      <w:r>
        <w:rPr>
          <w:rFonts w:eastAsia="標楷體"/>
          <w:spacing w:val="4"/>
          <w:kern w:val="0"/>
          <w:sz w:val="28"/>
          <w:szCs w:val="22"/>
        </w:rPr>
        <w:t>7MW</w:t>
      </w:r>
      <w:r>
        <w:rPr>
          <w:rFonts w:eastAsia="標楷體"/>
          <w:spacing w:val="4"/>
          <w:kern w:val="0"/>
          <w:sz w:val="28"/>
          <w:szCs w:val="22"/>
        </w:rPr>
        <w:t>、</w:t>
      </w:r>
      <w:r>
        <w:rPr>
          <w:rFonts w:eastAsia="標楷體"/>
          <w:spacing w:val="4"/>
          <w:kern w:val="0"/>
          <w:sz w:val="28"/>
          <w:szCs w:val="22"/>
        </w:rPr>
        <w:t>AMI</w:t>
      </w:r>
      <w:r>
        <w:rPr>
          <w:rFonts w:eastAsia="標楷體"/>
          <w:spacing w:val="4"/>
          <w:kern w:val="0"/>
          <w:sz w:val="28"/>
          <w:szCs w:val="22"/>
        </w:rPr>
        <w:t>電錶布建用戶</w:t>
      </w:r>
      <w:r>
        <w:rPr>
          <w:rFonts w:eastAsia="標楷體"/>
          <w:spacing w:val="4"/>
          <w:kern w:val="0"/>
          <w:sz w:val="28"/>
          <w:szCs w:val="22"/>
        </w:rPr>
        <w:t>104</w:t>
      </w:r>
      <w:r>
        <w:rPr>
          <w:rFonts w:eastAsia="標楷體"/>
          <w:spacing w:val="4"/>
          <w:kern w:val="0"/>
          <w:sz w:val="28"/>
          <w:szCs w:val="22"/>
        </w:rPr>
        <w:t>年達</w:t>
      </w:r>
      <w:r>
        <w:rPr>
          <w:rFonts w:eastAsia="標楷體"/>
          <w:spacing w:val="4"/>
          <w:kern w:val="0"/>
          <w:sz w:val="28"/>
          <w:szCs w:val="22"/>
        </w:rPr>
        <w:t>100</w:t>
      </w:r>
      <w:r>
        <w:rPr>
          <w:rFonts w:eastAsia="標楷體"/>
          <w:spacing w:val="4"/>
          <w:kern w:val="0"/>
          <w:sz w:val="28"/>
          <w:szCs w:val="22"/>
        </w:rPr>
        <w:t>萬。</w:t>
      </w:r>
    </w:p>
    <w:p w14:paraId="1067361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完善節能減碳之市場機能、法規及制度</w:t>
      </w:r>
    </w:p>
    <w:p w14:paraId="62926CB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ab/>
      </w:r>
      <w:r>
        <w:rPr>
          <w:rFonts w:eastAsia="標楷體"/>
          <w:spacing w:val="4"/>
          <w:kern w:val="0"/>
          <w:sz w:val="28"/>
          <w:szCs w:val="26"/>
        </w:rPr>
        <w:t>推動「溫室氣體減量法」草案立法，完備減碳法制體系，確立中央及地方之權責分工，提升減碳能力建構，分階段要求大型碳排放源逐年減少排碳總量，並適時導入市場機制，建立降低其減量成本的碳權抵換交易制度</w:t>
      </w:r>
      <w:r>
        <w:rPr>
          <w:rFonts w:eastAsia="標楷體"/>
          <w:color w:val="000000"/>
          <w:spacing w:val="4"/>
          <w:kern w:val="0"/>
          <w:sz w:val="28"/>
          <w:szCs w:val="26"/>
        </w:rPr>
        <w:t>。</w:t>
      </w:r>
    </w:p>
    <w:p w14:paraId="26608A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ab/>
      </w:r>
      <w:r>
        <w:rPr>
          <w:rFonts w:eastAsia="標楷體"/>
          <w:spacing w:val="4"/>
          <w:kern w:val="0"/>
          <w:sz w:val="28"/>
          <w:szCs w:val="26"/>
        </w:rPr>
        <w:t>積極推廣天然氣為潔淨安全之能源，透過天然氣事業法及相關子法，建構健全之天然氣市場。</w:t>
      </w:r>
    </w:p>
    <w:p w14:paraId="60AC814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ab/>
      </w:r>
      <w:r>
        <w:rPr>
          <w:rFonts w:eastAsia="標楷體"/>
          <w:spacing w:val="4"/>
          <w:kern w:val="0"/>
          <w:sz w:val="28"/>
          <w:szCs w:val="26"/>
        </w:rPr>
        <w:t>建構能源稅之法制基礎，促使能源外部成本內部化，規劃相關配套措施，提升綜效。</w:t>
      </w:r>
    </w:p>
    <w:p w14:paraId="54E81AF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加速產業低碳化，推動區域能資源整合</w:t>
      </w:r>
    </w:p>
    <w:p w14:paraId="675E787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ab/>
      </w:r>
      <w:r>
        <w:rPr>
          <w:rFonts w:eastAsia="標楷體"/>
          <w:spacing w:val="4"/>
          <w:kern w:val="0"/>
          <w:sz w:val="28"/>
          <w:szCs w:val="26"/>
        </w:rPr>
        <w:t>輔導能源大用戶建立能源查核制度，訂定節約能源目標及執行計畫；針對服務業能源大用戶、集團能源用戶提供現場節能診斷技術輔導服務。</w:t>
      </w:r>
    </w:p>
    <w:p w14:paraId="2E3FB90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ab/>
      </w:r>
      <w:r>
        <w:rPr>
          <w:rFonts w:eastAsia="標楷體"/>
          <w:spacing w:val="4"/>
          <w:kern w:val="0"/>
          <w:sz w:val="28"/>
          <w:szCs w:val="26"/>
        </w:rPr>
        <w:t>強化能源密集產業效率管理，制訂鋼鐵、造紙、石化、紡織與電子業能源使用設備之效率規定；</w:t>
      </w:r>
      <w:r>
        <w:rPr>
          <w:rFonts w:eastAsia="標楷體"/>
          <w:spacing w:val="4"/>
          <w:kern w:val="0"/>
          <w:sz w:val="28"/>
          <w:szCs w:val="26"/>
        </w:rPr>
        <w:t>4</w:t>
      </w:r>
      <w:r>
        <w:rPr>
          <w:rFonts w:eastAsia="標楷體"/>
          <w:spacing w:val="4"/>
          <w:kern w:val="0"/>
          <w:sz w:val="28"/>
          <w:szCs w:val="26"/>
        </w:rPr>
        <w:t>年完成水泥、造紙、鋼鐵、石化、紡織與電子業等能源密集產業合計</w:t>
      </w:r>
      <w:r>
        <w:rPr>
          <w:rFonts w:eastAsia="標楷體"/>
          <w:spacing w:val="4"/>
          <w:kern w:val="0"/>
          <w:sz w:val="28"/>
          <w:szCs w:val="26"/>
        </w:rPr>
        <w:t>375</w:t>
      </w:r>
      <w:r>
        <w:rPr>
          <w:rFonts w:eastAsia="標楷體"/>
          <w:spacing w:val="4"/>
          <w:kern w:val="0"/>
          <w:sz w:val="28"/>
          <w:szCs w:val="26"/>
        </w:rPr>
        <w:t>家能源效率查驗，與</w:t>
      </w:r>
      <w:r>
        <w:rPr>
          <w:rFonts w:eastAsia="標楷體"/>
          <w:spacing w:val="4"/>
          <w:kern w:val="0"/>
          <w:sz w:val="28"/>
          <w:szCs w:val="26"/>
        </w:rPr>
        <w:t>120</w:t>
      </w:r>
      <w:r>
        <w:rPr>
          <w:rFonts w:eastAsia="標楷體"/>
          <w:spacing w:val="4"/>
          <w:kern w:val="0"/>
          <w:sz w:val="28"/>
          <w:szCs w:val="26"/>
        </w:rPr>
        <w:t>家次之後續追蹤；建立節能方案與措施資訊網站。</w:t>
      </w:r>
    </w:p>
    <w:p w14:paraId="5DA9446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ab/>
      </w:r>
      <w:r>
        <w:rPr>
          <w:rFonts w:eastAsia="標楷體"/>
          <w:spacing w:val="4"/>
          <w:kern w:val="0"/>
          <w:sz w:val="28"/>
          <w:szCs w:val="26"/>
        </w:rPr>
        <w:t>廢熱、廢冷及熱電整合應用，總體規劃區分為可行性評估、示範驗證與擴大推廣等三階段進行。</w:t>
      </w:r>
    </w:p>
    <w:p w14:paraId="41B2634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ab/>
      </w:r>
      <w:r>
        <w:rPr>
          <w:rFonts w:eastAsia="標楷體"/>
          <w:spacing w:val="4"/>
          <w:kern w:val="0"/>
          <w:sz w:val="28"/>
          <w:szCs w:val="26"/>
        </w:rPr>
        <w:t>持續調查能源大用戶新增能源供應與需求，研擬區域能源整合的優惠措施與補助獎勵誘因。</w:t>
      </w:r>
    </w:p>
    <w:p w14:paraId="7398AE8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5.</w:t>
      </w:r>
      <w:r>
        <w:rPr>
          <w:rFonts w:eastAsia="標楷體"/>
          <w:spacing w:val="4"/>
          <w:kern w:val="0"/>
          <w:sz w:val="28"/>
          <w:szCs w:val="26"/>
        </w:rPr>
        <w:tab/>
      </w:r>
      <w:r>
        <w:rPr>
          <w:rFonts w:eastAsia="標楷體"/>
          <w:spacing w:val="4"/>
          <w:kern w:val="0"/>
          <w:sz w:val="28"/>
          <w:szCs w:val="26"/>
        </w:rPr>
        <w:t>針對規劃中電廠更新擴建計畫，推動「汰換老舊機組」措施，並對燃煤電廠部分，引進效率達</w:t>
      </w:r>
      <w:r>
        <w:rPr>
          <w:rFonts w:eastAsia="標楷體"/>
          <w:spacing w:val="4"/>
          <w:kern w:val="0"/>
          <w:sz w:val="28"/>
          <w:szCs w:val="26"/>
        </w:rPr>
        <w:t>44.5%</w:t>
      </w:r>
      <w:r>
        <w:rPr>
          <w:rFonts w:ascii="標楷體" w:eastAsia="標楷體" w:hAnsi="標楷體"/>
          <w:spacing w:val="4"/>
          <w:kern w:val="0"/>
          <w:sz w:val="28"/>
          <w:szCs w:val="26"/>
        </w:rPr>
        <w:t>(</w:t>
      </w:r>
      <w:r>
        <w:rPr>
          <w:rFonts w:eastAsia="標楷體"/>
          <w:spacing w:val="4"/>
          <w:kern w:val="0"/>
          <w:sz w:val="28"/>
          <w:szCs w:val="26"/>
        </w:rPr>
        <w:t>LHV, Gross</w:t>
      </w:r>
      <w:r>
        <w:rPr>
          <w:rFonts w:ascii="標楷體" w:eastAsia="標楷體" w:hAnsi="標楷體"/>
          <w:spacing w:val="4"/>
          <w:kern w:val="0"/>
          <w:sz w:val="28"/>
          <w:szCs w:val="26"/>
        </w:rPr>
        <w:t>)</w:t>
      </w:r>
      <w:r>
        <w:rPr>
          <w:rFonts w:eastAsia="標楷體"/>
          <w:spacing w:val="4"/>
          <w:kern w:val="0"/>
          <w:sz w:val="28"/>
          <w:szCs w:val="26"/>
        </w:rPr>
        <w:t>以</w:t>
      </w:r>
      <w:r>
        <w:rPr>
          <w:rFonts w:eastAsia="標楷體"/>
          <w:spacing w:val="4"/>
          <w:kern w:val="0"/>
          <w:sz w:val="28"/>
          <w:szCs w:val="26"/>
        </w:rPr>
        <w:lastRenderedPageBreak/>
        <w:t>上之超</w:t>
      </w:r>
      <w:r>
        <w:rPr>
          <w:rFonts w:ascii="標楷體" w:eastAsia="標楷體" w:hAnsi="標楷體"/>
          <w:spacing w:val="4"/>
          <w:kern w:val="0"/>
          <w:sz w:val="28"/>
          <w:szCs w:val="26"/>
        </w:rPr>
        <w:t>(</w:t>
      </w:r>
      <w:r>
        <w:rPr>
          <w:rFonts w:eastAsia="標楷體"/>
          <w:spacing w:val="4"/>
          <w:kern w:val="0"/>
          <w:sz w:val="28"/>
          <w:szCs w:val="26"/>
        </w:rPr>
        <w:t>超</w:t>
      </w:r>
      <w:r>
        <w:rPr>
          <w:rFonts w:ascii="標楷體" w:eastAsia="標楷體" w:hAnsi="標楷體"/>
          <w:spacing w:val="4"/>
          <w:kern w:val="0"/>
          <w:sz w:val="28"/>
          <w:szCs w:val="26"/>
        </w:rPr>
        <w:t>)</w:t>
      </w:r>
      <w:r>
        <w:rPr>
          <w:rFonts w:eastAsia="標楷體"/>
          <w:spacing w:val="4"/>
          <w:kern w:val="0"/>
          <w:sz w:val="28"/>
          <w:szCs w:val="26"/>
        </w:rPr>
        <w:t>臨界機組；推動林口燃煤電廠更新計畫，</w:t>
      </w:r>
      <w:r>
        <w:rPr>
          <w:rFonts w:eastAsia="標楷體"/>
          <w:spacing w:val="4"/>
          <w:kern w:val="0"/>
          <w:sz w:val="28"/>
          <w:szCs w:val="26"/>
        </w:rPr>
        <w:t>105</w:t>
      </w:r>
      <w:r>
        <w:rPr>
          <w:rFonts w:eastAsia="標楷體"/>
          <w:spacing w:val="4"/>
          <w:kern w:val="0"/>
          <w:sz w:val="28"/>
          <w:szCs w:val="26"/>
        </w:rPr>
        <w:t>年</w:t>
      </w:r>
      <w:r>
        <w:rPr>
          <w:rFonts w:eastAsia="標楷體"/>
          <w:spacing w:val="4"/>
          <w:kern w:val="0"/>
          <w:sz w:val="28"/>
          <w:szCs w:val="26"/>
        </w:rPr>
        <w:t>1</w:t>
      </w:r>
      <w:r>
        <w:rPr>
          <w:rFonts w:eastAsia="標楷體"/>
          <w:spacing w:val="4"/>
          <w:kern w:val="0"/>
          <w:sz w:val="28"/>
          <w:szCs w:val="26"/>
        </w:rPr>
        <w:t>號機啟用商轉。</w:t>
      </w:r>
    </w:p>
    <w:p w14:paraId="436B7EC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ab/>
      </w:r>
      <w:r>
        <w:rPr>
          <w:rFonts w:eastAsia="標楷體"/>
          <w:spacing w:val="4"/>
          <w:kern w:val="0"/>
          <w:sz w:val="28"/>
          <w:szCs w:val="26"/>
        </w:rPr>
        <w:t>提升產品及設備能源效率管理與基準</w:t>
      </w:r>
    </w:p>
    <w:p w14:paraId="0DEB722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用電器具：訂定、檢討並執行指定使用能源設備或器具最低容許耗用能源基準。</w:t>
      </w:r>
    </w:p>
    <w:p w14:paraId="1C86540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車輛：修訂「車輛容許耗用能源標準及檢查管理辦法」。</w:t>
      </w:r>
    </w:p>
    <w:p w14:paraId="6852439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擴張新能源科技研發能量，拓展綠能產業發展領域</w:t>
      </w:r>
    </w:p>
    <w:p w14:paraId="36F7064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ab/>
      </w:r>
      <w:r>
        <w:rPr>
          <w:rFonts w:eastAsia="標楷體"/>
          <w:spacing w:val="4"/>
          <w:kern w:val="0"/>
          <w:sz w:val="28"/>
          <w:szCs w:val="26"/>
        </w:rPr>
        <w:t>發展前瞻能源、儲能、能源轉換、碳捕捉、封存技術。</w:t>
      </w:r>
    </w:p>
    <w:p w14:paraId="3DB82A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ab/>
      </w:r>
      <w:r>
        <w:rPr>
          <w:rFonts w:eastAsia="標楷體"/>
          <w:spacing w:val="4"/>
          <w:kern w:val="0"/>
          <w:sz w:val="28"/>
          <w:szCs w:val="26"/>
        </w:rPr>
        <w:t>提升關鍵技術效率及建立自主化技術；建置國際驗證實驗室及訂定產品相關法規、標準；鏈結我國相關產業推動碳捕捉與封存大型化技術示範；發展車用鋰電池再利用技術。</w:t>
      </w:r>
    </w:p>
    <w:p w14:paraId="5D41967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鼓勵綠色能源產業發展</w:t>
      </w:r>
    </w:p>
    <w:p w14:paraId="3836CD9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積極推動綠能產業躍升方案，透過綠能產業在地化、服務化及國際化等三化新策略，並導入創新技術、創意設計、創投資金及創業行銷等四創新措施，提升綠能產業整體價值，創造經濟成長新動力。</w:t>
      </w:r>
    </w:p>
    <w:p w14:paraId="2979083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引進或開發</w:t>
      </w:r>
      <w:r>
        <w:rPr>
          <w:rFonts w:eastAsia="標楷體"/>
          <w:spacing w:val="4"/>
          <w:kern w:val="0"/>
          <w:sz w:val="28"/>
          <w:szCs w:val="22"/>
        </w:rPr>
        <w:t>LED</w:t>
      </w:r>
      <w:r>
        <w:rPr>
          <w:rFonts w:eastAsia="標楷體"/>
          <w:spacing w:val="4"/>
          <w:kern w:val="0"/>
          <w:sz w:val="28"/>
          <w:szCs w:val="22"/>
        </w:rPr>
        <w:t>照明模組關鍵技術；建立前瞻固態照明系統能力，發展次世代光源技術；以部分補助結合節能績效保證模式推動「全臺設置</w:t>
      </w:r>
      <w:r>
        <w:rPr>
          <w:rFonts w:eastAsia="標楷體"/>
          <w:spacing w:val="4"/>
          <w:kern w:val="0"/>
          <w:sz w:val="28"/>
          <w:szCs w:val="22"/>
        </w:rPr>
        <w:t>LED</w:t>
      </w:r>
      <w:r>
        <w:rPr>
          <w:rFonts w:eastAsia="標楷體"/>
          <w:spacing w:val="4"/>
          <w:kern w:val="0"/>
          <w:sz w:val="28"/>
          <w:szCs w:val="22"/>
        </w:rPr>
        <w:t>路燈」措施。</w:t>
      </w:r>
    </w:p>
    <w:p w14:paraId="233C3BC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應用國內金屬機電優勢，促進大型陸域風力機零組件切入國際大廠供應鏈；以內需市場建構國內自主離岸風力機產業為試點，進軍全球。</w:t>
      </w:r>
    </w:p>
    <w:p w14:paraId="58CF3F4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推動能源資通訊</w:t>
      </w:r>
      <w:r>
        <w:rPr>
          <w:rFonts w:ascii="標楷體" w:eastAsia="標楷體" w:hAnsi="標楷體"/>
          <w:spacing w:val="4"/>
          <w:kern w:val="0"/>
          <w:sz w:val="28"/>
          <w:szCs w:val="22"/>
        </w:rPr>
        <w:t>(</w:t>
      </w:r>
      <w:r>
        <w:rPr>
          <w:rFonts w:eastAsia="標楷體"/>
          <w:spacing w:val="4"/>
          <w:kern w:val="0"/>
          <w:sz w:val="28"/>
          <w:szCs w:val="22"/>
        </w:rPr>
        <w:t>EICT</w:t>
      </w:r>
      <w:r>
        <w:rPr>
          <w:rFonts w:ascii="標楷體" w:eastAsia="標楷體" w:hAnsi="標楷體"/>
          <w:spacing w:val="4"/>
          <w:kern w:val="0"/>
          <w:sz w:val="28"/>
          <w:szCs w:val="22"/>
        </w:rPr>
        <w:t>)</w:t>
      </w:r>
      <w:r>
        <w:rPr>
          <w:rFonts w:eastAsia="標楷體"/>
          <w:spacing w:val="4"/>
          <w:kern w:val="0"/>
          <w:sz w:val="28"/>
          <w:szCs w:val="22"/>
        </w:rPr>
        <w:t>，</w:t>
      </w:r>
      <w:r>
        <w:rPr>
          <w:rFonts w:eastAsia="標楷體"/>
          <w:spacing w:val="4"/>
          <w:kern w:val="0"/>
          <w:sz w:val="28"/>
          <w:szCs w:val="22"/>
        </w:rPr>
        <w:t>104</w:t>
      </w:r>
      <w:r>
        <w:rPr>
          <w:rFonts w:eastAsia="標楷體"/>
          <w:spacing w:val="4"/>
          <w:kern w:val="0"/>
          <w:sz w:val="28"/>
          <w:szCs w:val="22"/>
        </w:rPr>
        <w:t>年外銷智慧電表達</w:t>
      </w:r>
      <w:r>
        <w:rPr>
          <w:rFonts w:eastAsia="標楷體"/>
          <w:spacing w:val="4"/>
          <w:kern w:val="0"/>
          <w:sz w:val="28"/>
          <w:szCs w:val="22"/>
        </w:rPr>
        <w:t>100</w:t>
      </w:r>
      <w:r>
        <w:rPr>
          <w:rFonts w:eastAsia="標楷體"/>
          <w:spacing w:val="4"/>
          <w:kern w:val="0"/>
          <w:sz w:val="28"/>
          <w:szCs w:val="22"/>
        </w:rPr>
        <w:t>萬具；辦理連鎖產業能源管理服務。</w:t>
      </w:r>
    </w:p>
    <w:p w14:paraId="21BB60C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ab/>
      </w:r>
      <w:r>
        <w:rPr>
          <w:rFonts w:eastAsia="標楷體"/>
          <w:spacing w:val="4"/>
          <w:kern w:val="0"/>
          <w:sz w:val="28"/>
          <w:szCs w:val="26"/>
        </w:rPr>
        <w:t>推動智慧電動車產業發展</w:t>
      </w:r>
    </w:p>
    <w:p w14:paraId="2C7CB84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訂定環保節能法規標準，促進產業發展電動車輛；制定充電相關標準規範，普及充電基礎設施，提供友善使用環境。</w:t>
      </w:r>
    </w:p>
    <w:p w14:paraId="47B5D9D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透過先導運行，測試電動車輛性能、電能營運模式及商</w:t>
      </w:r>
      <w:r>
        <w:rPr>
          <w:rFonts w:eastAsia="標楷體"/>
          <w:spacing w:val="4"/>
          <w:kern w:val="0"/>
          <w:sz w:val="28"/>
          <w:szCs w:val="22"/>
        </w:rPr>
        <w:lastRenderedPageBreak/>
        <w:t>業模式，增加民眾認知。</w:t>
      </w:r>
    </w:p>
    <w:p w14:paraId="26734F2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協助廠商開發關鍵零組件、建構車輛驗證平臺；協助廠商進入國際供應鏈、拓展市場規模，提升我國電動車輛形象。</w:t>
      </w:r>
    </w:p>
    <w:p w14:paraId="30B10FB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ab/>
      </w:r>
      <w:r>
        <w:rPr>
          <w:rFonts w:eastAsia="標楷體"/>
          <w:spacing w:val="4"/>
          <w:kern w:val="0"/>
          <w:sz w:val="28"/>
          <w:szCs w:val="26"/>
        </w:rPr>
        <w:t>推動整合型示範計畫，結合節能、再生能源、資源回收利用等技術與產品應用</w:t>
      </w:r>
    </w:p>
    <w:p w14:paraId="13B3E8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加速開發我國再生能源潛能及擴大各類再生能源，以創造再生能源市場。</w:t>
      </w:r>
    </w:p>
    <w:p w14:paraId="77F6985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發展綠色運輸系統，提升公共運輸運量，改善步行與自行車使用環境；落實大眾運輸導向發展之策略規劃，合理反映私人運具外部成本。</w:t>
      </w:r>
    </w:p>
    <w:p w14:paraId="4A40728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強化資源回收管理基金功能，穩定回收誘因；監督稽核認證，提升資源回收處理技術。</w:t>
      </w:r>
    </w:p>
    <w:p w14:paraId="257706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推動低碳樂活家園，提倡節能減碳生活，全民綠色消費</w:t>
      </w:r>
    </w:p>
    <w:p w14:paraId="62300C7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ab/>
      </w:r>
      <w:r>
        <w:rPr>
          <w:rFonts w:eastAsia="標楷體"/>
          <w:spacing w:val="4"/>
          <w:kern w:val="0"/>
          <w:sz w:val="28"/>
          <w:szCs w:val="26"/>
        </w:rPr>
        <w:t>推動水銀路燈汰換為</w:t>
      </w:r>
      <w:r>
        <w:rPr>
          <w:rFonts w:eastAsia="標楷體"/>
          <w:spacing w:val="4"/>
          <w:kern w:val="0"/>
          <w:sz w:val="28"/>
          <w:szCs w:val="26"/>
        </w:rPr>
        <w:t>LED</w:t>
      </w:r>
      <w:r>
        <w:rPr>
          <w:rFonts w:eastAsia="標楷體"/>
          <w:spacing w:val="4"/>
          <w:kern w:val="0"/>
          <w:sz w:val="28"/>
          <w:szCs w:val="26"/>
        </w:rPr>
        <w:t>路燈；強化能源效率管理與節能規範；推廣陽光屋頂百萬座及生質燃料應用；推動智慧電表，建構智慧電網；推動低碳永續家園推動方案，打造低碳島。</w:t>
      </w:r>
    </w:p>
    <w:p w14:paraId="685B391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ab/>
      </w:r>
      <w:r>
        <w:rPr>
          <w:rFonts w:eastAsia="標楷體"/>
          <w:spacing w:val="4"/>
          <w:kern w:val="0"/>
          <w:sz w:val="28"/>
          <w:szCs w:val="26"/>
        </w:rPr>
        <w:t>推動既有建築物進行智慧綠建築改善；賡續辦理綠色便利商店分級認證計畫及推廣普及智慧綠建築理念。</w:t>
      </w:r>
    </w:p>
    <w:p w14:paraId="0EA973C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ab/>
      </w:r>
      <w:r>
        <w:rPr>
          <w:rFonts w:eastAsia="標楷體"/>
          <w:spacing w:val="4"/>
          <w:kern w:val="0"/>
          <w:sz w:val="28"/>
          <w:szCs w:val="26"/>
        </w:rPr>
        <w:t>辦理節能標章及能源效率標示制度之政策行銷；建立公部門分層管理制度，推動省油、水、電、紙，優先採購符合節能標章、環保標章或省水標章之設備產品，引導民間採行，帶動相關產業發展。</w:t>
      </w:r>
    </w:p>
    <w:p w14:paraId="15CC80E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ab/>
      </w:r>
      <w:r>
        <w:rPr>
          <w:rFonts w:eastAsia="標楷體"/>
          <w:spacing w:val="4"/>
          <w:kern w:val="0"/>
          <w:sz w:val="28"/>
          <w:szCs w:val="26"/>
        </w:rPr>
        <w:t>推動「節能減碳無悔措施全民行動方案」，健全環保產品行銷通路，推廣綠色消費教育宣導及產品碳足跡標示制度。</w:t>
      </w:r>
    </w:p>
    <w:p w14:paraId="6178DF7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ab/>
      </w:r>
      <w:r>
        <w:rPr>
          <w:rFonts w:eastAsia="標楷體"/>
          <w:spacing w:val="4"/>
          <w:kern w:val="0"/>
          <w:sz w:val="28"/>
          <w:szCs w:val="26"/>
        </w:rPr>
        <w:t>研議浮動電價調整機制，定期檢討燃料成本變動，評估每度燃料費調整單價。</w:t>
      </w:r>
    </w:p>
    <w:p w14:paraId="752122F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ab/>
      </w:r>
      <w:r>
        <w:rPr>
          <w:rFonts w:eastAsia="標楷體"/>
          <w:spacing w:val="4"/>
          <w:kern w:val="0"/>
          <w:sz w:val="28"/>
          <w:szCs w:val="26"/>
        </w:rPr>
        <w:t>推動「邁向永續國家－節約用水行動方案」，落實政府機關及學校「自主節水及查漏行動」計畫，完成自來水法節約用水專章立法，並建立符合節水型社會需求之水價政策。</w:t>
      </w:r>
    </w:p>
    <w:p w14:paraId="1346E53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7.</w:t>
      </w:r>
      <w:r>
        <w:rPr>
          <w:rFonts w:eastAsia="標楷體"/>
          <w:spacing w:val="4"/>
          <w:kern w:val="0"/>
          <w:sz w:val="28"/>
          <w:szCs w:val="26"/>
        </w:rPr>
        <w:t>研究導入市場價格機制，建立節用水電資源型社會；推動農業用水節水，降低灌溉及畜牧用水量，促進水資源有效使用。</w:t>
      </w:r>
    </w:p>
    <w:p w14:paraId="21D49BD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46B62AA"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貳、生態家園</w:t>
      </w:r>
    </w:p>
    <w:p w14:paraId="56B5129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B97D870"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 xml:space="preserve"> </w:t>
      </w:r>
      <w:r>
        <w:rPr>
          <w:rFonts w:eastAsia="標楷體"/>
          <w:spacing w:val="4"/>
          <w:kern w:val="0"/>
          <w:sz w:val="28"/>
          <w:szCs w:val="26"/>
        </w:rPr>
        <w:t>由於全球經濟快速發展，造成土地過度開發，自然資源加速耗竭，生態、環境遭受嚴重破壞，節能減碳及永續發展已成為各國最艱鉅的挑戰。臺灣地狹人稠，自然資源匱乏，如何秉持總體永續發展思維，推動綠能發展及節約能源，打造綠色成長，並強化災害防救能力，降低對經社環境的不利影響，實為政府施政之重要課題。</w:t>
      </w:r>
    </w:p>
    <w:p w14:paraId="0B5744DD"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未來四年政府將兼顧開發、保育及防災需求，建立永續發展國土空間規劃，落實水資源合理多元化開發，並加強海洋保護及海岸復育，以建構具有「前瞻且正義的環境政策」、「循環且多樣的自然生態」，既是「再生而節能的低碳家園」，也是「潔淨而寧適的生活環境」的永續生態環境與家園。</w:t>
      </w:r>
    </w:p>
    <w:p w14:paraId="2DF995A6"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5AEEC0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宏觀國土規劃，建構永續家園。</w:t>
      </w:r>
    </w:p>
    <w:p w14:paraId="144C3AC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eastAsia="標楷體"/>
          <w:spacing w:val="4"/>
          <w:kern w:val="0"/>
          <w:sz w:val="28"/>
          <w:szCs w:val="22"/>
        </w:rPr>
        <w:t>)</w:t>
      </w:r>
      <w:r>
        <w:rPr>
          <w:rFonts w:eastAsia="標楷體"/>
          <w:spacing w:val="4"/>
          <w:kern w:val="0"/>
          <w:sz w:val="28"/>
          <w:szCs w:val="22"/>
        </w:rPr>
        <w:t>持續加強資訊公開與民眾參與，保障人權與環境權。</w:t>
      </w:r>
    </w:p>
    <w:p w14:paraId="4B789B6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資源循環零廢棄，去污保育護生態</w:t>
      </w:r>
    </w:p>
    <w:p w14:paraId="6CEE521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2"/>
          <w:kern w:val="0"/>
          <w:sz w:val="28"/>
          <w:szCs w:val="26"/>
        </w:rPr>
        <w:t>105</w:t>
      </w:r>
      <w:r>
        <w:rPr>
          <w:rFonts w:eastAsia="標楷體"/>
          <w:spacing w:val="-2"/>
          <w:kern w:val="0"/>
          <w:sz w:val="28"/>
          <w:szCs w:val="26"/>
        </w:rPr>
        <w:t>年達成全國細懸浮微粒</w:t>
      </w:r>
      <w:r>
        <w:rPr>
          <w:rFonts w:ascii="標楷體" w:eastAsia="標楷體" w:hAnsi="標楷體"/>
          <w:spacing w:val="-2"/>
          <w:kern w:val="0"/>
          <w:sz w:val="28"/>
          <w:szCs w:val="26"/>
        </w:rPr>
        <w:t>(</w:t>
      </w:r>
      <w:r>
        <w:rPr>
          <w:rFonts w:eastAsia="標楷體"/>
          <w:spacing w:val="-2"/>
          <w:kern w:val="0"/>
          <w:sz w:val="28"/>
          <w:szCs w:val="26"/>
        </w:rPr>
        <w:t>PM</w:t>
      </w:r>
      <w:r>
        <w:rPr>
          <w:rFonts w:eastAsia="標楷體"/>
          <w:spacing w:val="-2"/>
          <w:kern w:val="0"/>
          <w:sz w:val="28"/>
          <w:szCs w:val="26"/>
          <w:vertAlign w:val="subscript"/>
        </w:rPr>
        <w:t>2.5</w:t>
      </w:r>
      <w:r>
        <w:rPr>
          <w:rFonts w:ascii="標楷體" w:eastAsia="標楷體" w:hAnsi="標楷體"/>
          <w:spacing w:val="-2"/>
          <w:kern w:val="0"/>
          <w:sz w:val="28"/>
          <w:szCs w:val="26"/>
        </w:rPr>
        <w:t>)</w:t>
      </w:r>
      <w:r>
        <w:rPr>
          <w:rFonts w:eastAsia="標楷體"/>
          <w:spacing w:val="-2"/>
          <w:kern w:val="0"/>
          <w:sz w:val="28"/>
          <w:szCs w:val="26"/>
        </w:rPr>
        <w:t>年平均濃度為</w:t>
      </w:r>
      <w:r>
        <w:rPr>
          <w:rFonts w:eastAsia="標楷體"/>
          <w:spacing w:val="-2"/>
          <w:kern w:val="0"/>
          <w:sz w:val="28"/>
          <w:szCs w:val="26"/>
        </w:rPr>
        <w:t>20μg/m</w:t>
      </w:r>
      <w:r>
        <w:rPr>
          <w:rFonts w:eastAsia="標楷體"/>
          <w:spacing w:val="-2"/>
          <w:kern w:val="0"/>
          <w:sz w:val="28"/>
          <w:szCs w:val="26"/>
          <w:vertAlign w:val="superscript"/>
        </w:rPr>
        <w:t>3</w:t>
      </w:r>
      <w:r>
        <w:rPr>
          <w:rFonts w:eastAsia="標楷體"/>
          <w:spacing w:val="-2"/>
          <w:kern w:val="0"/>
          <w:sz w:val="28"/>
          <w:szCs w:val="26"/>
        </w:rPr>
        <w:t>以下。</w:t>
      </w:r>
    </w:p>
    <w:p w14:paraId="0DD166B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2.105</w:t>
      </w:r>
      <w:r>
        <w:rPr>
          <w:rFonts w:eastAsia="標楷體"/>
          <w:spacing w:val="4"/>
          <w:kern w:val="0"/>
          <w:sz w:val="28"/>
          <w:szCs w:val="26"/>
        </w:rPr>
        <w:t>年資源回收再利用率目標達</w:t>
      </w:r>
      <w:r>
        <w:rPr>
          <w:rFonts w:eastAsia="標楷體"/>
          <w:spacing w:val="4"/>
          <w:kern w:val="0"/>
          <w:sz w:val="28"/>
          <w:szCs w:val="26"/>
        </w:rPr>
        <w:t>64.5%</w:t>
      </w:r>
      <w:r>
        <w:rPr>
          <w:rFonts w:eastAsia="標楷體"/>
          <w:spacing w:val="4"/>
          <w:kern w:val="0"/>
          <w:sz w:val="28"/>
          <w:szCs w:val="26"/>
        </w:rPr>
        <w:t>以上；</w:t>
      </w:r>
      <w:r>
        <w:rPr>
          <w:rFonts w:eastAsia="標楷體"/>
          <w:spacing w:val="4"/>
          <w:kern w:val="0"/>
          <w:sz w:val="28"/>
          <w:szCs w:val="26"/>
        </w:rPr>
        <w:t>4</w:t>
      </w:r>
      <w:r>
        <w:rPr>
          <w:rFonts w:eastAsia="標楷體"/>
          <w:spacing w:val="4"/>
          <w:kern w:val="0"/>
          <w:sz w:val="28"/>
          <w:szCs w:val="26"/>
        </w:rPr>
        <w:t>年核發環保標章、第</w:t>
      </w:r>
      <w:r>
        <w:rPr>
          <w:rFonts w:eastAsia="標楷體"/>
          <w:spacing w:val="4"/>
          <w:kern w:val="0"/>
          <w:sz w:val="28"/>
          <w:szCs w:val="26"/>
        </w:rPr>
        <w:t>2</w:t>
      </w:r>
      <w:r>
        <w:rPr>
          <w:rFonts w:eastAsia="標楷體"/>
          <w:spacing w:val="4"/>
          <w:kern w:val="0"/>
          <w:sz w:val="28"/>
          <w:szCs w:val="26"/>
        </w:rPr>
        <w:t>類環境保護產品與碳標籤產品達</w:t>
      </w:r>
      <w:r>
        <w:rPr>
          <w:rFonts w:eastAsia="標楷體"/>
          <w:spacing w:val="4"/>
          <w:kern w:val="0"/>
          <w:sz w:val="28"/>
          <w:szCs w:val="26"/>
        </w:rPr>
        <w:t>4,000</w:t>
      </w:r>
      <w:r>
        <w:rPr>
          <w:rFonts w:eastAsia="標楷體"/>
          <w:spacing w:val="4"/>
          <w:kern w:val="0"/>
          <w:sz w:val="28"/>
          <w:szCs w:val="26"/>
        </w:rPr>
        <w:t>件。</w:t>
      </w:r>
    </w:p>
    <w:p w14:paraId="355DA92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完成</w:t>
      </w:r>
      <w:r>
        <w:rPr>
          <w:rFonts w:eastAsia="標楷體"/>
          <w:spacing w:val="4"/>
          <w:kern w:val="0"/>
          <w:sz w:val="28"/>
          <w:szCs w:val="26"/>
        </w:rPr>
        <w:t>1</w:t>
      </w:r>
      <w:r>
        <w:rPr>
          <w:rFonts w:eastAsia="標楷體"/>
          <w:spacing w:val="4"/>
          <w:kern w:val="0"/>
          <w:sz w:val="28"/>
          <w:szCs w:val="26"/>
        </w:rPr>
        <w:t>座都市污水處理廠升級為再生水廠；媒合</w:t>
      </w:r>
      <w:r>
        <w:rPr>
          <w:rFonts w:eastAsia="標楷體"/>
          <w:spacing w:val="4"/>
          <w:kern w:val="0"/>
          <w:sz w:val="28"/>
          <w:szCs w:val="26"/>
        </w:rPr>
        <w:t>2</w:t>
      </w:r>
      <w:r>
        <w:rPr>
          <w:rFonts w:eastAsia="標楷體"/>
          <w:spacing w:val="4"/>
          <w:kern w:val="0"/>
          <w:sz w:val="28"/>
          <w:szCs w:val="26"/>
        </w:rPr>
        <w:t>座都市污水處理廠放流水再生供應產業使用。</w:t>
      </w:r>
    </w:p>
    <w:p w14:paraId="653046D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建立水資源開發總量管制機制，於</w:t>
      </w:r>
      <w:r>
        <w:rPr>
          <w:rFonts w:eastAsia="標楷體"/>
          <w:spacing w:val="4"/>
          <w:kern w:val="0"/>
          <w:sz w:val="28"/>
          <w:szCs w:val="22"/>
        </w:rPr>
        <w:t>120</w:t>
      </w:r>
      <w:r>
        <w:rPr>
          <w:rFonts w:eastAsia="標楷體"/>
          <w:spacing w:val="4"/>
          <w:kern w:val="0"/>
          <w:sz w:val="28"/>
          <w:szCs w:val="22"/>
        </w:rPr>
        <w:t>年達到年總用水量不超過</w:t>
      </w:r>
      <w:r>
        <w:rPr>
          <w:rFonts w:eastAsia="標楷體"/>
          <w:spacing w:val="4"/>
          <w:kern w:val="0"/>
          <w:sz w:val="28"/>
          <w:szCs w:val="22"/>
        </w:rPr>
        <w:t>200</w:t>
      </w:r>
      <w:r>
        <w:rPr>
          <w:rFonts w:eastAsia="標楷體"/>
          <w:spacing w:val="4"/>
          <w:kern w:val="0"/>
          <w:sz w:val="28"/>
          <w:szCs w:val="22"/>
        </w:rPr>
        <w:t>億噸。</w:t>
      </w:r>
    </w:p>
    <w:p w14:paraId="081A8CF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104</w:t>
      </w:r>
      <w:r>
        <w:rPr>
          <w:rFonts w:eastAsia="標楷體"/>
          <w:spacing w:val="4"/>
          <w:kern w:val="0"/>
          <w:sz w:val="28"/>
          <w:szCs w:val="22"/>
        </w:rPr>
        <w:t>年完成湖山水庫；積極辦理鳥嘴潭人工湖工程計畫。</w:t>
      </w:r>
    </w:p>
    <w:p w14:paraId="7D9F621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六</w:t>
      </w:r>
      <w:r>
        <w:rPr>
          <w:rFonts w:ascii="標楷體" w:eastAsia="標楷體" w:hAnsi="標楷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年推動彰雲地區年地下水減抽量達</w:t>
      </w:r>
      <w:r>
        <w:rPr>
          <w:rFonts w:eastAsia="標楷體"/>
          <w:spacing w:val="4"/>
          <w:kern w:val="0"/>
          <w:sz w:val="28"/>
          <w:szCs w:val="22"/>
        </w:rPr>
        <w:t>0.47</w:t>
      </w:r>
      <w:r>
        <w:rPr>
          <w:rFonts w:eastAsia="標楷體"/>
          <w:spacing w:val="4"/>
          <w:kern w:val="0"/>
          <w:sz w:val="28"/>
          <w:szCs w:val="22"/>
        </w:rPr>
        <w:t>億噸；地層持</w:t>
      </w:r>
      <w:r>
        <w:rPr>
          <w:rFonts w:eastAsia="標楷體"/>
          <w:spacing w:val="4"/>
          <w:kern w:val="0"/>
          <w:sz w:val="28"/>
          <w:szCs w:val="22"/>
        </w:rPr>
        <w:lastRenderedPageBreak/>
        <w:t>續下陷面積減至</w:t>
      </w:r>
      <w:r>
        <w:rPr>
          <w:rFonts w:eastAsia="標楷體"/>
          <w:spacing w:val="4"/>
          <w:kern w:val="0"/>
          <w:sz w:val="28"/>
          <w:szCs w:val="22"/>
        </w:rPr>
        <w:t>500</w:t>
      </w:r>
      <w:r>
        <w:rPr>
          <w:rFonts w:eastAsia="標楷體"/>
          <w:spacing w:val="4"/>
          <w:kern w:val="0"/>
          <w:sz w:val="28"/>
          <w:szCs w:val="22"/>
        </w:rPr>
        <w:t>平方公里；</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103</w:t>
      </w:r>
      <w:r>
        <w:rPr>
          <w:rFonts w:eastAsia="標楷體"/>
          <w:spacing w:val="4"/>
          <w:kern w:val="0"/>
          <w:sz w:val="28"/>
          <w:szCs w:val="22"/>
        </w:rPr>
        <w:t>年每年補注地下水量</w:t>
      </w:r>
      <w:r>
        <w:rPr>
          <w:rFonts w:eastAsia="標楷體"/>
          <w:spacing w:val="4"/>
          <w:kern w:val="0"/>
          <w:sz w:val="28"/>
          <w:szCs w:val="22"/>
        </w:rPr>
        <w:t>4,800</w:t>
      </w:r>
      <w:r>
        <w:rPr>
          <w:rFonts w:eastAsia="標楷體"/>
          <w:spacing w:val="4"/>
          <w:kern w:val="0"/>
          <w:sz w:val="28"/>
          <w:szCs w:val="22"/>
        </w:rPr>
        <w:t>萬噸，</w:t>
      </w:r>
      <w:r>
        <w:rPr>
          <w:rFonts w:eastAsia="標楷體"/>
          <w:spacing w:val="4"/>
          <w:kern w:val="0"/>
          <w:sz w:val="28"/>
          <w:szCs w:val="22"/>
        </w:rPr>
        <w:t>104</w:t>
      </w:r>
      <w:r>
        <w:rPr>
          <w:rFonts w:eastAsia="標楷體"/>
          <w:spacing w:val="4"/>
          <w:kern w:val="0"/>
          <w:sz w:val="28"/>
          <w:szCs w:val="22"/>
        </w:rPr>
        <w:t>年起每年補注地下水量</w:t>
      </w:r>
      <w:r>
        <w:rPr>
          <w:rFonts w:eastAsia="標楷體"/>
          <w:spacing w:val="4"/>
          <w:kern w:val="0"/>
          <w:sz w:val="28"/>
          <w:szCs w:val="22"/>
        </w:rPr>
        <w:t>1</w:t>
      </w:r>
      <w:r>
        <w:rPr>
          <w:rFonts w:eastAsia="標楷體"/>
          <w:spacing w:val="4"/>
          <w:kern w:val="0"/>
          <w:sz w:val="28"/>
          <w:szCs w:val="22"/>
        </w:rPr>
        <w:t>億噸。</w:t>
      </w:r>
    </w:p>
    <w:p w14:paraId="6682A4D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七</w:t>
      </w:r>
      <w:r>
        <w:rPr>
          <w:rFonts w:ascii="標楷體" w:eastAsia="標楷體" w:hAnsi="標楷體"/>
          <w:spacing w:val="4"/>
          <w:kern w:val="0"/>
          <w:sz w:val="28"/>
          <w:szCs w:val="22"/>
        </w:rPr>
        <w:t>)</w:t>
      </w:r>
      <w:r>
        <w:rPr>
          <w:rFonts w:eastAsia="標楷體"/>
          <w:spacing w:val="4"/>
          <w:kern w:val="0"/>
          <w:sz w:val="28"/>
          <w:szCs w:val="22"/>
        </w:rPr>
        <w:t>加強植樹造林，建構永續環境的綠色屏障，</w:t>
      </w:r>
      <w:r>
        <w:rPr>
          <w:rFonts w:eastAsia="標楷體"/>
          <w:spacing w:val="4"/>
          <w:kern w:val="0"/>
          <w:sz w:val="28"/>
          <w:szCs w:val="22"/>
        </w:rPr>
        <w:t>4</w:t>
      </w:r>
      <w:r>
        <w:rPr>
          <w:rFonts w:eastAsia="標楷體"/>
          <w:spacing w:val="4"/>
          <w:kern w:val="0"/>
          <w:sz w:val="28"/>
          <w:szCs w:val="22"/>
        </w:rPr>
        <w:t>年累計推動造林綠化面積</w:t>
      </w:r>
      <w:r>
        <w:rPr>
          <w:rFonts w:eastAsia="標楷體"/>
          <w:spacing w:val="4"/>
          <w:kern w:val="0"/>
          <w:sz w:val="28"/>
          <w:szCs w:val="22"/>
        </w:rPr>
        <w:t>1</w:t>
      </w:r>
      <w:r>
        <w:rPr>
          <w:rFonts w:eastAsia="標楷體"/>
          <w:spacing w:val="4"/>
          <w:kern w:val="0"/>
          <w:sz w:val="28"/>
          <w:szCs w:val="22"/>
        </w:rPr>
        <w:t>萬</w:t>
      </w:r>
      <w:r>
        <w:rPr>
          <w:rFonts w:eastAsia="標楷體"/>
          <w:spacing w:val="4"/>
          <w:kern w:val="0"/>
          <w:sz w:val="28"/>
          <w:szCs w:val="22"/>
        </w:rPr>
        <w:t>2,050</w:t>
      </w:r>
      <w:r>
        <w:rPr>
          <w:rFonts w:eastAsia="標楷體"/>
          <w:spacing w:val="4"/>
          <w:kern w:val="0"/>
          <w:sz w:val="28"/>
          <w:szCs w:val="22"/>
        </w:rPr>
        <w:t>公頃；持續加強全民造林計畫撫育面積總計</w:t>
      </w:r>
      <w:r>
        <w:rPr>
          <w:rFonts w:eastAsia="標楷體"/>
          <w:spacing w:val="4"/>
          <w:kern w:val="0"/>
          <w:sz w:val="28"/>
          <w:szCs w:val="22"/>
        </w:rPr>
        <w:t>10</w:t>
      </w:r>
      <w:r>
        <w:rPr>
          <w:rFonts w:eastAsia="標楷體"/>
          <w:spacing w:val="4"/>
          <w:kern w:val="0"/>
          <w:sz w:val="28"/>
          <w:szCs w:val="22"/>
        </w:rPr>
        <w:t>萬</w:t>
      </w:r>
      <w:r>
        <w:rPr>
          <w:rFonts w:eastAsia="標楷體"/>
          <w:spacing w:val="4"/>
          <w:kern w:val="0"/>
          <w:sz w:val="28"/>
          <w:szCs w:val="22"/>
        </w:rPr>
        <w:t>8,750</w:t>
      </w:r>
      <w:r>
        <w:rPr>
          <w:rFonts w:eastAsia="標楷體"/>
          <w:spacing w:val="4"/>
          <w:kern w:val="0"/>
          <w:sz w:val="28"/>
          <w:szCs w:val="22"/>
        </w:rPr>
        <w:t>公頃。</w:t>
      </w:r>
    </w:p>
    <w:p w14:paraId="3CFB4EA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八</w:t>
      </w:r>
      <w:r>
        <w:rPr>
          <w:rFonts w:ascii="標楷體" w:eastAsia="標楷體" w:hAnsi="標楷體"/>
          <w:spacing w:val="4"/>
          <w:kern w:val="0"/>
          <w:sz w:val="28"/>
          <w:szCs w:val="22"/>
        </w:rPr>
        <w:t>)</w:t>
      </w:r>
      <w:r>
        <w:rPr>
          <w:rFonts w:eastAsia="標楷體"/>
          <w:spacing w:val="4"/>
          <w:kern w:val="0"/>
          <w:sz w:val="28"/>
          <w:szCs w:val="22"/>
        </w:rPr>
        <w:t>維護生物多樣性，設置各類自然保護</w:t>
      </w:r>
      <w:r>
        <w:rPr>
          <w:rFonts w:ascii="標楷體" w:eastAsia="標楷體" w:hAnsi="標楷體"/>
          <w:spacing w:val="4"/>
          <w:kern w:val="0"/>
          <w:sz w:val="28"/>
          <w:szCs w:val="22"/>
        </w:rPr>
        <w:t>(</w:t>
      </w:r>
      <w:r>
        <w:rPr>
          <w:rFonts w:eastAsia="標楷體"/>
          <w:spacing w:val="4"/>
          <w:kern w:val="0"/>
          <w:sz w:val="28"/>
          <w:szCs w:val="22"/>
        </w:rPr>
        <w:t>留</w:t>
      </w:r>
      <w:r>
        <w:rPr>
          <w:rFonts w:ascii="標楷體" w:eastAsia="標楷體" w:hAnsi="標楷體"/>
          <w:spacing w:val="4"/>
          <w:kern w:val="0"/>
          <w:sz w:val="28"/>
          <w:szCs w:val="22"/>
        </w:rPr>
        <w:t>)</w:t>
      </w:r>
      <w:r>
        <w:rPr>
          <w:rFonts w:eastAsia="標楷體"/>
          <w:spacing w:val="4"/>
          <w:kern w:val="0"/>
          <w:sz w:val="28"/>
          <w:szCs w:val="22"/>
        </w:rPr>
        <w:t>區，</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年新增劃設</w:t>
      </w:r>
      <w:r>
        <w:rPr>
          <w:rFonts w:eastAsia="標楷體"/>
          <w:spacing w:val="4"/>
          <w:kern w:val="0"/>
          <w:sz w:val="28"/>
          <w:szCs w:val="22"/>
        </w:rPr>
        <w:t>5</w:t>
      </w:r>
      <w:r>
        <w:rPr>
          <w:rFonts w:eastAsia="標楷體"/>
          <w:spacing w:val="4"/>
          <w:kern w:val="0"/>
          <w:sz w:val="28"/>
          <w:szCs w:val="22"/>
        </w:rPr>
        <w:t>處自然保護區域，共計經營管理達</w:t>
      </w:r>
      <w:r>
        <w:rPr>
          <w:rFonts w:eastAsia="標楷體"/>
          <w:spacing w:val="4"/>
          <w:kern w:val="0"/>
          <w:sz w:val="28"/>
          <w:szCs w:val="22"/>
        </w:rPr>
        <w:t>85</w:t>
      </w:r>
      <w:r>
        <w:rPr>
          <w:rFonts w:eastAsia="標楷體"/>
          <w:spacing w:val="4"/>
          <w:kern w:val="0"/>
          <w:sz w:val="28"/>
          <w:szCs w:val="22"/>
        </w:rPr>
        <w:t>處自然保護區域。</w:t>
      </w:r>
    </w:p>
    <w:p w14:paraId="1006635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九</w:t>
      </w:r>
      <w:r>
        <w:rPr>
          <w:rFonts w:ascii="標楷體" w:eastAsia="標楷體" w:hAnsi="標楷體"/>
          <w:spacing w:val="4"/>
          <w:kern w:val="0"/>
          <w:sz w:val="28"/>
          <w:szCs w:val="22"/>
        </w:rPr>
        <w:t>)</w:t>
      </w:r>
      <w:r>
        <w:rPr>
          <w:rFonts w:eastAsia="標楷體"/>
          <w:spacing w:val="4"/>
          <w:kern w:val="0"/>
          <w:sz w:val="28"/>
          <w:szCs w:val="22"/>
        </w:rPr>
        <w:t>105</w:t>
      </w:r>
      <w:r>
        <w:rPr>
          <w:rFonts w:eastAsia="標楷體"/>
          <w:spacing w:val="4"/>
          <w:kern w:val="0"/>
          <w:sz w:val="28"/>
          <w:szCs w:val="22"/>
        </w:rPr>
        <w:t>年完成漁港活化再利用之示範計畫</w:t>
      </w:r>
      <w:r>
        <w:rPr>
          <w:rFonts w:eastAsia="標楷體"/>
          <w:spacing w:val="4"/>
          <w:kern w:val="0"/>
          <w:sz w:val="28"/>
          <w:szCs w:val="22"/>
        </w:rPr>
        <w:t>4</w:t>
      </w:r>
      <w:r>
        <w:rPr>
          <w:rFonts w:eastAsia="標楷體"/>
          <w:spacing w:val="4"/>
          <w:kern w:val="0"/>
          <w:sz w:val="28"/>
          <w:szCs w:val="22"/>
        </w:rPr>
        <w:t>處。</w:t>
      </w:r>
    </w:p>
    <w:p w14:paraId="601E03A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7A7F11F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健全國土規劃制度</w:t>
      </w:r>
    </w:p>
    <w:p w14:paraId="77E0BA3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推動「國土計畫法」草案立法；研修「區域計畫法」，研訂各類型土地利用基本原則；推動直轄市、縣</w:t>
      </w:r>
      <w:r>
        <w:rPr>
          <w:rFonts w:ascii="標楷體" w:eastAsia="標楷體" w:hAnsi="標楷體"/>
          <w:spacing w:val="4"/>
          <w:kern w:val="0"/>
          <w:sz w:val="28"/>
          <w:szCs w:val="26"/>
        </w:rPr>
        <w:t>(</w:t>
      </w:r>
      <w:r>
        <w:rPr>
          <w:rFonts w:eastAsia="標楷體"/>
          <w:spacing w:val="4"/>
          <w:kern w:val="0"/>
          <w:sz w:val="28"/>
          <w:szCs w:val="26"/>
        </w:rPr>
        <w:t>市</w:t>
      </w:r>
      <w:r>
        <w:rPr>
          <w:rFonts w:ascii="標楷體" w:eastAsia="標楷體" w:hAnsi="標楷體"/>
          <w:spacing w:val="4"/>
          <w:kern w:val="0"/>
          <w:sz w:val="28"/>
          <w:szCs w:val="26"/>
        </w:rPr>
        <w:t>)</w:t>
      </w:r>
      <w:r>
        <w:rPr>
          <w:rFonts w:eastAsia="標楷體"/>
          <w:spacing w:val="4"/>
          <w:kern w:val="0"/>
          <w:sz w:val="28"/>
          <w:szCs w:val="26"/>
        </w:rPr>
        <w:t>政府自擬區域計畫作業，引導土地有秩序使用。</w:t>
      </w:r>
    </w:p>
    <w:p w14:paraId="0355DF6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規劃各級區域計畫，加強自然環境保護與維護，並於計畫擬定及審議階段，廣納機關團體及民眾參與，以開放透明機制凝聚環境發展共識，落實生態規劃構想。</w:t>
      </w:r>
    </w:p>
    <w:p w14:paraId="106918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建立海域區容許使用及許可使用之分級審查機制，作為海域使用管理平臺之基礎。</w:t>
      </w:r>
    </w:p>
    <w:p w14:paraId="2AE3F0D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完善環境影響評估制度，擴大全民參與及資訊公開，加強環境敏感地區之保護。</w:t>
      </w:r>
    </w:p>
    <w:p w14:paraId="059B8C6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建構潔淨寧適環境</w:t>
      </w:r>
    </w:p>
    <w:p w14:paraId="3B66F20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提升室內外空氣品質管制，加強管制細懸浮微粒</w:t>
      </w:r>
      <w:r>
        <w:rPr>
          <w:rFonts w:ascii="標楷體" w:eastAsia="標楷體" w:hAnsi="標楷體"/>
          <w:spacing w:val="4"/>
          <w:kern w:val="0"/>
          <w:sz w:val="28"/>
          <w:szCs w:val="26"/>
        </w:rPr>
        <w:t>(</w:t>
      </w:r>
      <w:r>
        <w:rPr>
          <w:rFonts w:eastAsia="標楷體"/>
          <w:spacing w:val="4"/>
          <w:kern w:val="0"/>
          <w:sz w:val="28"/>
          <w:szCs w:val="26"/>
        </w:rPr>
        <w:t>PM</w:t>
      </w:r>
      <w:r>
        <w:rPr>
          <w:rFonts w:eastAsia="標楷體"/>
          <w:spacing w:val="4"/>
          <w:kern w:val="0"/>
          <w:sz w:val="28"/>
          <w:szCs w:val="26"/>
          <w:vertAlign w:val="subscript"/>
        </w:rPr>
        <w:t>2.5</w:t>
      </w:r>
      <w:r>
        <w:rPr>
          <w:rFonts w:ascii="標楷體" w:eastAsia="標楷體" w:hAnsi="標楷體"/>
          <w:spacing w:val="4"/>
          <w:kern w:val="0"/>
          <w:sz w:val="28"/>
          <w:szCs w:val="26"/>
        </w:rPr>
        <w:t>)</w:t>
      </w:r>
      <w:r>
        <w:rPr>
          <w:rFonts w:eastAsia="標楷體"/>
          <w:spacing w:val="4"/>
          <w:kern w:val="0"/>
          <w:sz w:val="28"/>
          <w:szCs w:val="26"/>
        </w:rPr>
        <w:t>；改善水體水質，執行淡水河流域等</w:t>
      </w:r>
      <w:r>
        <w:rPr>
          <w:rFonts w:eastAsia="標楷體"/>
          <w:spacing w:val="4"/>
          <w:kern w:val="0"/>
          <w:sz w:val="28"/>
          <w:szCs w:val="26"/>
        </w:rPr>
        <w:t>11</w:t>
      </w:r>
      <w:r>
        <w:rPr>
          <w:rFonts w:eastAsia="標楷體"/>
          <w:spacing w:val="4"/>
          <w:kern w:val="0"/>
          <w:sz w:val="28"/>
          <w:szCs w:val="26"/>
        </w:rPr>
        <w:t>條中度及嚴重污染長度達</w:t>
      </w:r>
      <w:r>
        <w:rPr>
          <w:rFonts w:eastAsia="標楷體"/>
          <w:spacing w:val="4"/>
          <w:kern w:val="0"/>
          <w:sz w:val="28"/>
          <w:szCs w:val="26"/>
        </w:rPr>
        <w:t>50%</w:t>
      </w:r>
      <w:r>
        <w:rPr>
          <w:rFonts w:eastAsia="標楷體"/>
          <w:spacing w:val="4"/>
          <w:kern w:val="0"/>
          <w:sz w:val="28"/>
          <w:szCs w:val="26"/>
        </w:rPr>
        <w:t>以上之重點河川污染整治。</w:t>
      </w:r>
    </w:p>
    <w:p w14:paraId="7760253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kern w:val="0"/>
          <w:sz w:val="28"/>
          <w:szCs w:val="26"/>
        </w:rPr>
        <w:t>強化土壤及地下水污染預防機制，普查高污染潛勢場址，實施風險管理及分級管制；加強毒化物質管制，降低毒化物事故風險及鼓勵公廁社區整潔綠美化計畫，維護優良環境品質。</w:t>
      </w:r>
    </w:p>
    <w:p w14:paraId="3E7FFEE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落實海洋污染防治法許可作業查核管理，加強海洋污染緊急應變能力。</w:t>
      </w:r>
    </w:p>
    <w:p w14:paraId="4F61C03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4.</w:t>
      </w:r>
      <w:r>
        <w:rPr>
          <w:rFonts w:eastAsia="標楷體"/>
          <w:spacing w:val="4"/>
          <w:kern w:val="0"/>
          <w:sz w:val="28"/>
          <w:szCs w:val="26"/>
        </w:rPr>
        <w:t>針對營建工程噪音陳情數量較多之營建工地，採取稽查、輔導、巡查之滾動式管理措施，提升營建工程噪音管制成效。</w:t>
      </w:r>
    </w:p>
    <w:p w14:paraId="741742C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強化水資源運用與管理</w:t>
      </w:r>
    </w:p>
    <w:p w14:paraId="3B6A063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推動人工湖、伏流水、海水淡化及再生水等多元水源開發；辦理板新地區供水改善計畫二期工程、大安溪大甲溪水源聯合運用工程。</w:t>
      </w:r>
    </w:p>
    <w:p w14:paraId="6D7C524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水資源彈性調度、有效管理；建立枯旱預警及強化區域水資源調度協調機制。</w:t>
      </w:r>
    </w:p>
    <w:p w14:paraId="556E3F4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優先辦理雲彰地區地層下陷具體解決方案暨行動計畫，推動地下水保育暨地層下陷防治計畫；補助地方政府於地下水管制區進行水井清查，並分類、分級管理；加強嚴重地層下陷地區及高鐵沿線特定範圍之水井管理及巡查。</w:t>
      </w:r>
    </w:p>
    <w:p w14:paraId="017E181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升級都市污水處理廠為再生水廠</w:t>
      </w:r>
      <w:r>
        <w:rPr>
          <w:rFonts w:eastAsia="標楷體"/>
          <w:spacing w:val="4"/>
          <w:kern w:val="0"/>
          <w:sz w:val="28"/>
          <w:szCs w:val="26"/>
        </w:rPr>
        <w:t>1</w:t>
      </w:r>
      <w:r>
        <w:rPr>
          <w:rFonts w:eastAsia="標楷體"/>
          <w:spacing w:val="4"/>
          <w:kern w:val="0"/>
          <w:sz w:val="28"/>
          <w:szCs w:val="26"/>
        </w:rPr>
        <w:t>座，促成廢污水處理廠放流水再生供應工業使用示範個案；落實水庫集水區整體保育；推動水庫更新改善及水庫清淤。</w:t>
      </w:r>
    </w:p>
    <w:p w14:paraId="5D6F75B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加強植樹造林</w:t>
      </w:r>
    </w:p>
    <w:p w14:paraId="18039FE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以自然或人為方式，加強崩塌地復育，儘速回復森林與綠地覆蓋</w:t>
      </w:r>
    </w:p>
    <w:p w14:paraId="5E1A75F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配合不同地形進行撒播種子、栽植造林、覆稻草網或打樁編柵等方式，加強崩塌地復育造林。</w:t>
      </w:r>
    </w:p>
    <w:p w14:paraId="382BCFF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復育收回之出租造林地及濫墾地，增加森林資源多樣性，確保森林公益功能。</w:t>
      </w:r>
    </w:p>
    <w:p w14:paraId="03D6AED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針對因火災導致土地劣化形成沖蝕地區，導入陽性及防火闊葉樹種，避免地力遭雨水沖蝕漸趨劣化。</w:t>
      </w:r>
    </w:p>
    <w:p w14:paraId="5DFD719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針對生態環境已嚴重破壞退化地區，改善土壤物理及化學性質，並藉由植生營造綠資源。</w:t>
      </w:r>
    </w:p>
    <w:p w14:paraId="5EFAF29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獎勵山坡地及平地造林，並強化已成林地之維護管理及永續利用。</w:t>
      </w:r>
    </w:p>
    <w:p w14:paraId="5C394AB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推動海岸綠化及復育，加強海岸林新植造林，針對已老化木麻黃林辦理營造複層林，以增強海岸保安林防災功能。</w:t>
      </w:r>
    </w:p>
    <w:p w14:paraId="1CF35F3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4.</w:t>
      </w:r>
      <w:r>
        <w:rPr>
          <w:rFonts w:eastAsia="標楷體"/>
          <w:spacing w:val="4"/>
          <w:kern w:val="0"/>
          <w:sz w:val="28"/>
          <w:szCs w:val="26"/>
        </w:rPr>
        <w:t>運用造林成果，發展平地森林園區，提供民眾優質生態旅遊環境，發揮造林地多元效能。</w:t>
      </w:r>
    </w:p>
    <w:p w14:paraId="3F987E9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年辦理劣化地復育、短期經濟林造林等新植造林綠化面積累計共</w:t>
      </w:r>
      <w:r>
        <w:rPr>
          <w:rFonts w:eastAsia="標楷體"/>
          <w:spacing w:val="4"/>
          <w:kern w:val="0"/>
          <w:sz w:val="28"/>
          <w:szCs w:val="26"/>
        </w:rPr>
        <w:t>1</w:t>
      </w:r>
      <w:r>
        <w:rPr>
          <w:rFonts w:eastAsia="標楷體"/>
          <w:spacing w:val="4"/>
          <w:kern w:val="0"/>
          <w:sz w:val="28"/>
          <w:szCs w:val="26"/>
        </w:rPr>
        <w:t>萬</w:t>
      </w:r>
      <w:r>
        <w:rPr>
          <w:rFonts w:eastAsia="標楷體"/>
          <w:spacing w:val="4"/>
          <w:kern w:val="0"/>
          <w:sz w:val="28"/>
          <w:szCs w:val="26"/>
        </w:rPr>
        <w:t>2,050</w:t>
      </w:r>
      <w:r>
        <w:rPr>
          <w:rFonts w:eastAsia="標楷體"/>
          <w:spacing w:val="4"/>
          <w:kern w:val="0"/>
          <w:sz w:val="28"/>
          <w:szCs w:val="26"/>
        </w:rPr>
        <w:t>公頃。</w:t>
      </w:r>
    </w:p>
    <w:p w14:paraId="583C8CB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年累計撫育平地造林</w:t>
      </w:r>
      <w:r>
        <w:rPr>
          <w:rFonts w:eastAsia="標楷體"/>
          <w:spacing w:val="4"/>
          <w:kern w:val="0"/>
          <w:sz w:val="28"/>
          <w:szCs w:val="26"/>
        </w:rPr>
        <w:t>6</w:t>
      </w:r>
      <w:r>
        <w:rPr>
          <w:rFonts w:eastAsia="標楷體"/>
          <w:spacing w:val="4"/>
          <w:kern w:val="0"/>
          <w:sz w:val="28"/>
          <w:szCs w:val="26"/>
        </w:rPr>
        <w:t>萬</w:t>
      </w:r>
      <w:r>
        <w:rPr>
          <w:rFonts w:eastAsia="標楷體"/>
          <w:spacing w:val="4"/>
          <w:kern w:val="0"/>
          <w:sz w:val="28"/>
          <w:szCs w:val="26"/>
        </w:rPr>
        <w:t>4,076</w:t>
      </w:r>
      <w:r>
        <w:rPr>
          <w:rFonts w:eastAsia="標楷體"/>
          <w:spacing w:val="4"/>
          <w:kern w:val="0"/>
          <w:sz w:val="28"/>
          <w:szCs w:val="26"/>
        </w:rPr>
        <w:t>公頃、獎勵輔導造林</w:t>
      </w:r>
      <w:r>
        <w:rPr>
          <w:rFonts w:eastAsia="標楷體"/>
          <w:spacing w:val="4"/>
          <w:kern w:val="0"/>
          <w:sz w:val="28"/>
          <w:szCs w:val="26"/>
        </w:rPr>
        <w:t>1</w:t>
      </w:r>
      <w:r>
        <w:rPr>
          <w:rFonts w:eastAsia="標楷體"/>
          <w:spacing w:val="4"/>
          <w:kern w:val="0"/>
          <w:sz w:val="28"/>
          <w:szCs w:val="26"/>
        </w:rPr>
        <w:t>萬</w:t>
      </w:r>
      <w:r>
        <w:rPr>
          <w:rFonts w:eastAsia="標楷體"/>
          <w:spacing w:val="4"/>
          <w:kern w:val="0"/>
          <w:sz w:val="28"/>
          <w:szCs w:val="26"/>
        </w:rPr>
        <w:t>4,920</w:t>
      </w:r>
      <w:r>
        <w:rPr>
          <w:rFonts w:eastAsia="標楷體"/>
          <w:spacing w:val="4"/>
          <w:kern w:val="0"/>
          <w:sz w:val="28"/>
          <w:szCs w:val="26"/>
        </w:rPr>
        <w:t>公頃，持續加強全民造林計畫，撫育面積總計</w:t>
      </w:r>
      <w:r>
        <w:rPr>
          <w:rFonts w:eastAsia="標楷體"/>
          <w:spacing w:val="4"/>
          <w:kern w:val="0"/>
          <w:sz w:val="28"/>
          <w:szCs w:val="26"/>
        </w:rPr>
        <w:t>10</w:t>
      </w:r>
      <w:r>
        <w:rPr>
          <w:rFonts w:eastAsia="標楷體"/>
          <w:spacing w:val="4"/>
          <w:kern w:val="0"/>
          <w:sz w:val="28"/>
          <w:szCs w:val="26"/>
        </w:rPr>
        <w:t>萬</w:t>
      </w:r>
      <w:r>
        <w:rPr>
          <w:rFonts w:eastAsia="標楷體"/>
          <w:spacing w:val="4"/>
          <w:kern w:val="0"/>
          <w:sz w:val="28"/>
          <w:szCs w:val="26"/>
        </w:rPr>
        <w:t>8,750</w:t>
      </w:r>
      <w:r>
        <w:rPr>
          <w:rFonts w:eastAsia="標楷體"/>
          <w:spacing w:val="4"/>
          <w:kern w:val="0"/>
          <w:sz w:val="28"/>
          <w:szCs w:val="26"/>
        </w:rPr>
        <w:t>公頃。</w:t>
      </w:r>
    </w:p>
    <w:p w14:paraId="25EF34F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強化生態保育</w:t>
      </w:r>
    </w:p>
    <w:p w14:paraId="64D0354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維護物種及棲地多樣性，並持續推動珍稀動</w:t>
      </w:r>
      <w:r>
        <w:rPr>
          <w:rFonts w:ascii="標楷體" w:eastAsia="標楷體" w:hAnsi="標楷體"/>
          <w:spacing w:val="4"/>
          <w:kern w:val="0"/>
          <w:sz w:val="28"/>
          <w:szCs w:val="26"/>
        </w:rPr>
        <w:t>(</w:t>
      </w:r>
      <w:r>
        <w:rPr>
          <w:rFonts w:eastAsia="標楷體"/>
          <w:spacing w:val="4"/>
          <w:kern w:val="0"/>
          <w:sz w:val="28"/>
          <w:szCs w:val="26"/>
        </w:rPr>
        <w:t>植</w:t>
      </w:r>
      <w:r>
        <w:rPr>
          <w:rFonts w:ascii="標楷體" w:eastAsia="標楷體" w:hAnsi="標楷體"/>
          <w:spacing w:val="4"/>
          <w:kern w:val="0"/>
          <w:sz w:val="28"/>
          <w:szCs w:val="26"/>
        </w:rPr>
        <w:t>)</w:t>
      </w:r>
      <w:r>
        <w:rPr>
          <w:rFonts w:eastAsia="標楷體"/>
          <w:spacing w:val="4"/>
          <w:kern w:val="0"/>
          <w:sz w:val="28"/>
          <w:szCs w:val="26"/>
        </w:rPr>
        <w:t>物之調查、研究、保育及復育等各項工作。</w:t>
      </w:r>
    </w:p>
    <w:p w14:paraId="2298080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加強陸地、濕地及海洋等保護系統之建立</w:t>
      </w:r>
    </w:p>
    <w:p w14:paraId="3D78F9B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陸地保護系統：透過「保育與永續」、「體驗與環教」、「夥伴與共榮」及「效能與創新」等四大面向，落實推動陸地保護。</w:t>
      </w:r>
    </w:p>
    <w:p w14:paraId="650FCC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濕地及海洋保護系統：推動「濕地法」立法，建立濕地管理法令與體制；推動濕地生態空間結構整體規劃及國家重要濕地復育行動計畫等各項具體作為。</w:t>
      </w:r>
    </w:p>
    <w:p w14:paraId="2A2606A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加強全國自然地景之管理及維護工作，推動我國自然遺產成為聯合國世界遺產名單，規劃設置地質公園，保護珍貴地景資源。</w:t>
      </w:r>
    </w:p>
    <w:p w14:paraId="0FD8E8B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控制入侵種生物，針對威脅環境、經濟、社會的外來入侵種生物進行管理，降低對經濟、社會及生態之衝擊。</w:t>
      </w:r>
    </w:p>
    <w:p w14:paraId="0F647DF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推展自然教育中心，培養國民愛護自然之情懷。</w:t>
      </w:r>
    </w:p>
    <w:p w14:paraId="1D420DA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6.102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年推動</w:t>
      </w:r>
      <w:r>
        <w:rPr>
          <w:rFonts w:eastAsia="標楷體"/>
          <w:spacing w:val="4"/>
          <w:kern w:val="0"/>
          <w:sz w:val="28"/>
          <w:szCs w:val="26"/>
        </w:rPr>
        <w:t>2</w:t>
      </w:r>
      <w:r>
        <w:rPr>
          <w:rFonts w:eastAsia="標楷體"/>
          <w:spacing w:val="4"/>
          <w:kern w:val="0"/>
          <w:sz w:val="28"/>
          <w:szCs w:val="26"/>
        </w:rPr>
        <w:t>處國家</w:t>
      </w:r>
      <w:r>
        <w:rPr>
          <w:rFonts w:ascii="標楷體" w:eastAsia="標楷體" w:hAnsi="標楷體"/>
          <w:spacing w:val="4"/>
          <w:kern w:val="0"/>
          <w:sz w:val="28"/>
          <w:szCs w:val="26"/>
        </w:rPr>
        <w:t>(</w:t>
      </w:r>
      <w:r>
        <w:rPr>
          <w:rFonts w:eastAsia="標楷體"/>
          <w:spacing w:val="4"/>
          <w:kern w:val="0"/>
          <w:sz w:val="28"/>
          <w:szCs w:val="26"/>
        </w:rPr>
        <w:t>自然</w:t>
      </w:r>
      <w:r>
        <w:rPr>
          <w:rFonts w:ascii="標楷體" w:eastAsia="標楷體" w:hAnsi="標楷體"/>
          <w:spacing w:val="4"/>
          <w:kern w:val="0"/>
          <w:sz w:val="28"/>
          <w:szCs w:val="26"/>
        </w:rPr>
        <w:t>)</w:t>
      </w:r>
      <w:r>
        <w:rPr>
          <w:rFonts w:eastAsia="標楷體"/>
          <w:spacing w:val="4"/>
          <w:kern w:val="0"/>
          <w:sz w:val="28"/>
          <w:szCs w:val="26"/>
        </w:rPr>
        <w:t>公園之設立，擴大國家</w:t>
      </w:r>
      <w:r>
        <w:rPr>
          <w:rFonts w:ascii="標楷體" w:eastAsia="標楷體" w:hAnsi="標楷體"/>
          <w:spacing w:val="4"/>
          <w:kern w:val="0"/>
          <w:sz w:val="28"/>
          <w:szCs w:val="26"/>
        </w:rPr>
        <w:t>(</w:t>
      </w:r>
      <w:r>
        <w:rPr>
          <w:rFonts w:eastAsia="標楷體"/>
          <w:spacing w:val="4"/>
          <w:kern w:val="0"/>
          <w:sz w:val="28"/>
          <w:szCs w:val="26"/>
        </w:rPr>
        <w:t>自然</w:t>
      </w:r>
      <w:r>
        <w:rPr>
          <w:rFonts w:ascii="標楷體" w:eastAsia="標楷體" w:hAnsi="標楷體"/>
          <w:spacing w:val="4"/>
          <w:kern w:val="0"/>
          <w:sz w:val="28"/>
          <w:szCs w:val="26"/>
        </w:rPr>
        <w:t>)</w:t>
      </w:r>
      <w:r>
        <w:rPr>
          <w:rFonts w:eastAsia="標楷體"/>
          <w:spacing w:val="4"/>
          <w:kern w:val="0"/>
          <w:sz w:val="28"/>
          <w:szCs w:val="26"/>
        </w:rPr>
        <w:t>公園範圍，提升中央山脈生態廊道及海洋國家公園保護管理機制。</w:t>
      </w:r>
    </w:p>
    <w:p w14:paraId="0A12A9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促進濕地明智利用</w:t>
      </w:r>
    </w:p>
    <w:p w14:paraId="08EDC70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辦理地層下陷農地轉型為濕地生態園區水資源規劃示範。</w:t>
      </w:r>
    </w:p>
    <w:p w14:paraId="24F8173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推動「濕地法」草案立法，健全濕地管理法令與體制。</w:t>
      </w:r>
    </w:p>
    <w:p w14:paraId="5C9EF55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辦理國家重要濕地評選與檢討；建立濕地生態產業制度及鏈結；推動濕地產業認證，擴展濕地生態市場經濟功能。</w:t>
      </w:r>
    </w:p>
    <w:p w14:paraId="5935EC9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年推動</w:t>
      </w:r>
      <w:r>
        <w:rPr>
          <w:rFonts w:eastAsia="標楷體"/>
          <w:spacing w:val="4"/>
          <w:kern w:val="0"/>
          <w:sz w:val="28"/>
          <w:szCs w:val="22"/>
        </w:rPr>
        <w:t>10</w:t>
      </w:r>
      <w:r>
        <w:rPr>
          <w:rFonts w:eastAsia="標楷體"/>
          <w:spacing w:val="4"/>
          <w:kern w:val="0"/>
          <w:sz w:val="28"/>
          <w:szCs w:val="22"/>
        </w:rPr>
        <w:t>處濕地生態空間結構整體規劃及</w:t>
      </w:r>
      <w:r>
        <w:rPr>
          <w:rFonts w:eastAsia="標楷體"/>
          <w:spacing w:val="4"/>
          <w:kern w:val="0"/>
          <w:sz w:val="28"/>
          <w:szCs w:val="22"/>
        </w:rPr>
        <w:t>10</w:t>
      </w:r>
      <w:r>
        <w:rPr>
          <w:rFonts w:eastAsia="標楷體"/>
          <w:spacing w:val="4"/>
          <w:kern w:val="0"/>
          <w:sz w:val="28"/>
          <w:szCs w:val="22"/>
        </w:rPr>
        <w:t>處國家重要濕地復育行動計畫，藉由濕地生態、文化重塑及科學化管理，維護濕地環境。</w:t>
      </w:r>
    </w:p>
    <w:p w14:paraId="04C1E6E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6"/>
          <w:kern w:val="0"/>
          <w:sz w:val="28"/>
          <w:szCs w:val="22"/>
        </w:rPr>
        <w:t>102</w:t>
      </w:r>
      <w:r>
        <w:rPr>
          <w:rFonts w:eastAsia="標楷體"/>
          <w:spacing w:val="6"/>
          <w:kern w:val="0"/>
          <w:sz w:val="28"/>
          <w:szCs w:val="22"/>
        </w:rPr>
        <w:t>至</w:t>
      </w:r>
      <w:r>
        <w:rPr>
          <w:rFonts w:eastAsia="標楷體"/>
          <w:spacing w:val="6"/>
          <w:kern w:val="0"/>
          <w:sz w:val="28"/>
          <w:szCs w:val="22"/>
        </w:rPr>
        <w:t>105</w:t>
      </w:r>
      <w:r>
        <w:rPr>
          <w:rFonts w:eastAsia="標楷體"/>
          <w:spacing w:val="6"/>
          <w:kern w:val="0"/>
          <w:sz w:val="28"/>
          <w:szCs w:val="22"/>
        </w:rPr>
        <w:t>年規劃辦理國際交流工作坊</w:t>
      </w:r>
      <w:r>
        <w:rPr>
          <w:rFonts w:eastAsia="標楷體"/>
          <w:spacing w:val="6"/>
          <w:kern w:val="0"/>
          <w:sz w:val="28"/>
          <w:szCs w:val="22"/>
        </w:rPr>
        <w:t>5</w:t>
      </w:r>
      <w:r>
        <w:rPr>
          <w:rFonts w:eastAsia="標楷體"/>
          <w:spacing w:val="6"/>
          <w:kern w:val="0"/>
          <w:sz w:val="28"/>
          <w:szCs w:val="22"/>
        </w:rPr>
        <w:t>場及國際濕地保育考察</w:t>
      </w:r>
      <w:r>
        <w:rPr>
          <w:rFonts w:eastAsia="標楷體"/>
          <w:spacing w:val="6"/>
          <w:kern w:val="0"/>
          <w:sz w:val="28"/>
          <w:szCs w:val="22"/>
        </w:rPr>
        <w:t>3</w:t>
      </w:r>
      <w:r>
        <w:rPr>
          <w:rFonts w:eastAsia="標楷體"/>
          <w:spacing w:val="6"/>
          <w:kern w:val="0"/>
          <w:sz w:val="28"/>
          <w:szCs w:val="22"/>
        </w:rPr>
        <w:t>次，作為濕地保育經營管理及制度修正參考；完成</w:t>
      </w:r>
      <w:r>
        <w:rPr>
          <w:rFonts w:eastAsia="標楷體"/>
          <w:spacing w:val="6"/>
          <w:kern w:val="0"/>
          <w:sz w:val="28"/>
          <w:szCs w:val="22"/>
        </w:rPr>
        <w:t>50</w:t>
      </w:r>
      <w:r>
        <w:rPr>
          <w:rFonts w:eastAsia="標楷體"/>
          <w:spacing w:val="6"/>
          <w:kern w:val="0"/>
          <w:sz w:val="28"/>
          <w:szCs w:val="22"/>
        </w:rPr>
        <w:t>處國家重要濕地生態調查研究、巡守工作及其他保育工作。</w:t>
      </w:r>
    </w:p>
    <w:p w14:paraId="1DC3C61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六</w:t>
      </w:r>
      <w:r>
        <w:rPr>
          <w:rFonts w:ascii="標楷體" w:eastAsia="標楷體" w:hAnsi="標楷體"/>
          <w:spacing w:val="4"/>
          <w:kern w:val="0"/>
          <w:sz w:val="28"/>
          <w:szCs w:val="22"/>
        </w:rPr>
        <w:t>)</w:t>
      </w:r>
      <w:r>
        <w:rPr>
          <w:rFonts w:eastAsia="標楷體"/>
          <w:spacing w:val="4"/>
          <w:kern w:val="0"/>
          <w:sz w:val="28"/>
          <w:szCs w:val="22"/>
        </w:rPr>
        <w:t>加強海洋保護與資源利用</w:t>
      </w:r>
    </w:p>
    <w:p w14:paraId="7A92631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整合並強化海洋管理體制，定期檢討海洋興國政策。</w:t>
      </w:r>
    </w:p>
    <w:p w14:paraId="5CEFB52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推動「海岸法」草案立法，健全海岸整合管理體制；規劃沿岸易致災害區域，以因應氣候變遷及海洋災害之挑戰。</w:t>
      </w:r>
    </w:p>
    <w:p w14:paraId="73049C1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完善海岸整合管理體制，並建立有秩序的海洋資源利用及空間發展模式。</w:t>
      </w:r>
    </w:p>
    <w:p w14:paraId="12E5D84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辦理大陸礁層科學調查、科學調查資料更新及建置、海域島礁圖資建置及監測管理、海洋法政研析、海洋劃界資料整合分析等工作，維護我國海洋權益，確保海域資源永續發展。</w:t>
      </w:r>
    </w:p>
    <w:p w14:paraId="16A8052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5.</w:t>
      </w:r>
      <w:r>
        <w:rPr>
          <w:rFonts w:eastAsia="標楷體"/>
          <w:kern w:val="0"/>
          <w:sz w:val="28"/>
          <w:szCs w:val="26"/>
        </w:rPr>
        <w:t>推動水下文化資產保存調查與研究，培育水下文化資產考古及保存專業人才；推動原住民族傳統領域</w:t>
      </w:r>
      <w:r>
        <w:rPr>
          <w:rFonts w:ascii="標楷體" w:eastAsia="標楷體" w:hAnsi="標楷體"/>
          <w:kern w:val="0"/>
          <w:sz w:val="28"/>
          <w:szCs w:val="26"/>
        </w:rPr>
        <w:t>(</w:t>
      </w:r>
      <w:r>
        <w:rPr>
          <w:rFonts w:eastAsia="標楷體"/>
          <w:kern w:val="0"/>
          <w:sz w:val="28"/>
          <w:szCs w:val="26"/>
        </w:rPr>
        <w:t>含海域</w:t>
      </w:r>
      <w:r>
        <w:rPr>
          <w:rFonts w:ascii="標楷體" w:eastAsia="標楷體" w:hAnsi="標楷體"/>
          <w:kern w:val="0"/>
          <w:sz w:val="28"/>
          <w:szCs w:val="26"/>
        </w:rPr>
        <w:t>)</w:t>
      </w:r>
      <w:r>
        <w:rPr>
          <w:rFonts w:eastAsia="標楷體"/>
          <w:kern w:val="0"/>
          <w:sz w:val="28"/>
          <w:szCs w:val="26"/>
        </w:rPr>
        <w:t>調查工作。</w:t>
      </w:r>
    </w:p>
    <w:p w14:paraId="46DB44D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辦理漁港復育及再利用規劃，</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年預定完成漁港活化再利用之示範計畫</w:t>
      </w:r>
      <w:r>
        <w:rPr>
          <w:rFonts w:eastAsia="標楷體"/>
          <w:spacing w:val="4"/>
          <w:kern w:val="0"/>
          <w:sz w:val="28"/>
          <w:szCs w:val="26"/>
        </w:rPr>
        <w:t>4</w:t>
      </w:r>
      <w:r>
        <w:rPr>
          <w:rFonts w:eastAsia="標楷體"/>
          <w:spacing w:val="4"/>
          <w:kern w:val="0"/>
          <w:sz w:val="28"/>
          <w:szCs w:val="26"/>
        </w:rPr>
        <w:t>處。</w:t>
      </w:r>
    </w:p>
    <w:p w14:paraId="64ED06D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結合海域設施及生態復育觀念，慎選地點填海造島，有效解決安定廢棄物去處。</w:t>
      </w:r>
    </w:p>
    <w:p w14:paraId="742BF69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59FD732"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參、災害防救</w:t>
      </w:r>
    </w:p>
    <w:p w14:paraId="700F78F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CA1B4B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過去一個世紀來，由於氣候變遷，全球降雨型態產生極大變化，</w:t>
      </w:r>
      <w:r>
        <w:rPr>
          <w:rFonts w:eastAsia="標楷體"/>
          <w:spacing w:val="4"/>
          <w:kern w:val="0"/>
          <w:sz w:val="28"/>
          <w:szCs w:val="26"/>
        </w:rPr>
        <w:lastRenderedPageBreak/>
        <w:t>熱浪、乾旱、大雨及颱風等極端天氣頻率提高，加劇災害發生機率與規模。臺灣為全球降雨量變化最大的區域之一，未來除須妥善因應降雨集中及暴雨強度增強等氣候變異所引發之水災、土石流外，亦應籌謀旱季對穩定供水之衝擊的解決之道。</w:t>
      </w:r>
    </w:p>
    <w:p w14:paraId="029DAD1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為因應氣候變遷衝擊、維持自然生態系統穩定平衡、確保國家安全與永續發展，未來四年政府將參考世界各國作為，並考量臺灣環境的特殊性與歷史經驗，落實「國家氣候變遷調適政策綱領」，持續以國際級標準推動核能安全防護總體檢；建構社區自主及民間參與防、救災網絡，完備災害防救；並推動防洪與綠色造林，落實國土保育及生態平衡，建構永續的幸福臺灣。</w:t>
      </w:r>
    </w:p>
    <w:p w14:paraId="76051294"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3BA6BAD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推動氣候變遷調適，落實國土保安保育。</w:t>
      </w:r>
    </w:p>
    <w:p w14:paraId="0659C8D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持續以國際標準推動核能安全防護總體檢。</w:t>
      </w:r>
    </w:p>
    <w:p w14:paraId="3D7B46B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推動整體性治山防洪及災害潛勢區劃設，減輕天災威脅。</w:t>
      </w:r>
    </w:p>
    <w:p w14:paraId="3D55779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改善易淹水低窪地區，使民眾免於水患之苦。</w:t>
      </w:r>
    </w:p>
    <w:p w14:paraId="12D96E7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年完成全國直轄市、縣</w:t>
      </w:r>
      <w:r>
        <w:rPr>
          <w:rFonts w:ascii="標楷體" w:eastAsia="標楷體" w:hAnsi="標楷體"/>
          <w:spacing w:val="4"/>
          <w:kern w:val="0"/>
          <w:sz w:val="28"/>
          <w:szCs w:val="22"/>
        </w:rPr>
        <w:t>(</w:t>
      </w:r>
      <w:r>
        <w:rPr>
          <w:rFonts w:eastAsia="標楷體"/>
          <w:spacing w:val="4"/>
          <w:kern w:val="0"/>
          <w:sz w:val="28"/>
          <w:szCs w:val="22"/>
        </w:rPr>
        <w:t>市</w:t>
      </w:r>
      <w:r>
        <w:rPr>
          <w:rFonts w:ascii="標楷體" w:eastAsia="標楷體" w:hAnsi="標楷體"/>
          <w:spacing w:val="4"/>
          <w:kern w:val="0"/>
          <w:sz w:val="28"/>
          <w:szCs w:val="22"/>
        </w:rPr>
        <w:t>)</w:t>
      </w:r>
      <w:r>
        <w:rPr>
          <w:rFonts w:eastAsia="標楷體"/>
          <w:spacing w:val="4"/>
          <w:kern w:val="0"/>
          <w:sz w:val="28"/>
          <w:szCs w:val="22"/>
        </w:rPr>
        <w:t>共</w:t>
      </w:r>
      <w:r>
        <w:rPr>
          <w:rFonts w:eastAsia="標楷體"/>
          <w:spacing w:val="4"/>
          <w:kern w:val="0"/>
          <w:sz w:val="28"/>
          <w:szCs w:val="22"/>
        </w:rPr>
        <w:t>200</w:t>
      </w:r>
      <w:r>
        <w:rPr>
          <w:rFonts w:eastAsia="標楷體"/>
          <w:spacing w:val="4"/>
          <w:kern w:val="0"/>
          <w:sz w:val="28"/>
          <w:szCs w:val="22"/>
        </w:rPr>
        <w:t>個水災自主防災社區，強化村里防災組織、建立居民自救互救觀念。</w:t>
      </w:r>
    </w:p>
    <w:p w14:paraId="3A6E9A53"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4023419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推動氣候變遷調適政策綱領及行動計畫</w:t>
      </w:r>
    </w:p>
    <w:p w14:paraId="2398E73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配合「國家氣候變遷調適政策綱領」，研擬土地使用、海岸及災害領域調適行動計畫，分年積極推動辦理，落實國土保育，降低臺灣的脆弱度，建構低氣候風險與低碳的永續臺灣。</w:t>
      </w:r>
    </w:p>
    <w:p w14:paraId="3BEC331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推動研訂地方調適計畫，遴選臺北市及屏東縣辦理示範計畫；分年透過國家建設總合規劃，徵選具意願之地方政府，補助研擬地方氣候變遷調適計畫，持續深化氣候變遷調適之影響力。</w:t>
      </w:r>
    </w:p>
    <w:p w14:paraId="6F7156C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提升核電安全</w:t>
      </w:r>
    </w:p>
    <w:p w14:paraId="6A1A93B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完成二階段核能電廠安全總體檢與個廠壓力測試，落實執行</w:t>
      </w:r>
      <w:r>
        <w:rPr>
          <w:rFonts w:eastAsia="標楷體"/>
          <w:spacing w:val="4"/>
          <w:kern w:val="0"/>
          <w:sz w:val="28"/>
          <w:szCs w:val="26"/>
        </w:rPr>
        <w:lastRenderedPageBreak/>
        <w:t>安全防護與緊急應變強化方案</w:t>
      </w:r>
    </w:p>
    <w:p w14:paraId="18A2A1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落實核能電廠依核安總體檢結論執行改善事項。</w:t>
      </w:r>
    </w:p>
    <w:p w14:paraId="32124F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完成我國核能電廠壓力測試國家報告納入歐盟同行審查作業機制。</w:t>
      </w:r>
    </w:p>
    <w:p w14:paraId="037BF84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持續蒐集美國核管會及國際核能相關機構之核安管制經驗與措施。</w:t>
      </w:r>
    </w:p>
    <w:p w14:paraId="45EFC26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加強核四施工與測試品質查核，確保如質安全運轉</w:t>
      </w:r>
    </w:p>
    <w:p w14:paraId="1A0206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落實施工管理之品質保證方案管理架構；加強執行各項測試作業視察，確保系統設備符合設計功能要求。</w:t>
      </w:r>
    </w:p>
    <w:p w14:paraId="5AB099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積極執行燃料裝填前後及商業運轉前整備作業視察，確保運轉安全。</w:t>
      </w:r>
    </w:p>
    <w:p w14:paraId="43F58C2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推動整體性防災計畫</w:t>
      </w:r>
    </w:p>
    <w:p w14:paraId="3E0F10C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整合防災研究與機制，以集水區健康管理為導向，推動整體性治山防災。</w:t>
      </w:r>
    </w:p>
    <w:p w14:paraId="6302B2B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健全坡地防災體系，強化防災應變能力；落實全方位水土保持管理，達成保育水土資源及減免災害等目標。</w:t>
      </w:r>
    </w:p>
    <w:p w14:paraId="798F51A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加強流域治理及區域性河川、排水及海堤整體規劃建設</w:t>
      </w:r>
    </w:p>
    <w:p w14:paraId="0A3C437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流域綜合治理：賡續辦理「重要河川環境營造計畫」及重要中央管河川流域整體治理規劃及整治綱要計畫。</w:t>
      </w:r>
    </w:p>
    <w:p w14:paraId="44F5174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河川環境管理規劃：持續辦理重要中央管河川環境管理規劃及河川環境管理計畫。</w:t>
      </w:r>
    </w:p>
    <w:p w14:paraId="098BD47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海岸防護：賡續辦理「海岸環境營造計畫」。</w:t>
      </w:r>
    </w:p>
    <w:p w14:paraId="5462BDD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中央管區域排水治理與環境營造：賡續辦理「區域排水整治及環境營造計畫」。</w:t>
      </w:r>
    </w:p>
    <w:p w14:paraId="6B1A789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持續辦理易淹水地區水患治理</w:t>
      </w:r>
    </w:p>
    <w:p w14:paraId="7191004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年持續補助地方政府每年處置水井</w:t>
      </w:r>
      <w:r>
        <w:rPr>
          <w:rFonts w:eastAsia="標楷體"/>
          <w:spacing w:val="4"/>
          <w:kern w:val="0"/>
          <w:sz w:val="28"/>
          <w:szCs w:val="22"/>
        </w:rPr>
        <w:t>800</w:t>
      </w:r>
      <w:r>
        <w:rPr>
          <w:rFonts w:eastAsia="標楷體"/>
          <w:spacing w:val="4"/>
          <w:kern w:val="0"/>
          <w:sz w:val="28"/>
          <w:szCs w:val="22"/>
        </w:rPr>
        <w:t>至</w:t>
      </w:r>
      <w:r>
        <w:rPr>
          <w:rFonts w:eastAsia="標楷體"/>
          <w:spacing w:val="4"/>
          <w:kern w:val="0"/>
          <w:sz w:val="28"/>
          <w:szCs w:val="22"/>
        </w:rPr>
        <w:t>1,000</w:t>
      </w:r>
      <w:r>
        <w:rPr>
          <w:rFonts w:eastAsia="標楷體"/>
          <w:spacing w:val="4"/>
          <w:kern w:val="0"/>
          <w:sz w:val="28"/>
          <w:szCs w:val="22"/>
        </w:rPr>
        <w:t>口；每年至少辦理</w:t>
      </w:r>
      <w:r>
        <w:rPr>
          <w:rFonts w:eastAsia="標楷體"/>
          <w:spacing w:val="4"/>
          <w:kern w:val="0"/>
          <w:sz w:val="28"/>
          <w:szCs w:val="22"/>
        </w:rPr>
        <w:t>3</w:t>
      </w:r>
      <w:r>
        <w:rPr>
          <w:rFonts w:eastAsia="標楷體"/>
          <w:spacing w:val="4"/>
          <w:kern w:val="0"/>
          <w:sz w:val="28"/>
          <w:szCs w:val="22"/>
        </w:rPr>
        <w:t>鄉</w:t>
      </w:r>
      <w:r>
        <w:rPr>
          <w:rFonts w:ascii="標楷體" w:eastAsia="標楷體" w:hAnsi="標楷體"/>
          <w:spacing w:val="4"/>
          <w:kern w:val="0"/>
          <w:sz w:val="28"/>
          <w:szCs w:val="22"/>
        </w:rPr>
        <w:t>(</w:t>
      </w:r>
      <w:r>
        <w:rPr>
          <w:rFonts w:eastAsia="標楷體"/>
          <w:spacing w:val="4"/>
          <w:kern w:val="0"/>
          <w:sz w:val="28"/>
          <w:szCs w:val="22"/>
        </w:rPr>
        <w:t>鎮</w:t>
      </w:r>
      <w:r>
        <w:rPr>
          <w:rFonts w:ascii="標楷體" w:eastAsia="標楷體" w:hAnsi="標楷體"/>
          <w:spacing w:val="4"/>
          <w:kern w:val="0"/>
          <w:sz w:val="28"/>
          <w:szCs w:val="22"/>
        </w:rPr>
        <w:t>)</w:t>
      </w:r>
      <w:r>
        <w:rPr>
          <w:rFonts w:eastAsia="標楷體"/>
          <w:spacing w:val="4"/>
          <w:kern w:val="0"/>
          <w:sz w:val="28"/>
          <w:szCs w:val="22"/>
        </w:rPr>
        <w:t>水井調查；</w:t>
      </w:r>
      <w:r>
        <w:rPr>
          <w:rFonts w:eastAsia="標楷體"/>
          <w:spacing w:val="4"/>
          <w:kern w:val="0"/>
          <w:sz w:val="28"/>
          <w:szCs w:val="22"/>
        </w:rPr>
        <w:t>102</w:t>
      </w:r>
      <w:r>
        <w:rPr>
          <w:rFonts w:eastAsia="標楷體"/>
          <w:spacing w:val="4"/>
          <w:kern w:val="0"/>
          <w:sz w:val="28"/>
          <w:szCs w:val="22"/>
        </w:rPr>
        <w:t>年完成雲林縣</w:t>
      </w:r>
      <w:r>
        <w:rPr>
          <w:rFonts w:eastAsia="標楷體"/>
          <w:spacing w:val="4"/>
          <w:kern w:val="0"/>
          <w:sz w:val="28"/>
          <w:szCs w:val="22"/>
        </w:rPr>
        <w:t>20</w:t>
      </w:r>
      <w:r>
        <w:rPr>
          <w:rFonts w:eastAsia="標楷體"/>
          <w:spacing w:val="4"/>
          <w:kern w:val="0"/>
          <w:sz w:val="28"/>
          <w:szCs w:val="22"/>
        </w:rPr>
        <w:t>鄉</w:t>
      </w:r>
      <w:r>
        <w:rPr>
          <w:rFonts w:ascii="標楷體" w:eastAsia="標楷體" w:hAnsi="標楷體"/>
          <w:spacing w:val="4"/>
          <w:kern w:val="0"/>
          <w:sz w:val="28"/>
          <w:szCs w:val="22"/>
        </w:rPr>
        <w:t>(</w:t>
      </w:r>
      <w:r>
        <w:rPr>
          <w:rFonts w:eastAsia="標楷體"/>
          <w:spacing w:val="4"/>
          <w:kern w:val="0"/>
          <w:sz w:val="28"/>
          <w:szCs w:val="22"/>
        </w:rPr>
        <w:t>鎮</w:t>
      </w:r>
      <w:r>
        <w:rPr>
          <w:rFonts w:ascii="標楷體" w:eastAsia="標楷體" w:hAnsi="標楷體"/>
          <w:spacing w:val="4"/>
          <w:kern w:val="0"/>
          <w:sz w:val="28"/>
          <w:szCs w:val="22"/>
        </w:rPr>
        <w:t>)</w:t>
      </w:r>
      <w:r>
        <w:rPr>
          <w:rFonts w:eastAsia="標楷體"/>
          <w:spacing w:val="4"/>
          <w:kern w:val="0"/>
          <w:sz w:val="28"/>
          <w:szCs w:val="22"/>
        </w:rPr>
        <w:t>及彰化縣</w:t>
      </w:r>
      <w:r>
        <w:rPr>
          <w:rFonts w:eastAsia="標楷體"/>
          <w:spacing w:val="4"/>
          <w:kern w:val="0"/>
          <w:sz w:val="28"/>
          <w:szCs w:val="22"/>
        </w:rPr>
        <w:t>26</w:t>
      </w:r>
      <w:r>
        <w:rPr>
          <w:rFonts w:eastAsia="標楷體"/>
          <w:spacing w:val="4"/>
          <w:kern w:val="0"/>
          <w:sz w:val="28"/>
          <w:szCs w:val="22"/>
        </w:rPr>
        <w:t>鄉</w:t>
      </w:r>
      <w:r>
        <w:rPr>
          <w:rFonts w:ascii="標楷體" w:eastAsia="標楷體" w:hAnsi="標楷體"/>
          <w:spacing w:val="4"/>
          <w:kern w:val="0"/>
          <w:sz w:val="28"/>
          <w:szCs w:val="22"/>
        </w:rPr>
        <w:t>(</w:t>
      </w:r>
      <w:r>
        <w:rPr>
          <w:rFonts w:eastAsia="標楷體"/>
          <w:spacing w:val="4"/>
          <w:kern w:val="0"/>
          <w:sz w:val="28"/>
          <w:szCs w:val="22"/>
        </w:rPr>
        <w:t>鎮</w:t>
      </w:r>
      <w:r>
        <w:rPr>
          <w:rFonts w:ascii="標楷體" w:eastAsia="標楷體" w:hAnsi="標楷體"/>
          <w:spacing w:val="4"/>
          <w:kern w:val="0"/>
          <w:sz w:val="28"/>
          <w:szCs w:val="22"/>
        </w:rPr>
        <w:t>)</w:t>
      </w:r>
      <w:r>
        <w:rPr>
          <w:rFonts w:eastAsia="標楷體"/>
          <w:spacing w:val="4"/>
          <w:kern w:val="0"/>
          <w:sz w:val="28"/>
          <w:szCs w:val="22"/>
        </w:rPr>
        <w:t>等約</w:t>
      </w:r>
      <w:r>
        <w:rPr>
          <w:rFonts w:eastAsia="標楷體"/>
          <w:spacing w:val="4"/>
          <w:kern w:val="0"/>
          <w:sz w:val="28"/>
          <w:szCs w:val="22"/>
        </w:rPr>
        <w:t>18</w:t>
      </w:r>
      <w:r>
        <w:rPr>
          <w:rFonts w:eastAsia="標楷體"/>
          <w:spacing w:val="4"/>
          <w:kern w:val="0"/>
          <w:sz w:val="28"/>
          <w:szCs w:val="22"/>
        </w:rPr>
        <w:t>萬口水井之清複查作業，並擬訂處置計畫自</w:t>
      </w:r>
      <w:r>
        <w:rPr>
          <w:rFonts w:eastAsia="標楷體"/>
          <w:spacing w:val="4"/>
          <w:kern w:val="0"/>
          <w:sz w:val="28"/>
          <w:szCs w:val="22"/>
        </w:rPr>
        <w:t>103</w:t>
      </w:r>
      <w:r>
        <w:rPr>
          <w:rFonts w:eastAsia="標楷體"/>
          <w:spacing w:val="4"/>
          <w:kern w:val="0"/>
          <w:sz w:val="28"/>
          <w:szCs w:val="22"/>
        </w:rPr>
        <w:t>年起至</w:t>
      </w:r>
      <w:r>
        <w:rPr>
          <w:rFonts w:eastAsia="標楷體"/>
          <w:spacing w:val="4"/>
          <w:kern w:val="0"/>
          <w:sz w:val="28"/>
          <w:szCs w:val="22"/>
        </w:rPr>
        <w:t>109</w:t>
      </w:r>
      <w:r>
        <w:rPr>
          <w:rFonts w:eastAsia="標楷體"/>
          <w:spacing w:val="4"/>
          <w:kern w:val="0"/>
          <w:sz w:val="28"/>
          <w:szCs w:val="22"/>
        </w:rPr>
        <w:t>年逐年辦理。</w:t>
      </w:r>
    </w:p>
    <w:p w14:paraId="62C3E83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年中央管河川之計畫防洪設施完成率由</w:t>
      </w:r>
      <w:r>
        <w:rPr>
          <w:rFonts w:eastAsia="標楷體"/>
          <w:spacing w:val="4"/>
          <w:kern w:val="0"/>
          <w:sz w:val="28"/>
          <w:szCs w:val="22"/>
        </w:rPr>
        <w:t>79%</w:t>
      </w:r>
      <w:r>
        <w:rPr>
          <w:rFonts w:eastAsia="標楷體"/>
          <w:spacing w:val="4"/>
          <w:kern w:val="0"/>
          <w:sz w:val="28"/>
          <w:szCs w:val="22"/>
        </w:rPr>
        <w:t>提</w:t>
      </w:r>
      <w:r>
        <w:rPr>
          <w:rFonts w:eastAsia="標楷體"/>
          <w:spacing w:val="4"/>
          <w:kern w:val="0"/>
          <w:sz w:val="28"/>
          <w:szCs w:val="22"/>
        </w:rPr>
        <w:lastRenderedPageBreak/>
        <w:t>升至</w:t>
      </w:r>
      <w:r>
        <w:rPr>
          <w:rFonts w:eastAsia="標楷體"/>
          <w:spacing w:val="4"/>
          <w:kern w:val="0"/>
          <w:sz w:val="28"/>
          <w:szCs w:val="22"/>
        </w:rPr>
        <w:t>82%</w:t>
      </w:r>
      <w:r>
        <w:rPr>
          <w:rFonts w:eastAsia="標楷體"/>
          <w:spacing w:val="4"/>
          <w:kern w:val="0"/>
          <w:sz w:val="28"/>
          <w:szCs w:val="22"/>
        </w:rPr>
        <w:t>、排水設施完成率由</w:t>
      </w:r>
      <w:r>
        <w:rPr>
          <w:rFonts w:eastAsia="標楷體"/>
          <w:spacing w:val="4"/>
          <w:kern w:val="0"/>
          <w:sz w:val="28"/>
          <w:szCs w:val="22"/>
        </w:rPr>
        <w:t>70%</w:t>
      </w:r>
      <w:r>
        <w:rPr>
          <w:rFonts w:eastAsia="標楷體"/>
          <w:spacing w:val="4"/>
          <w:kern w:val="0"/>
          <w:sz w:val="28"/>
          <w:szCs w:val="22"/>
        </w:rPr>
        <w:t>提升至</w:t>
      </w:r>
      <w:r>
        <w:rPr>
          <w:rFonts w:eastAsia="標楷體"/>
          <w:spacing w:val="4"/>
          <w:kern w:val="0"/>
          <w:sz w:val="28"/>
          <w:szCs w:val="22"/>
        </w:rPr>
        <w:t>72%</w:t>
      </w:r>
      <w:r>
        <w:rPr>
          <w:rFonts w:eastAsia="標楷體"/>
          <w:spacing w:val="4"/>
          <w:kern w:val="0"/>
          <w:sz w:val="28"/>
          <w:szCs w:val="22"/>
        </w:rPr>
        <w:t>；縣</w:t>
      </w:r>
      <w:r>
        <w:rPr>
          <w:rFonts w:ascii="標楷體" w:eastAsia="標楷體" w:hAnsi="標楷體"/>
          <w:spacing w:val="4"/>
          <w:kern w:val="0"/>
          <w:sz w:val="28"/>
          <w:szCs w:val="22"/>
        </w:rPr>
        <w:t>(</w:t>
      </w:r>
      <w:r>
        <w:rPr>
          <w:rFonts w:eastAsia="標楷體"/>
          <w:spacing w:val="4"/>
          <w:kern w:val="0"/>
          <w:sz w:val="28"/>
          <w:szCs w:val="22"/>
        </w:rPr>
        <w:t>市</w:t>
      </w:r>
      <w:r>
        <w:rPr>
          <w:rFonts w:ascii="標楷體" w:eastAsia="標楷體" w:hAnsi="標楷體"/>
          <w:spacing w:val="4"/>
          <w:kern w:val="0"/>
          <w:sz w:val="28"/>
          <w:szCs w:val="22"/>
        </w:rPr>
        <w:t>)</w:t>
      </w:r>
      <w:r>
        <w:rPr>
          <w:rFonts w:eastAsia="標楷體"/>
          <w:spacing w:val="4"/>
          <w:kern w:val="0"/>
          <w:sz w:val="28"/>
          <w:szCs w:val="22"/>
        </w:rPr>
        <w:t>河川及區域排水之易淹水面積減少至</w:t>
      </w:r>
      <w:r>
        <w:rPr>
          <w:rFonts w:eastAsia="標楷體"/>
          <w:spacing w:val="4"/>
          <w:kern w:val="0"/>
          <w:sz w:val="28"/>
          <w:szCs w:val="22"/>
        </w:rPr>
        <w:t>550</w:t>
      </w:r>
      <w:r>
        <w:rPr>
          <w:rFonts w:eastAsia="標楷體"/>
          <w:spacing w:val="4"/>
          <w:kern w:val="0"/>
          <w:sz w:val="28"/>
          <w:szCs w:val="22"/>
        </w:rPr>
        <w:t>平方公里；持續辦理中央管河川疏濬工作，疏濬量計</w:t>
      </w:r>
      <w:r>
        <w:rPr>
          <w:rFonts w:eastAsia="標楷體"/>
          <w:spacing w:val="4"/>
          <w:kern w:val="0"/>
          <w:sz w:val="28"/>
          <w:szCs w:val="22"/>
        </w:rPr>
        <w:t>8,300</w:t>
      </w:r>
      <w:r>
        <w:rPr>
          <w:rFonts w:eastAsia="標楷體"/>
          <w:spacing w:val="4"/>
          <w:kern w:val="0"/>
          <w:sz w:val="28"/>
          <w:szCs w:val="22"/>
        </w:rPr>
        <w:t>萬立方公尺。</w:t>
      </w:r>
    </w:p>
    <w:p w14:paraId="10B0C37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辦理中央管河川情勢及生態基本資料調查，推動河川生態復育工程。</w:t>
      </w:r>
    </w:p>
    <w:p w14:paraId="6847E0F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辦理中央管河川沖淤及瓶頸河段疏濬，增加通洪維護河防安全，疏濬之土石提供政府重大公共工程及民生建設所需之骨材來源；</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年疏濬量分別為</w:t>
      </w:r>
      <w:r>
        <w:rPr>
          <w:rFonts w:eastAsia="標楷體"/>
          <w:spacing w:val="4"/>
          <w:kern w:val="0"/>
          <w:sz w:val="28"/>
          <w:szCs w:val="26"/>
        </w:rPr>
        <w:t>2,340</w:t>
      </w:r>
      <w:r>
        <w:rPr>
          <w:rFonts w:eastAsia="標楷體"/>
          <w:spacing w:val="4"/>
          <w:kern w:val="0"/>
          <w:sz w:val="28"/>
          <w:szCs w:val="26"/>
        </w:rPr>
        <w:t>萬、</w:t>
      </w:r>
      <w:r>
        <w:rPr>
          <w:rFonts w:eastAsia="標楷體"/>
          <w:spacing w:val="4"/>
          <w:kern w:val="0"/>
          <w:sz w:val="28"/>
          <w:szCs w:val="26"/>
        </w:rPr>
        <w:t>2,060</w:t>
      </w:r>
      <w:r>
        <w:rPr>
          <w:rFonts w:eastAsia="標楷體"/>
          <w:spacing w:val="4"/>
          <w:kern w:val="0"/>
          <w:sz w:val="28"/>
          <w:szCs w:val="26"/>
        </w:rPr>
        <w:t>萬、</w:t>
      </w:r>
      <w:r>
        <w:rPr>
          <w:rFonts w:eastAsia="標楷體"/>
          <w:spacing w:val="4"/>
          <w:kern w:val="0"/>
          <w:sz w:val="28"/>
          <w:szCs w:val="26"/>
        </w:rPr>
        <w:t>2,000</w:t>
      </w:r>
      <w:r>
        <w:rPr>
          <w:rFonts w:eastAsia="標楷體"/>
          <w:spacing w:val="4"/>
          <w:kern w:val="0"/>
          <w:sz w:val="28"/>
          <w:szCs w:val="26"/>
        </w:rPr>
        <w:t>萬及</w:t>
      </w:r>
      <w:r>
        <w:rPr>
          <w:rFonts w:eastAsia="標楷體"/>
          <w:spacing w:val="4"/>
          <w:kern w:val="0"/>
          <w:sz w:val="28"/>
          <w:szCs w:val="26"/>
        </w:rPr>
        <w:t>1,900</w:t>
      </w:r>
      <w:r>
        <w:rPr>
          <w:rFonts w:eastAsia="標楷體"/>
          <w:spacing w:val="4"/>
          <w:kern w:val="0"/>
          <w:sz w:val="28"/>
          <w:szCs w:val="26"/>
        </w:rPr>
        <w:t>萬立方公尺。</w:t>
      </w:r>
    </w:p>
    <w:p w14:paraId="288DF55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持續補助及督導地方政府於地下水管制區持續依「新增違法水井即查即填、既有違法水井分兩階段處置」原則推動執行；</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年補助及督導雲林縣及彰化縣積極辦理水井清複查及納管處置。</w:t>
      </w:r>
    </w:p>
    <w:p w14:paraId="6909D8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8.</w:t>
      </w:r>
      <w:r>
        <w:rPr>
          <w:rFonts w:eastAsia="標楷體"/>
          <w:spacing w:val="4"/>
          <w:kern w:val="0"/>
          <w:sz w:val="28"/>
          <w:szCs w:val="26"/>
        </w:rPr>
        <w:t>完成建置全臺河川水系地面水可用水量計算系統，作為地面水水權核發供給面之依據。</w:t>
      </w:r>
    </w:p>
    <w:p w14:paraId="39BEEF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強化災害潛勢監測運用及預警疏散能量</w:t>
      </w:r>
    </w:p>
    <w:p w14:paraId="6D067BF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建構區域降雨雷達網，精進降雨及淹水預警能力；推動洪水及淹水預警系統，提升颱洪期間防災避難疏散能力；強化高風險潛勢淹水區、土石流及崩塌地監測追蹤系統。</w:t>
      </w:r>
    </w:p>
    <w:p w14:paraId="2CCF512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建置崩塌地監測追蹤系統：分年分區更新全臺</w:t>
      </w:r>
      <w:r>
        <w:rPr>
          <w:rFonts w:eastAsia="標楷體"/>
          <w:spacing w:val="4"/>
          <w:kern w:val="0"/>
          <w:sz w:val="28"/>
          <w:szCs w:val="26"/>
        </w:rPr>
        <w:t>157</w:t>
      </w:r>
      <w:r>
        <w:rPr>
          <w:rFonts w:eastAsia="標楷體"/>
          <w:spacing w:val="4"/>
          <w:kern w:val="0"/>
          <w:sz w:val="28"/>
          <w:szCs w:val="26"/>
        </w:rPr>
        <w:t>個坡地環境地質基本資料圖；應用山崩潛勢評估方法，建立降雨引致山崩潛勢評估系統；</w:t>
      </w: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年完成</w:t>
      </w:r>
      <w:r>
        <w:rPr>
          <w:rFonts w:eastAsia="標楷體"/>
          <w:spacing w:val="4"/>
          <w:kern w:val="0"/>
          <w:sz w:val="28"/>
          <w:szCs w:val="26"/>
        </w:rPr>
        <w:t>20</w:t>
      </w:r>
      <w:r>
        <w:rPr>
          <w:rFonts w:eastAsia="標楷體"/>
          <w:spacing w:val="4"/>
          <w:kern w:val="0"/>
          <w:sz w:val="28"/>
          <w:szCs w:val="26"/>
        </w:rPr>
        <w:t>處大規模潛在山崩地區調查圈繪、山崩潛勢分析及建立自動化觀測系統。</w:t>
      </w:r>
    </w:p>
    <w:p w14:paraId="286A3B7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執行災害性天氣監測與預報作業建置計畫，落實防災氣象整合資訊實作及強化災害性即時天氣預報計畫；推動地震與海嘯測報效能提升整合計畫，落實地震速報、海嘯警報之通報與災防應用。</w:t>
      </w:r>
    </w:p>
    <w:p w14:paraId="0E76F67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推動東沙島剖風儀雷達、區域防災降雨雷達、外洋資料浮標站與測波雷達站之布建，規劃推動新一代衛星資料接收處理系統與雙偏極化雷達站網之更新，以強化海上氣象監測。</w:t>
      </w:r>
    </w:p>
    <w:p w14:paraId="04DA886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深化基層災害防救及社區自主防災能力</w:t>
      </w:r>
    </w:p>
    <w:p w14:paraId="4EAFA85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整合防災資訊展示，提供即時水情、淹水警戒、河川水位警戒及水庫洩洪警戒等防災資訊，並運用手機簡訊、通報單及網路等多元管道，即時傳達預警資訊。</w:t>
      </w:r>
    </w:p>
    <w:p w14:paraId="43D9F20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定期更新「防救災資源管理系統」，落實救災資源調度制度，提升資源調度效率。</w:t>
      </w:r>
    </w:p>
    <w:p w14:paraId="1B273AB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辦理各直轄市、縣</w:t>
      </w:r>
      <w:r>
        <w:rPr>
          <w:rFonts w:ascii="標楷體" w:eastAsia="標楷體" w:hAnsi="標楷體"/>
          <w:spacing w:val="4"/>
          <w:kern w:val="0"/>
          <w:sz w:val="28"/>
          <w:szCs w:val="26"/>
        </w:rPr>
        <w:t>(</w:t>
      </w:r>
      <w:r>
        <w:rPr>
          <w:rFonts w:eastAsia="標楷體"/>
          <w:spacing w:val="4"/>
          <w:kern w:val="0"/>
          <w:sz w:val="28"/>
          <w:szCs w:val="26"/>
        </w:rPr>
        <w:t>市</w:t>
      </w:r>
      <w:r>
        <w:rPr>
          <w:rFonts w:ascii="標楷體" w:eastAsia="標楷體" w:hAnsi="標楷體"/>
          <w:spacing w:val="4"/>
          <w:kern w:val="0"/>
          <w:sz w:val="28"/>
          <w:szCs w:val="26"/>
        </w:rPr>
        <w:t>)</w:t>
      </w:r>
      <w:r>
        <w:rPr>
          <w:rFonts w:eastAsia="標楷體"/>
          <w:spacing w:val="4"/>
          <w:kern w:val="0"/>
          <w:sz w:val="28"/>
          <w:szCs w:val="26"/>
        </w:rPr>
        <w:t>政府首長及災害防救業務人員災害防救講習，強化地方災害防救人員專業職能；推動社區防災教育、社區災害環境診斷、建置社區防救災資料庫及成立社區應變隊。</w:t>
      </w:r>
    </w:p>
    <w:p w14:paraId="4B03F9C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六</w:t>
      </w:r>
      <w:r>
        <w:rPr>
          <w:rFonts w:ascii="標楷體" w:eastAsia="標楷體" w:hAnsi="標楷體"/>
          <w:spacing w:val="4"/>
          <w:kern w:val="0"/>
          <w:sz w:val="28"/>
          <w:szCs w:val="22"/>
        </w:rPr>
        <w:t>)</w:t>
      </w:r>
      <w:r>
        <w:rPr>
          <w:rFonts w:eastAsia="標楷體"/>
          <w:spacing w:val="4"/>
          <w:kern w:val="0"/>
          <w:sz w:val="28"/>
          <w:szCs w:val="22"/>
        </w:rPr>
        <w:t>貫徹災前疏散撤離及預置兵力</w:t>
      </w:r>
    </w:p>
    <w:p w14:paraId="729176A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責成各級政府平時演練疏散撤離，並確實執行災前疏散撤離；督導</w:t>
      </w:r>
      <w:r>
        <w:rPr>
          <w:rFonts w:eastAsia="標楷體"/>
          <w:spacing w:val="4"/>
          <w:kern w:val="0"/>
          <w:sz w:val="28"/>
          <w:szCs w:val="26"/>
        </w:rPr>
        <w:t>22</w:t>
      </w:r>
      <w:r>
        <w:rPr>
          <w:rFonts w:eastAsia="標楷體"/>
          <w:spacing w:val="4"/>
          <w:kern w:val="0"/>
          <w:sz w:val="28"/>
          <w:szCs w:val="26"/>
        </w:rPr>
        <w:t>直轄市、縣</w:t>
      </w:r>
      <w:r>
        <w:rPr>
          <w:rFonts w:ascii="標楷體" w:eastAsia="標楷體" w:hAnsi="標楷體"/>
          <w:spacing w:val="4"/>
          <w:kern w:val="0"/>
          <w:sz w:val="28"/>
          <w:szCs w:val="26"/>
        </w:rPr>
        <w:t>(</w:t>
      </w:r>
      <w:r>
        <w:rPr>
          <w:rFonts w:eastAsia="標楷體"/>
          <w:spacing w:val="4"/>
          <w:kern w:val="0"/>
          <w:sz w:val="28"/>
          <w:szCs w:val="26"/>
        </w:rPr>
        <w:t>市</w:t>
      </w:r>
      <w:r>
        <w:rPr>
          <w:rFonts w:ascii="標楷體" w:eastAsia="標楷體" w:hAnsi="標楷體"/>
          <w:spacing w:val="4"/>
          <w:kern w:val="0"/>
          <w:sz w:val="28"/>
          <w:szCs w:val="26"/>
        </w:rPr>
        <w:t>)</w:t>
      </w:r>
      <w:r>
        <w:rPr>
          <w:rFonts w:eastAsia="標楷體"/>
          <w:spacing w:val="4"/>
          <w:kern w:val="0"/>
          <w:sz w:val="28"/>
          <w:szCs w:val="26"/>
        </w:rPr>
        <w:t>政府每年至少辦理</w:t>
      </w:r>
      <w:r>
        <w:rPr>
          <w:rFonts w:eastAsia="標楷體"/>
          <w:spacing w:val="4"/>
          <w:kern w:val="0"/>
          <w:sz w:val="28"/>
          <w:szCs w:val="26"/>
        </w:rPr>
        <w:t>1</w:t>
      </w:r>
      <w:r>
        <w:rPr>
          <w:rFonts w:eastAsia="標楷體"/>
          <w:spacing w:val="4"/>
          <w:kern w:val="0"/>
          <w:sz w:val="28"/>
          <w:szCs w:val="26"/>
        </w:rPr>
        <w:t>場大型綜合防災演練，每年擇重點鄉</w:t>
      </w:r>
      <w:r>
        <w:rPr>
          <w:rFonts w:ascii="標楷體" w:eastAsia="標楷體" w:hAnsi="標楷體"/>
          <w:spacing w:val="4"/>
          <w:kern w:val="0"/>
          <w:sz w:val="28"/>
          <w:szCs w:val="26"/>
        </w:rPr>
        <w:t>(</w:t>
      </w:r>
      <w:r>
        <w:rPr>
          <w:rFonts w:eastAsia="標楷體"/>
          <w:spacing w:val="4"/>
          <w:kern w:val="0"/>
          <w:sz w:val="28"/>
          <w:szCs w:val="26"/>
        </w:rPr>
        <w:t>鎮、市</w:t>
      </w:r>
      <w:r>
        <w:rPr>
          <w:rFonts w:ascii="標楷體" w:eastAsia="標楷體" w:hAnsi="標楷體"/>
          <w:spacing w:val="4"/>
          <w:kern w:val="0"/>
          <w:sz w:val="28"/>
          <w:szCs w:val="26"/>
        </w:rPr>
        <w:t>)</w:t>
      </w:r>
      <w:r>
        <w:rPr>
          <w:rFonts w:eastAsia="標楷體"/>
          <w:spacing w:val="4"/>
          <w:kern w:val="0"/>
          <w:sz w:val="28"/>
          <w:szCs w:val="26"/>
        </w:rPr>
        <w:t>至少辦理</w:t>
      </w:r>
      <w:r>
        <w:rPr>
          <w:rFonts w:eastAsia="標楷體"/>
          <w:spacing w:val="4"/>
          <w:kern w:val="0"/>
          <w:sz w:val="28"/>
          <w:szCs w:val="26"/>
        </w:rPr>
        <w:t>5</w:t>
      </w:r>
      <w:r>
        <w:rPr>
          <w:rFonts w:eastAsia="標楷體"/>
          <w:spacing w:val="4"/>
          <w:kern w:val="0"/>
          <w:sz w:val="28"/>
          <w:szCs w:val="26"/>
        </w:rPr>
        <w:t>場防災演練。</w:t>
      </w:r>
    </w:p>
    <w:p w14:paraId="51826D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以「防災重於救災，離災優於防災」為目標，採「超前部署、預置兵力、隨時防救」作為，作好災害防救整備工作。</w:t>
      </w:r>
    </w:p>
    <w:p w14:paraId="13A5A56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利用山地行軍訓練時機，完成土石流高危險區域蒐報及交通路線掌握，俾利於緊急災害時，迅速發揮救災之最大效能。</w:t>
      </w:r>
    </w:p>
    <w:p w14:paraId="54C693D7"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第六節　全面建設</w:t>
      </w:r>
    </w:p>
    <w:p w14:paraId="612286E1"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49D5589"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全面建設」是國家宏觀的整體規劃，未來四年政府將透過「基礎建設」、「海空樞紐」、「便捷生活」、「區域均衡」、「健全財政」與「金融發展」等六項施政主軸，厚植國家軟硬體建設；同時創造各區域公平均等的基本公共服務品質與發展機會，提升國家整體競爭力</w:t>
      </w:r>
      <w:r>
        <w:rPr>
          <w:rFonts w:ascii="新細明體" w:hAnsi="新細明體"/>
          <w:spacing w:val="4"/>
          <w:kern w:val="0"/>
          <w:sz w:val="28"/>
          <w:szCs w:val="26"/>
        </w:rPr>
        <w:t>。</w:t>
      </w:r>
      <w:r>
        <w:rPr>
          <w:rFonts w:eastAsia="標楷體"/>
          <w:spacing w:val="4"/>
          <w:kern w:val="0"/>
          <w:sz w:val="28"/>
          <w:szCs w:val="26"/>
        </w:rPr>
        <w:t>在基礎建設方面</w:t>
      </w:r>
      <w:r>
        <w:rPr>
          <w:rFonts w:ascii="新細明體" w:hAnsi="新細明體"/>
          <w:spacing w:val="4"/>
          <w:kern w:val="0"/>
          <w:sz w:val="28"/>
          <w:szCs w:val="26"/>
        </w:rPr>
        <w:t>，</w:t>
      </w:r>
      <w:r>
        <w:rPr>
          <w:rFonts w:eastAsia="標楷體"/>
          <w:spacing w:val="4"/>
          <w:kern w:val="0"/>
          <w:sz w:val="28"/>
          <w:szCs w:val="26"/>
        </w:rPr>
        <w:t>完善水</w:t>
      </w:r>
      <w:r>
        <w:rPr>
          <w:rFonts w:ascii="新細明體" w:hAnsi="新細明體"/>
          <w:spacing w:val="4"/>
          <w:kern w:val="0"/>
          <w:sz w:val="28"/>
          <w:szCs w:val="26"/>
        </w:rPr>
        <w:t>、</w:t>
      </w:r>
      <w:r>
        <w:rPr>
          <w:rFonts w:eastAsia="標楷體"/>
          <w:spacing w:val="4"/>
          <w:kern w:val="0"/>
          <w:sz w:val="28"/>
          <w:szCs w:val="26"/>
        </w:rPr>
        <w:t>電及各項產業所需之基礎建設</w:t>
      </w:r>
      <w:r>
        <w:rPr>
          <w:rFonts w:ascii="新細明體" w:hAnsi="新細明體"/>
          <w:spacing w:val="4"/>
          <w:kern w:val="0"/>
          <w:sz w:val="28"/>
          <w:szCs w:val="26"/>
        </w:rPr>
        <w:t>，</w:t>
      </w:r>
      <w:r>
        <w:rPr>
          <w:rFonts w:eastAsia="標楷體"/>
          <w:spacing w:val="4"/>
          <w:kern w:val="0"/>
          <w:sz w:val="28"/>
          <w:szCs w:val="26"/>
        </w:rPr>
        <w:t>以達到經濟合作暨發展組織</w:t>
      </w:r>
      <w:r>
        <w:rPr>
          <w:rFonts w:ascii="標楷體" w:eastAsia="標楷體" w:hAnsi="標楷體"/>
          <w:spacing w:val="4"/>
          <w:kern w:val="0"/>
          <w:sz w:val="28"/>
          <w:szCs w:val="26"/>
        </w:rPr>
        <w:t>(</w:t>
      </w:r>
      <w:r>
        <w:rPr>
          <w:rFonts w:eastAsia="標楷體"/>
          <w:spacing w:val="4"/>
          <w:kern w:val="0"/>
          <w:sz w:val="28"/>
          <w:szCs w:val="26"/>
        </w:rPr>
        <w:t>OECD</w:t>
      </w:r>
      <w:r>
        <w:rPr>
          <w:rFonts w:ascii="標楷體" w:eastAsia="標楷體" w:hAnsi="標楷體"/>
          <w:spacing w:val="4"/>
          <w:kern w:val="0"/>
          <w:sz w:val="28"/>
          <w:szCs w:val="26"/>
        </w:rPr>
        <w:t>)</w:t>
      </w:r>
      <w:r>
        <w:rPr>
          <w:rFonts w:eastAsia="標楷體"/>
          <w:spacing w:val="4"/>
          <w:kern w:val="0"/>
          <w:sz w:val="28"/>
          <w:szCs w:val="26"/>
        </w:rPr>
        <w:t>已開發國家水準為目標</w:t>
      </w:r>
      <w:r>
        <w:rPr>
          <w:rFonts w:ascii="新細明體" w:hAnsi="新細明體"/>
          <w:spacing w:val="4"/>
          <w:kern w:val="0"/>
          <w:sz w:val="28"/>
          <w:szCs w:val="26"/>
        </w:rPr>
        <w:t>；</w:t>
      </w:r>
      <w:r>
        <w:rPr>
          <w:rFonts w:eastAsia="標楷體"/>
          <w:spacing w:val="4"/>
          <w:kern w:val="0"/>
          <w:sz w:val="28"/>
          <w:szCs w:val="26"/>
        </w:rPr>
        <w:t>海空樞紐方面，將打造臺灣成為東亞海空樞紐</w:t>
      </w:r>
      <w:r>
        <w:rPr>
          <w:rFonts w:ascii="新細明體" w:hAnsi="新細明體"/>
          <w:spacing w:val="4"/>
          <w:kern w:val="0"/>
          <w:sz w:val="28"/>
          <w:szCs w:val="26"/>
        </w:rPr>
        <w:t>，</w:t>
      </w:r>
      <w:r>
        <w:rPr>
          <w:rFonts w:eastAsia="標楷體"/>
          <w:spacing w:val="4"/>
          <w:kern w:val="0"/>
          <w:sz w:val="28"/>
          <w:szCs w:val="26"/>
        </w:rPr>
        <w:t>並帶動產業轉型</w:t>
      </w:r>
      <w:r>
        <w:rPr>
          <w:rFonts w:ascii="新細明體" w:hAnsi="新細明體"/>
          <w:spacing w:val="4"/>
          <w:kern w:val="0"/>
          <w:sz w:val="28"/>
          <w:szCs w:val="26"/>
        </w:rPr>
        <w:t>；</w:t>
      </w:r>
      <w:r>
        <w:rPr>
          <w:rFonts w:eastAsia="標楷體"/>
          <w:spacing w:val="4"/>
          <w:kern w:val="0"/>
          <w:sz w:val="28"/>
          <w:szCs w:val="26"/>
        </w:rPr>
        <w:t>便捷生活方面，建構便捷交通環境</w:t>
      </w:r>
      <w:r>
        <w:rPr>
          <w:rFonts w:ascii="新細明體" w:hAnsi="新細明體"/>
          <w:spacing w:val="4"/>
          <w:kern w:val="0"/>
          <w:sz w:val="28"/>
          <w:szCs w:val="26"/>
        </w:rPr>
        <w:t>、</w:t>
      </w:r>
      <w:r>
        <w:rPr>
          <w:rFonts w:eastAsia="標楷體"/>
          <w:spacing w:val="4"/>
          <w:kern w:val="0"/>
          <w:sz w:val="28"/>
          <w:szCs w:val="26"/>
        </w:rPr>
        <w:t>營造全面數位匯流環境</w:t>
      </w:r>
      <w:r>
        <w:rPr>
          <w:rFonts w:ascii="新細明體" w:hAnsi="新細明體"/>
          <w:spacing w:val="4"/>
          <w:kern w:val="0"/>
          <w:sz w:val="28"/>
          <w:szCs w:val="26"/>
        </w:rPr>
        <w:t>；</w:t>
      </w:r>
      <w:r>
        <w:rPr>
          <w:rFonts w:eastAsia="標楷體"/>
          <w:spacing w:val="4"/>
          <w:kern w:val="0"/>
          <w:sz w:val="28"/>
          <w:szCs w:val="26"/>
        </w:rPr>
        <w:t>區域均衡方面</w:t>
      </w:r>
      <w:r>
        <w:rPr>
          <w:rFonts w:ascii="新細明體" w:hAnsi="新細明體"/>
          <w:spacing w:val="4"/>
          <w:kern w:val="0"/>
          <w:sz w:val="28"/>
          <w:szCs w:val="26"/>
        </w:rPr>
        <w:t>，</w:t>
      </w:r>
      <w:r>
        <w:rPr>
          <w:rFonts w:eastAsia="標楷體"/>
          <w:spacing w:val="4"/>
          <w:kern w:val="0"/>
          <w:sz w:val="28"/>
          <w:szCs w:val="26"/>
        </w:rPr>
        <w:t>達成北中南東離島各區域間就業人數及人均所得差距縮小</w:t>
      </w:r>
      <w:r>
        <w:rPr>
          <w:rFonts w:ascii="新細明體" w:hAnsi="新細明體"/>
          <w:spacing w:val="4"/>
          <w:kern w:val="0"/>
          <w:sz w:val="28"/>
          <w:szCs w:val="26"/>
        </w:rPr>
        <w:t>；</w:t>
      </w:r>
      <w:r>
        <w:rPr>
          <w:rFonts w:eastAsia="標楷體"/>
          <w:spacing w:val="4"/>
          <w:kern w:val="0"/>
          <w:sz w:val="28"/>
          <w:szCs w:val="26"/>
        </w:rPr>
        <w:t>健全財政方面，積極開源節流</w:t>
      </w:r>
      <w:r>
        <w:rPr>
          <w:rFonts w:ascii="新細明體" w:hAnsi="新細明體"/>
          <w:spacing w:val="4"/>
          <w:kern w:val="0"/>
          <w:sz w:val="28"/>
          <w:szCs w:val="26"/>
        </w:rPr>
        <w:t>，</w:t>
      </w:r>
      <w:r>
        <w:rPr>
          <w:rFonts w:eastAsia="標楷體"/>
          <w:spacing w:val="4"/>
          <w:kern w:val="0"/>
          <w:sz w:val="28"/>
          <w:szCs w:val="26"/>
        </w:rPr>
        <w:t>有效縮短財政收支缺口</w:t>
      </w:r>
      <w:r>
        <w:rPr>
          <w:rFonts w:ascii="新細明體" w:hAnsi="新細明體"/>
          <w:spacing w:val="4"/>
          <w:kern w:val="0"/>
          <w:sz w:val="28"/>
          <w:szCs w:val="26"/>
        </w:rPr>
        <w:t>；</w:t>
      </w:r>
      <w:r>
        <w:rPr>
          <w:rFonts w:eastAsia="標楷體"/>
          <w:spacing w:val="4"/>
          <w:kern w:val="0"/>
          <w:sz w:val="28"/>
          <w:szCs w:val="26"/>
        </w:rPr>
        <w:t>金融發展方面</w:t>
      </w:r>
      <w:r>
        <w:rPr>
          <w:rFonts w:ascii="新細明體" w:hAnsi="新細明體"/>
          <w:spacing w:val="4"/>
          <w:kern w:val="0"/>
          <w:sz w:val="28"/>
          <w:szCs w:val="26"/>
        </w:rPr>
        <w:t>，</w:t>
      </w:r>
      <w:r>
        <w:rPr>
          <w:rFonts w:eastAsia="標楷體"/>
          <w:spacing w:val="4"/>
          <w:kern w:val="0"/>
          <w:sz w:val="28"/>
          <w:szCs w:val="26"/>
        </w:rPr>
        <w:t>推動金</w:t>
      </w:r>
      <w:r>
        <w:rPr>
          <w:rFonts w:eastAsia="標楷體"/>
          <w:spacing w:val="4"/>
          <w:kern w:val="0"/>
          <w:sz w:val="28"/>
          <w:szCs w:val="26"/>
        </w:rPr>
        <w:lastRenderedPageBreak/>
        <w:t>融升級發展</w:t>
      </w:r>
      <w:r>
        <w:rPr>
          <w:rFonts w:ascii="新細明體" w:hAnsi="新細明體"/>
          <w:spacing w:val="4"/>
          <w:kern w:val="0"/>
          <w:sz w:val="28"/>
          <w:szCs w:val="26"/>
        </w:rPr>
        <w:t>，</w:t>
      </w:r>
      <w:r>
        <w:rPr>
          <w:rFonts w:eastAsia="標楷體"/>
          <w:spacing w:val="4"/>
          <w:kern w:val="0"/>
          <w:sz w:val="28"/>
          <w:szCs w:val="26"/>
        </w:rPr>
        <w:t>滿足多元金融需求</w:t>
      </w:r>
      <w:r>
        <w:rPr>
          <w:rFonts w:ascii="新細明體" w:hAnsi="新細明體"/>
          <w:spacing w:val="4"/>
          <w:kern w:val="0"/>
          <w:sz w:val="28"/>
          <w:szCs w:val="26"/>
        </w:rPr>
        <w:t>。</w:t>
      </w:r>
      <w:r>
        <w:rPr>
          <w:rFonts w:eastAsia="標楷體"/>
          <w:spacing w:val="4"/>
          <w:kern w:val="0"/>
          <w:sz w:val="28"/>
          <w:szCs w:val="26"/>
        </w:rPr>
        <w:t>透過全方位建設</w:t>
      </w:r>
      <w:r>
        <w:rPr>
          <w:rFonts w:ascii="新細明體" w:hAnsi="新細明體"/>
          <w:spacing w:val="4"/>
          <w:kern w:val="0"/>
          <w:sz w:val="28"/>
          <w:szCs w:val="26"/>
        </w:rPr>
        <w:t>，</w:t>
      </w:r>
      <w:r>
        <w:rPr>
          <w:rFonts w:eastAsia="標楷體"/>
          <w:spacing w:val="4"/>
          <w:kern w:val="0"/>
          <w:sz w:val="28"/>
          <w:szCs w:val="26"/>
        </w:rPr>
        <w:t>創造公平均等的基本公共服務及發展機會</w:t>
      </w:r>
      <w:r>
        <w:rPr>
          <w:rFonts w:ascii="新細明體" w:hAnsi="新細明體"/>
          <w:spacing w:val="4"/>
          <w:kern w:val="0"/>
          <w:sz w:val="28"/>
          <w:szCs w:val="26"/>
        </w:rPr>
        <w:t>，</w:t>
      </w:r>
      <w:r>
        <w:rPr>
          <w:rFonts w:eastAsia="標楷體"/>
          <w:spacing w:val="4"/>
          <w:kern w:val="0"/>
          <w:sz w:val="28"/>
          <w:szCs w:val="26"/>
        </w:rPr>
        <w:t>提升國家競爭力。</w:t>
      </w:r>
    </w:p>
    <w:p w14:paraId="22E71C8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73EEE0B"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壹、基礎建設</w:t>
      </w:r>
    </w:p>
    <w:p w14:paraId="643EE4E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eastAsia="標楷體"/>
          <w:spacing w:val="4"/>
          <w:kern w:val="0"/>
          <w:sz w:val="28"/>
          <w:szCs w:val="28"/>
        </w:rPr>
      </w:pPr>
    </w:p>
    <w:p w14:paraId="5BE041A4"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近年來</w:t>
      </w:r>
      <w:r>
        <w:rPr>
          <w:rFonts w:eastAsia="標楷體"/>
          <w:spacing w:val="4"/>
          <w:kern w:val="0"/>
          <w:sz w:val="28"/>
          <w:szCs w:val="28"/>
        </w:rPr>
        <w:t>，</w:t>
      </w:r>
      <w:r>
        <w:rPr>
          <w:rFonts w:eastAsia="標楷體"/>
          <w:spacing w:val="4"/>
          <w:kern w:val="0"/>
          <w:sz w:val="28"/>
          <w:szCs w:val="26"/>
        </w:rPr>
        <w:t>政府積極加強基礎建設</w:t>
      </w:r>
      <w:r>
        <w:rPr>
          <w:rFonts w:ascii="新細明體" w:hAnsi="新細明體"/>
          <w:spacing w:val="4"/>
          <w:kern w:val="0"/>
          <w:sz w:val="28"/>
          <w:szCs w:val="26"/>
        </w:rPr>
        <w:t>，</w:t>
      </w:r>
      <w:r>
        <w:rPr>
          <w:rFonts w:eastAsia="標楷體"/>
          <w:spacing w:val="4"/>
          <w:kern w:val="0"/>
          <w:sz w:val="28"/>
          <w:szCs w:val="26"/>
        </w:rPr>
        <w:t>惟仍面臨如</w:t>
      </w:r>
      <w:r>
        <w:rPr>
          <w:rFonts w:ascii="新細明體" w:hAnsi="新細明體"/>
          <w:spacing w:val="4"/>
          <w:kern w:val="0"/>
          <w:sz w:val="28"/>
          <w:szCs w:val="26"/>
        </w:rPr>
        <w:t>：</w:t>
      </w:r>
      <w:r>
        <w:rPr>
          <w:rFonts w:eastAsia="標楷體"/>
          <w:spacing w:val="4"/>
          <w:kern w:val="0"/>
          <w:sz w:val="28"/>
          <w:szCs w:val="28"/>
        </w:rPr>
        <w:t>繁榮</w:t>
      </w:r>
      <w:r>
        <w:rPr>
          <w:rFonts w:eastAsia="標楷體"/>
          <w:spacing w:val="4"/>
          <w:kern w:val="0"/>
          <w:sz w:val="28"/>
          <w:szCs w:val="26"/>
        </w:rPr>
        <w:t>經濟所需優質電力仍須持續強化</w:t>
      </w:r>
      <w:r>
        <w:rPr>
          <w:rFonts w:ascii="新細明體" w:hAnsi="新細明體"/>
          <w:spacing w:val="4"/>
          <w:kern w:val="0"/>
          <w:sz w:val="28"/>
          <w:szCs w:val="26"/>
        </w:rPr>
        <w:t>、</w:t>
      </w:r>
      <w:r>
        <w:rPr>
          <w:rFonts w:eastAsia="標楷體"/>
          <w:spacing w:val="4"/>
          <w:kern w:val="0"/>
          <w:sz w:val="28"/>
          <w:szCs w:val="26"/>
        </w:rPr>
        <w:t>自來水管線逾使用年限有待汰換</w:t>
      </w:r>
      <w:r>
        <w:rPr>
          <w:rFonts w:ascii="新細明體" w:hAnsi="新細明體"/>
          <w:spacing w:val="4"/>
          <w:kern w:val="0"/>
          <w:sz w:val="28"/>
          <w:szCs w:val="26"/>
        </w:rPr>
        <w:t>、</w:t>
      </w:r>
      <w:r>
        <w:rPr>
          <w:rFonts w:eastAsia="標楷體"/>
          <w:spacing w:val="4"/>
          <w:kern w:val="0"/>
          <w:sz w:val="28"/>
          <w:szCs w:val="26"/>
        </w:rPr>
        <w:t>老舊工業區亟待升級</w:t>
      </w:r>
      <w:r>
        <w:rPr>
          <w:rFonts w:ascii="新細明體" w:hAnsi="新細明體"/>
          <w:spacing w:val="4"/>
          <w:kern w:val="0"/>
          <w:sz w:val="28"/>
          <w:szCs w:val="26"/>
        </w:rPr>
        <w:t>，</w:t>
      </w:r>
      <w:r>
        <w:rPr>
          <w:rFonts w:eastAsia="標楷體"/>
          <w:spacing w:val="4"/>
          <w:kern w:val="0"/>
          <w:sz w:val="28"/>
          <w:szCs w:val="26"/>
        </w:rPr>
        <w:t>以及老舊校舍耐震能力亟須補強等課題。未來四年</w:t>
      </w:r>
      <w:r>
        <w:rPr>
          <w:rFonts w:ascii="新細明體" w:hAnsi="新細明體"/>
          <w:spacing w:val="4"/>
          <w:kern w:val="0"/>
          <w:sz w:val="28"/>
          <w:szCs w:val="26"/>
        </w:rPr>
        <w:t>，</w:t>
      </w:r>
      <w:r>
        <w:rPr>
          <w:rFonts w:eastAsia="標楷體"/>
          <w:spacing w:val="4"/>
          <w:kern w:val="0"/>
          <w:sz w:val="28"/>
          <w:szCs w:val="26"/>
        </w:rPr>
        <w:t>政府將賡續推動基礎建設現代化，包括：確保水電穩定供應</w:t>
      </w:r>
      <w:r>
        <w:rPr>
          <w:rFonts w:ascii="新細明體" w:hAnsi="新細明體"/>
          <w:spacing w:val="4"/>
          <w:kern w:val="0"/>
          <w:sz w:val="28"/>
          <w:szCs w:val="26"/>
        </w:rPr>
        <w:t>、</w:t>
      </w:r>
      <w:r>
        <w:rPr>
          <w:rFonts w:eastAsia="標楷體"/>
          <w:spacing w:val="4"/>
          <w:kern w:val="0"/>
          <w:sz w:val="28"/>
          <w:szCs w:val="26"/>
        </w:rPr>
        <w:t>強化產業與地區發展所需基礎建設</w:t>
      </w:r>
      <w:r>
        <w:rPr>
          <w:rFonts w:ascii="新細明體" w:hAnsi="新細明體"/>
          <w:spacing w:val="4"/>
          <w:kern w:val="0"/>
          <w:sz w:val="28"/>
          <w:szCs w:val="26"/>
        </w:rPr>
        <w:t>、</w:t>
      </w:r>
      <w:r>
        <w:rPr>
          <w:rFonts w:eastAsia="標楷體"/>
          <w:spacing w:val="4"/>
          <w:kern w:val="0"/>
          <w:sz w:val="28"/>
          <w:szCs w:val="26"/>
        </w:rPr>
        <w:t>建設高值創新產業園區</w:t>
      </w:r>
      <w:r>
        <w:rPr>
          <w:rFonts w:ascii="新細明體" w:hAnsi="新細明體"/>
          <w:spacing w:val="4"/>
          <w:kern w:val="0"/>
          <w:sz w:val="28"/>
          <w:szCs w:val="26"/>
        </w:rPr>
        <w:t>、</w:t>
      </w:r>
      <w:r>
        <w:rPr>
          <w:rFonts w:eastAsia="標楷體"/>
          <w:spacing w:val="4"/>
          <w:kern w:val="0"/>
          <w:sz w:val="28"/>
          <w:szCs w:val="26"/>
        </w:rPr>
        <w:t>辦理老舊校舍整建及完備國家商品驗證體系等</w:t>
      </w:r>
      <w:r>
        <w:rPr>
          <w:rFonts w:ascii="新細明體" w:hAnsi="新細明體"/>
          <w:spacing w:val="4"/>
          <w:kern w:val="0"/>
          <w:sz w:val="28"/>
          <w:szCs w:val="26"/>
        </w:rPr>
        <w:t>。</w:t>
      </w:r>
      <w:r>
        <w:rPr>
          <w:rFonts w:eastAsia="標楷體"/>
          <w:spacing w:val="4"/>
          <w:kern w:val="0"/>
          <w:sz w:val="28"/>
          <w:szCs w:val="26"/>
        </w:rPr>
        <w:t>透過各項基礎建設的落實，強化產業與地區發展，以提升國家整體競爭力</w:t>
      </w:r>
      <w:r>
        <w:rPr>
          <w:rFonts w:ascii="新細明體" w:hAnsi="新細明體"/>
          <w:spacing w:val="4"/>
          <w:kern w:val="0"/>
          <w:sz w:val="28"/>
          <w:szCs w:val="26"/>
        </w:rPr>
        <w:t>。</w:t>
      </w:r>
    </w:p>
    <w:p w14:paraId="4543149B"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397A6AF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年預期完成變電工程</w:t>
      </w:r>
      <w:r>
        <w:rPr>
          <w:rFonts w:eastAsia="標楷體"/>
          <w:spacing w:val="4"/>
          <w:kern w:val="0"/>
          <w:sz w:val="28"/>
          <w:szCs w:val="22"/>
        </w:rPr>
        <w:t>6,613</w:t>
      </w:r>
      <w:r>
        <w:rPr>
          <w:rFonts w:eastAsia="標楷體"/>
          <w:spacing w:val="4"/>
          <w:kern w:val="0"/>
          <w:sz w:val="28"/>
          <w:szCs w:val="22"/>
        </w:rPr>
        <w:t>千仟伏安、線路工程</w:t>
      </w:r>
      <w:r>
        <w:rPr>
          <w:rFonts w:eastAsia="標楷體"/>
          <w:spacing w:val="4"/>
          <w:kern w:val="0"/>
          <w:sz w:val="28"/>
          <w:szCs w:val="22"/>
        </w:rPr>
        <w:t>1,037</w:t>
      </w:r>
      <w:r>
        <w:rPr>
          <w:rFonts w:eastAsia="標楷體"/>
          <w:spacing w:val="4"/>
          <w:kern w:val="0"/>
          <w:sz w:val="28"/>
          <w:szCs w:val="22"/>
        </w:rPr>
        <w:t>回線公里，設置低壓民生用戶智慧型電表</w:t>
      </w:r>
      <w:r>
        <w:rPr>
          <w:rFonts w:ascii="標楷體" w:eastAsia="標楷體" w:hAnsi="標楷體"/>
          <w:spacing w:val="4"/>
          <w:kern w:val="0"/>
          <w:sz w:val="28"/>
          <w:szCs w:val="22"/>
        </w:rPr>
        <w:t>(</w:t>
      </w:r>
      <w:r>
        <w:rPr>
          <w:rFonts w:eastAsia="標楷體"/>
          <w:spacing w:val="4"/>
          <w:kern w:val="0"/>
          <w:sz w:val="28"/>
          <w:szCs w:val="22"/>
        </w:rPr>
        <w:t>AMI</w:t>
      </w:r>
      <w:r>
        <w:rPr>
          <w:rFonts w:ascii="標楷體" w:eastAsia="標楷體" w:hAnsi="標楷體"/>
          <w:spacing w:val="4"/>
          <w:kern w:val="0"/>
          <w:sz w:val="28"/>
          <w:szCs w:val="22"/>
        </w:rPr>
        <w:t>)</w:t>
      </w:r>
      <w:r>
        <w:rPr>
          <w:rFonts w:eastAsia="標楷體"/>
          <w:spacing w:val="4"/>
          <w:kern w:val="0"/>
          <w:sz w:val="28"/>
          <w:szCs w:val="22"/>
        </w:rPr>
        <w:t xml:space="preserve"> 10</w:t>
      </w:r>
      <w:r>
        <w:rPr>
          <w:rFonts w:eastAsia="標楷體"/>
          <w:spacing w:val="4"/>
          <w:kern w:val="0"/>
          <w:sz w:val="28"/>
          <w:szCs w:val="22"/>
        </w:rPr>
        <w:t>萬戶。</w:t>
      </w:r>
    </w:p>
    <w:p w14:paraId="2865FB0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預期汰換舊漏管線</w:t>
      </w:r>
      <w:r>
        <w:rPr>
          <w:rFonts w:eastAsia="標楷體"/>
          <w:spacing w:val="4"/>
          <w:kern w:val="0"/>
          <w:sz w:val="28"/>
          <w:szCs w:val="22"/>
        </w:rPr>
        <w:t>2,400</w:t>
      </w:r>
      <w:r>
        <w:rPr>
          <w:rFonts w:eastAsia="標楷體"/>
          <w:spacing w:val="4"/>
          <w:kern w:val="0"/>
          <w:sz w:val="28"/>
          <w:szCs w:val="22"/>
        </w:rPr>
        <w:t>公里；改善無自來水地區供水，增加供水</w:t>
      </w:r>
      <w:r>
        <w:rPr>
          <w:rFonts w:eastAsia="標楷體"/>
          <w:spacing w:val="4"/>
          <w:kern w:val="0"/>
          <w:sz w:val="28"/>
          <w:szCs w:val="22"/>
        </w:rPr>
        <w:t>1.5</w:t>
      </w:r>
      <w:r>
        <w:rPr>
          <w:rFonts w:eastAsia="標楷體"/>
          <w:spacing w:val="4"/>
          <w:kern w:val="0"/>
          <w:sz w:val="28"/>
          <w:szCs w:val="22"/>
        </w:rPr>
        <w:t>萬戶；降低漏水率，由</w:t>
      </w:r>
      <w:r>
        <w:rPr>
          <w:rFonts w:eastAsia="標楷體"/>
          <w:spacing w:val="4"/>
          <w:kern w:val="0"/>
          <w:sz w:val="28"/>
          <w:szCs w:val="22"/>
        </w:rPr>
        <w:t>101</w:t>
      </w:r>
      <w:r>
        <w:rPr>
          <w:rFonts w:eastAsia="標楷體"/>
          <w:spacing w:val="4"/>
          <w:kern w:val="0"/>
          <w:sz w:val="28"/>
          <w:szCs w:val="22"/>
        </w:rPr>
        <w:t>年之</w:t>
      </w:r>
      <w:r>
        <w:rPr>
          <w:rFonts w:eastAsia="標楷體"/>
          <w:spacing w:val="4"/>
          <w:kern w:val="0"/>
          <w:sz w:val="28"/>
          <w:szCs w:val="22"/>
        </w:rPr>
        <w:t>20%</w:t>
      </w:r>
      <w:r>
        <w:rPr>
          <w:rFonts w:eastAsia="標楷體"/>
          <w:spacing w:val="4"/>
          <w:kern w:val="0"/>
          <w:sz w:val="28"/>
          <w:szCs w:val="22"/>
        </w:rPr>
        <w:t>降至</w:t>
      </w:r>
      <w:r>
        <w:rPr>
          <w:rFonts w:eastAsia="標楷體"/>
          <w:spacing w:val="4"/>
          <w:kern w:val="0"/>
          <w:sz w:val="28"/>
          <w:szCs w:val="22"/>
        </w:rPr>
        <w:t>105</w:t>
      </w:r>
      <w:r>
        <w:rPr>
          <w:rFonts w:eastAsia="標楷體"/>
          <w:spacing w:val="4"/>
          <w:kern w:val="0"/>
          <w:sz w:val="28"/>
          <w:szCs w:val="22"/>
        </w:rPr>
        <w:t>年之</w:t>
      </w:r>
      <w:r>
        <w:rPr>
          <w:rFonts w:eastAsia="標楷體"/>
          <w:spacing w:val="4"/>
          <w:kern w:val="0"/>
          <w:sz w:val="28"/>
          <w:szCs w:val="22"/>
        </w:rPr>
        <w:t>17%</w:t>
      </w:r>
      <w:r>
        <w:rPr>
          <w:rFonts w:eastAsia="標楷體"/>
          <w:spacing w:val="4"/>
          <w:kern w:val="0"/>
          <w:sz w:val="28"/>
          <w:szCs w:val="22"/>
        </w:rPr>
        <w:t>；提高全國簡易自來水廠水質合格率，由</w:t>
      </w:r>
      <w:r>
        <w:rPr>
          <w:rFonts w:eastAsia="標楷體"/>
          <w:spacing w:val="4"/>
          <w:kern w:val="0"/>
          <w:sz w:val="28"/>
          <w:szCs w:val="22"/>
        </w:rPr>
        <w:t>101</w:t>
      </w:r>
      <w:r>
        <w:rPr>
          <w:rFonts w:eastAsia="標楷體"/>
          <w:spacing w:val="4"/>
          <w:kern w:val="0"/>
          <w:sz w:val="28"/>
          <w:szCs w:val="22"/>
        </w:rPr>
        <w:t>年之</w:t>
      </w:r>
      <w:r>
        <w:rPr>
          <w:rFonts w:eastAsia="標楷體"/>
          <w:spacing w:val="4"/>
          <w:kern w:val="0"/>
          <w:sz w:val="28"/>
          <w:szCs w:val="22"/>
        </w:rPr>
        <w:t>37.3%</w:t>
      </w:r>
      <w:r>
        <w:rPr>
          <w:rFonts w:eastAsia="標楷體"/>
          <w:spacing w:val="4"/>
          <w:kern w:val="0"/>
          <w:sz w:val="28"/>
          <w:szCs w:val="22"/>
        </w:rPr>
        <w:t>提升至</w:t>
      </w:r>
      <w:r>
        <w:rPr>
          <w:rFonts w:eastAsia="標楷體"/>
          <w:spacing w:val="4"/>
          <w:kern w:val="0"/>
          <w:sz w:val="28"/>
          <w:szCs w:val="22"/>
        </w:rPr>
        <w:t>105</w:t>
      </w:r>
      <w:r>
        <w:rPr>
          <w:rFonts w:eastAsia="標楷體"/>
          <w:spacing w:val="4"/>
          <w:kern w:val="0"/>
          <w:sz w:val="28"/>
          <w:szCs w:val="22"/>
        </w:rPr>
        <w:t>年之</w:t>
      </w:r>
      <w:r>
        <w:rPr>
          <w:rFonts w:eastAsia="標楷體"/>
          <w:spacing w:val="4"/>
          <w:kern w:val="0"/>
          <w:sz w:val="28"/>
          <w:szCs w:val="22"/>
        </w:rPr>
        <w:t>50%</w:t>
      </w:r>
      <w:r>
        <w:rPr>
          <w:rFonts w:eastAsia="標楷體"/>
          <w:spacing w:val="4"/>
          <w:kern w:val="0"/>
          <w:sz w:val="28"/>
          <w:szCs w:val="22"/>
        </w:rPr>
        <w:t>。</w:t>
      </w:r>
    </w:p>
    <w:p w14:paraId="6B5BA34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加速公共污水下水道建設，累計至</w:t>
      </w:r>
      <w:r>
        <w:rPr>
          <w:rFonts w:eastAsia="標楷體"/>
          <w:spacing w:val="4"/>
          <w:kern w:val="0"/>
          <w:sz w:val="28"/>
          <w:szCs w:val="22"/>
        </w:rPr>
        <w:t>105</w:t>
      </w:r>
      <w:r>
        <w:rPr>
          <w:rFonts w:eastAsia="標楷體"/>
          <w:spacing w:val="4"/>
          <w:kern w:val="0"/>
          <w:sz w:val="28"/>
          <w:szCs w:val="22"/>
        </w:rPr>
        <w:t>年底</w:t>
      </w:r>
      <w:r>
        <w:rPr>
          <w:rFonts w:ascii="新細明體" w:hAnsi="新細明體"/>
          <w:spacing w:val="4"/>
          <w:kern w:val="0"/>
          <w:sz w:val="28"/>
          <w:szCs w:val="22"/>
        </w:rPr>
        <w:t>，</w:t>
      </w:r>
      <w:r>
        <w:rPr>
          <w:rFonts w:eastAsia="標楷體"/>
          <w:spacing w:val="4"/>
          <w:kern w:val="0"/>
          <w:sz w:val="28"/>
          <w:szCs w:val="22"/>
        </w:rPr>
        <w:t>用戶接管普及率</w:t>
      </w:r>
      <w:r>
        <w:rPr>
          <w:rFonts w:eastAsia="標楷體"/>
          <w:spacing w:val="4"/>
          <w:kern w:val="0"/>
          <w:sz w:val="28"/>
          <w:szCs w:val="22"/>
        </w:rPr>
        <w:t>39.8%</w:t>
      </w:r>
      <w:r>
        <w:rPr>
          <w:rFonts w:ascii="新細明體" w:hAnsi="新細明體"/>
          <w:spacing w:val="4"/>
          <w:kern w:val="0"/>
          <w:sz w:val="28"/>
          <w:szCs w:val="22"/>
        </w:rPr>
        <w:t>、</w:t>
      </w:r>
      <w:r>
        <w:rPr>
          <w:rFonts w:eastAsia="標楷體"/>
          <w:spacing w:val="4"/>
          <w:kern w:val="0"/>
          <w:sz w:val="28"/>
          <w:szCs w:val="22"/>
        </w:rPr>
        <w:t>整體污水處理率</w:t>
      </w:r>
      <w:r>
        <w:rPr>
          <w:rFonts w:eastAsia="標楷體"/>
          <w:spacing w:val="4"/>
          <w:kern w:val="0"/>
          <w:sz w:val="28"/>
          <w:szCs w:val="22"/>
        </w:rPr>
        <w:t>69%</w:t>
      </w:r>
      <w:r>
        <w:rPr>
          <w:rFonts w:ascii="新細明體" w:hAnsi="新細明體"/>
          <w:spacing w:val="4"/>
          <w:kern w:val="0"/>
          <w:sz w:val="28"/>
          <w:szCs w:val="22"/>
        </w:rPr>
        <w:t>。</w:t>
      </w:r>
    </w:p>
    <w:p w14:paraId="359347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年預期推動工業區轉型為低碳智慧化園區</w:t>
      </w:r>
      <w:r>
        <w:rPr>
          <w:rFonts w:eastAsia="標楷體"/>
          <w:spacing w:val="4"/>
          <w:kern w:val="0"/>
          <w:sz w:val="28"/>
          <w:szCs w:val="22"/>
        </w:rPr>
        <w:t>12</w:t>
      </w:r>
      <w:r>
        <w:rPr>
          <w:rFonts w:eastAsia="標楷體"/>
          <w:spacing w:val="4"/>
          <w:kern w:val="0"/>
          <w:sz w:val="28"/>
          <w:szCs w:val="22"/>
        </w:rPr>
        <w:t>處</w:t>
      </w:r>
      <w:r>
        <w:rPr>
          <w:rFonts w:ascii="新細明體" w:hAnsi="新細明體"/>
          <w:spacing w:val="4"/>
          <w:kern w:val="0"/>
          <w:sz w:val="28"/>
          <w:szCs w:val="22"/>
        </w:rPr>
        <w:t>、</w:t>
      </w:r>
      <w:r>
        <w:rPr>
          <w:rFonts w:eastAsia="標楷體"/>
          <w:spacing w:val="4"/>
          <w:kern w:val="0"/>
          <w:sz w:val="28"/>
          <w:szCs w:val="22"/>
        </w:rPr>
        <w:t>促成產業園區產業聚落聯盟至少</w:t>
      </w:r>
      <w:r>
        <w:rPr>
          <w:rFonts w:eastAsia="標楷體"/>
          <w:spacing w:val="4"/>
          <w:kern w:val="0"/>
          <w:sz w:val="28"/>
          <w:szCs w:val="22"/>
        </w:rPr>
        <w:t>16</w:t>
      </w:r>
      <w:r>
        <w:rPr>
          <w:rFonts w:eastAsia="標楷體"/>
          <w:spacing w:val="4"/>
          <w:kern w:val="0"/>
          <w:sz w:val="28"/>
          <w:szCs w:val="22"/>
        </w:rPr>
        <w:t>個</w:t>
      </w:r>
      <w:r>
        <w:rPr>
          <w:rFonts w:ascii="新細明體" w:hAnsi="新細明體"/>
          <w:spacing w:val="4"/>
          <w:kern w:val="0"/>
          <w:sz w:val="28"/>
          <w:szCs w:val="22"/>
        </w:rPr>
        <w:t>、</w:t>
      </w:r>
      <w:r>
        <w:rPr>
          <w:rFonts w:eastAsia="標楷體"/>
          <w:spacing w:val="4"/>
          <w:kern w:val="0"/>
          <w:sz w:val="28"/>
          <w:szCs w:val="22"/>
        </w:rPr>
        <w:t>推動學研機構與產業園區合作至少</w:t>
      </w:r>
      <w:r>
        <w:rPr>
          <w:rFonts w:eastAsia="標楷體"/>
          <w:spacing w:val="4"/>
          <w:kern w:val="0"/>
          <w:sz w:val="28"/>
          <w:szCs w:val="22"/>
        </w:rPr>
        <w:t>50</w:t>
      </w:r>
      <w:r>
        <w:rPr>
          <w:rFonts w:eastAsia="標楷體"/>
          <w:spacing w:val="4"/>
          <w:kern w:val="0"/>
          <w:sz w:val="28"/>
          <w:szCs w:val="22"/>
        </w:rPr>
        <w:t>案。</w:t>
      </w:r>
    </w:p>
    <w:p w14:paraId="6E20B96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補強</w:t>
      </w:r>
      <w:r>
        <w:rPr>
          <w:rFonts w:ascii="新細明體" w:hAnsi="新細明體"/>
          <w:spacing w:val="4"/>
          <w:kern w:val="0"/>
          <w:sz w:val="28"/>
          <w:szCs w:val="22"/>
        </w:rPr>
        <w:t>、</w:t>
      </w:r>
      <w:r>
        <w:rPr>
          <w:rFonts w:eastAsia="標楷體"/>
          <w:spacing w:val="4"/>
          <w:kern w:val="0"/>
          <w:sz w:val="28"/>
          <w:szCs w:val="22"/>
        </w:rPr>
        <w:t>整建國中小及高中職老舊校舍</w:t>
      </w:r>
      <w:r>
        <w:rPr>
          <w:rFonts w:ascii="新細明體" w:hAnsi="新細明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年預期補強</w:t>
      </w:r>
      <w:r>
        <w:rPr>
          <w:rFonts w:eastAsia="標楷體"/>
          <w:spacing w:val="4"/>
          <w:kern w:val="0"/>
          <w:sz w:val="28"/>
          <w:szCs w:val="22"/>
        </w:rPr>
        <w:t>100</w:t>
      </w:r>
      <w:r>
        <w:rPr>
          <w:rFonts w:eastAsia="標楷體"/>
          <w:spacing w:val="4"/>
          <w:kern w:val="0"/>
          <w:sz w:val="28"/>
          <w:szCs w:val="22"/>
        </w:rPr>
        <w:t>棟</w:t>
      </w:r>
      <w:r>
        <w:rPr>
          <w:rFonts w:ascii="新細明體" w:hAnsi="新細明體"/>
          <w:spacing w:val="4"/>
          <w:kern w:val="0"/>
          <w:sz w:val="28"/>
          <w:szCs w:val="22"/>
        </w:rPr>
        <w:t>、</w:t>
      </w:r>
      <w:r>
        <w:rPr>
          <w:rFonts w:eastAsia="標楷體"/>
          <w:spacing w:val="4"/>
          <w:kern w:val="0"/>
          <w:sz w:val="28"/>
          <w:szCs w:val="22"/>
        </w:rPr>
        <w:t>拆除重建</w:t>
      </w:r>
      <w:r>
        <w:rPr>
          <w:rFonts w:eastAsia="標楷體"/>
          <w:spacing w:val="4"/>
          <w:kern w:val="0"/>
          <w:sz w:val="28"/>
          <w:szCs w:val="22"/>
        </w:rPr>
        <w:t>84</w:t>
      </w:r>
      <w:r>
        <w:rPr>
          <w:rFonts w:eastAsia="標楷體"/>
          <w:spacing w:val="4"/>
          <w:kern w:val="0"/>
          <w:sz w:val="28"/>
          <w:szCs w:val="22"/>
        </w:rPr>
        <w:t>校</w:t>
      </w:r>
      <w:r>
        <w:rPr>
          <w:rFonts w:ascii="標楷體" w:eastAsia="標楷體" w:hAnsi="標楷體"/>
          <w:spacing w:val="4"/>
          <w:kern w:val="0"/>
          <w:sz w:val="28"/>
          <w:szCs w:val="22"/>
        </w:rPr>
        <w:t>(</w:t>
      </w:r>
      <w:r>
        <w:rPr>
          <w:rFonts w:eastAsia="標楷體"/>
          <w:spacing w:val="4"/>
          <w:kern w:val="0"/>
          <w:sz w:val="28"/>
          <w:szCs w:val="22"/>
        </w:rPr>
        <w:t>次</w:t>
      </w:r>
      <w:r>
        <w:rPr>
          <w:rFonts w:ascii="標楷體" w:eastAsia="標楷體" w:hAnsi="標楷體"/>
          <w:spacing w:val="4"/>
          <w:kern w:val="0"/>
          <w:sz w:val="28"/>
          <w:szCs w:val="22"/>
        </w:rPr>
        <w:t>)</w:t>
      </w:r>
      <w:r>
        <w:rPr>
          <w:rFonts w:eastAsia="標楷體"/>
          <w:spacing w:val="4"/>
          <w:kern w:val="0"/>
          <w:sz w:val="28"/>
          <w:szCs w:val="22"/>
        </w:rPr>
        <w:t>2,100</w:t>
      </w:r>
      <w:r>
        <w:rPr>
          <w:rFonts w:eastAsia="標楷體"/>
          <w:spacing w:val="4"/>
          <w:kern w:val="0"/>
          <w:sz w:val="28"/>
          <w:szCs w:val="22"/>
        </w:rPr>
        <w:t>間</w:t>
      </w:r>
      <w:r>
        <w:rPr>
          <w:rFonts w:ascii="標楷體" w:eastAsia="標楷體" w:hAnsi="標楷體"/>
          <w:spacing w:val="4"/>
          <w:kern w:val="0"/>
          <w:sz w:val="28"/>
          <w:szCs w:val="22"/>
        </w:rPr>
        <w:t>(</w:t>
      </w:r>
      <w:r>
        <w:rPr>
          <w:rFonts w:eastAsia="標楷體"/>
          <w:spacing w:val="4"/>
          <w:kern w:val="0"/>
          <w:sz w:val="28"/>
          <w:szCs w:val="22"/>
        </w:rPr>
        <w:t>次</w:t>
      </w:r>
      <w:r>
        <w:rPr>
          <w:rFonts w:ascii="標楷體" w:eastAsia="標楷體" w:hAnsi="標楷體"/>
          <w:spacing w:val="4"/>
          <w:kern w:val="0"/>
          <w:sz w:val="28"/>
          <w:szCs w:val="22"/>
        </w:rPr>
        <w:t>)</w:t>
      </w:r>
      <w:r>
        <w:rPr>
          <w:rFonts w:ascii="新細明體" w:hAnsi="新細明體"/>
          <w:spacing w:val="4"/>
          <w:kern w:val="0"/>
          <w:sz w:val="28"/>
          <w:szCs w:val="22"/>
        </w:rPr>
        <w:t>。</w:t>
      </w:r>
    </w:p>
    <w:p w14:paraId="7875F192"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5FC154C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確保水電充分及穩定的供應</w:t>
      </w:r>
    </w:p>
    <w:p w14:paraId="16DDBE3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開發多元電源，推動智慧電網及輸變電改善計畫</w:t>
      </w:r>
    </w:p>
    <w:p w14:paraId="53D81E9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6"/>
          <w:kern w:val="0"/>
          <w:sz w:val="28"/>
          <w:szCs w:val="22"/>
        </w:rPr>
        <w:t>落實各項計畫滾動檢討，強化執行成效</w:t>
      </w:r>
      <w:r>
        <w:rPr>
          <w:rFonts w:ascii="新細明體" w:hAnsi="新細明體"/>
          <w:spacing w:val="6"/>
          <w:kern w:val="0"/>
          <w:sz w:val="28"/>
          <w:szCs w:val="22"/>
        </w:rPr>
        <w:t>；</w:t>
      </w:r>
      <w:r>
        <w:rPr>
          <w:rFonts w:eastAsia="標楷體"/>
          <w:spacing w:val="6"/>
          <w:kern w:val="0"/>
          <w:sz w:val="28"/>
          <w:szCs w:val="22"/>
        </w:rPr>
        <w:t>另對部分輸變電工程之推動困難，將加強溝通，並於必要時申請公權力協助。</w:t>
      </w:r>
    </w:p>
    <w:p w14:paraId="251AB7C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研擬具節電誘因之電價費率等措施，鼓勵節約用電。</w:t>
      </w:r>
    </w:p>
    <w:p w14:paraId="0D08881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完成低壓</w:t>
      </w:r>
      <w:r>
        <w:rPr>
          <w:rFonts w:eastAsia="標楷體"/>
          <w:spacing w:val="4"/>
          <w:kern w:val="0"/>
          <w:sz w:val="28"/>
          <w:szCs w:val="22"/>
        </w:rPr>
        <w:t>AMI</w:t>
      </w:r>
      <w:r>
        <w:rPr>
          <w:rFonts w:eastAsia="標楷體"/>
          <w:spacing w:val="4"/>
          <w:kern w:val="0"/>
          <w:sz w:val="28"/>
          <w:szCs w:val="22"/>
        </w:rPr>
        <w:t>用戶設置後，進行技術可行性驗證及經濟效益可行性驗證。</w:t>
      </w:r>
    </w:p>
    <w:p w14:paraId="1B58879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確保水源充分及穩定供應</w:t>
      </w:r>
    </w:p>
    <w:p w14:paraId="2E563AB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完成湖山水庫工程、中庄調整池工程等多元化水資源開發計畫，提升供水穩定。</w:t>
      </w:r>
    </w:p>
    <w:p w14:paraId="3D1670C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賡續辦理「板新地區供水改善計畫二期工程」、「大安大甲溪水源聯合運用輸水工程計畫」，強化地區水源調度。</w:t>
      </w:r>
    </w:p>
    <w:p w14:paraId="20F1E31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賡續推動鳳山溪、福田及中壢等污水廠放流水再生及林園工業區廢水廠放流水再生供應工業使用。</w:t>
      </w:r>
    </w:p>
    <w:p w14:paraId="7AA14D1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完成石門水庫及其集水區更新改善計畫、曾文南化烏山頭水庫治理等，提高供水能力。</w:t>
      </w:r>
    </w:p>
    <w:p w14:paraId="1917F2A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4"/>
          <w:kern w:val="0"/>
          <w:sz w:val="28"/>
          <w:szCs w:val="22"/>
        </w:rPr>
        <w:t>辦理自來水延管工程</w:t>
      </w:r>
      <w:r>
        <w:rPr>
          <w:rFonts w:ascii="新細明體" w:hAnsi="新細明體"/>
          <w:spacing w:val="4"/>
          <w:kern w:val="0"/>
          <w:sz w:val="28"/>
          <w:szCs w:val="22"/>
        </w:rPr>
        <w:t>、</w:t>
      </w:r>
      <w:r>
        <w:rPr>
          <w:rFonts w:eastAsia="標楷體"/>
          <w:spacing w:val="4"/>
          <w:kern w:val="0"/>
          <w:sz w:val="28"/>
          <w:szCs w:val="22"/>
        </w:rPr>
        <w:t>補助辦理簡易自來水改善工程，改善無自來水地區供水</w:t>
      </w:r>
      <w:r>
        <w:rPr>
          <w:rFonts w:ascii="新細明體" w:hAnsi="新細明體"/>
          <w:spacing w:val="4"/>
          <w:kern w:val="0"/>
          <w:sz w:val="28"/>
          <w:szCs w:val="22"/>
        </w:rPr>
        <w:t>。</w:t>
      </w:r>
    </w:p>
    <w:p w14:paraId="46C4D59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6</w:t>
      </w:r>
      <w:r>
        <w:rPr>
          <w:rFonts w:ascii="標楷體" w:eastAsia="標楷體" w:hAnsi="標楷體"/>
          <w:spacing w:val="4"/>
          <w:kern w:val="0"/>
          <w:sz w:val="28"/>
          <w:szCs w:val="22"/>
        </w:rPr>
        <w:t>)</w:t>
      </w:r>
      <w:r>
        <w:rPr>
          <w:rFonts w:eastAsia="標楷體"/>
          <w:spacing w:val="4"/>
          <w:kern w:val="0"/>
          <w:sz w:val="28"/>
          <w:szCs w:val="22"/>
        </w:rPr>
        <w:t>推動自來水配水管網改善</w:t>
      </w:r>
      <w:r>
        <w:rPr>
          <w:rFonts w:ascii="新細明體" w:hAnsi="新細明體"/>
          <w:spacing w:val="4"/>
          <w:kern w:val="0"/>
          <w:sz w:val="28"/>
          <w:szCs w:val="22"/>
        </w:rPr>
        <w:t>、</w:t>
      </w:r>
      <w:r>
        <w:rPr>
          <w:rFonts w:eastAsia="標楷體"/>
          <w:spacing w:val="4"/>
          <w:kern w:val="0"/>
          <w:sz w:val="28"/>
          <w:szCs w:val="22"/>
        </w:rPr>
        <w:t>供水管網改善</w:t>
      </w:r>
      <w:r>
        <w:rPr>
          <w:rFonts w:ascii="新細明體" w:hAnsi="新細明體"/>
          <w:spacing w:val="4"/>
          <w:kern w:val="0"/>
          <w:sz w:val="28"/>
          <w:szCs w:val="22"/>
        </w:rPr>
        <w:t>，</w:t>
      </w:r>
      <w:r>
        <w:rPr>
          <w:rFonts w:eastAsia="標楷體"/>
          <w:spacing w:val="4"/>
          <w:kern w:val="0"/>
          <w:sz w:val="28"/>
          <w:szCs w:val="22"/>
        </w:rPr>
        <w:t>以及降低漏水率等計畫</w:t>
      </w:r>
      <w:r>
        <w:rPr>
          <w:rFonts w:ascii="新細明體" w:hAnsi="新細明體"/>
          <w:spacing w:val="4"/>
          <w:kern w:val="0"/>
          <w:sz w:val="28"/>
          <w:szCs w:val="22"/>
        </w:rPr>
        <w:t>，</w:t>
      </w:r>
      <w:r>
        <w:rPr>
          <w:rFonts w:eastAsia="標楷體"/>
          <w:spacing w:val="4"/>
          <w:kern w:val="0"/>
          <w:sz w:val="28"/>
          <w:szCs w:val="22"/>
        </w:rPr>
        <w:t>改善自來水漏水情形</w:t>
      </w:r>
      <w:r>
        <w:rPr>
          <w:rFonts w:ascii="新細明體" w:hAnsi="新細明體"/>
          <w:spacing w:val="4"/>
          <w:kern w:val="0"/>
          <w:sz w:val="28"/>
          <w:szCs w:val="22"/>
        </w:rPr>
        <w:t>。</w:t>
      </w:r>
    </w:p>
    <w:p w14:paraId="08431BC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7</w:t>
      </w:r>
      <w:r>
        <w:rPr>
          <w:rFonts w:ascii="標楷體" w:eastAsia="標楷體" w:hAnsi="標楷體"/>
          <w:spacing w:val="4"/>
          <w:kern w:val="0"/>
          <w:sz w:val="28"/>
          <w:szCs w:val="22"/>
        </w:rPr>
        <w:t>)</w:t>
      </w:r>
      <w:r>
        <w:rPr>
          <w:rFonts w:eastAsia="標楷體"/>
          <w:spacing w:val="4"/>
          <w:kern w:val="0"/>
          <w:sz w:val="28"/>
          <w:szCs w:val="22"/>
        </w:rPr>
        <w:t>研提簡易自來水廠功能提升計畫</w:t>
      </w:r>
      <w:r>
        <w:rPr>
          <w:rFonts w:ascii="標楷體" w:eastAsia="標楷體" w:hAnsi="標楷體"/>
          <w:spacing w:val="4"/>
          <w:kern w:val="0"/>
          <w:sz w:val="28"/>
          <w:szCs w:val="22"/>
        </w:rPr>
        <w:t>(</w:t>
      </w:r>
      <w:r>
        <w:rPr>
          <w:rFonts w:eastAsia="標楷體"/>
          <w:spacing w:val="4"/>
          <w:kern w:val="0"/>
          <w:sz w:val="28"/>
          <w:szCs w:val="22"/>
        </w:rPr>
        <w:t>103</w:t>
      </w:r>
      <w:r>
        <w:rPr>
          <w:rFonts w:eastAsia="標楷體"/>
          <w:spacing w:val="4"/>
          <w:kern w:val="0"/>
          <w:sz w:val="28"/>
          <w:szCs w:val="22"/>
        </w:rPr>
        <w:t>至</w:t>
      </w:r>
      <w:r>
        <w:rPr>
          <w:rFonts w:eastAsia="標楷體"/>
          <w:spacing w:val="4"/>
          <w:kern w:val="0"/>
          <w:sz w:val="28"/>
          <w:szCs w:val="22"/>
        </w:rPr>
        <w:t>106</w:t>
      </w:r>
      <w:r>
        <w:rPr>
          <w:rFonts w:eastAsia="標楷體"/>
          <w:spacing w:val="4"/>
          <w:kern w:val="0"/>
          <w:sz w:val="28"/>
          <w:szCs w:val="22"/>
        </w:rPr>
        <w:t>年</w:t>
      </w:r>
      <w:r>
        <w:rPr>
          <w:rFonts w:ascii="標楷體" w:eastAsia="標楷體" w:hAnsi="標楷體"/>
          <w:spacing w:val="4"/>
          <w:kern w:val="0"/>
          <w:sz w:val="28"/>
          <w:szCs w:val="22"/>
        </w:rPr>
        <w:t>)</w:t>
      </w:r>
      <w:r>
        <w:rPr>
          <w:rFonts w:eastAsia="標楷體"/>
          <w:spacing w:val="4"/>
          <w:kern w:val="0"/>
          <w:sz w:val="28"/>
          <w:szCs w:val="22"/>
        </w:rPr>
        <w:t>。</w:t>
      </w:r>
    </w:p>
    <w:p w14:paraId="118CBEC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持續推動產業與地區發展所需之基礎建設</w:t>
      </w:r>
    </w:p>
    <w:p w14:paraId="5F7F1E2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配合產業與地區發展需要，加強地方聯外交通系統建設，持續推動多元化產業園區之開發設置。</w:t>
      </w:r>
    </w:p>
    <w:p w14:paraId="2AB4737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推動經濟加值、永續發展、數位經濟及創新材料等工業園區發展。</w:t>
      </w:r>
    </w:p>
    <w:p w14:paraId="67BD95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佈建污水處理設施，構築共同管道建設，促成環境永續發展。</w:t>
      </w:r>
    </w:p>
    <w:p w14:paraId="6F1D85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工業區轉型智慧化、低碳化之高值創新產業園區</w:t>
      </w:r>
    </w:p>
    <w:p w14:paraId="5AA2E0B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推動產業園區效率化資產管理、資訊化設施管理及提供廠商</w:t>
      </w:r>
      <w:r>
        <w:rPr>
          <w:rFonts w:eastAsia="標楷體"/>
          <w:spacing w:val="4"/>
          <w:kern w:val="0"/>
          <w:sz w:val="28"/>
          <w:szCs w:val="26"/>
        </w:rPr>
        <w:lastRenderedPageBreak/>
        <w:t>智慧化服務。</w:t>
      </w:r>
    </w:p>
    <w:p w14:paraId="3592AA4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推動節能</w:t>
      </w:r>
      <w:r>
        <w:rPr>
          <w:rFonts w:ascii="新細明體" w:hAnsi="新細明體"/>
          <w:spacing w:val="4"/>
          <w:kern w:val="0"/>
          <w:sz w:val="28"/>
          <w:szCs w:val="26"/>
        </w:rPr>
        <w:t>、</w:t>
      </w:r>
      <w:r>
        <w:rPr>
          <w:rFonts w:eastAsia="標楷體"/>
          <w:spacing w:val="4"/>
          <w:kern w:val="0"/>
          <w:sz w:val="28"/>
          <w:szCs w:val="26"/>
        </w:rPr>
        <w:t>減碳</w:t>
      </w:r>
      <w:r>
        <w:rPr>
          <w:rFonts w:ascii="新細明體" w:hAnsi="新細明體"/>
          <w:spacing w:val="4"/>
          <w:kern w:val="0"/>
          <w:sz w:val="28"/>
          <w:szCs w:val="26"/>
        </w:rPr>
        <w:t>、</w:t>
      </w:r>
      <w:r>
        <w:rPr>
          <w:rFonts w:eastAsia="標楷體"/>
          <w:spacing w:val="4"/>
          <w:kern w:val="0"/>
          <w:sz w:val="28"/>
          <w:szCs w:val="26"/>
        </w:rPr>
        <w:t>省水，以及產業園區能資源整合。</w:t>
      </w:r>
    </w:p>
    <w:p w14:paraId="569A9C8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整合上下游產業，鏈結研究機構及學界資源，促進產業園區轉型高值創新。</w:t>
      </w:r>
    </w:p>
    <w:p w14:paraId="0473351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持續推動國中小及高中職老舊校舍補強整建</w:t>
      </w:r>
    </w:p>
    <w:p w14:paraId="52C7A1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辦理國中小及高中職校舍耐震能力評估及結構補強，全面提</w:t>
      </w:r>
      <w:r>
        <w:rPr>
          <w:rFonts w:eastAsia="標楷體"/>
          <w:spacing w:val="4"/>
          <w:kern w:val="0"/>
          <w:sz w:val="28"/>
          <w:szCs w:val="26"/>
        </w:rPr>
        <w:t xml:space="preserve"> </w:t>
      </w:r>
      <w:r>
        <w:rPr>
          <w:rFonts w:eastAsia="標楷體"/>
          <w:spacing w:val="4"/>
          <w:kern w:val="0"/>
          <w:sz w:val="28"/>
          <w:szCs w:val="26"/>
        </w:rPr>
        <w:t>升校舍耐震能力。</w:t>
      </w:r>
    </w:p>
    <w:p w14:paraId="4F7C005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逾建齡且有安全疑慮之國中小及高中職老舊校舍，依急迫性推動拆除整建。</w:t>
      </w:r>
    </w:p>
    <w:p w14:paraId="6325F5A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建構國家標準、商品驗證、計量標準體系</w:t>
      </w:r>
    </w:p>
    <w:p w14:paraId="424DDEA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完備標準化體系</w:t>
      </w:r>
      <w:r>
        <w:rPr>
          <w:rFonts w:ascii="新細明體" w:hAnsi="新細明體"/>
          <w:spacing w:val="4"/>
          <w:kern w:val="0"/>
          <w:sz w:val="28"/>
          <w:szCs w:val="26"/>
        </w:rPr>
        <w:t>，</w:t>
      </w:r>
      <w:r>
        <w:rPr>
          <w:rFonts w:eastAsia="標楷體"/>
          <w:spacing w:val="4"/>
          <w:kern w:val="0"/>
          <w:sz w:val="28"/>
          <w:szCs w:val="26"/>
        </w:rPr>
        <w:t>加強國家標準編修，調和國家與國際標準</w:t>
      </w:r>
      <w:r>
        <w:rPr>
          <w:rFonts w:ascii="新細明體" w:hAnsi="新細明體"/>
          <w:spacing w:val="4"/>
          <w:kern w:val="0"/>
          <w:sz w:val="28"/>
          <w:szCs w:val="26"/>
        </w:rPr>
        <w:t>；</w:t>
      </w:r>
      <w:r>
        <w:rPr>
          <w:rFonts w:eastAsia="標楷體"/>
          <w:spacing w:val="4"/>
          <w:kern w:val="0"/>
          <w:sz w:val="28"/>
          <w:szCs w:val="26"/>
        </w:rPr>
        <w:t>擴大民間參與國家標準事務力度及廣度</w:t>
      </w:r>
      <w:r>
        <w:rPr>
          <w:rFonts w:ascii="新細明體" w:hAnsi="新細明體"/>
          <w:spacing w:val="4"/>
          <w:kern w:val="0"/>
          <w:sz w:val="28"/>
          <w:szCs w:val="26"/>
        </w:rPr>
        <w:t>；</w:t>
      </w:r>
      <w:r>
        <w:rPr>
          <w:rFonts w:eastAsia="標楷體"/>
          <w:spacing w:val="4"/>
          <w:kern w:val="0"/>
          <w:sz w:val="28"/>
          <w:szCs w:val="26"/>
        </w:rPr>
        <w:t>協助研發團隊參與制定資通訊產業國際標準，爭取關鍵智財權。</w:t>
      </w:r>
    </w:p>
    <w:p w14:paraId="4063CED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pPr>
      <w:r>
        <w:rPr>
          <w:rFonts w:eastAsia="標楷體"/>
          <w:spacing w:val="4"/>
          <w:kern w:val="0"/>
          <w:sz w:val="28"/>
          <w:szCs w:val="26"/>
        </w:rPr>
        <w:t>2.</w:t>
      </w:r>
      <w:r>
        <w:rPr>
          <w:rFonts w:eastAsia="標楷體"/>
          <w:kern w:val="0"/>
          <w:sz w:val="28"/>
          <w:szCs w:val="26"/>
        </w:rPr>
        <w:t>持續完備永續經營之國家商品檢驗驗證體系，加強監管不安全商品，並加強消費商品安全宣導；拓展多邊及雙邊標準、符合性評鑑程序、市場監督等合作，協助廠商拓銷國外市場。</w:t>
      </w:r>
    </w:p>
    <w:p w14:paraId="5001DE1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pPr>
      <w:r>
        <w:rPr>
          <w:rFonts w:eastAsia="標楷體"/>
          <w:spacing w:val="4"/>
          <w:kern w:val="0"/>
          <w:sz w:val="28"/>
          <w:szCs w:val="26"/>
        </w:rPr>
        <w:t>3.</w:t>
      </w:r>
      <w:r>
        <w:rPr>
          <w:rFonts w:eastAsia="標楷體"/>
          <w:spacing w:val="4"/>
          <w:kern w:val="0"/>
          <w:sz w:val="28"/>
          <w:szCs w:val="26"/>
        </w:rPr>
        <w:t>推動劃一度量衡制度，建立及維持國家量測標準，持續制修訂相關法規，提升檢測技術，支援重點產業發展，落實執行法定度量衡檢定、校驗，建構符合國際規範及發展趨勢之認證環境。</w:t>
      </w:r>
    </w:p>
    <w:p w14:paraId="72B24B6E"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D04BFCF"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貳、海空樞紐</w:t>
      </w:r>
    </w:p>
    <w:p w14:paraId="7A3F43F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682007F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臺灣係位居東亞島鏈中心的海島國家，提升海空門戶的國際競爭力，為我國經濟發展之重要關鍵。其中</w:t>
      </w:r>
      <w:r>
        <w:rPr>
          <w:rFonts w:ascii="新細明體" w:hAnsi="新細明體"/>
          <w:spacing w:val="4"/>
          <w:kern w:val="0"/>
          <w:sz w:val="28"/>
          <w:szCs w:val="26"/>
        </w:rPr>
        <w:t>：</w:t>
      </w:r>
    </w:p>
    <w:p w14:paraId="2FDD89E2"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港埠部分，近年來隨全球海運市場逐漸朝向船舶大型化、航線軸心化及全球物流網路化等趨勢發展，各國不再僅針對港對港競爭，而是港口擴及腹地，連結產業供應鏈發展的全方位競爭。因此，有必要重新檢討我國國際商港功能定位，擬定港埠整體發展策略及建設計</w:t>
      </w:r>
      <w:r>
        <w:rPr>
          <w:rFonts w:eastAsia="標楷體"/>
          <w:spacing w:val="4"/>
          <w:kern w:val="0"/>
          <w:sz w:val="28"/>
          <w:szCs w:val="26"/>
        </w:rPr>
        <w:lastRenderedPageBreak/>
        <w:t>畫，以港群概念分工合作，發揮經營彈性與效能，提升競爭力。</w:t>
      </w:r>
    </w:p>
    <w:p w14:paraId="60FF7B1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機場部分，將藉由健全之國際及兩岸航空網絡，帶動桃園國際機場人流與物流活動，強化機場內部旅客及貨運服務設施，逐步擴大航空城計畫機場園區營運規模，並帶動附近地區之商旅、會展等衍生服務</w:t>
      </w:r>
      <w:r>
        <w:rPr>
          <w:rFonts w:ascii="新細明體" w:hAnsi="新細明體"/>
          <w:spacing w:val="4"/>
          <w:kern w:val="0"/>
          <w:sz w:val="28"/>
          <w:szCs w:val="26"/>
        </w:rPr>
        <w:t>。</w:t>
      </w:r>
      <w:r>
        <w:rPr>
          <w:rFonts w:eastAsia="標楷體"/>
          <w:spacing w:val="4"/>
          <w:kern w:val="0"/>
          <w:sz w:val="28"/>
          <w:szCs w:val="26"/>
        </w:rPr>
        <w:t>同時</w:t>
      </w:r>
      <w:r>
        <w:rPr>
          <w:rFonts w:ascii="新細明體" w:hAnsi="新細明體"/>
          <w:spacing w:val="4"/>
          <w:kern w:val="0"/>
          <w:sz w:val="28"/>
          <w:szCs w:val="26"/>
        </w:rPr>
        <w:t>，</w:t>
      </w:r>
      <w:r>
        <w:rPr>
          <w:rFonts w:eastAsia="標楷體"/>
          <w:spacing w:val="4"/>
          <w:kern w:val="0"/>
          <w:sz w:val="28"/>
          <w:szCs w:val="26"/>
        </w:rPr>
        <w:t>以桃園國際機場為核心，帶動松山、高雄與其他國際機場</w:t>
      </w:r>
      <w:r>
        <w:rPr>
          <w:rFonts w:ascii="新細明體" w:hAnsi="新細明體"/>
          <w:spacing w:val="4"/>
          <w:kern w:val="0"/>
          <w:sz w:val="28"/>
          <w:szCs w:val="26"/>
        </w:rPr>
        <w:t>，</w:t>
      </w:r>
      <w:r>
        <w:rPr>
          <w:rFonts w:eastAsia="標楷體"/>
          <w:spacing w:val="4"/>
          <w:kern w:val="0"/>
          <w:sz w:val="28"/>
          <w:szCs w:val="26"/>
        </w:rPr>
        <w:t>以及與開放兩岸直航機場之發展。</w:t>
      </w:r>
    </w:p>
    <w:p w14:paraId="44211E75"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102</w:t>
      </w:r>
      <w:r>
        <w:rPr>
          <w:rFonts w:eastAsia="標楷體"/>
          <w:spacing w:val="4"/>
          <w:kern w:val="0"/>
          <w:sz w:val="28"/>
          <w:szCs w:val="26"/>
        </w:rPr>
        <w:t>至</w:t>
      </w:r>
      <w:r>
        <w:rPr>
          <w:rFonts w:eastAsia="標楷體"/>
          <w:spacing w:val="4"/>
          <w:kern w:val="0"/>
          <w:sz w:val="28"/>
          <w:szCs w:val="26"/>
        </w:rPr>
        <w:t>105</w:t>
      </w:r>
      <w:r>
        <w:rPr>
          <w:rFonts w:eastAsia="標楷體"/>
          <w:spacing w:val="4"/>
          <w:kern w:val="0"/>
          <w:sz w:val="28"/>
          <w:szCs w:val="26"/>
        </w:rPr>
        <w:t>年</w:t>
      </w:r>
      <w:r>
        <w:rPr>
          <w:rFonts w:ascii="新細明體" w:hAnsi="新細明體"/>
          <w:spacing w:val="4"/>
          <w:kern w:val="0"/>
          <w:sz w:val="28"/>
          <w:szCs w:val="26"/>
        </w:rPr>
        <w:t>，</w:t>
      </w:r>
      <w:r>
        <w:rPr>
          <w:rFonts w:eastAsia="標楷體"/>
          <w:spacing w:val="4"/>
          <w:kern w:val="0"/>
          <w:sz w:val="28"/>
          <w:szCs w:val="26"/>
        </w:rPr>
        <w:t>透過完善的海空港建設延伸腹地</w:t>
      </w:r>
      <w:r>
        <w:rPr>
          <w:rFonts w:ascii="新細明體" w:hAnsi="新細明體"/>
          <w:spacing w:val="4"/>
          <w:kern w:val="0"/>
          <w:sz w:val="28"/>
          <w:szCs w:val="26"/>
        </w:rPr>
        <w:t>，</w:t>
      </w:r>
      <w:r>
        <w:rPr>
          <w:rFonts w:eastAsia="標楷體"/>
          <w:spacing w:val="4"/>
          <w:kern w:val="0"/>
          <w:sz w:val="28"/>
          <w:szCs w:val="26"/>
        </w:rPr>
        <w:t>將運籌價值鏈擴展至海內外，並結合「前店後廠」政策，推動我海空港成為串連國內產業與國際供應鏈節點</w:t>
      </w:r>
      <w:r>
        <w:rPr>
          <w:rFonts w:ascii="新細明體" w:hAnsi="新細明體"/>
          <w:spacing w:val="4"/>
          <w:kern w:val="0"/>
          <w:sz w:val="28"/>
          <w:szCs w:val="26"/>
        </w:rPr>
        <w:t>、</w:t>
      </w:r>
      <w:r>
        <w:rPr>
          <w:rFonts w:eastAsia="標楷體"/>
          <w:spacing w:val="4"/>
          <w:kern w:val="0"/>
          <w:sz w:val="28"/>
          <w:szCs w:val="26"/>
        </w:rPr>
        <w:t>海空運樞紐及轉運重鎮。</w:t>
      </w:r>
    </w:p>
    <w:p w14:paraId="459A3BD4"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48F61F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發展自由貿易港區成為國際運籌平臺。</w:t>
      </w:r>
    </w:p>
    <w:p w14:paraId="25193E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以桃園機場為核心，持續推動桃園航空城計畫，規劃興建第</w:t>
      </w:r>
      <w:r>
        <w:rPr>
          <w:rFonts w:eastAsia="標楷體"/>
          <w:spacing w:val="4"/>
          <w:kern w:val="0"/>
          <w:sz w:val="28"/>
          <w:szCs w:val="22"/>
        </w:rPr>
        <w:t>3</w:t>
      </w:r>
      <w:r>
        <w:rPr>
          <w:rFonts w:eastAsia="標楷體"/>
          <w:spacing w:val="4"/>
          <w:kern w:val="0"/>
          <w:sz w:val="28"/>
          <w:szCs w:val="22"/>
        </w:rPr>
        <w:t>航站區相關設施，發展桃園機場成為東亞空運樞紐。</w:t>
      </w:r>
    </w:p>
    <w:p w14:paraId="5475137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以高雄港為核心，發展成為亞太樞紐港</w:t>
      </w:r>
      <w:r>
        <w:rPr>
          <w:rFonts w:ascii="新細明體" w:hAnsi="新細明體"/>
          <w:spacing w:val="4"/>
          <w:kern w:val="0"/>
          <w:sz w:val="28"/>
          <w:szCs w:val="22"/>
        </w:rPr>
        <w:t>，</w:t>
      </w:r>
      <w:r>
        <w:rPr>
          <w:rFonts w:eastAsia="標楷體"/>
          <w:spacing w:val="4"/>
          <w:kern w:val="0"/>
          <w:sz w:val="28"/>
          <w:szCs w:val="22"/>
        </w:rPr>
        <w:t>並結合基隆港</w:t>
      </w:r>
      <w:r>
        <w:rPr>
          <w:rFonts w:ascii="標楷體" w:eastAsia="標楷體" w:hAnsi="標楷體"/>
          <w:spacing w:val="4"/>
          <w:kern w:val="0"/>
          <w:sz w:val="28"/>
          <w:szCs w:val="22"/>
        </w:rPr>
        <w:t>(</w:t>
      </w:r>
      <w:r>
        <w:rPr>
          <w:rFonts w:eastAsia="標楷體"/>
          <w:spacing w:val="4"/>
          <w:kern w:val="0"/>
          <w:sz w:val="28"/>
          <w:szCs w:val="22"/>
        </w:rPr>
        <w:t>含臺北港</w:t>
      </w:r>
      <w:r>
        <w:rPr>
          <w:rFonts w:ascii="標楷體" w:eastAsia="標楷體" w:hAnsi="標楷體"/>
          <w:spacing w:val="4"/>
          <w:kern w:val="0"/>
          <w:sz w:val="28"/>
          <w:szCs w:val="22"/>
        </w:rPr>
        <w:t>)</w:t>
      </w:r>
      <w:r>
        <w:rPr>
          <w:rFonts w:eastAsia="標楷體"/>
          <w:spacing w:val="4"/>
          <w:kern w:val="0"/>
          <w:sz w:val="28"/>
          <w:szCs w:val="22"/>
        </w:rPr>
        <w:t>、臺中港等臺灣國際港群動力，帶動國際運籌產業發展。</w:t>
      </w:r>
    </w:p>
    <w:p w14:paraId="2A7847E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發展國際郵輪及客運業務，建構現代化客運設施，推動臺灣國際港群休閒觀光發展。</w:t>
      </w:r>
    </w:p>
    <w:p w14:paraId="636BE919"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3DDA3F0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推動自由貿易港區多元發展</w:t>
      </w:r>
    </w:p>
    <w:p w14:paraId="78B1767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擴大自由貿易港區營運面積</w:t>
      </w:r>
      <w:r>
        <w:rPr>
          <w:rFonts w:ascii="新細明體" w:hAnsi="新細明體"/>
          <w:spacing w:val="4"/>
          <w:kern w:val="0"/>
          <w:sz w:val="28"/>
          <w:szCs w:val="26"/>
        </w:rPr>
        <w:t>，</w:t>
      </w:r>
      <w:r>
        <w:rPr>
          <w:rFonts w:eastAsia="標楷體"/>
          <w:spacing w:val="4"/>
          <w:kern w:val="0"/>
          <w:sz w:val="28"/>
          <w:szCs w:val="26"/>
        </w:rPr>
        <w:t>規劃設置臺中港港埠發展專業區</w:t>
      </w:r>
      <w:r>
        <w:rPr>
          <w:rFonts w:eastAsia="標楷體"/>
          <w:spacing w:val="4"/>
          <w:kern w:val="0"/>
          <w:sz w:val="28"/>
          <w:szCs w:val="26"/>
        </w:rPr>
        <w:t>82.5</w:t>
      </w:r>
      <w:r>
        <w:rPr>
          <w:rFonts w:eastAsia="標楷體"/>
          <w:spacing w:val="4"/>
          <w:kern w:val="0"/>
          <w:sz w:val="28"/>
          <w:szCs w:val="26"/>
        </w:rPr>
        <w:t>公頃，高雄港南星計畫第</w:t>
      </w:r>
      <w:r>
        <w:rPr>
          <w:rFonts w:eastAsia="標楷體"/>
          <w:spacing w:val="4"/>
          <w:kern w:val="0"/>
          <w:sz w:val="28"/>
          <w:szCs w:val="26"/>
        </w:rPr>
        <w:t>1</w:t>
      </w:r>
      <w:r>
        <w:rPr>
          <w:rFonts w:eastAsia="標楷體"/>
          <w:spacing w:val="4"/>
          <w:kern w:val="0"/>
          <w:sz w:val="28"/>
          <w:szCs w:val="26"/>
        </w:rPr>
        <w:t>期</w:t>
      </w:r>
      <w:r>
        <w:rPr>
          <w:rFonts w:eastAsia="標楷體"/>
          <w:spacing w:val="4"/>
          <w:kern w:val="0"/>
          <w:sz w:val="28"/>
          <w:szCs w:val="26"/>
        </w:rPr>
        <w:t>53</w:t>
      </w:r>
      <w:r>
        <w:rPr>
          <w:rFonts w:eastAsia="標楷體"/>
          <w:spacing w:val="4"/>
          <w:kern w:val="0"/>
          <w:sz w:val="28"/>
          <w:szCs w:val="26"/>
        </w:rPr>
        <w:t>公頃等自由貿易港區。</w:t>
      </w:r>
    </w:p>
    <w:p w14:paraId="4B1A9B8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建立單一服務窗口功能，簡化行政程序</w:t>
      </w:r>
      <w:r>
        <w:rPr>
          <w:rFonts w:ascii="新細明體" w:hAnsi="新細明體"/>
          <w:spacing w:val="4"/>
          <w:kern w:val="0"/>
          <w:sz w:val="28"/>
          <w:szCs w:val="26"/>
        </w:rPr>
        <w:t>，</w:t>
      </w:r>
      <w:r>
        <w:rPr>
          <w:rFonts w:eastAsia="標楷體"/>
          <w:spacing w:val="4"/>
          <w:kern w:val="0"/>
          <w:sz w:val="28"/>
          <w:szCs w:val="26"/>
        </w:rPr>
        <w:t>提升服務效能；強化跨部會溝通協調決策機制；透過業者自主管理機制，建立具競爭力之委外加工制度。</w:t>
      </w:r>
    </w:p>
    <w:p w14:paraId="56CD844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持續檢討法規，鬆綁及革新自由貿易港區法規制度</w:t>
      </w:r>
      <w:r>
        <w:rPr>
          <w:rFonts w:ascii="新細明體" w:hAnsi="新細明體"/>
          <w:spacing w:val="4"/>
          <w:kern w:val="0"/>
          <w:sz w:val="28"/>
          <w:szCs w:val="26"/>
        </w:rPr>
        <w:t>，</w:t>
      </w:r>
      <w:r>
        <w:rPr>
          <w:rFonts w:eastAsia="標楷體"/>
          <w:spacing w:val="4"/>
          <w:kern w:val="0"/>
          <w:sz w:val="28"/>
          <w:szCs w:val="26"/>
        </w:rPr>
        <w:t>全面發展自由貿易港區轉口貿易、區域配銷、檢測維修及加值出口等產業營運模式，提高經營效益。</w:t>
      </w:r>
    </w:p>
    <w:p w14:paraId="25576E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辦理桃園國際機場園區用地取得及重大建設</w:t>
      </w:r>
    </w:p>
    <w:p w14:paraId="2646841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lastRenderedPageBreak/>
        <w:t>1.</w:t>
      </w:r>
      <w:r>
        <w:rPr>
          <w:rFonts w:eastAsia="標楷體"/>
          <w:spacing w:val="4"/>
          <w:kern w:val="0"/>
          <w:sz w:val="28"/>
          <w:szCs w:val="26"/>
        </w:rPr>
        <w:t>提升桃園國際機場服務品質，持續推動第一航廈改善等及桃園國際機場聯外捷運系統</w:t>
      </w:r>
      <w:r>
        <w:rPr>
          <w:rFonts w:ascii="新細明體" w:hAnsi="新細明體"/>
          <w:spacing w:val="4"/>
          <w:kern w:val="0"/>
          <w:sz w:val="28"/>
          <w:szCs w:val="26"/>
        </w:rPr>
        <w:t>；</w:t>
      </w:r>
      <w:r>
        <w:rPr>
          <w:rFonts w:eastAsia="標楷體"/>
          <w:spacing w:val="4"/>
          <w:kern w:val="0"/>
          <w:sz w:val="28"/>
          <w:szCs w:val="26"/>
        </w:rPr>
        <w:t>另為因應未來服務需求，將建設第三航廈，推動設立航空自由貿易港區</w:t>
      </w:r>
      <w:r>
        <w:rPr>
          <w:rFonts w:ascii="新細明體" w:hAnsi="新細明體"/>
          <w:spacing w:val="4"/>
          <w:kern w:val="0"/>
          <w:sz w:val="28"/>
          <w:szCs w:val="26"/>
        </w:rPr>
        <w:t>，</w:t>
      </w:r>
      <w:r>
        <w:rPr>
          <w:rFonts w:eastAsia="標楷體"/>
          <w:spacing w:val="4"/>
          <w:kern w:val="0"/>
          <w:sz w:val="28"/>
          <w:szCs w:val="26"/>
        </w:rPr>
        <w:t>並以區段徵收方式取得用地</w:t>
      </w:r>
      <w:r>
        <w:rPr>
          <w:rFonts w:ascii="新細明體" w:hAnsi="新細明體"/>
          <w:spacing w:val="4"/>
          <w:kern w:val="0"/>
          <w:sz w:val="28"/>
          <w:szCs w:val="26"/>
        </w:rPr>
        <w:t>，</w:t>
      </w:r>
      <w:r>
        <w:rPr>
          <w:rFonts w:eastAsia="標楷體"/>
          <w:spacing w:val="4"/>
          <w:kern w:val="0"/>
          <w:sz w:val="28"/>
          <w:szCs w:val="26"/>
        </w:rPr>
        <w:t>以擴增桃園國際機場腹地及設施能量</w:t>
      </w:r>
      <w:r>
        <w:rPr>
          <w:rFonts w:ascii="新細明體" w:hAnsi="新細明體"/>
          <w:spacing w:val="4"/>
          <w:kern w:val="0"/>
          <w:sz w:val="28"/>
          <w:szCs w:val="26"/>
        </w:rPr>
        <w:t>。</w:t>
      </w:r>
    </w:p>
    <w:p w14:paraId="7A46169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持續推動機場聯外交通建設，包括國道</w:t>
      </w:r>
      <w:r>
        <w:rPr>
          <w:rFonts w:eastAsia="標楷體"/>
          <w:spacing w:val="4"/>
          <w:kern w:val="0"/>
          <w:sz w:val="28"/>
          <w:szCs w:val="26"/>
        </w:rPr>
        <w:t>2</w:t>
      </w:r>
      <w:r>
        <w:rPr>
          <w:rFonts w:eastAsia="標楷體"/>
          <w:spacing w:val="4"/>
          <w:kern w:val="0"/>
          <w:sz w:val="28"/>
          <w:szCs w:val="26"/>
        </w:rPr>
        <w:t>號西延、桃園航空城北側聯外高</w:t>
      </w:r>
      <w:r>
        <w:rPr>
          <w:rFonts w:ascii="標楷體" w:eastAsia="標楷體" w:hAnsi="標楷體"/>
          <w:spacing w:val="4"/>
          <w:kern w:val="0"/>
          <w:sz w:val="28"/>
          <w:szCs w:val="26"/>
        </w:rPr>
        <w:t>(快)</w:t>
      </w:r>
      <w:r>
        <w:rPr>
          <w:rFonts w:eastAsia="標楷體"/>
          <w:spacing w:val="4"/>
          <w:kern w:val="0"/>
          <w:sz w:val="28"/>
          <w:szCs w:val="26"/>
        </w:rPr>
        <w:t>速公路等工程，加強產業進駐條件，並促使中央與地方共榮發展，提升國家競爭力。</w:t>
      </w:r>
    </w:p>
    <w:p w14:paraId="6DDE379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推動松山機場「民航關聯產業廊帶」開發</w:t>
      </w:r>
    </w:p>
    <w:p w14:paraId="01084CE5" w14:textId="77777777" w:rsidR="00052596" w:rsidRDefault="00000000">
      <w:pPr>
        <w:overflowPunct w:val="0"/>
        <w:autoSpaceDE w:val="0"/>
        <w:spacing w:line="420" w:lineRule="exact"/>
        <w:ind w:left="792" w:firstLine="605"/>
        <w:jc w:val="both"/>
        <w:textAlignment w:val="center"/>
      </w:pPr>
      <w:r>
        <w:rPr>
          <w:rFonts w:eastAsia="標楷體"/>
          <w:spacing w:val="4"/>
          <w:kern w:val="0"/>
          <w:sz w:val="28"/>
          <w:szCs w:val="26"/>
        </w:rPr>
        <w:t>為因應松山機場未來運量成長需求及強化商務機場機能，已完成「松山機場整體規劃」成果報告，將優先開發最具商機之「民航關聯產業廊帶」，導入商業設施、航空關聯產業區、會展中心、商務旅館及商辦大樓等設施，並規劃引進民間資金參與建設，預估投入開發金額約</w:t>
      </w:r>
      <w:r>
        <w:rPr>
          <w:rFonts w:eastAsia="標楷體"/>
          <w:spacing w:val="4"/>
          <w:kern w:val="0"/>
          <w:sz w:val="28"/>
          <w:szCs w:val="26"/>
        </w:rPr>
        <w:t>200~400</w:t>
      </w:r>
      <w:r>
        <w:rPr>
          <w:rFonts w:eastAsia="標楷體"/>
          <w:spacing w:val="4"/>
          <w:kern w:val="0"/>
          <w:sz w:val="28"/>
          <w:szCs w:val="26"/>
        </w:rPr>
        <w:t>億元，有助於強化機場周邊商業機能，提升大臺北都會區之競爭力。</w:t>
      </w:r>
    </w:p>
    <w:p w14:paraId="367A8BF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強化兩岸空運直航網絡連結及拓展國際航權</w:t>
      </w:r>
    </w:p>
    <w:p w14:paraId="1659357E" w14:textId="77777777" w:rsidR="00052596" w:rsidRDefault="00000000">
      <w:pPr>
        <w:overflowPunct w:val="0"/>
        <w:autoSpaceDE w:val="0"/>
        <w:spacing w:line="420" w:lineRule="exact"/>
        <w:ind w:left="792" w:firstLine="605"/>
        <w:jc w:val="both"/>
        <w:textAlignment w:val="center"/>
      </w:pPr>
      <w:r>
        <w:rPr>
          <w:rFonts w:eastAsia="標楷體"/>
          <w:spacing w:val="4"/>
          <w:kern w:val="0"/>
          <w:sz w:val="28"/>
          <w:szCs w:val="26"/>
        </w:rPr>
        <w:t>配合我國整體經濟</w:t>
      </w:r>
      <w:r>
        <w:rPr>
          <w:rFonts w:ascii="新細明體" w:hAnsi="新細明體"/>
          <w:spacing w:val="4"/>
          <w:kern w:val="0"/>
          <w:sz w:val="28"/>
          <w:szCs w:val="26"/>
        </w:rPr>
        <w:t>、</w:t>
      </w:r>
      <w:r>
        <w:rPr>
          <w:rFonts w:eastAsia="標楷體"/>
          <w:spacing w:val="4"/>
          <w:kern w:val="0"/>
          <w:sz w:val="28"/>
          <w:szCs w:val="26"/>
        </w:rPr>
        <w:t>產業發展與市場需求等，持續強化兩岸空運直航網絡連結</w:t>
      </w:r>
      <w:r>
        <w:rPr>
          <w:rFonts w:ascii="新細明體" w:hAnsi="新細明體"/>
          <w:spacing w:val="4"/>
          <w:kern w:val="0"/>
          <w:sz w:val="28"/>
          <w:szCs w:val="26"/>
        </w:rPr>
        <w:t>，</w:t>
      </w:r>
      <w:r>
        <w:rPr>
          <w:rFonts w:eastAsia="標楷體"/>
          <w:spacing w:val="4"/>
          <w:kern w:val="0"/>
          <w:sz w:val="28"/>
          <w:szCs w:val="26"/>
        </w:rPr>
        <w:t>並拓展國際航權，鼓勵國籍航空公司開拓經營大陸二、三線城市，積極建構直航網絡</w:t>
      </w:r>
      <w:r>
        <w:rPr>
          <w:rFonts w:ascii="新細明體" w:hAnsi="新細明體"/>
          <w:spacing w:val="4"/>
          <w:kern w:val="0"/>
          <w:sz w:val="28"/>
          <w:szCs w:val="26"/>
        </w:rPr>
        <w:t>，</w:t>
      </w:r>
      <w:r>
        <w:rPr>
          <w:rFonts w:eastAsia="標楷體"/>
          <w:spacing w:val="4"/>
          <w:kern w:val="0"/>
          <w:sz w:val="28"/>
          <w:szCs w:val="26"/>
        </w:rPr>
        <w:t>以及強化機隊規模。</w:t>
      </w:r>
    </w:p>
    <w:p w14:paraId="7765D3C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以高雄港為核心，發展為亞太樞紐港</w:t>
      </w:r>
    </w:p>
    <w:p w14:paraId="187A4B3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以高雄港為核心，推動高雄海空經貿城整體發展綱要計畫</w:t>
      </w:r>
      <w:r>
        <w:rPr>
          <w:rFonts w:ascii="新細明體" w:hAnsi="新細明體"/>
          <w:spacing w:val="4"/>
          <w:kern w:val="0"/>
          <w:sz w:val="28"/>
          <w:szCs w:val="26"/>
        </w:rPr>
        <w:t>、</w:t>
      </w:r>
      <w:r>
        <w:rPr>
          <w:rFonts w:eastAsia="標楷體"/>
          <w:spacing w:val="4"/>
          <w:kern w:val="0"/>
          <w:sz w:val="28"/>
          <w:szCs w:val="26"/>
        </w:rPr>
        <w:t>臺灣國際商港未來發展及建設計畫，積極擴大航線網絡，建設高雄港為現代化貨櫃及物流基地。</w:t>
      </w:r>
    </w:p>
    <w:p w14:paraId="26A35EC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推動高雄港洲際貨櫃中心第</w:t>
      </w:r>
      <w:r>
        <w:rPr>
          <w:rFonts w:eastAsia="標楷體"/>
          <w:spacing w:val="4"/>
          <w:kern w:val="0"/>
          <w:sz w:val="28"/>
          <w:szCs w:val="26"/>
        </w:rPr>
        <w:t>2</w:t>
      </w:r>
      <w:r>
        <w:rPr>
          <w:rFonts w:eastAsia="標楷體"/>
          <w:spacing w:val="4"/>
          <w:kern w:val="0"/>
          <w:sz w:val="28"/>
          <w:szCs w:val="26"/>
        </w:rPr>
        <w:t>期計畫</w:t>
      </w:r>
      <w:r>
        <w:rPr>
          <w:rFonts w:ascii="新細明體" w:hAnsi="新細明體"/>
          <w:spacing w:val="4"/>
          <w:kern w:val="0"/>
          <w:sz w:val="28"/>
          <w:szCs w:val="26"/>
        </w:rPr>
        <w:t>，</w:t>
      </w:r>
      <w:r>
        <w:rPr>
          <w:rFonts w:eastAsia="標楷體"/>
          <w:spacing w:val="4"/>
          <w:kern w:val="0"/>
          <w:sz w:val="28"/>
          <w:szCs w:val="26"/>
        </w:rPr>
        <w:t>投資辦理外廓防波堤等各項基礎工程，填築新生地</w:t>
      </w:r>
      <w:r>
        <w:rPr>
          <w:rFonts w:eastAsia="標楷體"/>
          <w:spacing w:val="4"/>
          <w:kern w:val="0"/>
          <w:sz w:val="28"/>
          <w:szCs w:val="26"/>
        </w:rPr>
        <w:t>422.5</w:t>
      </w:r>
      <w:r>
        <w:rPr>
          <w:rFonts w:eastAsia="標楷體"/>
          <w:spacing w:val="4"/>
          <w:kern w:val="0"/>
          <w:sz w:val="28"/>
          <w:szCs w:val="26"/>
        </w:rPr>
        <w:t>公頃，興建深水碼頭</w:t>
      </w:r>
      <w:r>
        <w:rPr>
          <w:rFonts w:eastAsia="標楷體"/>
          <w:spacing w:val="4"/>
          <w:kern w:val="0"/>
          <w:sz w:val="28"/>
          <w:szCs w:val="26"/>
        </w:rPr>
        <w:t>19</w:t>
      </w:r>
      <w:r>
        <w:rPr>
          <w:rFonts w:eastAsia="標楷體"/>
          <w:spacing w:val="4"/>
          <w:kern w:val="0"/>
          <w:sz w:val="28"/>
          <w:szCs w:val="26"/>
        </w:rPr>
        <w:t>席，規劃為石化油品儲運中心、貨櫃基地及港埠用地等三區塊</w:t>
      </w:r>
      <w:r>
        <w:rPr>
          <w:rFonts w:ascii="新細明體" w:hAnsi="新細明體"/>
          <w:spacing w:val="4"/>
          <w:kern w:val="0"/>
          <w:sz w:val="28"/>
          <w:szCs w:val="26"/>
        </w:rPr>
        <w:t>，</w:t>
      </w:r>
      <w:r>
        <w:rPr>
          <w:rFonts w:eastAsia="標楷體"/>
          <w:spacing w:val="4"/>
          <w:kern w:val="0"/>
          <w:sz w:val="28"/>
          <w:szCs w:val="26"/>
        </w:rPr>
        <w:t>以引進民間資金進行開發，預期將大幅擴充港埠碼頭與後線場地服務能量，開啟高雄港舊港區發展新契機。</w:t>
      </w:r>
    </w:p>
    <w:p w14:paraId="6478F40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規劃國道</w:t>
      </w:r>
      <w:r>
        <w:rPr>
          <w:rFonts w:eastAsia="標楷體"/>
          <w:spacing w:val="4"/>
          <w:kern w:val="0"/>
          <w:sz w:val="28"/>
          <w:szCs w:val="26"/>
        </w:rPr>
        <w:t>7</w:t>
      </w:r>
      <w:r>
        <w:rPr>
          <w:rFonts w:eastAsia="標楷體"/>
          <w:spacing w:val="4"/>
          <w:kern w:val="0"/>
          <w:sz w:val="28"/>
          <w:szCs w:val="26"/>
        </w:rPr>
        <w:t>號建設計畫，提供高雄都會東側地區便捷之公路運輸服務，提高高雄港洲際貨櫃中心聯外運輸效率，提升高</w:t>
      </w:r>
      <w:r>
        <w:rPr>
          <w:rFonts w:eastAsia="標楷體"/>
          <w:spacing w:val="4"/>
          <w:kern w:val="0"/>
          <w:sz w:val="28"/>
          <w:szCs w:val="26"/>
        </w:rPr>
        <w:lastRenderedPageBreak/>
        <w:t>雄港營運競爭力。</w:t>
      </w:r>
    </w:p>
    <w:p w14:paraId="0F369F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4.</w:t>
      </w:r>
      <w:r>
        <w:rPr>
          <w:rFonts w:eastAsia="標楷體"/>
          <w:spacing w:val="4"/>
          <w:kern w:val="0"/>
          <w:sz w:val="28"/>
          <w:szCs w:val="26"/>
        </w:rPr>
        <w:t>鼓勵航商增闢大陸二線港口及其他國家航線，開發潛在貨源</w:t>
      </w:r>
      <w:r>
        <w:rPr>
          <w:rFonts w:ascii="新細明體" w:hAnsi="新細明體"/>
          <w:spacing w:val="4"/>
          <w:kern w:val="0"/>
          <w:sz w:val="28"/>
          <w:szCs w:val="26"/>
        </w:rPr>
        <w:t>；</w:t>
      </w:r>
      <w:r>
        <w:rPr>
          <w:rFonts w:eastAsia="標楷體"/>
          <w:spacing w:val="4"/>
          <w:kern w:val="0"/>
          <w:sz w:val="28"/>
          <w:szCs w:val="26"/>
        </w:rPr>
        <w:t>持續與陸方技術性磋商，提升航商開闢航線誘因，增加港口營運績效。</w:t>
      </w:r>
    </w:p>
    <w:p w14:paraId="3D97FE8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展現「政企分離」航港新局</w:t>
      </w:r>
    </w:p>
    <w:p w14:paraId="0B0D06C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配合航港體制改革，持續推動制定「交通及建設部航港局組織法」及修正「航業法」，以落實航港體制改革</w:t>
      </w:r>
      <w:r>
        <w:rPr>
          <w:rFonts w:ascii="新細明體" w:hAnsi="新細明體"/>
          <w:spacing w:val="4"/>
          <w:kern w:val="0"/>
          <w:sz w:val="28"/>
          <w:szCs w:val="26"/>
        </w:rPr>
        <w:t>，</w:t>
      </w:r>
      <w:r>
        <w:rPr>
          <w:rFonts w:eastAsia="標楷體"/>
          <w:spacing w:val="4"/>
          <w:kern w:val="0"/>
          <w:sz w:val="28"/>
          <w:szCs w:val="26"/>
        </w:rPr>
        <w:t>符合國際商港政企分離原則。</w:t>
      </w:r>
    </w:p>
    <w:p w14:paraId="0DC9791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以港群概念統合各港經營與發展</w:t>
      </w:r>
      <w:r>
        <w:rPr>
          <w:rFonts w:ascii="新細明體" w:hAnsi="新細明體"/>
          <w:spacing w:val="4"/>
          <w:kern w:val="0"/>
          <w:sz w:val="28"/>
          <w:szCs w:val="26"/>
        </w:rPr>
        <w:t>，</w:t>
      </w:r>
      <w:r>
        <w:rPr>
          <w:rFonts w:eastAsia="標楷體"/>
          <w:spacing w:val="4"/>
          <w:kern w:val="0"/>
          <w:sz w:val="28"/>
          <w:szCs w:val="26"/>
        </w:rPr>
        <w:t>發揮「對內協調分工，對外統合競爭」綜效，並透過投資國外港埠，建立航港網絡，強化港、航及產業鏈結，提升港埠整體競爭力。</w:t>
      </w:r>
    </w:p>
    <w:p w14:paraId="0537A38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以杜拜環球港務集團等國家港務經營機構為標竿，參考其營運經驗，成立物流子公司及港勤子公司</w:t>
      </w:r>
      <w:r>
        <w:rPr>
          <w:rFonts w:ascii="新細明體" w:hAnsi="新細明體"/>
          <w:spacing w:val="4"/>
          <w:kern w:val="0"/>
          <w:sz w:val="28"/>
          <w:szCs w:val="26"/>
        </w:rPr>
        <w:t>，</w:t>
      </w:r>
      <w:r>
        <w:rPr>
          <w:rFonts w:eastAsia="標楷體"/>
          <w:spacing w:val="4"/>
          <w:kern w:val="0"/>
          <w:sz w:val="28"/>
          <w:szCs w:val="26"/>
        </w:rPr>
        <w:t>並多角化經營</w:t>
      </w:r>
      <w:r>
        <w:rPr>
          <w:rFonts w:ascii="新細明體" w:hAnsi="新細明體"/>
          <w:spacing w:val="4"/>
          <w:kern w:val="0"/>
          <w:sz w:val="28"/>
          <w:szCs w:val="26"/>
        </w:rPr>
        <w:t>，</w:t>
      </w:r>
      <w:r>
        <w:rPr>
          <w:rFonts w:eastAsia="標楷體"/>
          <w:spacing w:val="4"/>
          <w:kern w:val="0"/>
          <w:sz w:val="28"/>
          <w:szCs w:val="26"/>
        </w:rPr>
        <w:t>達成行政資源集中及強化管理目標。</w:t>
      </w:r>
    </w:p>
    <w:p w14:paraId="4288432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(七)</w:t>
      </w:r>
      <w:r>
        <w:rPr>
          <w:rFonts w:eastAsia="標楷體"/>
          <w:spacing w:val="4"/>
          <w:kern w:val="0"/>
          <w:sz w:val="28"/>
          <w:szCs w:val="22"/>
        </w:rPr>
        <w:t>建構國際商港現代化客運設施</w:t>
      </w:r>
    </w:p>
    <w:p w14:paraId="008557B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擴大航港建設基金及港務公司營業基金投資規模，結合中央與地方政府力量，透過連結產業供應鏈及都市更新</w:t>
      </w:r>
      <w:r>
        <w:rPr>
          <w:rFonts w:ascii="新細明體" w:hAnsi="新細明體"/>
          <w:spacing w:val="4"/>
          <w:kern w:val="0"/>
          <w:sz w:val="28"/>
          <w:szCs w:val="26"/>
        </w:rPr>
        <w:t>，</w:t>
      </w:r>
      <w:r>
        <w:rPr>
          <w:rFonts w:eastAsia="標楷體"/>
          <w:spacing w:val="4"/>
          <w:kern w:val="0"/>
          <w:sz w:val="28"/>
          <w:szCs w:val="26"/>
        </w:rPr>
        <w:t>加強招商，創造跨域加值效果</w:t>
      </w:r>
      <w:r>
        <w:rPr>
          <w:rFonts w:ascii="新細明體" w:hAnsi="新細明體"/>
          <w:spacing w:val="4"/>
          <w:kern w:val="0"/>
          <w:sz w:val="28"/>
          <w:szCs w:val="26"/>
        </w:rPr>
        <w:t>。</w:t>
      </w:r>
    </w:p>
    <w:p w14:paraId="16819B9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推動「高雄港客運專區建設計畫」及「基隆港西岸客運專區港務大樓興建工程」，大幅提升港埠旅運服務品質</w:t>
      </w:r>
      <w:r>
        <w:rPr>
          <w:rFonts w:ascii="新細明體" w:hAnsi="新細明體"/>
          <w:spacing w:val="4"/>
          <w:kern w:val="0"/>
          <w:sz w:val="28"/>
          <w:szCs w:val="26"/>
        </w:rPr>
        <w:t>；</w:t>
      </w:r>
      <w:r>
        <w:rPr>
          <w:rFonts w:eastAsia="標楷體"/>
          <w:spacing w:val="4"/>
          <w:kern w:val="0"/>
          <w:sz w:val="28"/>
          <w:szCs w:val="26"/>
        </w:rPr>
        <w:t>另促進港埠休閒觀光產業發展</w:t>
      </w:r>
      <w:r>
        <w:rPr>
          <w:rFonts w:ascii="新細明體" w:hAnsi="新細明體"/>
          <w:spacing w:val="4"/>
          <w:kern w:val="0"/>
          <w:sz w:val="28"/>
          <w:szCs w:val="26"/>
        </w:rPr>
        <w:t>，</w:t>
      </w:r>
      <w:r>
        <w:rPr>
          <w:rFonts w:eastAsia="標楷體"/>
          <w:spacing w:val="4"/>
          <w:kern w:val="0"/>
          <w:sz w:val="28"/>
          <w:szCs w:val="26"/>
        </w:rPr>
        <w:t>與在地人文環境融合，結合親水遊憩、觀光及會展等面向，重塑海洋門戶新意象，使港口成為都市的好鄰居。</w:t>
      </w:r>
    </w:p>
    <w:p w14:paraId="053B6AA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分期推動「臺北商港物流倉儲區填海造地計畫」，利用港區浚泥及收納大臺北地區營建工程餘土填築港埠新生地，解決餘土收容處理</w:t>
      </w:r>
      <w:r>
        <w:rPr>
          <w:rFonts w:ascii="新細明體" w:hAnsi="新細明體"/>
          <w:spacing w:val="4"/>
          <w:kern w:val="0"/>
          <w:sz w:val="28"/>
          <w:szCs w:val="26"/>
        </w:rPr>
        <w:t>，</w:t>
      </w:r>
      <w:r>
        <w:rPr>
          <w:rFonts w:eastAsia="標楷體"/>
          <w:spacing w:val="4"/>
          <w:kern w:val="0"/>
          <w:sz w:val="28"/>
          <w:szCs w:val="26"/>
        </w:rPr>
        <w:t>並供應第一貨櫃中心擴建之土地需求。</w:t>
      </w:r>
    </w:p>
    <w:p w14:paraId="5376F90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4.</w:t>
      </w:r>
      <w:r>
        <w:rPr>
          <w:rFonts w:eastAsia="標楷體"/>
          <w:spacing w:val="4"/>
          <w:kern w:val="0"/>
          <w:sz w:val="28"/>
          <w:szCs w:val="26"/>
        </w:rPr>
        <w:t>推動臺中港優質港區及綠色港埠發展計畫</w:t>
      </w:r>
      <w:r>
        <w:rPr>
          <w:rFonts w:ascii="新細明體" w:hAnsi="新細明體"/>
          <w:spacing w:val="4"/>
          <w:kern w:val="0"/>
          <w:sz w:val="28"/>
          <w:szCs w:val="26"/>
        </w:rPr>
        <w:t>，</w:t>
      </w:r>
      <w:r>
        <w:rPr>
          <w:rFonts w:eastAsia="標楷體"/>
          <w:spacing w:val="4"/>
          <w:kern w:val="0"/>
          <w:sz w:val="28"/>
          <w:szCs w:val="26"/>
        </w:rPr>
        <w:t>規劃新建散雜貨碼頭</w:t>
      </w:r>
      <w:r>
        <w:rPr>
          <w:rFonts w:eastAsia="標楷體"/>
          <w:spacing w:val="4"/>
          <w:kern w:val="0"/>
          <w:sz w:val="28"/>
          <w:szCs w:val="26"/>
        </w:rPr>
        <w:t>3</w:t>
      </w:r>
      <w:r>
        <w:rPr>
          <w:rFonts w:eastAsia="標楷體"/>
          <w:spacing w:val="4"/>
          <w:kern w:val="0"/>
          <w:sz w:val="28"/>
          <w:szCs w:val="26"/>
        </w:rPr>
        <w:t>座</w:t>
      </w:r>
      <w:r>
        <w:rPr>
          <w:rFonts w:ascii="新細明體" w:hAnsi="新細明體"/>
          <w:spacing w:val="4"/>
          <w:kern w:val="0"/>
          <w:sz w:val="28"/>
          <w:szCs w:val="26"/>
        </w:rPr>
        <w:t>、</w:t>
      </w:r>
      <w:r>
        <w:rPr>
          <w:rFonts w:eastAsia="標楷體"/>
          <w:spacing w:val="4"/>
          <w:kern w:val="0"/>
          <w:sz w:val="28"/>
          <w:szCs w:val="26"/>
        </w:rPr>
        <w:t>客貨碼頭</w:t>
      </w:r>
      <w:r>
        <w:rPr>
          <w:rFonts w:eastAsia="標楷體"/>
          <w:spacing w:val="4"/>
          <w:kern w:val="0"/>
          <w:sz w:val="28"/>
          <w:szCs w:val="26"/>
        </w:rPr>
        <w:t>1</w:t>
      </w:r>
      <w:r>
        <w:rPr>
          <w:rFonts w:eastAsia="標楷體"/>
          <w:spacing w:val="4"/>
          <w:kern w:val="0"/>
          <w:sz w:val="28"/>
          <w:szCs w:val="26"/>
        </w:rPr>
        <w:t>座</w:t>
      </w:r>
      <w:r>
        <w:rPr>
          <w:rFonts w:ascii="新細明體" w:hAnsi="新細明體"/>
          <w:spacing w:val="4"/>
          <w:kern w:val="0"/>
          <w:sz w:val="28"/>
          <w:szCs w:val="26"/>
        </w:rPr>
        <w:t>，</w:t>
      </w:r>
      <w:r>
        <w:rPr>
          <w:rFonts w:eastAsia="標楷體"/>
          <w:spacing w:val="4"/>
          <w:kern w:val="0"/>
          <w:sz w:val="28"/>
          <w:szCs w:val="26"/>
        </w:rPr>
        <w:t>以及公共倉儲等港埠營運設施，並辦理碼頭用途調整及港池浚深等作業，改善原物料裝卸對港區環境衝擊，強化兩岸客貨及郵輪之服務品質，並營造優質</w:t>
      </w:r>
      <w:r>
        <w:rPr>
          <w:rFonts w:eastAsia="標楷體"/>
          <w:spacing w:val="4"/>
          <w:kern w:val="0"/>
          <w:sz w:val="28"/>
          <w:szCs w:val="26"/>
        </w:rPr>
        <w:lastRenderedPageBreak/>
        <w:t>環保的港區環境。</w:t>
      </w:r>
    </w:p>
    <w:p w14:paraId="163D0CED"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F25ADE0"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參、便捷生活</w:t>
      </w:r>
    </w:p>
    <w:p w14:paraId="238C32A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48121EA"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便捷生活涵蓋便捷交通及全面數位寬頻二大層面。在便捷交通層面之軌道運輸方面，以「高速鐵路」為聯繫臺灣南北旅客運輸服務主軸，透過北中南都會區捷運網、區域鐵路運輸路網改善，確實提供「無接縫</w:t>
      </w:r>
      <w:r>
        <w:rPr>
          <w:rFonts w:ascii="標楷體" w:eastAsia="標楷體" w:hAnsi="標楷體"/>
          <w:spacing w:val="4"/>
          <w:kern w:val="0"/>
          <w:sz w:val="28"/>
          <w:szCs w:val="26"/>
        </w:rPr>
        <w:t>(</w:t>
      </w:r>
      <w:r>
        <w:rPr>
          <w:rFonts w:eastAsia="標楷體"/>
          <w:spacing w:val="4"/>
          <w:kern w:val="0"/>
          <w:sz w:val="28"/>
          <w:szCs w:val="26"/>
        </w:rPr>
        <w:t>Seamless</w:t>
      </w:r>
      <w:r>
        <w:rPr>
          <w:rFonts w:ascii="標楷體" w:eastAsia="標楷體" w:hAnsi="標楷體"/>
          <w:spacing w:val="4"/>
          <w:kern w:val="0"/>
          <w:sz w:val="28"/>
          <w:szCs w:val="26"/>
        </w:rPr>
        <w:t>)</w:t>
      </w:r>
      <w:r>
        <w:rPr>
          <w:rFonts w:eastAsia="標楷體"/>
          <w:spacing w:val="4"/>
          <w:kern w:val="0"/>
          <w:sz w:val="28"/>
          <w:szCs w:val="26"/>
        </w:rPr>
        <w:t>」優質軌道運輸系統服務</w:t>
      </w:r>
      <w:r>
        <w:rPr>
          <w:rFonts w:ascii="新細明體" w:hAnsi="新細明體"/>
          <w:spacing w:val="4"/>
          <w:kern w:val="0"/>
          <w:sz w:val="28"/>
          <w:szCs w:val="26"/>
        </w:rPr>
        <w:t>；</w:t>
      </w:r>
      <w:r>
        <w:rPr>
          <w:rFonts w:eastAsia="標楷體"/>
          <w:spacing w:val="4"/>
          <w:kern w:val="0"/>
          <w:sz w:val="28"/>
          <w:szCs w:val="26"/>
        </w:rPr>
        <w:t>辦理東部鐵路提速、電氣化與雙軌化</w:t>
      </w:r>
      <w:r>
        <w:rPr>
          <w:rFonts w:ascii="新細明體" w:hAnsi="新細明體"/>
          <w:spacing w:val="4"/>
          <w:kern w:val="0"/>
          <w:sz w:val="28"/>
          <w:szCs w:val="26"/>
        </w:rPr>
        <w:t>，</w:t>
      </w:r>
      <w:r>
        <w:rPr>
          <w:rFonts w:eastAsia="標楷體"/>
          <w:spacing w:val="4"/>
          <w:kern w:val="0"/>
          <w:sz w:val="28"/>
          <w:szCs w:val="26"/>
        </w:rPr>
        <w:t>以及南迴鐵路電氣化等計畫，建構東部便捷軌道運輸路網</w:t>
      </w:r>
      <w:r>
        <w:rPr>
          <w:rFonts w:ascii="新細明體" w:hAnsi="新細明體"/>
          <w:spacing w:val="4"/>
          <w:kern w:val="0"/>
          <w:sz w:val="28"/>
          <w:szCs w:val="26"/>
        </w:rPr>
        <w:t>。</w:t>
      </w:r>
      <w:r>
        <w:rPr>
          <w:rFonts w:eastAsia="標楷體"/>
          <w:spacing w:val="4"/>
          <w:kern w:val="0"/>
          <w:sz w:val="28"/>
          <w:szCs w:val="26"/>
        </w:rPr>
        <w:t>公路方面，將加強高速公路與快速公路系統整合，著重瓶頸改善、路網完整及提升使用效率等，有效提升公路系統機動性</w:t>
      </w:r>
      <w:r>
        <w:rPr>
          <w:rFonts w:ascii="新細明體" w:hAnsi="新細明體"/>
          <w:spacing w:val="4"/>
          <w:kern w:val="0"/>
          <w:sz w:val="28"/>
          <w:szCs w:val="26"/>
        </w:rPr>
        <w:t>，</w:t>
      </w:r>
      <w:r>
        <w:rPr>
          <w:rFonts w:eastAsia="標楷體"/>
          <w:spacing w:val="4"/>
          <w:kern w:val="0"/>
          <w:sz w:val="28"/>
          <w:szCs w:val="26"/>
        </w:rPr>
        <w:t>並針對臺</w:t>
      </w:r>
      <w:r>
        <w:rPr>
          <w:rFonts w:eastAsia="標楷體"/>
          <w:spacing w:val="4"/>
          <w:kern w:val="0"/>
          <w:sz w:val="28"/>
          <w:szCs w:val="26"/>
        </w:rPr>
        <w:t>9</w:t>
      </w:r>
      <w:r>
        <w:rPr>
          <w:rFonts w:eastAsia="標楷體"/>
          <w:spacing w:val="4"/>
          <w:kern w:val="0"/>
          <w:sz w:val="28"/>
          <w:szCs w:val="26"/>
        </w:rPr>
        <w:t>線蘇花及南迴等公路進行改善，增進安全性與可靠性</w:t>
      </w:r>
      <w:r>
        <w:rPr>
          <w:rFonts w:ascii="新細明體" w:hAnsi="新細明體"/>
          <w:spacing w:val="4"/>
          <w:kern w:val="0"/>
          <w:sz w:val="28"/>
          <w:szCs w:val="26"/>
        </w:rPr>
        <w:t>；</w:t>
      </w:r>
      <w:r>
        <w:rPr>
          <w:rFonts w:eastAsia="標楷體"/>
          <w:spacing w:val="4"/>
          <w:kern w:val="0"/>
          <w:sz w:val="28"/>
          <w:szCs w:val="26"/>
        </w:rPr>
        <w:t>另將透過公共運輸政策引導及穩定資源投入，提升公路公共運輸使用率。</w:t>
      </w:r>
    </w:p>
    <w:p w14:paraId="78FEECA4"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全面數位寬頻層面，將全面加速寬頻網路建設，聚焦發展創新數位匯流應用，延伸具服務特性之商業模式，俾提供人民有感之便捷服務體驗，創造優質數位匯流生活，達到「創造優質數位匯流生活、打造數位匯流產業、提升國家次世代競爭力」的願景。</w:t>
      </w:r>
    </w:p>
    <w:p w14:paraId="66C9393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50A5446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便捷交通</w:t>
      </w:r>
    </w:p>
    <w:p w14:paraId="6F3E178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建構舒適、便捷、安全、無接縫優質軌道運輸系統。</w:t>
      </w:r>
    </w:p>
    <w:p w14:paraId="3C1A914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完成東部鐵路提速、電氣化與雙軌化，建構東部便捷、快速軌道運輸路網。</w:t>
      </w:r>
    </w:p>
    <w:p w14:paraId="62434F6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改善東部公路，提供鄉親安全、快速回家的路。</w:t>
      </w:r>
    </w:p>
    <w:p w14:paraId="4B4994E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4.</w:t>
      </w:r>
      <w:r>
        <w:rPr>
          <w:rFonts w:eastAsia="標楷體"/>
          <w:spacing w:val="4"/>
          <w:kern w:val="0"/>
          <w:sz w:val="28"/>
          <w:szCs w:val="26"/>
        </w:rPr>
        <w:t>推動第三條縱貫南北快速公路</w:t>
      </w:r>
      <w:r>
        <w:rPr>
          <w:rFonts w:eastAsia="標楷體"/>
          <w:b/>
          <w:spacing w:val="4"/>
          <w:kern w:val="0"/>
          <w:sz w:val="28"/>
          <w:szCs w:val="26"/>
        </w:rPr>
        <w:t>－</w:t>
      </w:r>
      <w:r>
        <w:rPr>
          <w:rFonts w:eastAsia="標楷體"/>
          <w:spacing w:val="4"/>
          <w:kern w:val="0"/>
          <w:sz w:val="28"/>
          <w:szCs w:val="26"/>
        </w:rPr>
        <w:t>西濱快速公路全線完成；健全</w:t>
      </w:r>
      <w:r>
        <w:rPr>
          <w:rFonts w:eastAsia="標楷體"/>
          <w:spacing w:val="4"/>
          <w:kern w:val="0"/>
          <w:sz w:val="28"/>
          <w:szCs w:val="26"/>
        </w:rPr>
        <w:t>12</w:t>
      </w:r>
      <w:r>
        <w:rPr>
          <w:rFonts w:eastAsia="標楷體"/>
          <w:spacing w:val="4"/>
          <w:kern w:val="0"/>
          <w:sz w:val="28"/>
          <w:szCs w:val="26"/>
        </w:rPr>
        <w:t>條東西向快速公路，發揮快速公路效益。</w:t>
      </w:r>
    </w:p>
    <w:p w14:paraId="60E353F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建立全生命週期養護及防救災系統。</w:t>
      </w:r>
    </w:p>
    <w:p w14:paraId="0C19EF7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改善整體公共運輸環境，提升公共運輸使用率。</w:t>
      </w:r>
    </w:p>
    <w:p w14:paraId="5A04B14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全面數位寬頻</w:t>
      </w:r>
    </w:p>
    <w:p w14:paraId="0111ACB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color w:val="000000"/>
          <w:spacing w:val="4"/>
          <w:kern w:val="0"/>
          <w:sz w:val="28"/>
          <w:szCs w:val="26"/>
        </w:rPr>
        <w:t>加速</w:t>
      </w:r>
      <w:r>
        <w:rPr>
          <w:rFonts w:eastAsia="標楷體"/>
          <w:spacing w:val="4"/>
          <w:kern w:val="0"/>
          <w:sz w:val="28"/>
          <w:szCs w:val="26"/>
        </w:rPr>
        <w:t>推動電視數位化。</w:t>
      </w:r>
    </w:p>
    <w:p w14:paraId="1E1C8E2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推動寬頻建設，</w:t>
      </w:r>
      <w:r>
        <w:rPr>
          <w:rFonts w:eastAsia="標楷體"/>
          <w:spacing w:val="4"/>
          <w:kern w:val="0"/>
          <w:sz w:val="28"/>
          <w:szCs w:val="26"/>
        </w:rPr>
        <w:t>104</w:t>
      </w:r>
      <w:r>
        <w:rPr>
          <w:rFonts w:eastAsia="標楷體"/>
          <w:spacing w:val="4"/>
          <w:kern w:val="0"/>
          <w:sz w:val="28"/>
          <w:szCs w:val="26"/>
        </w:rPr>
        <w:t>年光纖用戶數達</w:t>
      </w:r>
      <w:r>
        <w:rPr>
          <w:rFonts w:eastAsia="標楷體"/>
          <w:spacing w:val="4"/>
          <w:kern w:val="0"/>
          <w:sz w:val="28"/>
          <w:szCs w:val="26"/>
        </w:rPr>
        <w:t>720</w:t>
      </w:r>
      <w:r>
        <w:rPr>
          <w:rFonts w:eastAsia="標楷體"/>
          <w:spacing w:val="4"/>
          <w:kern w:val="0"/>
          <w:sz w:val="28"/>
          <w:szCs w:val="26"/>
        </w:rPr>
        <w:t>萬戶、無線寬頻網路</w:t>
      </w:r>
      <w:r>
        <w:rPr>
          <w:rFonts w:eastAsia="標楷體"/>
          <w:spacing w:val="4"/>
          <w:kern w:val="0"/>
          <w:sz w:val="28"/>
          <w:szCs w:val="26"/>
        </w:rPr>
        <w:lastRenderedPageBreak/>
        <w:t>帳號數達</w:t>
      </w:r>
      <w:r>
        <w:rPr>
          <w:rFonts w:eastAsia="標楷體"/>
          <w:spacing w:val="4"/>
          <w:kern w:val="0"/>
          <w:sz w:val="28"/>
          <w:szCs w:val="26"/>
        </w:rPr>
        <w:t>1,100</w:t>
      </w:r>
      <w:r>
        <w:rPr>
          <w:rFonts w:eastAsia="標楷體"/>
          <w:spacing w:val="4"/>
          <w:kern w:val="0"/>
          <w:sz w:val="28"/>
          <w:szCs w:val="26"/>
        </w:rPr>
        <w:t>萬戶，建構全民寬頻上網環境。</w:t>
      </w:r>
    </w:p>
    <w:p w14:paraId="488535B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促進頻譜資源有效利用。</w:t>
      </w:r>
    </w:p>
    <w:p w14:paraId="3969CB5D"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2AAB7AE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便捷交通</w:t>
      </w:r>
    </w:p>
    <w:p w14:paraId="0F972B7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軌道建設</w:t>
      </w:r>
    </w:p>
    <w:p w14:paraId="356B40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加速構建北、中、南三大都會區快速便捷之捷運網路，提供無縫優質軌道運輸系統服務。</w:t>
      </w:r>
    </w:p>
    <w:p w14:paraId="6E96919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推動臺鐵捷運化及立體化</w:t>
      </w:r>
      <w:r>
        <w:rPr>
          <w:rFonts w:ascii="新細明體" w:hAnsi="新細明體"/>
          <w:spacing w:val="4"/>
          <w:kern w:val="0"/>
          <w:sz w:val="28"/>
          <w:szCs w:val="22"/>
        </w:rPr>
        <w:t>，</w:t>
      </w:r>
      <w:r>
        <w:rPr>
          <w:rFonts w:eastAsia="標楷體"/>
          <w:spacing w:val="4"/>
          <w:kern w:val="0"/>
          <w:sz w:val="28"/>
          <w:szCs w:val="22"/>
        </w:rPr>
        <w:t>臺鐵捷運化後續建設計畫</w:t>
      </w:r>
      <w:r>
        <w:rPr>
          <w:rFonts w:ascii="標楷體" w:eastAsia="標楷體" w:hAnsi="標楷體"/>
          <w:spacing w:val="4"/>
          <w:kern w:val="0"/>
          <w:sz w:val="28"/>
          <w:szCs w:val="22"/>
        </w:rPr>
        <w:t>(</w:t>
      </w:r>
      <w:r>
        <w:rPr>
          <w:rFonts w:eastAsia="標楷體"/>
          <w:spacing w:val="4"/>
          <w:kern w:val="0"/>
          <w:sz w:val="28"/>
          <w:szCs w:val="22"/>
        </w:rPr>
        <w:t>基隆－苗栗段</w:t>
      </w:r>
      <w:r>
        <w:rPr>
          <w:rFonts w:ascii="標楷體" w:eastAsia="標楷體" w:hAnsi="標楷體"/>
          <w:spacing w:val="4"/>
          <w:kern w:val="0"/>
          <w:sz w:val="28"/>
          <w:szCs w:val="22"/>
        </w:rPr>
        <w:t>)</w:t>
      </w:r>
      <w:r>
        <w:rPr>
          <w:rFonts w:eastAsia="標楷體"/>
          <w:spacing w:val="4"/>
          <w:kern w:val="0"/>
          <w:sz w:val="28"/>
          <w:szCs w:val="22"/>
        </w:rPr>
        <w:t>、高雄－屏東潮州捷運化等計畫，增設通勤車站，發揮區域鐵路服務功能。</w:t>
      </w:r>
    </w:p>
    <w:p w14:paraId="215D44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推動屏東潮州段、花東線全線電氣化計畫，規劃潮州枋寮段及南迴鐵路電氣化等計畫，完成環島鐵路電氣化目標。</w:t>
      </w:r>
    </w:p>
    <w:p w14:paraId="12251D4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推動臺鐵南港至花蓮提速改善計畫</w:t>
      </w:r>
      <w:r>
        <w:rPr>
          <w:rFonts w:ascii="新細明體" w:hAnsi="新細明體"/>
          <w:spacing w:val="4"/>
          <w:kern w:val="0"/>
          <w:sz w:val="28"/>
          <w:szCs w:val="22"/>
        </w:rPr>
        <w:t>，</w:t>
      </w:r>
      <w:r>
        <w:rPr>
          <w:rFonts w:eastAsia="標楷體"/>
          <w:spacing w:val="4"/>
          <w:kern w:val="0"/>
          <w:sz w:val="28"/>
          <w:szCs w:val="22"/>
        </w:rPr>
        <w:t>疏緩北宜間交通壅塞，減少至花東地區旅行時間。</w:t>
      </w:r>
    </w:p>
    <w:p w14:paraId="34E0039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公路建設</w:t>
      </w:r>
    </w:p>
    <w:p w14:paraId="10F7259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kern w:val="0"/>
          <w:sz w:val="28"/>
          <w:szCs w:val="22"/>
        </w:rPr>
        <w:t>推動臺</w:t>
      </w:r>
      <w:r>
        <w:rPr>
          <w:rFonts w:eastAsia="標楷體"/>
          <w:kern w:val="0"/>
          <w:sz w:val="28"/>
          <w:szCs w:val="22"/>
        </w:rPr>
        <w:t>9</w:t>
      </w:r>
      <w:r>
        <w:rPr>
          <w:rFonts w:eastAsia="標楷體"/>
          <w:kern w:val="0"/>
          <w:sz w:val="28"/>
          <w:szCs w:val="22"/>
        </w:rPr>
        <w:t>線蘇花公路山區路段改善</w:t>
      </w:r>
      <w:r>
        <w:rPr>
          <w:rFonts w:ascii="新細明體" w:hAnsi="新細明體"/>
          <w:kern w:val="0"/>
          <w:sz w:val="28"/>
          <w:szCs w:val="22"/>
        </w:rPr>
        <w:t>、</w:t>
      </w:r>
      <w:r>
        <w:rPr>
          <w:rFonts w:eastAsia="標楷體"/>
          <w:kern w:val="0"/>
          <w:sz w:val="28"/>
          <w:szCs w:val="22"/>
        </w:rPr>
        <w:t>花東三期建設及後續四期建設</w:t>
      </w:r>
      <w:r>
        <w:rPr>
          <w:rFonts w:ascii="新細明體" w:hAnsi="新細明體"/>
          <w:kern w:val="0"/>
          <w:sz w:val="28"/>
          <w:szCs w:val="22"/>
        </w:rPr>
        <w:t>，</w:t>
      </w:r>
      <w:r>
        <w:rPr>
          <w:rFonts w:eastAsia="標楷體"/>
          <w:kern w:val="0"/>
          <w:sz w:val="28"/>
          <w:szCs w:val="22"/>
        </w:rPr>
        <w:t>以及南迴公路後續改善</w:t>
      </w:r>
      <w:r>
        <w:rPr>
          <w:rFonts w:ascii="新細明體" w:hAnsi="新細明體"/>
          <w:kern w:val="0"/>
          <w:sz w:val="28"/>
          <w:szCs w:val="22"/>
        </w:rPr>
        <w:t>，</w:t>
      </w:r>
      <w:r>
        <w:rPr>
          <w:rFonts w:eastAsia="標楷體"/>
          <w:kern w:val="0"/>
          <w:sz w:val="28"/>
          <w:szCs w:val="22"/>
        </w:rPr>
        <w:t>強化東部公路運輸功能。</w:t>
      </w:r>
    </w:p>
    <w:p w14:paraId="746A6C0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貫通西濱快速公路，以</w:t>
      </w:r>
      <w:r>
        <w:rPr>
          <w:rFonts w:eastAsia="標楷體"/>
          <w:spacing w:val="4"/>
          <w:kern w:val="0"/>
          <w:sz w:val="28"/>
          <w:szCs w:val="22"/>
        </w:rPr>
        <w:t>106</w:t>
      </w:r>
      <w:r>
        <w:rPr>
          <w:rFonts w:eastAsia="標楷體"/>
          <w:spacing w:val="4"/>
          <w:kern w:val="0"/>
          <w:sz w:val="28"/>
          <w:szCs w:val="22"/>
        </w:rPr>
        <w:t>年全線通車為目標，形成第</w:t>
      </w:r>
      <w:r>
        <w:rPr>
          <w:rFonts w:eastAsia="標楷體"/>
          <w:spacing w:val="4"/>
          <w:kern w:val="0"/>
          <w:sz w:val="28"/>
          <w:szCs w:val="22"/>
        </w:rPr>
        <w:t>3</w:t>
      </w:r>
      <w:r>
        <w:rPr>
          <w:rFonts w:eastAsia="標楷體"/>
          <w:spacing w:val="4"/>
          <w:kern w:val="0"/>
          <w:sz w:val="28"/>
          <w:szCs w:val="22"/>
        </w:rPr>
        <w:t>條縱貫南北快速公路幹道。</w:t>
      </w:r>
    </w:p>
    <w:p w14:paraId="31BFDFC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規劃推動北門玉井線臺</w:t>
      </w:r>
      <w:r>
        <w:rPr>
          <w:rFonts w:eastAsia="標楷體"/>
          <w:spacing w:val="4"/>
          <w:kern w:val="0"/>
          <w:sz w:val="28"/>
          <w:szCs w:val="22"/>
        </w:rPr>
        <w:t>61</w:t>
      </w:r>
      <w:r>
        <w:rPr>
          <w:rFonts w:eastAsia="標楷體"/>
          <w:spacing w:val="4"/>
          <w:kern w:val="0"/>
          <w:sz w:val="28"/>
          <w:szCs w:val="22"/>
        </w:rPr>
        <w:t>至國</w:t>
      </w:r>
      <w:r>
        <w:rPr>
          <w:rFonts w:eastAsia="標楷體"/>
          <w:spacing w:val="4"/>
          <w:kern w:val="0"/>
          <w:sz w:val="28"/>
          <w:szCs w:val="22"/>
        </w:rPr>
        <w:t>1</w:t>
      </w:r>
      <w:r>
        <w:rPr>
          <w:rFonts w:eastAsia="標楷體"/>
          <w:spacing w:val="4"/>
          <w:kern w:val="0"/>
          <w:sz w:val="28"/>
          <w:szCs w:val="22"/>
        </w:rPr>
        <w:t>段、觀音大溪線平交路口改善等路段，健全東西向快速公路網，強化與縱向高快速公路連結，提升運輸效能。</w:t>
      </w:r>
    </w:p>
    <w:p w14:paraId="28F994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持續推動生活圈道路建設補助計畫，協助地方政府建構區域性交通路網，健全地區道路系統。</w:t>
      </w:r>
    </w:p>
    <w:p w14:paraId="09BF71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4"/>
          <w:kern w:val="0"/>
          <w:sz w:val="28"/>
          <w:szCs w:val="22"/>
        </w:rPr>
        <w:t>推動省道山區公路防災計畫及省道橋梁耐震補強計畫</w:t>
      </w:r>
      <w:r>
        <w:rPr>
          <w:rFonts w:ascii="新細明體" w:hAnsi="新細明體"/>
          <w:spacing w:val="4"/>
          <w:kern w:val="0"/>
          <w:sz w:val="28"/>
          <w:szCs w:val="22"/>
        </w:rPr>
        <w:t>，</w:t>
      </w:r>
      <w:r>
        <w:rPr>
          <w:rFonts w:eastAsia="標楷體"/>
          <w:spacing w:val="4"/>
          <w:kern w:val="0"/>
          <w:sz w:val="28"/>
          <w:szCs w:val="22"/>
        </w:rPr>
        <w:t>維護人員</w:t>
      </w:r>
      <w:r>
        <w:rPr>
          <w:rFonts w:ascii="新細明體" w:hAnsi="新細明體"/>
          <w:spacing w:val="4"/>
          <w:kern w:val="0"/>
          <w:sz w:val="28"/>
          <w:szCs w:val="22"/>
        </w:rPr>
        <w:t>、</w:t>
      </w:r>
      <w:r>
        <w:rPr>
          <w:rFonts w:eastAsia="標楷體"/>
          <w:spacing w:val="4"/>
          <w:kern w:val="0"/>
          <w:sz w:val="28"/>
          <w:szCs w:val="22"/>
        </w:rPr>
        <w:t>行車安全</w:t>
      </w:r>
      <w:r>
        <w:rPr>
          <w:rFonts w:ascii="新細明體" w:hAnsi="新細明體"/>
          <w:spacing w:val="4"/>
          <w:kern w:val="0"/>
          <w:sz w:val="28"/>
          <w:szCs w:val="22"/>
        </w:rPr>
        <w:t>。</w:t>
      </w:r>
    </w:p>
    <w:p w14:paraId="1069E20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6</w:t>
      </w:r>
      <w:r>
        <w:rPr>
          <w:rFonts w:ascii="標楷體" w:eastAsia="標楷體" w:hAnsi="標楷體"/>
          <w:spacing w:val="4"/>
          <w:kern w:val="0"/>
          <w:sz w:val="28"/>
          <w:szCs w:val="22"/>
        </w:rPr>
        <w:t>)</w:t>
      </w:r>
      <w:r>
        <w:rPr>
          <w:rFonts w:eastAsia="標楷體"/>
          <w:spacing w:val="4"/>
          <w:kern w:val="0"/>
          <w:sz w:val="28"/>
          <w:szCs w:val="22"/>
        </w:rPr>
        <w:t>精進公路防救災流域管理與風險管理系統</w:t>
      </w:r>
      <w:r>
        <w:rPr>
          <w:rFonts w:ascii="新細明體" w:hAnsi="新細明體"/>
          <w:spacing w:val="4"/>
          <w:kern w:val="0"/>
          <w:sz w:val="28"/>
          <w:szCs w:val="22"/>
        </w:rPr>
        <w:t>，</w:t>
      </w:r>
      <w:r>
        <w:rPr>
          <w:rFonts w:eastAsia="標楷體"/>
          <w:spacing w:val="4"/>
          <w:kern w:val="0"/>
          <w:sz w:val="28"/>
          <w:szCs w:val="22"/>
        </w:rPr>
        <w:t>爭取前置預警時間，保障用路人安全。</w:t>
      </w:r>
    </w:p>
    <w:p w14:paraId="490FE3B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7</w:t>
      </w:r>
      <w:r>
        <w:rPr>
          <w:rFonts w:ascii="標楷體" w:eastAsia="標楷體" w:hAnsi="標楷體"/>
          <w:spacing w:val="4"/>
          <w:kern w:val="0"/>
          <w:sz w:val="28"/>
          <w:szCs w:val="22"/>
        </w:rPr>
        <w:t>)</w:t>
      </w:r>
      <w:r>
        <w:rPr>
          <w:rFonts w:eastAsia="標楷體"/>
          <w:spacing w:val="4"/>
          <w:kern w:val="0"/>
          <w:sz w:val="28"/>
          <w:szCs w:val="22"/>
        </w:rPr>
        <w:t>推動「公路公共運輸提昇計畫」</w:t>
      </w:r>
      <w:r>
        <w:rPr>
          <w:rFonts w:ascii="標楷體" w:eastAsia="標楷體" w:hAnsi="標楷體"/>
          <w:spacing w:val="4"/>
          <w:kern w:val="0"/>
          <w:sz w:val="28"/>
          <w:szCs w:val="22"/>
        </w:rPr>
        <w:t>(</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w:t>
      </w:r>
      <w:r>
        <w:rPr>
          <w:rFonts w:ascii="標楷體" w:eastAsia="標楷體" w:hAnsi="標楷體"/>
          <w:spacing w:val="4"/>
          <w:kern w:val="0"/>
          <w:sz w:val="28"/>
          <w:szCs w:val="22"/>
        </w:rPr>
        <w:t>)</w:t>
      </w:r>
      <w:r>
        <w:rPr>
          <w:rFonts w:eastAsia="標楷體"/>
          <w:spacing w:val="4"/>
          <w:kern w:val="0"/>
          <w:sz w:val="28"/>
          <w:szCs w:val="22"/>
        </w:rPr>
        <w:t>，積極改善整體公共運輸環境，提升公共運輸使用率</w:t>
      </w:r>
      <w:r>
        <w:rPr>
          <w:rFonts w:ascii="新細明體" w:hAnsi="新細明體"/>
          <w:spacing w:val="4"/>
          <w:kern w:val="0"/>
          <w:sz w:val="28"/>
          <w:szCs w:val="22"/>
        </w:rPr>
        <w:t>。</w:t>
      </w:r>
    </w:p>
    <w:p w14:paraId="01A04C9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全面數位寬頻</w:t>
      </w:r>
    </w:p>
    <w:p w14:paraId="7DA6CD3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推動有線電視法修法，加速有線電視數位化。</w:t>
      </w:r>
    </w:p>
    <w:p w14:paraId="031A9B3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賡續推動「數位匯流發展方案</w:t>
      </w:r>
      <w:r>
        <w:rPr>
          <w:rFonts w:ascii="標楷體" w:eastAsia="標楷體" w:hAnsi="標楷體"/>
          <w:spacing w:val="4"/>
          <w:kern w:val="0"/>
          <w:sz w:val="28"/>
          <w:szCs w:val="22"/>
        </w:rPr>
        <w:t>(</w:t>
      </w:r>
      <w:r>
        <w:rPr>
          <w:rFonts w:eastAsia="標楷體"/>
          <w:spacing w:val="4"/>
          <w:kern w:val="0"/>
          <w:sz w:val="28"/>
          <w:szCs w:val="22"/>
        </w:rPr>
        <w:t>2010</w:t>
      </w:r>
      <w:r>
        <w:rPr>
          <w:rFonts w:eastAsia="標楷體"/>
          <w:spacing w:val="4"/>
          <w:kern w:val="0"/>
          <w:sz w:val="28"/>
          <w:szCs w:val="22"/>
        </w:rPr>
        <w:t>至</w:t>
      </w:r>
      <w:r>
        <w:rPr>
          <w:rFonts w:eastAsia="標楷體"/>
          <w:spacing w:val="4"/>
          <w:kern w:val="0"/>
          <w:sz w:val="28"/>
          <w:szCs w:val="22"/>
        </w:rPr>
        <w:t>2015</w:t>
      </w:r>
      <w:r>
        <w:rPr>
          <w:rFonts w:eastAsia="標楷體"/>
          <w:spacing w:val="4"/>
          <w:kern w:val="0"/>
          <w:sz w:val="28"/>
          <w:szCs w:val="22"/>
        </w:rPr>
        <w:t>年</w:t>
      </w:r>
      <w:r>
        <w:rPr>
          <w:rFonts w:ascii="標楷體" w:eastAsia="標楷體" w:hAnsi="標楷體"/>
          <w:spacing w:val="4"/>
          <w:kern w:val="0"/>
          <w:sz w:val="28"/>
          <w:szCs w:val="22"/>
        </w:rPr>
        <w:t>)</w:t>
      </w:r>
      <w:r>
        <w:rPr>
          <w:rFonts w:eastAsia="標楷體"/>
          <w:spacing w:val="4"/>
          <w:kern w:val="0"/>
          <w:sz w:val="28"/>
          <w:szCs w:val="22"/>
        </w:rPr>
        <w:t>」，加速完成有線電視全面數位化。</w:t>
      </w:r>
    </w:p>
    <w:p w14:paraId="2EC10D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配合匯流法制調合，於「有線廣播電視法」修正草案中，提出加速推動有線電視數位化規範。</w:t>
      </w:r>
    </w:p>
    <w:p w14:paraId="3F2FF21F" w14:textId="77777777" w:rsidR="00052596" w:rsidRDefault="00000000">
      <w:pPr>
        <w:tabs>
          <w:tab w:val="left" w:pos="960"/>
          <w:tab w:val="left" w:pos="1920"/>
          <w:tab w:val="left" w:pos="2880"/>
          <w:tab w:val="left" w:pos="3840"/>
          <w:tab w:val="right" w:pos="8505"/>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改善數位電視電波覆蓋率</w:t>
      </w:r>
      <w:r>
        <w:rPr>
          <w:rFonts w:eastAsia="標楷體"/>
          <w:spacing w:val="4"/>
          <w:kern w:val="0"/>
          <w:sz w:val="28"/>
          <w:szCs w:val="26"/>
        </w:rPr>
        <w:tab/>
      </w:r>
    </w:p>
    <w:p w14:paraId="2D685B1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持續督促行動電話業者揭露基地臺電波涵蓋資訊，針對訊號品質涵蓋不足者，將依相關規定要求業者優化調整。</w:t>
      </w:r>
    </w:p>
    <w:p w14:paraId="177B544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參酌電信市場之國際趨勢及我國狀況，作為強化電信監理機制參考，健全電信市場監理。</w:t>
      </w:r>
    </w:p>
    <w:p w14:paraId="715DEAB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加速有線及無線寬頻建設，普及光纖到府</w:t>
      </w:r>
    </w:p>
    <w:p w14:paraId="3B03033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加速建築物內光網建設，輔導建築物導入光纖網路</w:t>
      </w:r>
      <w:r>
        <w:rPr>
          <w:rFonts w:ascii="新細明體" w:hAnsi="新細明體"/>
          <w:spacing w:val="4"/>
          <w:kern w:val="0"/>
          <w:sz w:val="28"/>
          <w:szCs w:val="22"/>
        </w:rPr>
        <w:t>，</w:t>
      </w:r>
      <w:r>
        <w:rPr>
          <w:rFonts w:eastAsia="標楷體"/>
          <w:spacing w:val="4"/>
          <w:kern w:val="0"/>
          <w:sz w:val="28"/>
          <w:szCs w:val="22"/>
        </w:rPr>
        <w:t>由點到面擴散，降低光網建置成本，加速建築物光纖佈纜</w:t>
      </w:r>
      <w:r>
        <w:rPr>
          <w:rFonts w:ascii="新細明體" w:hAnsi="新細明體"/>
          <w:spacing w:val="4"/>
          <w:kern w:val="0"/>
          <w:sz w:val="28"/>
          <w:szCs w:val="22"/>
        </w:rPr>
        <w:t>，</w:t>
      </w:r>
      <w:r>
        <w:rPr>
          <w:rFonts w:eastAsia="標楷體"/>
          <w:spacing w:val="4"/>
          <w:kern w:val="0"/>
          <w:sz w:val="28"/>
          <w:szCs w:val="22"/>
        </w:rPr>
        <w:t>提升普及率，奠定數位匯流應用之基石</w:t>
      </w:r>
      <w:r>
        <w:rPr>
          <w:rFonts w:ascii="新細明體" w:hAnsi="新細明體"/>
          <w:spacing w:val="4"/>
          <w:kern w:val="0"/>
          <w:sz w:val="28"/>
          <w:szCs w:val="22"/>
        </w:rPr>
        <w:t>。</w:t>
      </w:r>
    </w:p>
    <w:p w14:paraId="7D9E40F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落實寬頻網路基礎建設</w:t>
      </w:r>
      <w:r>
        <w:rPr>
          <w:rFonts w:ascii="新細明體" w:hAnsi="新細明體"/>
          <w:spacing w:val="4"/>
          <w:kern w:val="0"/>
          <w:sz w:val="28"/>
          <w:szCs w:val="22"/>
        </w:rPr>
        <w:t>，</w:t>
      </w:r>
      <w:r>
        <w:rPr>
          <w:rFonts w:eastAsia="標楷體"/>
          <w:spacing w:val="4"/>
          <w:kern w:val="0"/>
          <w:sz w:val="28"/>
          <w:szCs w:val="22"/>
        </w:rPr>
        <w:t>推動次世代網路建設</w:t>
      </w:r>
      <w:r>
        <w:rPr>
          <w:rFonts w:ascii="新細明體" w:hAnsi="新細明體"/>
          <w:spacing w:val="4"/>
          <w:kern w:val="0"/>
          <w:sz w:val="28"/>
          <w:szCs w:val="22"/>
        </w:rPr>
        <w:t>，</w:t>
      </w:r>
      <w:r>
        <w:rPr>
          <w:rFonts w:eastAsia="標楷體"/>
          <w:spacing w:val="4"/>
          <w:kern w:val="0"/>
          <w:sz w:val="28"/>
          <w:szCs w:val="22"/>
        </w:rPr>
        <w:t>促進頻譜</w:t>
      </w:r>
      <w:r>
        <w:rPr>
          <w:rFonts w:ascii="新細明體" w:hAnsi="新細明體"/>
          <w:spacing w:val="4"/>
          <w:kern w:val="0"/>
          <w:sz w:val="28"/>
          <w:szCs w:val="22"/>
        </w:rPr>
        <w:t>、</w:t>
      </w:r>
      <w:r>
        <w:rPr>
          <w:rFonts w:eastAsia="標楷體"/>
          <w:spacing w:val="4"/>
          <w:kern w:val="0"/>
          <w:sz w:val="28"/>
          <w:szCs w:val="22"/>
        </w:rPr>
        <w:t>號碼與網際網路關鍵資源有效利用，推動匯流技術發展</w:t>
      </w:r>
      <w:r>
        <w:rPr>
          <w:rFonts w:ascii="新細明體" w:hAnsi="新細明體"/>
          <w:spacing w:val="4"/>
          <w:kern w:val="0"/>
          <w:sz w:val="28"/>
          <w:szCs w:val="22"/>
        </w:rPr>
        <w:t>，</w:t>
      </w:r>
      <w:r>
        <w:rPr>
          <w:rFonts w:eastAsia="標楷體"/>
          <w:spacing w:val="4"/>
          <w:kern w:val="0"/>
          <w:sz w:val="28"/>
          <w:szCs w:val="22"/>
        </w:rPr>
        <w:t>並積極推動高速寬頻整備工作</w:t>
      </w:r>
      <w:r>
        <w:rPr>
          <w:rFonts w:ascii="新細明體" w:hAnsi="新細明體"/>
          <w:spacing w:val="4"/>
          <w:kern w:val="0"/>
          <w:sz w:val="28"/>
          <w:szCs w:val="22"/>
        </w:rPr>
        <w:t>。</w:t>
      </w:r>
    </w:p>
    <w:p w14:paraId="3B305A7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優化無線寬頻基礎建設，協助業者推動下一代超寬頻行動網路基礎建設</w:t>
      </w:r>
      <w:r>
        <w:rPr>
          <w:rFonts w:ascii="新細明體" w:hAnsi="新細明體"/>
          <w:spacing w:val="4"/>
          <w:kern w:val="0"/>
          <w:sz w:val="28"/>
          <w:szCs w:val="22"/>
        </w:rPr>
        <w:t>；</w:t>
      </w:r>
      <w:r>
        <w:rPr>
          <w:rFonts w:eastAsia="標楷體"/>
          <w:spacing w:val="4"/>
          <w:kern w:val="0"/>
          <w:sz w:val="28"/>
          <w:szCs w:val="22"/>
        </w:rPr>
        <w:t>發展臺灣成為寬頻服務體驗方案輸出國，提供高速便捷及無所不在的無線網路環境。</w:t>
      </w:r>
    </w:p>
    <w:p w14:paraId="490A78C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賡續推動寬頻管道建置計畫，預估累計佈纜長度達</w:t>
      </w:r>
      <w:r>
        <w:rPr>
          <w:rFonts w:eastAsia="標楷體"/>
          <w:spacing w:val="4"/>
          <w:kern w:val="0"/>
          <w:sz w:val="28"/>
          <w:szCs w:val="22"/>
        </w:rPr>
        <w:t>15,200</w:t>
      </w:r>
      <w:r>
        <w:rPr>
          <w:rFonts w:eastAsia="標楷體"/>
          <w:spacing w:val="4"/>
          <w:kern w:val="0"/>
          <w:sz w:val="28"/>
          <w:szCs w:val="22"/>
        </w:rPr>
        <w:t>公里。</w:t>
      </w:r>
    </w:p>
    <w:p w14:paraId="31C8D21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提供更便宜的網路服務</w:t>
      </w:r>
    </w:p>
    <w:p w14:paraId="0031C8F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落實資費價格上限管制機制</w:t>
      </w:r>
      <w:r>
        <w:rPr>
          <w:rFonts w:ascii="新細明體" w:hAnsi="新細明體"/>
          <w:spacing w:val="4"/>
          <w:kern w:val="0"/>
          <w:sz w:val="28"/>
          <w:szCs w:val="22"/>
        </w:rPr>
        <w:t>，</w:t>
      </w:r>
      <w:r>
        <w:rPr>
          <w:rFonts w:eastAsia="標楷體"/>
          <w:spacing w:val="4"/>
          <w:kern w:val="0"/>
          <w:sz w:val="28"/>
          <w:szCs w:val="22"/>
        </w:rPr>
        <w:t>核定電信資費零售價與批發價業務費率</w:t>
      </w:r>
      <w:r>
        <w:rPr>
          <w:rFonts w:ascii="新細明體" w:hAnsi="新細明體"/>
          <w:spacing w:val="4"/>
          <w:kern w:val="0"/>
          <w:sz w:val="28"/>
          <w:szCs w:val="22"/>
        </w:rPr>
        <w:t>。</w:t>
      </w:r>
    </w:p>
    <w:p w14:paraId="10F6FC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健全電信批發價格管制，促進公平競爭及產業發展。</w:t>
      </w:r>
    </w:p>
    <w:p w14:paraId="6E3CD08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5.</w:t>
      </w:r>
      <w:r>
        <w:rPr>
          <w:rFonts w:eastAsia="標楷體"/>
          <w:spacing w:val="4"/>
          <w:kern w:val="0"/>
          <w:sz w:val="28"/>
          <w:szCs w:val="26"/>
        </w:rPr>
        <w:t>創新數位匯流應用，讓數位生活成為國民的基本權利</w:t>
      </w:r>
    </w:p>
    <w:p w14:paraId="2E17E71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結合我國資通訊硬體優勢，透過跨領域應用整合，提供如行動支付、智能居家等智慧數位聯網無縫式服務。</w:t>
      </w:r>
    </w:p>
    <w:p w14:paraId="6608737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推動國內智慧型手持產品創新應用，促成業者跨業及開發合作，開拓市場商機，提供優質行動應用服務與內容。</w:t>
      </w:r>
    </w:p>
    <w:p w14:paraId="6D431CA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建構跨網路數位匯流發展平臺，促進法人研發能量之整合與運用</w:t>
      </w:r>
      <w:r>
        <w:rPr>
          <w:rFonts w:ascii="新細明體" w:hAnsi="新細明體"/>
          <w:spacing w:val="4"/>
          <w:kern w:val="0"/>
          <w:sz w:val="28"/>
          <w:szCs w:val="22"/>
        </w:rPr>
        <w:t>；</w:t>
      </w:r>
      <w:r>
        <w:rPr>
          <w:rFonts w:eastAsia="標楷體"/>
          <w:spacing w:val="4"/>
          <w:kern w:val="0"/>
          <w:sz w:val="28"/>
          <w:szCs w:val="22"/>
        </w:rPr>
        <w:t>推動異業整合跨平臺之服務體驗與示範應用，帶動創新數位匯流新商務模式發展。</w:t>
      </w:r>
    </w:p>
    <w:p w14:paraId="42AE62B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70E0E07"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肆、區域均衡</w:t>
      </w:r>
    </w:p>
    <w:p w14:paraId="313CEC93"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94C889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區域發展是一國提升國家競爭力，促進經濟發展的核心課題之一</w:t>
      </w:r>
      <w:r>
        <w:rPr>
          <w:rFonts w:ascii="新細明體" w:hAnsi="新細明體"/>
          <w:spacing w:val="4"/>
          <w:kern w:val="0"/>
          <w:sz w:val="28"/>
          <w:szCs w:val="26"/>
        </w:rPr>
        <w:t>。</w:t>
      </w:r>
      <w:r>
        <w:rPr>
          <w:rFonts w:eastAsia="標楷體"/>
          <w:spacing w:val="4"/>
          <w:kern w:val="0"/>
          <w:sz w:val="28"/>
          <w:szCs w:val="26"/>
        </w:rPr>
        <w:t>長期以來</w:t>
      </w:r>
      <w:r>
        <w:rPr>
          <w:rFonts w:ascii="新細明體" w:hAnsi="新細明體"/>
          <w:spacing w:val="4"/>
          <w:kern w:val="0"/>
          <w:sz w:val="28"/>
          <w:szCs w:val="26"/>
        </w:rPr>
        <w:t>，</w:t>
      </w:r>
      <w:r>
        <w:rPr>
          <w:rFonts w:eastAsia="標楷體"/>
          <w:spacing w:val="4"/>
          <w:kern w:val="0"/>
          <w:sz w:val="28"/>
          <w:szCs w:val="26"/>
        </w:rPr>
        <w:t>臺灣各地區因資源條件差異、經社發展環境不同，造成各區域就業機會、家庭所得、基礎建設等落差，成為必須正視的重要課題。為均衡區域發展</w:t>
      </w:r>
      <w:r>
        <w:rPr>
          <w:rFonts w:ascii="新細明體" w:hAnsi="新細明體"/>
          <w:spacing w:val="4"/>
          <w:kern w:val="0"/>
          <w:sz w:val="28"/>
          <w:szCs w:val="26"/>
        </w:rPr>
        <w:t>，</w:t>
      </w:r>
      <w:r>
        <w:rPr>
          <w:rFonts w:eastAsia="標楷體"/>
          <w:spacing w:val="4"/>
          <w:kern w:val="0"/>
          <w:sz w:val="28"/>
          <w:szCs w:val="26"/>
        </w:rPr>
        <w:t>提升國家競爭力</w:t>
      </w:r>
      <w:r>
        <w:rPr>
          <w:rFonts w:ascii="新細明體" w:hAnsi="新細明體"/>
          <w:spacing w:val="4"/>
          <w:kern w:val="0"/>
          <w:sz w:val="28"/>
          <w:szCs w:val="26"/>
        </w:rPr>
        <w:t>，</w:t>
      </w:r>
      <w:r>
        <w:rPr>
          <w:rFonts w:eastAsia="標楷體"/>
          <w:spacing w:val="4"/>
          <w:kern w:val="0"/>
          <w:sz w:val="28"/>
          <w:szCs w:val="26"/>
        </w:rPr>
        <w:t>未來四年政府將從提升區域產業著手</w:t>
      </w:r>
      <w:r>
        <w:rPr>
          <w:rFonts w:ascii="新細明體" w:hAnsi="新細明體"/>
          <w:spacing w:val="4"/>
          <w:kern w:val="0"/>
          <w:sz w:val="28"/>
          <w:szCs w:val="26"/>
        </w:rPr>
        <w:t>，</w:t>
      </w:r>
      <w:r>
        <w:rPr>
          <w:rFonts w:eastAsia="標楷體"/>
          <w:spacing w:val="4"/>
          <w:kern w:val="0"/>
          <w:sz w:val="28"/>
          <w:szCs w:val="26"/>
        </w:rPr>
        <w:t>重新組建各地區經濟發展區塊，透過整體規劃及公共建設投入</w:t>
      </w:r>
      <w:r>
        <w:rPr>
          <w:rFonts w:ascii="新細明體" w:hAnsi="新細明體"/>
          <w:spacing w:val="4"/>
          <w:kern w:val="0"/>
          <w:sz w:val="28"/>
          <w:szCs w:val="26"/>
        </w:rPr>
        <w:t>，</w:t>
      </w:r>
      <w:r>
        <w:rPr>
          <w:rFonts w:eastAsia="標楷體"/>
          <w:spacing w:val="4"/>
          <w:kern w:val="0"/>
          <w:sz w:val="28"/>
          <w:szCs w:val="26"/>
        </w:rPr>
        <w:t>加速地方產業發展，強化弱勢群體照顧，打造特色產業，活絡地方經濟，並促進在地就業，以加速平衡區域及城鄉發展差距</w:t>
      </w:r>
      <w:r>
        <w:rPr>
          <w:rFonts w:ascii="新細明體" w:hAnsi="新細明體"/>
          <w:spacing w:val="4"/>
          <w:kern w:val="0"/>
          <w:sz w:val="28"/>
          <w:szCs w:val="26"/>
        </w:rPr>
        <w:t>。</w:t>
      </w:r>
    </w:p>
    <w:p w14:paraId="581FC8E3"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566A9EB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建構北、中、南、東及離島等各區域完善之現代基本生活條件，包含交通、居住、通訊、醫療、教育、文化、休閒等公共服務品質。</w:t>
      </w:r>
    </w:p>
    <w:p w14:paraId="535845D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重新規劃配置國家資源，推動區域經濟發展，創造就業與教育機會，促使各區域發展機會均等。</w:t>
      </w:r>
    </w:p>
    <w:p w14:paraId="7C7C6E7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透過公私部門積極合作，發展各區域具競爭力的優勢產業，帶動民間投資成長，提升區域公共基礎建設服務品質。</w:t>
      </w:r>
    </w:p>
    <w:p w14:paraId="4CA6ED3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3AE798D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建構未來十年臺灣產業空間分布圖</w:t>
      </w:r>
    </w:p>
    <w:p w14:paraId="61DE867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lastRenderedPageBreak/>
        <w:t>1.</w:t>
      </w:r>
      <w:r>
        <w:rPr>
          <w:rFonts w:eastAsia="標楷體"/>
          <w:spacing w:val="4"/>
          <w:kern w:val="0"/>
          <w:sz w:val="28"/>
          <w:szCs w:val="26"/>
        </w:rPr>
        <w:t>持續積極推動「產業有家，家有產業」計畫，藉由中央與地方產官學研客觀分析</w:t>
      </w:r>
      <w:r>
        <w:rPr>
          <w:rFonts w:ascii="新細明體" w:hAnsi="新細明體"/>
          <w:spacing w:val="4"/>
          <w:kern w:val="0"/>
          <w:sz w:val="28"/>
          <w:szCs w:val="26"/>
        </w:rPr>
        <w:t>，</w:t>
      </w:r>
      <w:r>
        <w:rPr>
          <w:rFonts w:eastAsia="標楷體"/>
          <w:spacing w:val="4"/>
          <w:kern w:val="0"/>
          <w:sz w:val="28"/>
          <w:szCs w:val="26"/>
        </w:rPr>
        <w:t>以及主觀意願配對，務實規劃區域產業發展方向，協調區域組成，獲致區域產業發展願景。</w:t>
      </w:r>
    </w:p>
    <w:p w14:paraId="30D90C0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釐訂臺灣產業空間分布圖，作為各區域具國際競爭力優勢產業之基礎，讓每個新興產業都有落腳的地區，而每個區域也都有主打的產業。</w:t>
      </w:r>
    </w:p>
    <w:p w14:paraId="11AE192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促進跨域整合</w:t>
      </w:r>
      <w:r>
        <w:rPr>
          <w:rFonts w:ascii="新細明體" w:hAnsi="新細明體"/>
          <w:spacing w:val="4"/>
          <w:kern w:val="0"/>
          <w:sz w:val="28"/>
          <w:szCs w:val="26"/>
        </w:rPr>
        <w:t>，</w:t>
      </w:r>
      <w:r>
        <w:rPr>
          <w:rFonts w:eastAsia="標楷體"/>
          <w:spacing w:val="4"/>
          <w:kern w:val="0"/>
          <w:sz w:val="28"/>
          <w:szCs w:val="26"/>
        </w:rPr>
        <w:t>擴大產業規模，提升產業國際競爭力。</w:t>
      </w:r>
    </w:p>
    <w:p w14:paraId="5F075C4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發展各區域具國際競爭力之優勢產業</w:t>
      </w:r>
    </w:p>
    <w:p w14:paraId="386D218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以五都為基礎，建立北、中、南、東及離島等各區域之核心都市，對外連結國際，行銷區域優勢產業；對內帶動區域內之衛星城市發展，擴大製造業與服務業能量，提升區域內就業機會及所得水準。</w:t>
      </w:r>
    </w:p>
    <w:p w14:paraId="4DAD432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打造區域品牌，藉由「全球招商、投資臺灣」計畫，共同行銷國際，引導資金及國際技術投入區域產業，讓臺灣更多的城市或區域走上國際。</w:t>
      </w:r>
    </w:p>
    <w:p w14:paraId="0AF58DE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以「政府民間合作夥伴</w:t>
      </w:r>
      <w:r>
        <w:rPr>
          <w:rFonts w:ascii="標楷體" w:eastAsia="標楷體" w:hAnsi="標楷體"/>
          <w:spacing w:val="4"/>
          <w:kern w:val="0"/>
          <w:sz w:val="28"/>
          <w:szCs w:val="26"/>
        </w:rPr>
        <w:t>(</w:t>
      </w:r>
      <w:r>
        <w:rPr>
          <w:rFonts w:eastAsia="標楷體"/>
          <w:spacing w:val="4"/>
          <w:kern w:val="0"/>
          <w:sz w:val="28"/>
          <w:szCs w:val="26"/>
        </w:rPr>
        <w:t>PPP</w:t>
      </w:r>
      <w:r>
        <w:rPr>
          <w:rFonts w:eastAsia="標楷體"/>
          <w:spacing w:val="4"/>
          <w:kern w:val="0"/>
          <w:sz w:val="28"/>
          <w:szCs w:val="26"/>
        </w:rPr>
        <w:t>，</w:t>
      </w:r>
      <w:r>
        <w:rPr>
          <w:rFonts w:eastAsia="標楷體"/>
          <w:spacing w:val="4"/>
          <w:kern w:val="0"/>
          <w:sz w:val="28"/>
          <w:szCs w:val="26"/>
        </w:rPr>
        <w:t>Public-Private Partnership</w:t>
      </w:r>
      <w:r>
        <w:rPr>
          <w:rFonts w:ascii="標楷體" w:eastAsia="標楷體" w:hAnsi="標楷體"/>
          <w:spacing w:val="4"/>
          <w:kern w:val="0"/>
          <w:sz w:val="28"/>
          <w:szCs w:val="26"/>
        </w:rPr>
        <w:t>)</w:t>
      </w:r>
      <w:r>
        <w:rPr>
          <w:rFonts w:eastAsia="標楷體"/>
          <w:spacing w:val="4"/>
          <w:kern w:val="0"/>
          <w:sz w:val="28"/>
          <w:szCs w:val="26"/>
        </w:rPr>
        <w:t>」模式設置「區域品牌創意館」，作為各區域品牌產品的國際窗口，提升整體形象</w:t>
      </w:r>
      <w:r>
        <w:rPr>
          <w:rFonts w:ascii="新細明體" w:hAnsi="新細明體"/>
          <w:spacing w:val="4"/>
          <w:kern w:val="0"/>
          <w:sz w:val="28"/>
          <w:szCs w:val="26"/>
        </w:rPr>
        <w:t>，</w:t>
      </w:r>
      <w:r>
        <w:rPr>
          <w:rFonts w:eastAsia="標楷體"/>
          <w:spacing w:val="4"/>
          <w:kern w:val="0"/>
          <w:sz w:val="28"/>
          <w:szCs w:val="26"/>
        </w:rPr>
        <w:t>並建立國際通路。</w:t>
      </w:r>
    </w:p>
    <w:p w14:paraId="095197E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進行各區域人力供需評估與配套整合</w:t>
      </w:r>
    </w:p>
    <w:p w14:paraId="1A3C7F1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因應產業需求，整合產業資源分析及教育體系，擬定人才供應策略，強化廠商、大專院校及研究機構配合機制，確保各區域產業發展所需人力品質，鼓勵各區域內大專院校配合區域優勢產業，調整目前不同系所就學人數，促進大學及研究機構人才教育市場化。</w:t>
      </w:r>
    </w:p>
    <w:p w14:paraId="1DE43B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協調推動重要產業人力供需調查及推估，整合產業人力供需資訊</w:t>
      </w:r>
      <w:r>
        <w:rPr>
          <w:rFonts w:ascii="新細明體" w:hAnsi="新細明體"/>
          <w:spacing w:val="4"/>
          <w:kern w:val="0"/>
          <w:sz w:val="28"/>
          <w:szCs w:val="26"/>
        </w:rPr>
        <w:t>，</w:t>
      </w:r>
      <w:r>
        <w:rPr>
          <w:rFonts w:eastAsia="標楷體"/>
          <w:spacing w:val="4"/>
          <w:kern w:val="0"/>
          <w:sz w:val="28"/>
          <w:szCs w:val="26"/>
        </w:rPr>
        <w:t>推動「人才培育方案」、精進高等教育等人才培育等措施</w:t>
      </w:r>
      <w:r>
        <w:rPr>
          <w:rFonts w:ascii="新細明體" w:hAnsi="新細明體"/>
          <w:spacing w:val="4"/>
          <w:kern w:val="0"/>
          <w:sz w:val="28"/>
          <w:szCs w:val="26"/>
        </w:rPr>
        <w:t>，</w:t>
      </w:r>
      <w:r>
        <w:rPr>
          <w:rFonts w:eastAsia="標楷體"/>
          <w:spacing w:val="4"/>
          <w:kern w:val="0"/>
          <w:sz w:val="28"/>
          <w:szCs w:val="26"/>
        </w:rPr>
        <w:t>藉由人力素質及就業力的提升，充裕產業所需人才，維持產業競爭優勢，提高勞動所得。</w:t>
      </w:r>
    </w:p>
    <w:p w14:paraId="57CB3C1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強化各區域發展優勢產業所需之公共建設</w:t>
      </w:r>
    </w:p>
    <w:p w14:paraId="2ACC5C9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打造核心都市具備國際化的基礎建設</w:t>
      </w:r>
      <w:r>
        <w:rPr>
          <w:rFonts w:ascii="標楷體" w:eastAsia="標楷體" w:hAnsi="標楷體"/>
          <w:spacing w:val="4"/>
          <w:kern w:val="0"/>
          <w:sz w:val="28"/>
          <w:szCs w:val="26"/>
        </w:rPr>
        <w:t>(</w:t>
      </w:r>
      <w:r>
        <w:rPr>
          <w:rFonts w:eastAsia="標楷體"/>
          <w:spacing w:val="4"/>
          <w:kern w:val="0"/>
          <w:sz w:val="28"/>
          <w:szCs w:val="26"/>
        </w:rPr>
        <w:t>例如機場或港口</w:t>
      </w:r>
      <w:r>
        <w:rPr>
          <w:rFonts w:ascii="標楷體" w:eastAsia="標楷體" w:hAnsi="標楷體"/>
          <w:spacing w:val="4"/>
          <w:kern w:val="0"/>
          <w:sz w:val="28"/>
          <w:szCs w:val="26"/>
        </w:rPr>
        <w:t>)</w:t>
      </w:r>
      <w:r>
        <w:rPr>
          <w:rFonts w:eastAsia="標楷體"/>
          <w:spacing w:val="4"/>
          <w:kern w:val="0"/>
          <w:sz w:val="28"/>
          <w:szCs w:val="26"/>
        </w:rPr>
        <w:t>、便</w:t>
      </w:r>
      <w:r>
        <w:rPr>
          <w:rFonts w:eastAsia="標楷體"/>
          <w:spacing w:val="4"/>
          <w:kern w:val="0"/>
          <w:sz w:val="28"/>
          <w:szCs w:val="26"/>
        </w:rPr>
        <w:lastRenderedPageBreak/>
        <w:t>捷的交通網絡與市場腹地等要素，讓區域核心都市扮演與國際接軌</w:t>
      </w:r>
      <w:r>
        <w:rPr>
          <w:rFonts w:ascii="新細明體" w:hAnsi="新細明體"/>
          <w:spacing w:val="4"/>
          <w:kern w:val="0"/>
          <w:sz w:val="28"/>
          <w:szCs w:val="26"/>
        </w:rPr>
        <w:t>，</w:t>
      </w:r>
      <w:r>
        <w:rPr>
          <w:rFonts w:eastAsia="標楷體"/>
          <w:spacing w:val="4"/>
          <w:kern w:val="0"/>
          <w:sz w:val="28"/>
          <w:szCs w:val="26"/>
        </w:rPr>
        <w:t>以及肩負帶動周邊衛星城市共同發展的角色。</w:t>
      </w:r>
    </w:p>
    <w:p w14:paraId="7D084B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考量財務可行性</w:t>
      </w:r>
      <w:r>
        <w:rPr>
          <w:rFonts w:ascii="新細明體" w:hAnsi="新細明體"/>
          <w:spacing w:val="4"/>
          <w:kern w:val="0"/>
          <w:sz w:val="28"/>
          <w:szCs w:val="26"/>
        </w:rPr>
        <w:t>，</w:t>
      </w:r>
      <w:r>
        <w:rPr>
          <w:rFonts w:eastAsia="標楷體"/>
          <w:spacing w:val="4"/>
          <w:kern w:val="0"/>
          <w:sz w:val="28"/>
          <w:szCs w:val="26"/>
        </w:rPr>
        <w:t>並引進民間投資，優先選擇需要性、前瞻性高的項目或區位落實執行，作為引導地區發展、帶動地方活絡的觸媒，循序漸進創造優質區域產業環境。</w:t>
      </w:r>
    </w:p>
    <w:p w14:paraId="424BB7E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結合預算機制推動各區域跨域合作</w:t>
      </w:r>
    </w:p>
    <w:p w14:paraId="6DDB48E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依「國家建設總合評估規劃」，落實推動整合型跨域發展計畫、城市區域建設計畫、重大公共建設旗艦型計畫等，藉區域產業空間整體發展觀點，整合相關公共基礎建設，加強各區域間之跨域合作，擴大產能規模，發揮綜效</w:t>
      </w:r>
      <w:r>
        <w:rPr>
          <w:rFonts w:ascii="新細明體" w:hAnsi="新細明體"/>
          <w:spacing w:val="4"/>
          <w:kern w:val="0"/>
          <w:sz w:val="28"/>
          <w:szCs w:val="26"/>
        </w:rPr>
        <w:t>，</w:t>
      </w:r>
      <w:r>
        <w:rPr>
          <w:rFonts w:eastAsia="標楷體"/>
          <w:spacing w:val="4"/>
          <w:kern w:val="0"/>
          <w:sz w:val="28"/>
          <w:szCs w:val="26"/>
        </w:rPr>
        <w:t>並降低成本。</w:t>
      </w:r>
    </w:p>
    <w:p w14:paraId="1089796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鼓勵縣市政府共同提出合作型計畫，透過合作或異業結盟方式，整合發展區域性產業</w:t>
      </w:r>
      <w:r>
        <w:rPr>
          <w:rFonts w:ascii="新細明體" w:hAnsi="新細明體"/>
          <w:spacing w:val="4"/>
          <w:kern w:val="0"/>
          <w:sz w:val="28"/>
          <w:szCs w:val="26"/>
        </w:rPr>
        <w:t>；</w:t>
      </w:r>
      <w:r>
        <w:rPr>
          <w:rFonts w:eastAsia="標楷體"/>
          <w:spacing w:val="4"/>
          <w:kern w:val="0"/>
          <w:sz w:val="28"/>
          <w:szCs w:val="26"/>
        </w:rPr>
        <w:t>另建立跨域補助原則</w:t>
      </w:r>
      <w:r>
        <w:rPr>
          <w:rFonts w:ascii="新細明體" w:hAnsi="新細明體"/>
          <w:spacing w:val="4"/>
          <w:kern w:val="0"/>
          <w:sz w:val="28"/>
          <w:szCs w:val="26"/>
        </w:rPr>
        <w:t>，</w:t>
      </w:r>
      <w:r>
        <w:rPr>
          <w:rFonts w:eastAsia="標楷體"/>
          <w:spacing w:val="4"/>
          <w:kern w:val="0"/>
          <w:sz w:val="28"/>
          <w:szCs w:val="26"/>
        </w:rPr>
        <w:t>鼓勵跨域示範性計畫，提供跨域合作之經費補助來源，提升區域合作意願。</w:t>
      </w:r>
    </w:p>
    <w:p w14:paraId="05040F7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提升發展較緩慢地區之生命力，創造區域加值</w:t>
      </w:r>
    </w:p>
    <w:p w14:paraId="07D1D29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通盤檢討離島綜合建設實施方案，除強調人文及自然環境保全、觀光發展產業等外，並藉由地方特色產業的創造</w:t>
      </w:r>
      <w:r>
        <w:rPr>
          <w:rFonts w:ascii="新細明體" w:hAnsi="新細明體"/>
          <w:spacing w:val="4"/>
          <w:kern w:val="0"/>
          <w:sz w:val="28"/>
          <w:szCs w:val="26"/>
        </w:rPr>
        <w:t>，</w:t>
      </w:r>
      <w:r>
        <w:rPr>
          <w:rFonts w:eastAsia="標楷體"/>
          <w:spacing w:val="4"/>
          <w:kern w:val="0"/>
          <w:sz w:val="28"/>
          <w:szCs w:val="26"/>
        </w:rPr>
        <w:t>以及在地魅力的塑造，引導離島地區永續發展。另透過該條例提供之優惠條件，發展離島地區成為新能源、觀光旅遊等重要基地，大幅改變離島產業發展。</w:t>
      </w:r>
    </w:p>
    <w:p w14:paraId="1788076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擬定花東地區永續發展策略計畫作為上位指導計畫</w:t>
      </w:r>
      <w:r>
        <w:rPr>
          <w:rFonts w:ascii="新細明體" w:hAnsi="新細明體"/>
          <w:spacing w:val="4"/>
          <w:kern w:val="0"/>
          <w:sz w:val="28"/>
          <w:szCs w:val="26"/>
        </w:rPr>
        <w:t>；</w:t>
      </w:r>
      <w:r>
        <w:rPr>
          <w:rFonts w:eastAsia="標楷體"/>
          <w:spacing w:val="4"/>
          <w:kern w:val="0"/>
          <w:sz w:val="28"/>
          <w:szCs w:val="26"/>
        </w:rPr>
        <w:t>由地方政府依上位策略計畫擬定四年綜合發展實施方案，推動花東地區之產業發展與公共基礎建設，打造花東地區樂活、慢活及優質生活之區域發展品牌，推動成為優質生活環境與國際級觀光景點的區域典範。</w:t>
      </w:r>
    </w:p>
    <w:p w14:paraId="5891B9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其他非屬離島或花東之發展緩慢地區，配合「產業有家，家有產業」政策或「跨域合作」精神，與鄰近地區共同發展具有「地方特性」或「群聚關係」的地方特色產業。</w:t>
      </w:r>
    </w:p>
    <w:p w14:paraId="69738ED0"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伍、健全財政</w:t>
      </w:r>
    </w:p>
    <w:p w14:paraId="113AC2E4"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6536BF0"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近年來，政府致力維持財政穩健，積極開拓財源，減少不經濟支出。為確保財政健全發展，未來四年政府仍將本開源節流原則，運用創新財務策略，統籌國家財力資源，精進債務管理制度，推動稅制合理化，活化運用國家資產，促使財政更健全、賦稅更公平。</w:t>
      </w:r>
    </w:p>
    <w:p w14:paraId="1960982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29B8D77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財政更健全：統籌全國可用財源，減輕政府財政負擔；持續降低赤字比率，確保財政健全發展。</w:t>
      </w:r>
    </w:p>
    <w:p w14:paraId="332EFA4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賦稅更公平：強化資本利得課稅，減輕薪資所得稅負；建構能源租稅制度，落實環保節能減碳。</w:t>
      </w:r>
    </w:p>
    <w:p w14:paraId="2C43330E"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290A76B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多方運用財力資源</w:t>
      </w:r>
    </w:p>
    <w:p w14:paraId="1178B05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訂定合理之獎勵措施，擴大民間參與公共建設</w:t>
      </w:r>
    </w:p>
    <w:p w14:paraId="5E1177A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運用財務策略，提高公共建設計畫自償率，並輔以適當優惠措施，吸引民間投資。</w:t>
      </w:r>
    </w:p>
    <w:p w14:paraId="5F284C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依據開放外</w:t>
      </w:r>
      <w:r>
        <w:rPr>
          <w:rFonts w:ascii="標楷體" w:eastAsia="標楷體" w:hAnsi="標楷體"/>
          <w:spacing w:val="4"/>
          <w:kern w:val="0"/>
          <w:sz w:val="28"/>
          <w:szCs w:val="22"/>
        </w:rPr>
        <w:t>(</w:t>
      </w:r>
      <w:r>
        <w:rPr>
          <w:rFonts w:eastAsia="標楷體"/>
          <w:spacing w:val="4"/>
          <w:kern w:val="0"/>
          <w:sz w:val="28"/>
          <w:szCs w:val="22"/>
        </w:rPr>
        <w:t>陸</w:t>
      </w:r>
      <w:r>
        <w:rPr>
          <w:rFonts w:ascii="標楷體" w:eastAsia="標楷體" w:hAnsi="標楷體"/>
          <w:spacing w:val="4"/>
          <w:kern w:val="0"/>
          <w:sz w:val="28"/>
          <w:szCs w:val="22"/>
        </w:rPr>
        <w:t>)</w:t>
      </w:r>
      <w:r>
        <w:rPr>
          <w:rFonts w:eastAsia="標楷體"/>
          <w:spacing w:val="4"/>
          <w:kern w:val="0"/>
          <w:sz w:val="28"/>
          <w:szCs w:val="22"/>
        </w:rPr>
        <w:t>資投資之評估原則，持續檢討開放外</w:t>
      </w:r>
      <w:r>
        <w:rPr>
          <w:rFonts w:ascii="標楷體" w:eastAsia="標楷體" w:hAnsi="標楷體"/>
          <w:spacing w:val="4"/>
          <w:kern w:val="0"/>
          <w:sz w:val="28"/>
          <w:szCs w:val="22"/>
        </w:rPr>
        <w:t>(</w:t>
      </w:r>
      <w:r>
        <w:rPr>
          <w:rFonts w:eastAsia="標楷體"/>
          <w:spacing w:val="4"/>
          <w:kern w:val="0"/>
          <w:sz w:val="28"/>
          <w:szCs w:val="22"/>
        </w:rPr>
        <w:t>陸</w:t>
      </w:r>
      <w:r>
        <w:rPr>
          <w:rFonts w:ascii="標楷體" w:eastAsia="標楷體" w:hAnsi="標楷體"/>
          <w:spacing w:val="4"/>
          <w:kern w:val="0"/>
          <w:sz w:val="28"/>
          <w:szCs w:val="22"/>
        </w:rPr>
        <w:t>)</w:t>
      </w:r>
      <w:r>
        <w:rPr>
          <w:rFonts w:eastAsia="標楷體"/>
          <w:spacing w:val="4"/>
          <w:kern w:val="0"/>
          <w:sz w:val="28"/>
          <w:szCs w:val="22"/>
        </w:rPr>
        <w:t>資來臺投資公共建設項目。</w:t>
      </w:r>
    </w:p>
    <w:p w14:paraId="280C075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因應國際船舶大型化趨勢及順應港埠朝物流發展之國際趨勢，積極吸引民間資金</w:t>
      </w:r>
      <w:r>
        <w:rPr>
          <w:rFonts w:ascii="標楷體" w:eastAsia="標楷體" w:hAnsi="標楷體"/>
          <w:spacing w:val="4"/>
          <w:kern w:val="0"/>
          <w:sz w:val="28"/>
          <w:szCs w:val="22"/>
        </w:rPr>
        <w:t>(</w:t>
      </w:r>
      <w:r>
        <w:rPr>
          <w:rFonts w:eastAsia="標楷體"/>
          <w:spacing w:val="4"/>
          <w:kern w:val="0"/>
          <w:sz w:val="28"/>
          <w:szCs w:val="22"/>
        </w:rPr>
        <w:t>含外資、陸資</w:t>
      </w:r>
      <w:r>
        <w:rPr>
          <w:rFonts w:ascii="標楷體" w:eastAsia="標楷體" w:hAnsi="標楷體"/>
          <w:spacing w:val="4"/>
          <w:kern w:val="0"/>
          <w:sz w:val="28"/>
          <w:szCs w:val="22"/>
        </w:rPr>
        <w:t>)</w:t>
      </w:r>
      <w:r>
        <w:rPr>
          <w:rFonts w:eastAsia="標楷體"/>
          <w:spacing w:val="4"/>
          <w:kern w:val="0"/>
          <w:sz w:val="28"/>
          <w:szCs w:val="22"/>
        </w:rPr>
        <w:t>投入港埠建設及物流相關產業。</w:t>
      </w:r>
    </w:p>
    <w:p w14:paraId="7081A46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持續辦理主辦機關啟案輔導、教育訓練及激勵措施，提升規劃品質與辦理意願，吸引民間資源投入公共建設及公共服務。</w:t>
      </w:r>
    </w:p>
    <w:p w14:paraId="388E39C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合理運用稅、費、捐、債等可用財源，統籌總預算、特別預算及基金預算，因應施政需要</w:t>
      </w:r>
    </w:p>
    <w:p w14:paraId="434A454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為支應施政所需，優先創造商機鼓勵民間參與，以紓解政府財務壓力；如需政府籌辦，則考量稅課收入之動態調整性，費、捐收入之穩定性，及運用特種基金之個別性予以規劃，如仍有不足，方以舉債支應。</w:t>
      </w:r>
    </w:p>
    <w:p w14:paraId="135190E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lastRenderedPageBreak/>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各機關年度計畫以推動總統府或行政院重要政策優先編列，重大公共建設計畫並應恪遵資金來源優先順序，如具自償性，優先以民間參與方式辦理；自償率高但性質特殊不宜由民間辦理，或自償率低者，檢討納入各部會所管特種基金辦理。</w:t>
      </w:r>
    </w:p>
    <w:p w14:paraId="3B3110B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kern w:val="0"/>
          <w:sz w:val="28"/>
          <w:szCs w:val="26"/>
        </w:rPr>
        <w:t>.</w:t>
      </w:r>
      <w:r>
        <w:rPr>
          <w:rFonts w:eastAsia="標楷體"/>
          <w:kern w:val="0"/>
          <w:sz w:val="28"/>
          <w:szCs w:val="26"/>
        </w:rPr>
        <w:t>創新財務策略，推動「跨域加值公共建設財務規劃方案」，實質推動規模可達</w:t>
      </w:r>
      <w:r>
        <w:rPr>
          <w:rFonts w:eastAsia="標楷體"/>
          <w:kern w:val="0"/>
          <w:sz w:val="28"/>
          <w:szCs w:val="26"/>
        </w:rPr>
        <w:t>2,100</w:t>
      </w:r>
      <w:r>
        <w:rPr>
          <w:rFonts w:eastAsia="標楷體"/>
          <w:kern w:val="0"/>
          <w:sz w:val="28"/>
          <w:szCs w:val="26"/>
        </w:rPr>
        <w:t>至</w:t>
      </w:r>
      <w:r>
        <w:rPr>
          <w:rFonts w:eastAsia="標楷體"/>
          <w:kern w:val="0"/>
          <w:sz w:val="28"/>
          <w:szCs w:val="26"/>
        </w:rPr>
        <w:t>2,400</w:t>
      </w:r>
      <w:r>
        <w:rPr>
          <w:rFonts w:eastAsia="標楷體"/>
          <w:kern w:val="0"/>
          <w:sz w:val="28"/>
          <w:szCs w:val="26"/>
        </w:rPr>
        <w:t>億元；推動公私合作機制</w:t>
      </w:r>
      <w:r>
        <w:rPr>
          <w:rFonts w:ascii="標楷體" w:eastAsia="標楷體" w:hAnsi="標楷體"/>
          <w:kern w:val="0"/>
          <w:sz w:val="28"/>
          <w:szCs w:val="26"/>
        </w:rPr>
        <w:t>(</w:t>
      </w:r>
      <w:r>
        <w:rPr>
          <w:rFonts w:eastAsia="標楷體"/>
          <w:kern w:val="0"/>
          <w:sz w:val="28"/>
          <w:szCs w:val="26"/>
        </w:rPr>
        <w:t>PPPs</w:t>
      </w:r>
      <w:r>
        <w:rPr>
          <w:rFonts w:ascii="標楷體" w:eastAsia="標楷體" w:hAnsi="標楷體"/>
          <w:kern w:val="0"/>
          <w:sz w:val="28"/>
          <w:szCs w:val="26"/>
        </w:rPr>
        <w:t>)</w:t>
      </w:r>
      <w:r>
        <w:rPr>
          <w:rFonts w:eastAsia="標楷體"/>
          <w:kern w:val="0"/>
          <w:sz w:val="28"/>
          <w:szCs w:val="26"/>
        </w:rPr>
        <w:t>運用民間資金、落實租稅增額財源機制</w:t>
      </w:r>
      <w:r>
        <w:rPr>
          <w:rFonts w:ascii="標楷體" w:eastAsia="標楷體" w:hAnsi="標楷體"/>
          <w:kern w:val="0"/>
          <w:sz w:val="28"/>
          <w:szCs w:val="26"/>
        </w:rPr>
        <w:t>(</w:t>
      </w:r>
      <w:r>
        <w:rPr>
          <w:rFonts w:eastAsia="標楷體"/>
          <w:kern w:val="0"/>
          <w:sz w:val="28"/>
          <w:szCs w:val="26"/>
        </w:rPr>
        <w:t>Tax Increment Financing, TIF</w:t>
      </w:r>
      <w:r>
        <w:rPr>
          <w:rFonts w:ascii="標楷體" w:eastAsia="標楷體" w:hAnsi="標楷體"/>
          <w:kern w:val="0"/>
          <w:sz w:val="28"/>
          <w:szCs w:val="26"/>
        </w:rPr>
        <w:t>)</w:t>
      </w:r>
      <w:r>
        <w:rPr>
          <w:rFonts w:eastAsia="標楷體"/>
          <w:kern w:val="0"/>
          <w:sz w:val="28"/>
          <w:szCs w:val="26"/>
        </w:rPr>
        <w:t>及異業結盟等各項策略，以提高計畫自償率；積極啟發促參案源，吸引國內資金及陸</w:t>
      </w:r>
      <w:r>
        <w:rPr>
          <w:rFonts w:ascii="標楷體" w:eastAsia="標楷體" w:hAnsi="標楷體"/>
          <w:kern w:val="0"/>
          <w:sz w:val="28"/>
          <w:szCs w:val="26"/>
        </w:rPr>
        <w:t>(</w:t>
      </w:r>
      <w:r>
        <w:rPr>
          <w:rFonts w:eastAsia="標楷體"/>
          <w:kern w:val="0"/>
          <w:sz w:val="28"/>
          <w:szCs w:val="26"/>
        </w:rPr>
        <w:t>外</w:t>
      </w:r>
      <w:r>
        <w:rPr>
          <w:rFonts w:ascii="標楷體" w:eastAsia="標楷體" w:hAnsi="標楷體"/>
          <w:kern w:val="0"/>
          <w:sz w:val="28"/>
          <w:szCs w:val="26"/>
        </w:rPr>
        <w:t>)</w:t>
      </w:r>
      <w:r>
        <w:rPr>
          <w:rFonts w:eastAsia="標楷體"/>
          <w:kern w:val="0"/>
          <w:sz w:val="28"/>
          <w:szCs w:val="26"/>
        </w:rPr>
        <w:t>資投入公共建設。</w:t>
      </w:r>
      <w:r>
        <w:rPr>
          <w:rFonts w:eastAsia="標楷體"/>
          <w:spacing w:val="4"/>
          <w:kern w:val="0"/>
          <w:sz w:val="28"/>
          <w:szCs w:val="26"/>
        </w:rPr>
        <w:t xml:space="preserve"> </w:t>
      </w:r>
    </w:p>
    <w:p w14:paraId="645BF12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促進中長期資金投入公共建設，研議放寬相關法令，並研議政府基金或壽險資金投入公共建設。</w:t>
      </w:r>
    </w:p>
    <w:p w14:paraId="36407FB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強化土地開發與公共建設結合以創造商機</w:t>
      </w:r>
    </w:p>
    <w:p w14:paraId="636FD7E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配合都市發展，運用出租、設定地上權或改良利用等多元化方式，藉以引進民間技術、資金、人力以及企業經營理念參與國有土地經營，預計每年創造</w:t>
      </w:r>
      <w:r>
        <w:rPr>
          <w:rFonts w:eastAsia="標楷體"/>
          <w:spacing w:val="4"/>
          <w:kern w:val="0"/>
          <w:sz w:val="28"/>
          <w:szCs w:val="22"/>
        </w:rPr>
        <w:t>20.3</w:t>
      </w:r>
      <w:r>
        <w:rPr>
          <w:rFonts w:eastAsia="標楷體"/>
          <w:spacing w:val="4"/>
          <w:kern w:val="0"/>
          <w:sz w:val="28"/>
          <w:szCs w:val="22"/>
        </w:rPr>
        <w:t>億元租金收入。</w:t>
      </w:r>
    </w:p>
    <w:p w14:paraId="54B9DB7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依據「大眾捷運系統建設及周邊土地開發計畫申請與審查作業要點」及「鐵路立體化建設及周邊土地開發計畫申請與審查作業要點」等規定辦理，藉由周邊土地開發效益挹注建設經費，以提高計畫自償率。</w:t>
      </w:r>
    </w:p>
    <w:p w14:paraId="7925EA7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提升政府理財效率</w:t>
      </w:r>
    </w:p>
    <w:p w14:paraId="3EA140A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核實歲出預算之必要性及可行性，並強化經費支用稽核，以提升施政效能</w:t>
      </w:r>
    </w:p>
    <w:p w14:paraId="4B3959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衡量歲入負擔能力與特別預算、特種基金預算及民間可用資源，務實籌劃中央政府總預算案之歲出規模。</w:t>
      </w:r>
    </w:p>
    <w:p w14:paraId="722B446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本零基預算精神檢討各機關年度歲出概算之籌編，並建立資源分配之競爭評比機制，促進資源有效運用。</w:t>
      </w:r>
    </w:p>
    <w:p w14:paraId="00EB6F5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落實「預算編製作業落實零基預算精神實施方案」，以提升</w:t>
      </w:r>
      <w:r>
        <w:rPr>
          <w:rFonts w:eastAsia="標楷體"/>
          <w:spacing w:val="4"/>
          <w:kern w:val="0"/>
          <w:sz w:val="28"/>
          <w:szCs w:val="26"/>
        </w:rPr>
        <w:lastRenderedPageBreak/>
        <w:t>財務效能及落實永續發展</w:t>
      </w:r>
    </w:p>
    <w:p w14:paraId="631B53A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kern w:val="0"/>
          <w:sz w:val="28"/>
          <w:szCs w:val="22"/>
        </w:rPr>
        <w:t>落實預算檢討機制，各主管機關於年度進行中，對本機關及所屬之業務或計畫進行定期或專案檢討，並將檢討結果回饋作為年度概算編製時，資源配置優先順序之參考依據。</w:t>
      </w:r>
    </w:p>
    <w:p w14:paraId="2A6592A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辦理跨機關專案審查，如屬跨機關或跨領域之重大議題，由行政院主計總處會同各相關主管機關進行專案審查。</w:t>
      </w:r>
    </w:p>
    <w:p w14:paraId="15B7D33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落實公股事業機構之企業化管理，提高經營綜效，以強化政策效果</w:t>
      </w:r>
    </w:p>
    <w:p w14:paraId="482E571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依「程序正義、實體合法」原則，繼續督促公股事業強化公司治理及風險管理。</w:t>
      </w:r>
    </w:p>
    <w:p w14:paraId="34D102F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落實加強企業化經營管理之原則，以提高經營綜效及兼顧股東權益、客戶服務及員工權益之三贏目標。</w:t>
      </w:r>
    </w:p>
    <w:p w14:paraId="516AF11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督促公股銀行依據「公股銀行辦理重大公共建設專案貸款作業準則」，對政府規劃推動由民間興辦投資之高自償性公共建設，配合挹注資金，以促進投資及創造就業機會。</w:t>
      </w:r>
    </w:p>
    <w:p w14:paraId="0EAF6D1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強化公有財產管理，因應業務發展並增進財產運用效益</w:t>
      </w:r>
    </w:p>
    <w:p w14:paraId="7AF83F7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活化公有土地和資產，督導中央各主管機關清理檢討閒置、低度利用及不經濟使用之大面積國有建築用地，提升整體運用效益；結合公私有土地、各級政府及事業資源，擇定若干具指標性案件積極推動。</w:t>
      </w:r>
    </w:p>
    <w:p w14:paraId="20A71E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健全國家資產資料，推廣各機關使用「國有公用及公司組織財產線上傳輸系統」等，掌握國家資產資訊。</w:t>
      </w:r>
    </w:p>
    <w:p w14:paraId="4659752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強化公用財產管理，檢討收回不適用之不動產，調配作為中央機關辦公廳舍、國有不動產部分空間或時段積極提供收益使用，提升財產運用效益。</w:t>
      </w:r>
    </w:p>
    <w:p w14:paraId="70EF84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加強財產管理運用，靈活運用委託經營、合作闢建停車場、設定地上權及其他改良利用方式，開發利用國有土</w:t>
      </w:r>
      <w:r>
        <w:rPr>
          <w:rFonts w:eastAsia="標楷體"/>
          <w:spacing w:val="4"/>
          <w:kern w:val="0"/>
          <w:sz w:val="28"/>
          <w:szCs w:val="22"/>
        </w:rPr>
        <w:lastRenderedPageBreak/>
        <w:t>地，永續經營增裕庫收。</w:t>
      </w:r>
    </w:p>
    <w:p w14:paraId="2FC6721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5</w:t>
      </w:r>
      <w:r>
        <w:rPr>
          <w:rFonts w:ascii="標楷體" w:eastAsia="標楷體" w:hAnsi="標楷體"/>
          <w:spacing w:val="4"/>
          <w:kern w:val="0"/>
          <w:sz w:val="28"/>
          <w:szCs w:val="22"/>
        </w:rPr>
        <w:t>)</w:t>
      </w:r>
      <w:r>
        <w:rPr>
          <w:rFonts w:eastAsia="標楷體"/>
          <w:spacing w:val="4"/>
          <w:kern w:val="0"/>
          <w:sz w:val="28"/>
          <w:szCs w:val="22"/>
        </w:rPr>
        <w:t>持續推廣無處分、利用計畫之國有土地綠美化，增加民眾遊憩空間，營造都市新風貌；賡續推動恢復國有非公用土地原有風貌。</w:t>
      </w:r>
    </w:p>
    <w:p w14:paraId="6B135FB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6</w:t>
      </w:r>
      <w:r>
        <w:rPr>
          <w:rFonts w:ascii="標楷體" w:eastAsia="標楷體" w:hAnsi="標楷體"/>
          <w:spacing w:val="4"/>
          <w:kern w:val="0"/>
          <w:sz w:val="28"/>
          <w:szCs w:val="22"/>
        </w:rPr>
        <w:t>)</w:t>
      </w:r>
      <w:r>
        <w:rPr>
          <w:rFonts w:eastAsia="標楷體"/>
          <w:spacing w:val="4"/>
          <w:kern w:val="0"/>
          <w:sz w:val="28"/>
          <w:szCs w:val="22"/>
        </w:rPr>
        <w:t>創新引進民間資源，重點開發國有土地</w:t>
      </w:r>
    </w:p>
    <w:p w14:paraId="614C4314" w14:textId="77777777" w:rsidR="00052596" w:rsidRDefault="00000000">
      <w:pPr>
        <w:overflowPunct w:val="0"/>
        <w:autoSpaceDE w:val="0"/>
        <w:spacing w:line="420" w:lineRule="exact"/>
        <w:ind w:left="1728" w:hanging="288"/>
        <w:jc w:val="both"/>
        <w:textAlignment w:val="center"/>
        <w:rPr>
          <w:rFonts w:eastAsia="標楷體"/>
          <w:spacing w:val="4"/>
          <w:kern w:val="0"/>
          <w:sz w:val="28"/>
          <w:szCs w:val="26"/>
        </w:rPr>
      </w:pPr>
      <w:r>
        <w:rPr>
          <w:rFonts w:eastAsia="標楷體"/>
          <w:spacing w:val="4"/>
          <w:kern w:val="0"/>
          <w:sz w:val="28"/>
          <w:szCs w:val="26"/>
        </w:rPr>
        <w:t>－配合產業發展需要，以設定地上權、參與都市更新事業、結合目的事業主管機關合作開發，以及釋出土地權利與民間合作等方式，開發大面積國有土地。</w:t>
      </w:r>
    </w:p>
    <w:p w14:paraId="45B62E4E" w14:textId="77777777" w:rsidR="00052596" w:rsidRDefault="00000000">
      <w:pPr>
        <w:overflowPunct w:val="0"/>
        <w:autoSpaceDE w:val="0"/>
        <w:spacing w:line="420" w:lineRule="exact"/>
        <w:ind w:left="1728" w:hanging="288"/>
        <w:jc w:val="both"/>
        <w:textAlignment w:val="center"/>
        <w:rPr>
          <w:rFonts w:eastAsia="標楷體"/>
          <w:spacing w:val="4"/>
          <w:kern w:val="0"/>
          <w:sz w:val="28"/>
          <w:szCs w:val="26"/>
        </w:rPr>
      </w:pPr>
      <w:r>
        <w:rPr>
          <w:rFonts w:eastAsia="標楷體"/>
          <w:spacing w:val="4"/>
          <w:kern w:val="0"/>
          <w:sz w:val="28"/>
          <w:szCs w:val="26"/>
        </w:rPr>
        <w:t>－賡續積極推動精華區大面積國有土地之設定地上權業務，引入民間資金及經營理念，開發國有土地。</w:t>
      </w:r>
    </w:p>
    <w:p w14:paraId="791B5095" w14:textId="77777777" w:rsidR="00052596" w:rsidRDefault="00000000">
      <w:pPr>
        <w:overflowPunct w:val="0"/>
        <w:autoSpaceDE w:val="0"/>
        <w:spacing w:line="420" w:lineRule="exact"/>
        <w:ind w:left="1728" w:hanging="288"/>
        <w:jc w:val="both"/>
        <w:textAlignment w:val="center"/>
        <w:rPr>
          <w:rFonts w:eastAsia="標楷體"/>
          <w:spacing w:val="4"/>
          <w:kern w:val="0"/>
          <w:sz w:val="28"/>
          <w:szCs w:val="26"/>
        </w:rPr>
      </w:pPr>
      <w:r>
        <w:rPr>
          <w:rFonts w:eastAsia="標楷體"/>
          <w:spacing w:val="4"/>
          <w:kern w:val="0"/>
          <w:sz w:val="28"/>
          <w:szCs w:val="26"/>
        </w:rPr>
        <w:t>－積極參與都市更新，並以參與權利變換分配更新後房地為原則，落實「變產置產、創造永續財源」目標。</w:t>
      </w:r>
    </w:p>
    <w:p w14:paraId="27EF53B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增進租稅負擔公平</w:t>
      </w:r>
    </w:p>
    <w:p w14:paraId="236ABF5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加強宣導證券交易所得課稅制度，俾順利實施，以落實租稅公平及縮小貧富差距。</w:t>
      </w:r>
    </w:p>
    <w:p w14:paraId="513B20C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研擬所得稅法修正草案，消弭婚姻造成所得稅負擔差別待遇；配合能源稅制，適時檢討薪資所得特別扣除額，合理減輕勞動所得者負擔；持續推動建置反避稅制度，建構公平合理租稅環境。</w:t>
      </w:r>
    </w:p>
    <w:p w14:paraId="6464762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推動能源稅立法及規劃配套措施，以減輕產業及民眾於稅制改革所受影響並健全稅制，促使我國產業朝向低耗能及低碳化結構轉型，達成能源運用、環境保護、經濟發展三贏之綠色租稅改革政策目標。</w:t>
      </w:r>
    </w:p>
    <w:p w14:paraId="7D14F76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賡續檢討公告土地現值，以逐年接近正常交易價格；配合不動產實價登錄制度之建置，逐步落實不動產交易實價課稅。</w:t>
      </w:r>
    </w:p>
    <w:p w14:paraId="286315D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配合國內外經濟情勢，檢討關務法規；執行維護租稅公平重點工作計畫，積極查緝逃漏稅及防堵避稅漏洞；落實依法課稅，推動疏減訟源方案，增進徵納雙方之和諧關係。</w:t>
      </w:r>
    </w:p>
    <w:p w14:paraId="7C49853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強化地方財政自主</w:t>
      </w:r>
    </w:p>
    <w:p w14:paraId="2B894E7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健全財政劃分法制，強化地方財政自主程度。</w:t>
      </w:r>
    </w:p>
    <w:p w14:paraId="4D94659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2.</w:t>
      </w:r>
      <w:r>
        <w:rPr>
          <w:rFonts w:eastAsia="標楷體"/>
          <w:spacing w:val="4"/>
          <w:kern w:val="0"/>
          <w:sz w:val="28"/>
          <w:szCs w:val="26"/>
        </w:rPr>
        <w:t>建構獎勵機制，落實地方財政自我負責；賡續推動地方政府財政業務輔導，協助地方政府開闢自治財源。</w:t>
      </w:r>
    </w:p>
    <w:p w14:paraId="5109AEA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運用中央統籌分配稅款及補助款制度，強化中央與地方夥伴關係，並均衡地方發展。</w:t>
      </w:r>
    </w:p>
    <w:p w14:paraId="7B7D952D"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恪遵預算法及公共債務法等財務管控措施，強化財政紀律</w:t>
      </w:r>
    </w:p>
    <w:p w14:paraId="1BD0EA1E"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及時導正與督促地方政府切實檢討改進預算編列及執行相關缺失，並持續進行對地方預算編列及執行預警機制，依考核結果增減補助款。</w:t>
      </w:r>
    </w:p>
    <w:p w14:paraId="38B243A9"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按月審理監督地方政府舉借債務情形，並依「公共債務法」要求各直轄市、縣</w:t>
      </w:r>
      <w:r>
        <w:rPr>
          <w:rFonts w:ascii="標楷體" w:eastAsia="標楷體" w:hAnsi="標楷體"/>
          <w:spacing w:val="4"/>
          <w:kern w:val="0"/>
          <w:sz w:val="28"/>
          <w:szCs w:val="22"/>
        </w:rPr>
        <w:t>(</w:t>
      </w:r>
      <w:r>
        <w:rPr>
          <w:rFonts w:eastAsia="標楷體"/>
          <w:spacing w:val="4"/>
          <w:kern w:val="0"/>
          <w:sz w:val="28"/>
          <w:szCs w:val="22"/>
        </w:rPr>
        <w:t>市</w:t>
      </w:r>
      <w:r>
        <w:rPr>
          <w:rFonts w:ascii="標楷體" w:eastAsia="標楷體" w:hAnsi="標楷體"/>
          <w:spacing w:val="4"/>
          <w:kern w:val="0"/>
          <w:sz w:val="28"/>
          <w:szCs w:val="22"/>
        </w:rPr>
        <w:t>)</w:t>
      </w:r>
      <w:r>
        <w:rPr>
          <w:rFonts w:eastAsia="標楷體"/>
          <w:spacing w:val="4"/>
          <w:kern w:val="0"/>
          <w:sz w:val="28"/>
          <w:szCs w:val="22"/>
        </w:rPr>
        <w:t>政府債務比率如逾法定債限規定者，限期改正或提報償債計畫。</w:t>
      </w:r>
    </w:p>
    <w:p w14:paraId="29DA7E2B"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加強公共債務管理</w:t>
      </w:r>
    </w:p>
    <w:p w14:paraId="3E26EDF2"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持續推動強化債務管理方案，積極開源節流、加速債務還本及節省債息支出等，期逐步縮減收支差短，減少債務舉借。</w:t>
      </w:r>
    </w:p>
    <w:p w14:paraId="76832AD6"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加強債務資訊揭露，使債務內容透明化，落實全民監督</w:t>
      </w:r>
    </w:p>
    <w:p w14:paraId="210F505A"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每月</w:t>
      </w:r>
      <w:r>
        <w:rPr>
          <w:rFonts w:eastAsia="標楷體"/>
          <w:spacing w:val="4"/>
          <w:kern w:val="0"/>
          <w:sz w:val="28"/>
          <w:szCs w:val="22"/>
        </w:rPr>
        <w:t>7</w:t>
      </w:r>
      <w:r>
        <w:rPr>
          <w:rFonts w:eastAsia="標楷體"/>
          <w:spacing w:val="4"/>
          <w:kern w:val="0"/>
          <w:sz w:val="28"/>
          <w:szCs w:val="22"/>
        </w:rPr>
        <w:t>日於財政部網站首頁及電子看板發布「最新國債訊息」；並於</w:t>
      </w:r>
      <w:r>
        <w:rPr>
          <w:rFonts w:eastAsia="標楷體"/>
          <w:spacing w:val="4"/>
          <w:kern w:val="0"/>
          <w:sz w:val="28"/>
          <w:szCs w:val="22"/>
        </w:rPr>
        <w:t>101</w:t>
      </w:r>
      <w:r>
        <w:rPr>
          <w:rFonts w:eastAsia="標楷體"/>
          <w:spacing w:val="4"/>
          <w:kern w:val="0"/>
          <w:sz w:val="28"/>
          <w:szCs w:val="22"/>
        </w:rPr>
        <w:t>年</w:t>
      </w:r>
      <w:r>
        <w:rPr>
          <w:rFonts w:eastAsia="標楷體"/>
          <w:spacing w:val="4"/>
          <w:kern w:val="0"/>
          <w:sz w:val="28"/>
          <w:szCs w:val="22"/>
        </w:rPr>
        <w:t>6</w:t>
      </w:r>
      <w:r>
        <w:rPr>
          <w:rFonts w:eastAsia="標楷體"/>
          <w:spacing w:val="4"/>
          <w:kern w:val="0"/>
          <w:sz w:val="28"/>
          <w:szCs w:val="22"/>
        </w:rPr>
        <w:t>月起設置「最新國債訊息」專區整合串聯中央政府債務資訊。</w:t>
      </w:r>
    </w:p>
    <w:p w14:paraId="638A42DE"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協調直轄市及縣</w:t>
      </w:r>
      <w:r>
        <w:rPr>
          <w:rFonts w:ascii="標楷體" w:eastAsia="標楷體" w:hAnsi="標楷體"/>
          <w:spacing w:val="4"/>
          <w:kern w:val="0"/>
          <w:sz w:val="28"/>
          <w:szCs w:val="22"/>
        </w:rPr>
        <w:t>(</w:t>
      </w:r>
      <w:r>
        <w:rPr>
          <w:rFonts w:eastAsia="標楷體"/>
          <w:spacing w:val="4"/>
          <w:kern w:val="0"/>
          <w:sz w:val="28"/>
          <w:szCs w:val="22"/>
        </w:rPr>
        <w:t>市</w:t>
      </w:r>
      <w:r>
        <w:rPr>
          <w:rFonts w:ascii="標楷體" w:eastAsia="標楷體" w:hAnsi="標楷體"/>
          <w:spacing w:val="4"/>
          <w:kern w:val="0"/>
          <w:sz w:val="28"/>
          <w:szCs w:val="22"/>
        </w:rPr>
        <w:t>)</w:t>
      </w:r>
      <w:r>
        <w:rPr>
          <w:rFonts w:eastAsia="標楷體"/>
          <w:spacing w:val="4"/>
          <w:kern w:val="0"/>
          <w:sz w:val="28"/>
          <w:szCs w:val="22"/>
        </w:rPr>
        <w:t>政府每月</w:t>
      </w:r>
      <w:r>
        <w:rPr>
          <w:rFonts w:eastAsia="標楷體"/>
          <w:spacing w:val="4"/>
          <w:kern w:val="0"/>
          <w:sz w:val="28"/>
          <w:szCs w:val="22"/>
        </w:rPr>
        <w:t>10</w:t>
      </w:r>
      <w:r>
        <w:rPr>
          <w:rFonts w:eastAsia="標楷體"/>
          <w:spacing w:val="4"/>
          <w:kern w:val="0"/>
          <w:sz w:val="28"/>
          <w:szCs w:val="22"/>
        </w:rPr>
        <w:t>日於各地方政府網站首頁公告債務資訊，並同步於國庫署網站之「最新地方政府債務鐘」專區及各級政府債務資訊連結，以利全民監督地方債務。</w:t>
      </w:r>
    </w:p>
    <w:p w14:paraId="4A342500"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440" w:hanging="432"/>
        <w:jc w:val="both"/>
        <w:textAlignment w:val="center"/>
      </w:pPr>
      <w:r>
        <w:rPr>
          <w:rFonts w:ascii="標楷體" w:eastAsia="標楷體" w:hAnsi="標楷體"/>
          <w:spacing w:val="4"/>
          <w:kern w:val="0"/>
          <w:sz w:val="28"/>
        </w:rPr>
        <w:t>(</w:t>
      </w:r>
      <w:r>
        <w:rPr>
          <w:rFonts w:eastAsia="標楷體"/>
          <w:spacing w:val="4"/>
          <w:kern w:val="0"/>
          <w:sz w:val="28"/>
        </w:rPr>
        <w:t>3</w:t>
      </w:r>
      <w:r>
        <w:rPr>
          <w:rFonts w:ascii="標楷體" w:eastAsia="標楷體" w:hAnsi="標楷體"/>
          <w:spacing w:val="4"/>
          <w:kern w:val="0"/>
          <w:sz w:val="28"/>
        </w:rPr>
        <w:t>)</w:t>
      </w:r>
      <w:r>
        <w:rPr>
          <w:rFonts w:eastAsia="標楷體"/>
          <w:spacing w:val="4"/>
          <w:kern w:val="0"/>
          <w:sz w:val="28"/>
          <w:szCs w:val="22"/>
        </w:rPr>
        <w:t>為提醒政府各單位開源節流，及使民眾瞭解政府最新債務資訊，落實全民監督政府債務，自</w:t>
      </w:r>
      <w:r>
        <w:rPr>
          <w:rFonts w:eastAsia="標楷體"/>
          <w:spacing w:val="4"/>
          <w:kern w:val="0"/>
          <w:sz w:val="28"/>
          <w:szCs w:val="22"/>
        </w:rPr>
        <w:t>101</w:t>
      </w:r>
      <w:r>
        <w:rPr>
          <w:rFonts w:eastAsia="標楷體"/>
          <w:spacing w:val="4"/>
          <w:kern w:val="0"/>
          <w:sz w:val="28"/>
          <w:szCs w:val="22"/>
        </w:rPr>
        <w:t>年</w:t>
      </w:r>
      <w:r>
        <w:rPr>
          <w:rFonts w:eastAsia="標楷體"/>
          <w:spacing w:val="4"/>
          <w:kern w:val="0"/>
          <w:sz w:val="28"/>
          <w:szCs w:val="22"/>
        </w:rPr>
        <w:t>12</w:t>
      </w:r>
      <w:r>
        <w:rPr>
          <w:rFonts w:eastAsia="標楷體"/>
          <w:spacing w:val="4"/>
          <w:kern w:val="0"/>
          <w:sz w:val="28"/>
          <w:szCs w:val="22"/>
        </w:rPr>
        <w:t>月起，固定於每月</w:t>
      </w:r>
      <w:r>
        <w:rPr>
          <w:rFonts w:eastAsia="標楷體"/>
          <w:spacing w:val="4"/>
          <w:kern w:val="0"/>
          <w:sz w:val="28"/>
          <w:szCs w:val="22"/>
        </w:rPr>
        <w:t>7</w:t>
      </w:r>
      <w:r>
        <w:rPr>
          <w:rFonts w:eastAsia="標楷體"/>
          <w:spacing w:val="4"/>
          <w:kern w:val="0"/>
          <w:sz w:val="28"/>
          <w:szCs w:val="22"/>
        </w:rPr>
        <w:t>日及</w:t>
      </w:r>
      <w:r>
        <w:rPr>
          <w:rFonts w:eastAsia="標楷體"/>
          <w:spacing w:val="4"/>
          <w:kern w:val="0"/>
          <w:sz w:val="28"/>
          <w:szCs w:val="22"/>
        </w:rPr>
        <w:t>15</w:t>
      </w:r>
      <w:r>
        <w:rPr>
          <w:rFonts w:eastAsia="標楷體"/>
          <w:spacing w:val="4"/>
          <w:kern w:val="0"/>
          <w:sz w:val="28"/>
          <w:szCs w:val="22"/>
        </w:rPr>
        <w:t>日分別於財政部所屬五區國稅局、國有財產局、關稅總局及所屬，暨全國</w:t>
      </w:r>
      <w:r>
        <w:rPr>
          <w:rFonts w:eastAsia="標楷體"/>
          <w:spacing w:val="4"/>
          <w:kern w:val="0"/>
          <w:sz w:val="28"/>
          <w:szCs w:val="22"/>
        </w:rPr>
        <w:t>75</w:t>
      </w:r>
      <w:r>
        <w:rPr>
          <w:rFonts w:eastAsia="標楷體"/>
          <w:spacing w:val="4"/>
          <w:kern w:val="0"/>
          <w:sz w:val="28"/>
          <w:szCs w:val="22"/>
        </w:rPr>
        <w:t>處</w:t>
      </w:r>
      <w:r>
        <w:rPr>
          <w:rFonts w:eastAsia="標楷體"/>
          <w:spacing w:val="4"/>
          <w:kern w:val="0"/>
          <w:sz w:val="28"/>
          <w:szCs w:val="22"/>
        </w:rPr>
        <w:t>LED</w:t>
      </w:r>
      <w:r>
        <w:rPr>
          <w:rFonts w:eastAsia="標楷體"/>
          <w:spacing w:val="4"/>
          <w:kern w:val="0"/>
          <w:sz w:val="28"/>
          <w:szCs w:val="22"/>
        </w:rPr>
        <w:t>跑馬燈宣導據點，刊登中央及地方政府最新債務資訊</w:t>
      </w:r>
      <w:r>
        <w:rPr>
          <w:rFonts w:ascii="標楷體" w:eastAsia="標楷體" w:hAnsi="標楷體" w:cs="標楷體"/>
          <w:spacing w:val="4"/>
          <w:kern w:val="0"/>
          <w:sz w:val="28"/>
        </w:rPr>
        <w:t>。</w:t>
      </w:r>
    </w:p>
    <w:p w14:paraId="4D7C4F7C"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透過中央政府債務基金財務運作，暨公債及國庫券買回機制，調整債務結構；適時辦理提前償還債務，節省債息負擔。</w:t>
      </w:r>
    </w:p>
    <w:p w14:paraId="350223C3" w14:textId="77777777" w:rsidR="00052596" w:rsidRDefault="00000000">
      <w:pPr>
        <w:tabs>
          <w:tab w:val="left" w:pos="960"/>
          <w:tab w:val="left" w:pos="1920"/>
          <w:tab w:val="left" w:pos="2880"/>
          <w:tab w:val="left" w:pos="3840"/>
          <w:tab w:val="left" w:pos="4800"/>
          <w:tab w:val="left" w:pos="5760"/>
        </w:tabs>
        <w:overflowPunct w:val="0"/>
        <w:autoSpaceDE w:val="0"/>
        <w:spacing w:line="43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4.</w:t>
      </w:r>
      <w:r>
        <w:rPr>
          <w:rFonts w:eastAsia="標楷體"/>
          <w:spacing w:val="4"/>
          <w:kern w:val="0"/>
          <w:sz w:val="28"/>
          <w:szCs w:val="26"/>
        </w:rPr>
        <w:t>持續推動定期適量發行債券制度，並視市場需求規律化發行</w:t>
      </w:r>
      <w:r>
        <w:rPr>
          <w:rFonts w:eastAsia="標楷體"/>
          <w:spacing w:val="4"/>
          <w:kern w:val="0"/>
          <w:sz w:val="28"/>
          <w:szCs w:val="26"/>
        </w:rPr>
        <w:t>2</w:t>
      </w:r>
      <w:r>
        <w:rPr>
          <w:rFonts w:eastAsia="標楷體"/>
          <w:spacing w:val="4"/>
          <w:kern w:val="0"/>
          <w:sz w:val="28"/>
          <w:szCs w:val="26"/>
        </w:rPr>
        <w:t>年、</w:t>
      </w:r>
      <w:r>
        <w:rPr>
          <w:rFonts w:eastAsia="標楷體"/>
          <w:spacing w:val="4"/>
          <w:kern w:val="0"/>
          <w:sz w:val="28"/>
          <w:szCs w:val="26"/>
        </w:rPr>
        <w:t>5</w:t>
      </w:r>
      <w:r>
        <w:rPr>
          <w:rFonts w:eastAsia="標楷體"/>
          <w:spacing w:val="4"/>
          <w:kern w:val="0"/>
          <w:sz w:val="28"/>
          <w:szCs w:val="26"/>
        </w:rPr>
        <w:t>年、</w:t>
      </w:r>
      <w:r>
        <w:rPr>
          <w:rFonts w:eastAsia="標楷體"/>
          <w:spacing w:val="4"/>
          <w:kern w:val="0"/>
          <w:sz w:val="28"/>
          <w:szCs w:val="26"/>
        </w:rPr>
        <w:t>10</w:t>
      </w:r>
      <w:r>
        <w:rPr>
          <w:rFonts w:eastAsia="標楷體"/>
          <w:spacing w:val="4"/>
          <w:kern w:val="0"/>
          <w:sz w:val="28"/>
          <w:szCs w:val="26"/>
        </w:rPr>
        <w:t>年、</w:t>
      </w:r>
      <w:r>
        <w:rPr>
          <w:rFonts w:eastAsia="標楷體"/>
          <w:spacing w:val="4"/>
          <w:kern w:val="0"/>
          <w:sz w:val="28"/>
          <w:szCs w:val="26"/>
        </w:rPr>
        <w:t>20</w:t>
      </w:r>
      <w:r>
        <w:rPr>
          <w:rFonts w:eastAsia="標楷體"/>
          <w:spacing w:val="4"/>
          <w:kern w:val="0"/>
          <w:sz w:val="28"/>
          <w:szCs w:val="26"/>
        </w:rPr>
        <w:t>年及</w:t>
      </w:r>
      <w:r>
        <w:rPr>
          <w:rFonts w:eastAsia="標楷體"/>
          <w:spacing w:val="4"/>
          <w:kern w:val="0"/>
          <w:sz w:val="28"/>
          <w:szCs w:val="26"/>
        </w:rPr>
        <w:t>30</w:t>
      </w:r>
      <w:r>
        <w:rPr>
          <w:rFonts w:eastAsia="標楷體"/>
          <w:spacing w:val="4"/>
          <w:kern w:val="0"/>
          <w:sz w:val="28"/>
          <w:szCs w:val="26"/>
        </w:rPr>
        <w:t>年期等公債，合理調配債務年限。</w:t>
      </w:r>
    </w:p>
    <w:p w14:paraId="2E22AFE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3C31660" w14:textId="77777777" w:rsidR="00052596" w:rsidRDefault="00052596">
      <w:pPr>
        <w:pageBreakBefore/>
        <w:widowControl/>
      </w:pPr>
    </w:p>
    <w:p w14:paraId="6E3E121A"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陸、金融發展</w:t>
      </w:r>
      <w:r>
        <w:rPr>
          <w:rFonts w:eastAsia="標楷體"/>
          <w:b/>
          <w:color w:val="0000FF"/>
          <w:kern w:val="0"/>
          <w:sz w:val="28"/>
          <w:szCs w:val="28"/>
        </w:rPr>
        <w:t xml:space="preserve"> </w:t>
      </w:r>
    </w:p>
    <w:p w14:paraId="5E49563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E7E90D2"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2008</w:t>
      </w:r>
      <w:r>
        <w:rPr>
          <w:rFonts w:eastAsia="標楷體"/>
          <w:spacing w:val="4"/>
          <w:kern w:val="0"/>
          <w:sz w:val="28"/>
          <w:szCs w:val="26"/>
        </w:rPr>
        <w:t>年全球金融海嘯後，強化金融監理及加強金融消費者權益保護，已成為各國金融監理機關最主要之改革議題；另兩岸間經貿往來日益密切，發展具兩岸特色的金融業務亦至為重要。此外，國內民間資金充沛，發展以臺灣為主的國人理財平臺，則有助於提升金融商品的設計與跨國資產管理能力。為此，未來四年政府將秉持兼顧審慎監理原則、維護金融消費者權益，以健全金融機構業務經營、維持金融穩定及促進金融市場發展，並將視國際情勢變化，適時採取相關穩定金融措施，同時兼顧短期市場穩定與長期體質提升及發展之原則，積極推動金融創新，俾打造前瞻、穩健之金融體系。</w:t>
      </w:r>
    </w:p>
    <w:p w14:paraId="18868B4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r>
        <w:rPr>
          <w:rFonts w:eastAsia="標楷體"/>
          <w:b/>
          <w:color w:val="0000FF"/>
          <w:spacing w:val="4"/>
          <w:kern w:val="0"/>
          <w:sz w:val="28"/>
          <w:szCs w:val="22"/>
        </w:rPr>
        <w:t xml:space="preserve">  </w:t>
      </w:r>
    </w:p>
    <w:p w14:paraId="7C99E51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發展具兩岸特色之金融業務，提升金融競爭力。</w:t>
      </w:r>
    </w:p>
    <w:p w14:paraId="36F70D2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(二)發展以臺灣為主之國人理財平臺，滿足國人多元金融需求。</w:t>
      </w:r>
    </w:p>
    <w:p w14:paraId="3EBFA06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強化金融監理，維持金融穩定。</w:t>
      </w:r>
    </w:p>
    <w:p w14:paraId="58795B18"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42A8931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擴大金融機構經營範疇，發展以臺灣為主之國人理財平臺</w:t>
      </w:r>
    </w:p>
    <w:p w14:paraId="581FBE5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積極擴大金融機構業務範圍，提高經營彈性</w:t>
      </w:r>
    </w:p>
    <w:p w14:paraId="54D6A39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衡酌金融產業特性與發展，檢討擴大業務範疇，包含市場、往來對象、業務與商品等，以提供完整金融服務，提升經營彈性。</w:t>
      </w:r>
    </w:p>
    <w:p w14:paraId="494DCAD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積極檢討修正各項金融商品相關規範，以鼓勵金融機構創新經營模式及開發新商品。</w:t>
      </w:r>
    </w:p>
    <w:p w14:paraId="486B79C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修正相關規定，將辦理外匯業務機構由「外匯指定銀行」擴大為「外匯指定金融機構」，使銀行以外金融機構達一定標準以上者，得從事外匯業務。</w:t>
      </w:r>
    </w:p>
    <w:p w14:paraId="5E2C12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發展以臺灣為主之國人理財平臺</w:t>
      </w:r>
    </w:p>
    <w:p w14:paraId="5BCE835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透過放寬對國內外金融商品的規範，鼓勵金融業者發展</w:t>
      </w:r>
      <w:r>
        <w:rPr>
          <w:rFonts w:eastAsia="標楷體"/>
          <w:spacing w:val="4"/>
          <w:kern w:val="0"/>
          <w:sz w:val="28"/>
          <w:szCs w:val="22"/>
        </w:rPr>
        <w:lastRenderedPageBreak/>
        <w:t>多元化商品。</w:t>
      </w:r>
    </w:p>
    <w:p w14:paraId="1C91FF2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簡化相關作業程序，檢討放寬資產管理機構投資規範，提升國內資產管理業競爭力。</w:t>
      </w:r>
    </w:p>
    <w:p w14:paraId="27F5F40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放寬涉及外幣之證券業務。</w:t>
      </w:r>
    </w:p>
    <w:p w14:paraId="21A066C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提供金融機構培植本地人才之誘因。</w:t>
      </w:r>
    </w:p>
    <w:p w14:paraId="219286E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推動金融市場與國際接軌</w:t>
      </w:r>
      <w:r>
        <w:rPr>
          <w:rFonts w:eastAsia="標楷體"/>
          <w:spacing w:val="4"/>
          <w:kern w:val="0"/>
          <w:sz w:val="28"/>
          <w:szCs w:val="22"/>
        </w:rPr>
        <w:tab/>
      </w:r>
    </w:p>
    <w:p w14:paraId="0D4F0E4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推動金融機構國際化及全球布局，鼓勵金融機構赴海外設立分支機構。</w:t>
      </w:r>
    </w:p>
    <w:p w14:paraId="2CE2E3D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right="240" w:hanging="230"/>
        <w:jc w:val="both"/>
        <w:textAlignment w:val="center"/>
      </w:pPr>
      <w:r>
        <w:rPr>
          <w:rFonts w:eastAsia="標楷體"/>
          <w:spacing w:val="4"/>
          <w:kern w:val="0"/>
          <w:sz w:val="28"/>
          <w:szCs w:val="26"/>
        </w:rPr>
        <w:t>2.</w:t>
      </w:r>
      <w:r>
        <w:rPr>
          <w:rFonts w:eastAsia="標楷體"/>
          <w:spacing w:val="4"/>
          <w:kern w:val="0"/>
          <w:sz w:val="28"/>
          <w:szCs w:val="26"/>
        </w:rPr>
        <w:t>加強國際交流及合作，提高我國際能見度，包括積極爭取主</w:t>
      </w:r>
      <w:r>
        <w:rPr>
          <w:rFonts w:ascii="標楷體" w:eastAsia="標楷體" w:hAnsi="標楷體"/>
          <w:spacing w:val="4"/>
          <w:kern w:val="0"/>
          <w:sz w:val="28"/>
          <w:szCs w:val="26"/>
        </w:rPr>
        <w:t>(</w:t>
      </w:r>
      <w:r>
        <w:rPr>
          <w:rFonts w:eastAsia="標楷體"/>
          <w:spacing w:val="4"/>
          <w:kern w:val="0"/>
          <w:sz w:val="28"/>
          <w:szCs w:val="26"/>
        </w:rPr>
        <w:t>協</w:t>
      </w:r>
      <w:r>
        <w:rPr>
          <w:rFonts w:ascii="標楷體" w:eastAsia="標楷體" w:hAnsi="標楷體"/>
          <w:spacing w:val="4"/>
          <w:kern w:val="0"/>
          <w:sz w:val="28"/>
          <w:szCs w:val="26"/>
        </w:rPr>
        <w:t>)</w:t>
      </w:r>
      <w:r>
        <w:rPr>
          <w:rFonts w:eastAsia="標楷體"/>
          <w:spacing w:val="4"/>
          <w:kern w:val="0"/>
          <w:sz w:val="28"/>
          <w:szCs w:val="26"/>
        </w:rPr>
        <w:t>辦國際會</w:t>
      </w:r>
      <w:r>
        <w:rPr>
          <w:rFonts w:ascii="標楷體" w:eastAsia="標楷體" w:hAnsi="標楷體"/>
          <w:spacing w:val="4"/>
          <w:kern w:val="0"/>
          <w:sz w:val="28"/>
          <w:szCs w:val="26"/>
        </w:rPr>
        <w:t>議(如</w:t>
      </w:r>
      <w:r>
        <w:rPr>
          <w:rFonts w:eastAsia="標楷體"/>
          <w:spacing w:val="4"/>
          <w:kern w:val="0"/>
          <w:sz w:val="28"/>
          <w:szCs w:val="26"/>
        </w:rPr>
        <w:t>主辦</w:t>
      </w:r>
      <w:r>
        <w:rPr>
          <w:rFonts w:eastAsia="標楷體"/>
          <w:spacing w:val="4"/>
          <w:kern w:val="0"/>
          <w:sz w:val="28"/>
          <w:szCs w:val="26"/>
        </w:rPr>
        <w:t>2013</w:t>
      </w:r>
      <w:r>
        <w:rPr>
          <w:rFonts w:eastAsia="標楷體"/>
          <w:spacing w:val="4"/>
          <w:kern w:val="0"/>
          <w:sz w:val="28"/>
          <w:szCs w:val="26"/>
        </w:rPr>
        <w:t>年國際保險監理官協會年</w:t>
      </w:r>
      <w:r>
        <w:rPr>
          <w:rFonts w:ascii="標楷體" w:eastAsia="標楷體" w:hAnsi="標楷體"/>
          <w:spacing w:val="4"/>
          <w:kern w:val="0"/>
          <w:sz w:val="28"/>
          <w:szCs w:val="26"/>
        </w:rPr>
        <w:t>會)</w:t>
      </w:r>
      <w:r>
        <w:rPr>
          <w:rFonts w:eastAsia="標楷體"/>
          <w:spacing w:val="4"/>
          <w:kern w:val="0"/>
          <w:sz w:val="28"/>
          <w:szCs w:val="26"/>
        </w:rPr>
        <w:t>、參與國際金融組織會議及活動，以及邀請國際重要金融人士訪臺、持續與各國金融監理機關交流互動。</w:t>
      </w:r>
    </w:p>
    <w:p w14:paraId="174BEEE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充分滿足多元金融需求</w:t>
      </w:r>
    </w:p>
    <w:p w14:paraId="5719AD9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引導金融業資金支援中小企業發展，鼓勵本國銀行加強對中小企業放款。</w:t>
      </w:r>
    </w:p>
    <w:p w14:paraId="0F24B21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持續檢討保險業資金運用相關規範，提升資金運用效率，引導資金支援創新性產業、公共建設重大投資及中小企業。</w:t>
      </w:r>
    </w:p>
    <w:p w14:paraId="0DD05C4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審慎開放新種金融商品，加強衍生性外匯商品管理，提高對投資人之保護。</w:t>
      </w:r>
    </w:p>
    <w:p w14:paraId="0D71777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循序推動兩岸金融業務往來，發展具兩岸特色之金融業務</w:t>
      </w:r>
    </w:p>
    <w:p w14:paraId="550128B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開放本國銀行辦理人民幣存、放、匯等相關業務，並配合民眾與企業之需求，發展人民幣衍生性商品。</w:t>
      </w:r>
    </w:p>
    <w:p w14:paraId="28839A1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6"/>
          <w:kern w:val="0"/>
          <w:sz w:val="28"/>
          <w:szCs w:val="26"/>
        </w:rPr>
        <w:t>建立境內銀行人民幣跨行通匯系統及中華區跨境中文匯款平臺。</w:t>
      </w:r>
    </w:p>
    <w:p w14:paraId="5BBB6B9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鼓勵銀行與大陸地區網路交易代收代付服務業者合作，發展對境內網路商店之金流服務。</w:t>
      </w:r>
    </w:p>
    <w:p w14:paraId="401BC77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促使國內銀行發行之提款卡及轉帳卡在大陸地區提款及消費使用，提高民眾便利性。</w:t>
      </w:r>
    </w:p>
    <w:p w14:paraId="04BFF5E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協助金融業投資大陸地區金融服務事業，擴大金融機構在大陸地區之佈點，以提供臺商在大陸地區全方位之金融服務。</w:t>
      </w:r>
    </w:p>
    <w:p w14:paraId="53485D7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6.</w:t>
      </w:r>
      <w:r>
        <w:rPr>
          <w:rFonts w:eastAsia="標楷體"/>
          <w:spacing w:val="4"/>
          <w:kern w:val="0"/>
          <w:sz w:val="28"/>
          <w:szCs w:val="26"/>
        </w:rPr>
        <w:t>開放具臺商背景之優質企業回臺上市、櫃。</w:t>
      </w:r>
    </w:p>
    <w:p w14:paraId="1A36052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開放企業於國內發行人民幣計價債券及其他籌資工具。</w:t>
      </w:r>
    </w:p>
    <w:p w14:paraId="256FA29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8.</w:t>
      </w:r>
      <w:r>
        <w:rPr>
          <w:rFonts w:eastAsia="標楷體"/>
          <w:spacing w:val="4"/>
          <w:kern w:val="0"/>
          <w:sz w:val="28"/>
          <w:szCs w:val="26"/>
        </w:rPr>
        <w:t>發展大中華區資產管理及理財業務。</w:t>
      </w:r>
    </w:p>
    <w:p w14:paraId="46BD98B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9.</w:t>
      </w:r>
      <w:r>
        <w:rPr>
          <w:rFonts w:eastAsia="標楷體"/>
          <w:spacing w:val="4"/>
          <w:kern w:val="0"/>
          <w:sz w:val="28"/>
          <w:szCs w:val="26"/>
        </w:rPr>
        <w:t>擴大保險相關業務及服務，鼓勵國內保險業於大陸地區所設立之據點或其參股之公司加強銷售旅行平安保險。</w:t>
      </w:r>
    </w:p>
    <w:p w14:paraId="72990C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10.</w:t>
      </w:r>
      <w:r>
        <w:rPr>
          <w:rFonts w:eastAsia="標楷體"/>
          <w:spacing w:val="4"/>
          <w:kern w:val="0"/>
          <w:sz w:val="28"/>
          <w:szCs w:val="26"/>
        </w:rPr>
        <w:t>透過兩岸監理合作平臺或協商機制，協助金融業者在大陸地區布局及業務經營。</w:t>
      </w:r>
    </w:p>
    <w:p w14:paraId="74910B5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發展高科技及創新產業籌資平臺</w:t>
      </w:r>
    </w:p>
    <w:p w14:paraId="7B6D6B4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持續積極推動本國及外國優質企業在臺上市</w:t>
      </w:r>
      <w:r>
        <w:rPr>
          <w:rFonts w:ascii="標楷體" w:eastAsia="標楷體" w:hAnsi="標楷體"/>
          <w:spacing w:val="4"/>
          <w:kern w:val="0"/>
          <w:sz w:val="28"/>
          <w:szCs w:val="26"/>
        </w:rPr>
        <w:t>(</w:t>
      </w:r>
      <w:r>
        <w:rPr>
          <w:rFonts w:eastAsia="標楷體"/>
          <w:spacing w:val="4"/>
          <w:kern w:val="0"/>
          <w:sz w:val="28"/>
          <w:szCs w:val="26"/>
        </w:rPr>
        <w:t>櫃</w:t>
      </w:r>
      <w:r>
        <w:rPr>
          <w:rFonts w:ascii="標楷體" w:eastAsia="標楷體" w:hAnsi="標楷體"/>
          <w:spacing w:val="4"/>
          <w:kern w:val="0"/>
          <w:sz w:val="28"/>
          <w:szCs w:val="26"/>
        </w:rPr>
        <w:t>)</w:t>
      </w:r>
      <w:r>
        <w:rPr>
          <w:rFonts w:eastAsia="標楷體"/>
          <w:spacing w:val="4"/>
          <w:kern w:val="0"/>
          <w:sz w:val="28"/>
          <w:szCs w:val="26"/>
        </w:rPr>
        <w:t>，發展我國成為高科技及創新產業籌資平臺，吸引優質策略性產業上市</w:t>
      </w:r>
      <w:r>
        <w:rPr>
          <w:rFonts w:ascii="標楷體" w:eastAsia="標楷體" w:hAnsi="標楷體"/>
          <w:spacing w:val="4"/>
          <w:kern w:val="0"/>
          <w:sz w:val="28"/>
          <w:szCs w:val="26"/>
        </w:rPr>
        <w:t>(</w:t>
      </w:r>
      <w:r>
        <w:rPr>
          <w:rFonts w:eastAsia="標楷體"/>
          <w:spacing w:val="4"/>
          <w:kern w:val="0"/>
          <w:sz w:val="28"/>
          <w:szCs w:val="26"/>
        </w:rPr>
        <w:t>櫃</w:t>
      </w:r>
      <w:r>
        <w:rPr>
          <w:rFonts w:ascii="標楷體" w:eastAsia="標楷體" w:hAnsi="標楷體"/>
          <w:spacing w:val="4"/>
          <w:kern w:val="0"/>
          <w:sz w:val="28"/>
          <w:szCs w:val="26"/>
        </w:rPr>
        <w:t>)</w:t>
      </w:r>
      <w:r>
        <w:rPr>
          <w:rFonts w:eastAsia="標楷體"/>
          <w:spacing w:val="4"/>
          <w:kern w:val="0"/>
          <w:sz w:val="28"/>
          <w:szCs w:val="26"/>
        </w:rPr>
        <w:t>。</w:t>
      </w:r>
    </w:p>
    <w:p w14:paraId="2FB8D5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持續推動我國直接採用國際財務報導準則，俾使我國會計、審計與國際接軌</w:t>
      </w:r>
    </w:p>
    <w:p w14:paraId="60D0AEA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上市、上櫃、興櫃公司及主要金融業於</w:t>
      </w:r>
      <w:r>
        <w:rPr>
          <w:rFonts w:eastAsia="標楷體"/>
          <w:spacing w:val="4"/>
          <w:kern w:val="0"/>
          <w:sz w:val="28"/>
          <w:szCs w:val="22"/>
        </w:rPr>
        <w:t>102</w:t>
      </w:r>
      <w:r>
        <w:rPr>
          <w:rFonts w:eastAsia="標楷體"/>
          <w:spacing w:val="4"/>
          <w:kern w:val="0"/>
          <w:sz w:val="28"/>
          <w:szCs w:val="22"/>
        </w:rPr>
        <w:t>年度依國際財務報導準則</w:t>
      </w:r>
      <w:r>
        <w:rPr>
          <w:rFonts w:ascii="標楷體" w:eastAsia="標楷體" w:hAnsi="標楷體"/>
          <w:spacing w:val="4"/>
          <w:kern w:val="0"/>
          <w:sz w:val="28"/>
          <w:szCs w:val="22"/>
        </w:rPr>
        <w:t>(</w:t>
      </w:r>
      <w:r>
        <w:rPr>
          <w:rFonts w:eastAsia="標楷體"/>
          <w:spacing w:val="4"/>
          <w:kern w:val="0"/>
          <w:sz w:val="28"/>
          <w:szCs w:val="22"/>
        </w:rPr>
        <w:t>International Financial Reporting Standards, IFRSs</w:t>
      </w:r>
      <w:r>
        <w:rPr>
          <w:rFonts w:ascii="標楷體" w:eastAsia="標楷體" w:hAnsi="標楷體"/>
          <w:spacing w:val="4"/>
          <w:kern w:val="0"/>
          <w:sz w:val="28"/>
          <w:szCs w:val="22"/>
        </w:rPr>
        <w:t>)</w:t>
      </w:r>
      <w:r>
        <w:rPr>
          <w:rFonts w:eastAsia="標楷體"/>
          <w:spacing w:val="4"/>
          <w:kern w:val="0"/>
          <w:sz w:val="28"/>
          <w:szCs w:val="22"/>
        </w:rPr>
        <w:t>編製財務報告。</w:t>
      </w:r>
    </w:p>
    <w:p w14:paraId="40CA13D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非上市、上櫃及興櫃之公開發行公司、信用合作社及信用卡公司於</w:t>
      </w:r>
      <w:r>
        <w:rPr>
          <w:rFonts w:eastAsia="標楷體"/>
          <w:spacing w:val="4"/>
          <w:kern w:val="0"/>
          <w:sz w:val="28"/>
          <w:szCs w:val="22"/>
        </w:rPr>
        <w:t>104</w:t>
      </w:r>
      <w:r>
        <w:rPr>
          <w:rFonts w:eastAsia="標楷體"/>
          <w:spacing w:val="4"/>
          <w:kern w:val="0"/>
          <w:sz w:val="28"/>
          <w:szCs w:val="22"/>
        </w:rPr>
        <w:t>年度依</w:t>
      </w:r>
      <w:r>
        <w:rPr>
          <w:rFonts w:eastAsia="標楷體"/>
          <w:spacing w:val="4"/>
          <w:kern w:val="0"/>
          <w:sz w:val="28"/>
          <w:szCs w:val="22"/>
        </w:rPr>
        <w:t>IFRSs</w:t>
      </w:r>
      <w:r>
        <w:rPr>
          <w:rFonts w:eastAsia="標楷體"/>
          <w:spacing w:val="4"/>
          <w:kern w:val="0"/>
          <w:sz w:val="28"/>
          <w:szCs w:val="22"/>
        </w:rPr>
        <w:t>編製財務報告。</w:t>
      </w:r>
    </w:p>
    <w:p w14:paraId="2367F5A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六</w:t>
      </w:r>
      <w:r>
        <w:rPr>
          <w:rFonts w:ascii="標楷體" w:eastAsia="標楷體" w:hAnsi="標楷體"/>
          <w:spacing w:val="4"/>
          <w:kern w:val="0"/>
          <w:sz w:val="28"/>
          <w:szCs w:val="22"/>
        </w:rPr>
        <w:t>)</w:t>
      </w:r>
      <w:r>
        <w:rPr>
          <w:rFonts w:eastAsia="標楷體"/>
          <w:spacing w:val="4"/>
          <w:kern w:val="0"/>
          <w:sz w:val="28"/>
          <w:szCs w:val="22"/>
        </w:rPr>
        <w:t>強化金融監理，確保金融穩定</w:t>
      </w:r>
    </w:p>
    <w:p w14:paraId="6647B34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視整體經濟環境及銀行業備抵呆帳提列情形，持續檢討修正有關規定，提高金融機構提列第一類授信資產備抵呆帳之比率，以協助銀行落實以風險為基礎之授信業務管理。</w:t>
      </w:r>
    </w:p>
    <w:p w14:paraId="67B579B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配合巴塞爾資本協定三</w:t>
      </w:r>
      <w:r>
        <w:rPr>
          <w:rFonts w:ascii="標楷體" w:eastAsia="標楷體" w:hAnsi="標楷體"/>
          <w:spacing w:val="4"/>
          <w:kern w:val="0"/>
          <w:sz w:val="28"/>
          <w:szCs w:val="26"/>
        </w:rPr>
        <w:t>(</w:t>
      </w:r>
      <w:r>
        <w:rPr>
          <w:rFonts w:eastAsia="標楷體"/>
          <w:spacing w:val="4"/>
          <w:kern w:val="0"/>
          <w:sz w:val="28"/>
          <w:szCs w:val="26"/>
        </w:rPr>
        <w:t xml:space="preserve">Basel </w:t>
      </w:r>
      <w:r>
        <w:rPr>
          <w:rFonts w:ascii="新細明體" w:hAnsi="新細明體" w:cs="新細明體"/>
          <w:spacing w:val="4"/>
          <w:kern w:val="0"/>
          <w:sz w:val="28"/>
          <w:szCs w:val="26"/>
        </w:rPr>
        <w:t>Ⅲ</w:t>
      </w:r>
      <w:r>
        <w:rPr>
          <w:rFonts w:ascii="標楷體" w:eastAsia="標楷體" w:hAnsi="標楷體"/>
          <w:spacing w:val="4"/>
          <w:kern w:val="0"/>
          <w:sz w:val="28"/>
          <w:szCs w:val="26"/>
        </w:rPr>
        <w:t>)</w:t>
      </w:r>
      <w:r>
        <w:rPr>
          <w:rFonts w:eastAsia="標楷體"/>
          <w:spacing w:val="4"/>
          <w:kern w:val="0"/>
          <w:sz w:val="28"/>
          <w:szCs w:val="26"/>
        </w:rPr>
        <w:t>，加強金融機構資本適足性管理機制、強化金融機構流動性及系統性風險之控管，維持金融穩定。</w:t>
      </w:r>
    </w:p>
    <w:p w14:paraId="380A5F6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持續督導本國銀行降低逾放比率及提升備抵呆帳覆蓋率，健全資產品質，強化風險承擔能力；檢討保險業準備金及資本適足性制度，加強保險業清償能力。</w:t>
      </w:r>
    </w:p>
    <w:p w14:paraId="00FAE60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持續督導金融業配合店頭衍生性金融商品市場交易資訊儲存制度之上線時程辦理申報作業，以強化對衍生性金融商品業</w:t>
      </w:r>
      <w:r>
        <w:rPr>
          <w:rFonts w:eastAsia="標楷體"/>
          <w:spacing w:val="4"/>
          <w:kern w:val="0"/>
          <w:sz w:val="28"/>
          <w:szCs w:val="26"/>
        </w:rPr>
        <w:lastRenderedPageBreak/>
        <w:t>務管理。</w:t>
      </w:r>
    </w:p>
    <w:p w14:paraId="3457A52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賡續辦理風險導向之檢查作業，完善檢查制度，提升金融監理效能。</w:t>
      </w:r>
    </w:p>
    <w:p w14:paraId="2167F11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根據國際經驗，檢討總體審慎工具是否足夠，考慮補充類如逆景氣循環資本緩衝、動態呆帳準備提列等額外的總體審慎工具，俾達成金融穩定目標。</w:t>
      </w:r>
    </w:p>
    <w:p w14:paraId="2B989A2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7.</w:t>
      </w:r>
      <w:r>
        <w:rPr>
          <w:rFonts w:eastAsia="標楷體"/>
          <w:spacing w:val="4"/>
          <w:kern w:val="0"/>
          <w:sz w:val="28"/>
          <w:szCs w:val="26"/>
        </w:rPr>
        <w:t>強化國內支付清算系統備援作業及緊急應變機制，提供安全暨效率支付系統，確保金融支付系統順暢運作。</w:t>
      </w:r>
    </w:p>
    <w:p w14:paraId="185E41A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七</w:t>
      </w:r>
      <w:r>
        <w:rPr>
          <w:rFonts w:ascii="標楷體" w:eastAsia="標楷體" w:hAnsi="標楷體"/>
          <w:spacing w:val="4"/>
          <w:kern w:val="0"/>
          <w:sz w:val="28"/>
          <w:szCs w:val="22"/>
        </w:rPr>
        <w:t>)</w:t>
      </w:r>
      <w:r>
        <w:rPr>
          <w:rFonts w:eastAsia="標楷體"/>
          <w:spacing w:val="4"/>
          <w:kern w:val="0"/>
          <w:sz w:val="28"/>
          <w:szCs w:val="22"/>
        </w:rPr>
        <w:t>促進金融產業發展</w:t>
      </w:r>
    </w:p>
    <w:p w14:paraId="7309EC2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成立金融賦稅專案研究小組，就金融業相關賦稅議題進行研議，初期將針對發展資本市場之相關稅制、長期照護、安養及有關保險商品稅制上的配合等議題進行研議，以推動活絡金融活動的稅制。</w:t>
      </w:r>
    </w:p>
    <w:p w14:paraId="5EB4E6F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kern w:val="0"/>
          <w:sz w:val="28"/>
          <w:szCs w:val="26"/>
        </w:rPr>
        <w:t>.</w:t>
      </w:r>
      <w:r>
        <w:rPr>
          <w:rFonts w:eastAsia="標楷體"/>
          <w:kern w:val="0"/>
          <w:sz w:val="28"/>
          <w:szCs w:val="26"/>
        </w:rPr>
        <w:t>持續透過</w:t>
      </w:r>
      <w:r>
        <w:rPr>
          <w:rFonts w:eastAsia="標楷體"/>
          <w:kern w:val="0"/>
          <w:sz w:val="28"/>
          <w:szCs w:val="26"/>
        </w:rPr>
        <w:t>ECFA</w:t>
      </w:r>
      <w:r>
        <w:rPr>
          <w:rFonts w:eastAsia="標楷體"/>
          <w:kern w:val="0"/>
          <w:sz w:val="28"/>
          <w:szCs w:val="26"/>
        </w:rPr>
        <w:t>服務貿易協商管道，與陸方協商放寬各項業務。</w:t>
      </w:r>
    </w:p>
    <w:p w14:paraId="5D0CCD9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八</w:t>
      </w:r>
      <w:r>
        <w:rPr>
          <w:rFonts w:ascii="標楷體" w:eastAsia="標楷體" w:hAnsi="標楷體"/>
          <w:spacing w:val="4"/>
          <w:kern w:val="0"/>
          <w:sz w:val="28"/>
          <w:szCs w:val="22"/>
        </w:rPr>
        <w:t>)</w:t>
      </w:r>
      <w:r>
        <w:rPr>
          <w:rFonts w:eastAsia="標楷體"/>
          <w:spacing w:val="4"/>
          <w:kern w:val="0"/>
          <w:sz w:val="28"/>
          <w:szCs w:val="22"/>
        </w:rPr>
        <w:t>加強金融教育，強化金融消費者權益保護</w:t>
      </w:r>
    </w:p>
    <w:p w14:paraId="4F39225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持續督導金融消費評議中心秉持專業、中立原則，積極處理各項消費爭議，以建立社會大眾的信心。</w:t>
      </w:r>
    </w:p>
    <w:p w14:paraId="5DE6DAF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透過「金融教育推動小組」整合平臺，以整合性思維與方式，彙整各項資源規劃推動相關工作，以提升國人金融知識、風險意識及自身權益之保護。</w:t>
      </w:r>
    </w:p>
    <w:p w14:paraId="7C6BFA04"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563710D" w14:textId="77777777" w:rsidR="00052596" w:rsidRDefault="00052596">
      <w:pPr>
        <w:pageBreakBefore/>
        <w:widowControl/>
      </w:pPr>
    </w:p>
    <w:p w14:paraId="62F4D477"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第七節</w:t>
      </w:r>
      <w:r>
        <w:rPr>
          <w:rFonts w:eastAsia="標楷體"/>
          <w:b/>
          <w:color w:val="0000FF"/>
          <w:spacing w:val="10"/>
          <w:kern w:val="0"/>
          <w:sz w:val="30"/>
          <w:szCs w:val="28"/>
        </w:rPr>
        <w:t xml:space="preserve">  </w:t>
      </w:r>
      <w:r>
        <w:rPr>
          <w:rFonts w:eastAsia="標楷體"/>
          <w:b/>
          <w:color w:val="0000FF"/>
          <w:spacing w:val="10"/>
          <w:kern w:val="0"/>
          <w:sz w:val="30"/>
          <w:szCs w:val="28"/>
        </w:rPr>
        <w:t>和平兩岸</w:t>
      </w:r>
    </w:p>
    <w:p w14:paraId="6587C3C7"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46E8E60"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兩岸和平是國家發展的前提要件。未來四年，政府將透過</w:t>
      </w:r>
      <w:r>
        <w:rPr>
          <w:rFonts w:ascii="標楷體" w:eastAsia="標楷體" w:hAnsi="標楷體"/>
          <w:spacing w:val="4"/>
          <w:kern w:val="0"/>
          <w:sz w:val="28"/>
          <w:szCs w:val="26"/>
        </w:rPr>
        <w:t>「兩岸關係」與「國防安全」兩項施政主軸，致力推動兩岸關係和平發展</w:t>
      </w:r>
      <w:r>
        <w:rPr>
          <w:rFonts w:ascii="新細明體" w:hAnsi="新細明體"/>
          <w:spacing w:val="4"/>
          <w:kern w:val="0"/>
          <w:sz w:val="28"/>
          <w:szCs w:val="26"/>
        </w:rPr>
        <w:t>，</w:t>
      </w:r>
      <w:r>
        <w:rPr>
          <w:rFonts w:eastAsia="標楷體"/>
          <w:spacing w:val="4"/>
          <w:kern w:val="0"/>
          <w:sz w:val="28"/>
          <w:szCs w:val="26"/>
        </w:rPr>
        <w:t>強化自我防衛力量，以實現臺海長期和平與穩定。在</w:t>
      </w:r>
      <w:r>
        <w:rPr>
          <w:rFonts w:ascii="新細明體" w:hAnsi="新細明體"/>
          <w:spacing w:val="4"/>
          <w:kern w:val="0"/>
          <w:sz w:val="28"/>
          <w:szCs w:val="26"/>
        </w:rPr>
        <w:t>「</w:t>
      </w:r>
      <w:r>
        <w:rPr>
          <w:rFonts w:eastAsia="標楷體"/>
          <w:spacing w:val="4"/>
          <w:kern w:val="0"/>
          <w:sz w:val="28"/>
          <w:szCs w:val="26"/>
        </w:rPr>
        <w:t>兩岸關係</w:t>
      </w:r>
      <w:r>
        <w:rPr>
          <w:rFonts w:ascii="新細明體" w:hAnsi="新細明體"/>
          <w:spacing w:val="4"/>
          <w:kern w:val="0"/>
          <w:sz w:val="28"/>
          <w:szCs w:val="26"/>
        </w:rPr>
        <w:t>」</w:t>
      </w:r>
      <w:r>
        <w:rPr>
          <w:rFonts w:eastAsia="標楷體"/>
          <w:spacing w:val="4"/>
          <w:kern w:val="0"/>
          <w:sz w:val="28"/>
          <w:szCs w:val="26"/>
        </w:rPr>
        <w:t>方面，政府將秉持「以臺灣為主、對人民有利」及「對等、尊嚴、互惠」原則，循序推動有助兩岸正常往來與良性互動的兩岸協商及交流措施</w:t>
      </w:r>
      <w:r>
        <w:rPr>
          <w:rFonts w:ascii="新細明體" w:hAnsi="新細明體"/>
          <w:spacing w:val="4"/>
          <w:kern w:val="0"/>
          <w:sz w:val="28"/>
          <w:szCs w:val="26"/>
        </w:rPr>
        <w:t>；</w:t>
      </w:r>
      <w:r>
        <w:rPr>
          <w:rFonts w:eastAsia="標楷體"/>
          <w:spacing w:val="4"/>
          <w:kern w:val="0"/>
          <w:sz w:val="28"/>
          <w:szCs w:val="26"/>
        </w:rPr>
        <w:t>並善用兩岸優勢，積極參與區域與全球經貿活動，壯大臺灣</w:t>
      </w:r>
      <w:r>
        <w:rPr>
          <w:rFonts w:ascii="標楷體" w:eastAsia="標楷體" w:hAnsi="標楷體"/>
          <w:spacing w:val="4"/>
          <w:kern w:val="0"/>
          <w:sz w:val="28"/>
          <w:szCs w:val="26"/>
        </w:rPr>
        <w:t>。</w:t>
      </w:r>
      <w:r>
        <w:rPr>
          <w:rFonts w:eastAsia="標楷體"/>
          <w:spacing w:val="4"/>
          <w:kern w:val="0"/>
          <w:sz w:val="28"/>
          <w:szCs w:val="26"/>
        </w:rPr>
        <w:t>在</w:t>
      </w:r>
      <w:r>
        <w:rPr>
          <w:rFonts w:ascii="新細明體" w:hAnsi="新細明體"/>
          <w:spacing w:val="4"/>
          <w:kern w:val="0"/>
          <w:sz w:val="28"/>
          <w:szCs w:val="26"/>
        </w:rPr>
        <w:t>「</w:t>
      </w:r>
      <w:r>
        <w:rPr>
          <w:rFonts w:eastAsia="標楷體"/>
          <w:spacing w:val="4"/>
          <w:kern w:val="0"/>
          <w:sz w:val="28"/>
          <w:szCs w:val="26"/>
        </w:rPr>
        <w:t>國防安全</w:t>
      </w:r>
      <w:r>
        <w:rPr>
          <w:rFonts w:ascii="新細明體" w:hAnsi="新細明體"/>
          <w:spacing w:val="4"/>
          <w:kern w:val="0"/>
          <w:sz w:val="28"/>
          <w:szCs w:val="26"/>
        </w:rPr>
        <w:t>」</w:t>
      </w:r>
      <w:r>
        <w:rPr>
          <w:rFonts w:eastAsia="標楷體"/>
          <w:spacing w:val="4"/>
          <w:kern w:val="0"/>
          <w:sz w:val="28"/>
          <w:szCs w:val="26"/>
        </w:rPr>
        <w:t>方面，政府將持續厚植國防實力，以「穩中求勝」的戰略思維，積極推動募兵制、組織調整及籌購必要武器裝備等，建構足以嚇阻敵人來犯的可恃戰力，確保國家安全。</w:t>
      </w:r>
    </w:p>
    <w:p w14:paraId="4058ADA0"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509A82C"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壹、兩岸關係</w:t>
      </w:r>
    </w:p>
    <w:p w14:paraId="7E8559AD"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CCE3CCE"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大陸政策的目標，在維繫兩岸關係的和平與穩定，創造讓臺灣穩定發展的外在環境，以維護臺灣的最大利益，確保臺灣的繁榮與區域的安定；並透過與世界接軌，提升中華民國的國際地位。政府將在中華民國憲法架構下，維持「不統、不獨、不武」的臺海現狀，並秉持「以臺灣為主、對人民有利」及「對等、尊嚴、互惠」原則，循序穩健推動有助於兩岸正常往來與良性互動的兩岸協商及交流措施。</w:t>
      </w:r>
    </w:p>
    <w:p w14:paraId="6EFF8785"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97</w:t>
      </w:r>
      <w:r>
        <w:rPr>
          <w:rFonts w:eastAsia="標楷體"/>
          <w:spacing w:val="4"/>
          <w:kern w:val="0"/>
          <w:sz w:val="28"/>
          <w:szCs w:val="26"/>
        </w:rPr>
        <w:t>年</w:t>
      </w:r>
      <w:r>
        <w:rPr>
          <w:rFonts w:eastAsia="標楷體"/>
          <w:spacing w:val="4"/>
          <w:kern w:val="0"/>
          <w:sz w:val="28"/>
          <w:szCs w:val="26"/>
        </w:rPr>
        <w:t>5</w:t>
      </w:r>
      <w:r>
        <w:rPr>
          <w:rFonts w:eastAsia="標楷體"/>
          <w:spacing w:val="4"/>
          <w:kern w:val="0"/>
          <w:sz w:val="28"/>
          <w:szCs w:val="26"/>
        </w:rPr>
        <w:t>月</w:t>
      </w:r>
      <w:r>
        <w:rPr>
          <w:rFonts w:eastAsia="標楷體"/>
          <w:spacing w:val="4"/>
          <w:kern w:val="0"/>
          <w:sz w:val="28"/>
          <w:szCs w:val="26"/>
        </w:rPr>
        <w:t>20</w:t>
      </w:r>
      <w:r>
        <w:rPr>
          <w:rFonts w:eastAsia="標楷體"/>
          <w:spacing w:val="4"/>
          <w:kern w:val="0"/>
          <w:sz w:val="28"/>
          <w:szCs w:val="26"/>
        </w:rPr>
        <w:t>日以來，政府推動兩岸制度化協商，並擴大雙邊各領域的交流互動，迄今已推動</w:t>
      </w:r>
      <w:r>
        <w:rPr>
          <w:rFonts w:eastAsia="標楷體"/>
          <w:spacing w:val="4"/>
          <w:kern w:val="0"/>
          <w:sz w:val="28"/>
          <w:szCs w:val="26"/>
        </w:rPr>
        <w:t>8</w:t>
      </w:r>
      <w:r>
        <w:rPr>
          <w:rFonts w:eastAsia="標楷體"/>
          <w:spacing w:val="4"/>
          <w:kern w:val="0"/>
          <w:sz w:val="28"/>
          <w:szCs w:val="26"/>
        </w:rPr>
        <w:t>次「江陳會談」，共簽署</w:t>
      </w:r>
      <w:r>
        <w:rPr>
          <w:rFonts w:eastAsia="標楷體"/>
          <w:spacing w:val="4"/>
          <w:kern w:val="0"/>
          <w:sz w:val="28"/>
          <w:szCs w:val="26"/>
        </w:rPr>
        <w:t>18</w:t>
      </w:r>
      <w:r>
        <w:rPr>
          <w:rFonts w:eastAsia="標楷體"/>
          <w:spacing w:val="4"/>
          <w:kern w:val="0"/>
          <w:sz w:val="28"/>
          <w:szCs w:val="26"/>
        </w:rPr>
        <w:t>項協議、達成</w:t>
      </w:r>
      <w:r>
        <w:rPr>
          <w:rFonts w:eastAsia="標楷體"/>
          <w:spacing w:val="4"/>
          <w:kern w:val="0"/>
          <w:sz w:val="28"/>
          <w:szCs w:val="26"/>
        </w:rPr>
        <w:t>2</w:t>
      </w:r>
      <w:r>
        <w:rPr>
          <w:rFonts w:eastAsia="標楷體"/>
          <w:spacing w:val="4"/>
          <w:kern w:val="0"/>
          <w:sz w:val="28"/>
          <w:szCs w:val="26"/>
        </w:rPr>
        <w:t>項共識，逐步為兩岸交流建立制度化的規範，兩岸關係呈現和平穩定的新格局。未來政府將持續強化及深化兩岸經貿合作，讓兩岸民眾同享和平繁榮的實惠，並積極參與區域經濟整合，持續與重要經貿夥伴洽談雙邊自由貿易協定或經濟合作協議，以因應國際經濟情勢的變化，強化臺灣經濟發展及成長的動能。政府將在「要繁榮、要安全、要尊嚴」的原則上，創造兩岸和平新契機，並以「深耕臺灣、連結亞太、布局全球」的整體戰略，持續推動兩岸關係的和平穩定與良性發展，開創「互利雙贏、共存共榮」的兩岸新局。</w:t>
      </w:r>
    </w:p>
    <w:p w14:paraId="5BFEED9B"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lastRenderedPageBreak/>
        <w:t>一、目標</w:t>
      </w:r>
    </w:p>
    <w:p w14:paraId="5DEE298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實現兩岸關係制度化，創造兩岸永續和平的大局。</w:t>
      </w:r>
    </w:p>
    <w:p w14:paraId="14BCE2B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發揮臺灣自由、民主、人權、法治等核心價值與文化軟實力，引領兩岸關係良性發展。</w:t>
      </w:r>
    </w:p>
    <w:p w14:paraId="2D5132F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善用兩岸優勢，積極參與區域與全球經貿活動，壯大臺灣。</w:t>
      </w:r>
    </w:p>
    <w:p w14:paraId="1F1CC39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維護中華民國主權，堅守臺灣主體性，有尊嚴地廣泛參與國際社會，建構兩岸國際良性互動的新模式。</w:t>
      </w:r>
    </w:p>
    <w:p w14:paraId="2D891303"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7EAB1DA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鞏固主權、和平護國</w:t>
      </w:r>
    </w:p>
    <w:p w14:paraId="059E498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在中華民國憲法架構下，維持「不統、不獨、不武」的臺海現狀；維護國家主權，堅守臺灣主體性，在「互不承認主權、互不否認治權」的務實原則下，透過兩岸交流對話，創造有利國家發展的和平大局。</w:t>
      </w:r>
    </w:p>
    <w:p w14:paraId="24782F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以「九二共識、一中各表」為基礎，依據「以臺灣為主、對人民有利」、「先急後緩、先易後難、先經後政」原則，秉持「擱置爭議、共創雙贏」態度，推動有利國家發展與提升民生福祉的兩岸協商議題，深化制度化協商，建構兩岸良性互動模式。</w:t>
      </w:r>
    </w:p>
    <w:p w14:paraId="31BB02E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持續推動制度化協商，建構兩岸穩定、機制化的互動模式</w:t>
      </w:r>
    </w:p>
    <w:p w14:paraId="6E6B034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積</w:t>
      </w:r>
      <w:r>
        <w:rPr>
          <w:rFonts w:eastAsia="標楷體"/>
          <w:spacing w:val="2"/>
          <w:kern w:val="0"/>
          <w:sz w:val="28"/>
          <w:szCs w:val="26"/>
        </w:rPr>
        <w:t>極落實並擴大兩岸已簽署之海空運、旅遊、共同打擊犯罪、食品安全、智慧財產權保護、醫藥衛生、海峽兩岸經濟合作架構協議</w:t>
      </w:r>
      <w:r>
        <w:rPr>
          <w:rFonts w:ascii="標楷體" w:eastAsia="標楷體" w:hAnsi="標楷體"/>
          <w:spacing w:val="2"/>
          <w:kern w:val="0"/>
          <w:sz w:val="28"/>
          <w:szCs w:val="26"/>
        </w:rPr>
        <w:t>(</w:t>
      </w:r>
      <w:r>
        <w:rPr>
          <w:rFonts w:eastAsia="標楷體"/>
          <w:spacing w:val="2"/>
          <w:kern w:val="0"/>
          <w:sz w:val="28"/>
          <w:szCs w:val="26"/>
        </w:rPr>
        <w:t>ECFA</w:t>
      </w:r>
      <w:r>
        <w:rPr>
          <w:rFonts w:ascii="標楷體" w:eastAsia="標楷體" w:hAnsi="標楷體"/>
          <w:spacing w:val="2"/>
          <w:kern w:val="0"/>
          <w:sz w:val="28"/>
          <w:szCs w:val="26"/>
        </w:rPr>
        <w:t>)</w:t>
      </w:r>
      <w:r>
        <w:rPr>
          <w:rFonts w:eastAsia="標楷體"/>
          <w:spacing w:val="2"/>
          <w:kern w:val="0"/>
          <w:sz w:val="28"/>
          <w:szCs w:val="26"/>
        </w:rPr>
        <w:t>、海關合作及投資保障和促進等各項協議執行成效，持續透過兩岸協議成效的檢討機制，加強兩岸協議主管機關間的溝通，隨時檢視並即時處理協議執行面的事宜。</w:t>
      </w:r>
    </w:p>
    <w:p w14:paraId="1A6A815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2"/>
          <w:kern w:val="0"/>
          <w:sz w:val="28"/>
          <w:szCs w:val="26"/>
        </w:rPr>
        <w:t>有序推</w:t>
      </w:r>
      <w:r>
        <w:rPr>
          <w:rFonts w:eastAsia="標楷體"/>
          <w:kern w:val="0"/>
          <w:sz w:val="28"/>
          <w:szCs w:val="26"/>
        </w:rPr>
        <w:t>動</w:t>
      </w:r>
      <w:r>
        <w:rPr>
          <w:rFonts w:eastAsia="標楷體"/>
          <w:kern w:val="0"/>
          <w:sz w:val="28"/>
          <w:szCs w:val="26"/>
        </w:rPr>
        <w:t>ECFA</w:t>
      </w:r>
      <w:r>
        <w:rPr>
          <w:rFonts w:eastAsia="標楷體"/>
          <w:kern w:val="0"/>
          <w:sz w:val="28"/>
          <w:szCs w:val="26"/>
        </w:rPr>
        <w:t>後續其他議題，包括：貨品貿易、服務貿易、爭端解決及產業合作等議題之協商，並因應未來發展，針對兩岸民眾往來衍生問題持續蒐集資訊，配合規劃推動相關協商。</w:t>
      </w:r>
    </w:p>
    <w:p w14:paraId="02F0642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3.</w:t>
      </w:r>
      <w:r>
        <w:rPr>
          <w:rFonts w:eastAsia="標楷體"/>
          <w:spacing w:val="4"/>
          <w:kern w:val="0"/>
          <w:sz w:val="28"/>
          <w:szCs w:val="26"/>
        </w:rPr>
        <w:t>順應未來兩岸關係進展，秉持「對等、尊嚴、互惠」原則，就兩岸互設綜合性辦事機構進行評估與研議，循序漸進規劃兩會互設辦事處；配合政策適時檢視及調整相關立法、行政配套工作，並在兩會正式互設辦事處後進行成效與影響評估，在適當時機，審慎推動兩岸互設綜合性辦事機構。</w:t>
      </w:r>
    </w:p>
    <w:p w14:paraId="5B3E46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配合兩岸關係整體發展，完備兩岸經貿、人員往來等相關安全管理機制</w:t>
      </w:r>
    </w:p>
    <w:p w14:paraId="7F20371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考量兩岸經濟量體懸殊，在推動兩岸經貿鬆綁之政策和措施時，確保弱勢傳統產業在本土的發展權益，協助其擴展空間，完成產業轉型升級。</w:t>
      </w:r>
    </w:p>
    <w:p w14:paraId="11EE2B0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在確保國內金融體系穩定及有效風險控管前提下，適時檢討放寬兩岸金融業務往來相關規範，提升我金融服務業競爭力，並協助臺商發展。</w:t>
      </w:r>
    </w:p>
    <w:p w14:paraId="78F54B8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在確保關鍵技術不外移之前提下，檢討鬆綁在大陸地區從事投資或技術合作產品或經營項目，並強化後續管理機制。</w:t>
      </w:r>
    </w:p>
    <w:p w14:paraId="755FB61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以透明化與制度化的原則，持續檢討臺商赴大陸地區投資之相關規定與申請流程。</w:t>
      </w:r>
    </w:p>
    <w:p w14:paraId="73DA4D6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強化兩岸交流相關安全管理機制，以控管交流衍生之風險，引導交流有序進行，維護交流秩序及增進交流效益。</w:t>
      </w:r>
    </w:p>
    <w:p w14:paraId="18D749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循序漸進推動兩岸經貿制度化之交流與合作，動態調整兩岸經貿政策及措施</w:t>
      </w:r>
    </w:p>
    <w:p w14:paraId="1636DC9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積極落實「壯大臺灣、連結亞太、布局全球」，循序鬆綁兩岸經貿法規，營造高度自由化、國際化的經營環境，強化臺灣經濟與全球市場之連結；適時調整兩岸經貿政策，建構具國際吸引力及永續發展之投資環境，擴大吸引跨國企業及海外臺商來臺投資。</w:t>
      </w:r>
    </w:p>
    <w:p w14:paraId="51B88F2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秉持優勢互補原則，協助國內產業發展及促進就業，進一步開放陸資來臺投資；在確保臺灣產業優勢下加強兩岸製造業與服務業合作，建立兩岸產業合作平臺，促成兩岸產業策略聯盟，共創全球連結價值鏈，進行全球布局。</w:t>
      </w:r>
    </w:p>
    <w:p w14:paraId="3057A06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lastRenderedPageBreak/>
        <w:t>3.</w:t>
      </w:r>
      <w:r>
        <w:rPr>
          <w:rFonts w:eastAsia="標楷體"/>
          <w:spacing w:val="4"/>
          <w:kern w:val="0"/>
          <w:sz w:val="28"/>
          <w:szCs w:val="26"/>
        </w:rPr>
        <w:t>配合兩岸交流情勢及洽簽國際經貿協定之需求，動態調整兩岸交流政策，推動兩岸人員往來機制常態化，調整兩岸人員往來相關制度及其權益保障事項，解決因交流衍生之相關問題，維護兩岸民眾權益。</w:t>
      </w:r>
    </w:p>
    <w:p w14:paraId="2CB1913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輔導臺商轉型升級，協助建立大陸行銷通路，拓展臺商在大陸內需市場之商機。</w:t>
      </w:r>
    </w:p>
    <w:p w14:paraId="331BF5B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在兩岸直航基礎上持續推動兩岸海空運相關議題，以擴大直航效益；有效利用臺灣海空運地理優勢，結合兩岸與全球海空運網路，凸顯臺灣海空樞紐地位。</w:t>
      </w:r>
    </w:p>
    <w:p w14:paraId="52AE636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在確保國家安全前提下，持續簡化陸客來臺申請程序和資格，逐步擴大開放範圍，並持續提升臺灣旅遊品質、積極促銷臺灣觀光，以擴大大陸人民來臺並確保優質旅遊，進一步吸引赴大陸旅遊的國際觀光客來臺旅遊。</w:t>
      </w:r>
    </w:p>
    <w:p w14:paraId="0728D5F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(五)</w:t>
      </w:r>
      <w:r>
        <w:rPr>
          <w:rFonts w:eastAsia="標楷體"/>
          <w:spacing w:val="4"/>
          <w:kern w:val="0"/>
          <w:sz w:val="28"/>
          <w:szCs w:val="22"/>
        </w:rPr>
        <w:t>推廣臺灣核心價值與軟實力</w:t>
      </w:r>
    </w:p>
    <w:p w14:paraId="44A5334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鼓勵兩岸環保、人權、婦女、新聞等領域的民間團體交流，傳播臺灣民間團體發展經驗，促進大陸公民社會發展。</w:t>
      </w:r>
    </w:p>
    <w:p w14:paraId="10AC2C3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結合民間資源共同推動兩岸文教交流及加強兩岸資訊對等互通，增進兩岸人民相互了解，建立互信基礎。透過傳播與出版管道，傳遞民主自由理念及臺灣多元文化發展。</w:t>
      </w:r>
    </w:p>
    <w:p w14:paraId="382A020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強化兩岸青年交流與相互了解，穩健推動陸生來臺就學，並分享臺灣多元文化及公民社會特色。</w:t>
      </w:r>
    </w:p>
    <w:p w14:paraId="3E9C35D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藉兩岸深度文化交流，發揮具臺灣特色的中華文化優勢及文化影響力。</w:t>
      </w:r>
    </w:p>
    <w:p w14:paraId="09CA192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發展兩岸在國際社會良性互動的新模式</w:t>
      </w:r>
    </w:p>
    <w:p w14:paraId="2934A34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在對等、尊嚴原則上，持續主動積極參與國際社會，針對氣候變遷、環境保護、人道救援、綠色能源、公共衛生、糧食安全等全球新興議題，強化專業參與的力度，並倡議兩岸合作交流，推動國際多邊合作。</w:t>
      </w:r>
    </w:p>
    <w:p w14:paraId="63696D2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kern w:val="0"/>
          <w:sz w:val="28"/>
          <w:szCs w:val="26"/>
        </w:rPr>
        <w:t>積極促成臺灣的非政府組織</w:t>
      </w:r>
      <w:r>
        <w:rPr>
          <w:rFonts w:ascii="標楷體" w:eastAsia="標楷體" w:hAnsi="標楷體"/>
          <w:kern w:val="0"/>
          <w:sz w:val="28"/>
          <w:szCs w:val="26"/>
        </w:rPr>
        <w:t>(</w:t>
      </w:r>
      <w:r>
        <w:rPr>
          <w:rFonts w:eastAsia="標楷體"/>
          <w:kern w:val="0"/>
          <w:sz w:val="28"/>
          <w:szCs w:val="26"/>
        </w:rPr>
        <w:t>NGOs</w:t>
      </w:r>
      <w:r>
        <w:rPr>
          <w:rFonts w:ascii="標楷體" w:eastAsia="標楷體" w:hAnsi="標楷體"/>
          <w:kern w:val="0"/>
          <w:sz w:val="28"/>
          <w:szCs w:val="26"/>
        </w:rPr>
        <w:t>)</w:t>
      </w:r>
      <w:r>
        <w:rPr>
          <w:rFonts w:eastAsia="標楷體"/>
          <w:kern w:val="0"/>
          <w:sz w:val="28"/>
          <w:szCs w:val="26"/>
        </w:rPr>
        <w:t>有尊嚴地、廣泛參與國際社會，結合兩岸及多邊的合作機制，與大陸的非政府組織共</w:t>
      </w:r>
      <w:r>
        <w:rPr>
          <w:rFonts w:eastAsia="標楷體"/>
          <w:kern w:val="0"/>
          <w:sz w:val="28"/>
          <w:szCs w:val="26"/>
        </w:rPr>
        <w:lastRenderedPageBreak/>
        <w:t>同貢獻國際社會，發展兩岸在國際社會良性互動的新模式。</w:t>
      </w:r>
    </w:p>
    <w:p w14:paraId="5E8E5DF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(七)</w:t>
      </w:r>
      <w:r>
        <w:rPr>
          <w:rFonts w:eastAsia="標楷體"/>
          <w:kern w:val="0"/>
          <w:sz w:val="28"/>
          <w:szCs w:val="22"/>
        </w:rPr>
        <w:t>強化兩岸交流長期觀察機制，促進兩岸關係良性互動、有序發展</w:t>
      </w:r>
    </w:p>
    <w:p w14:paraId="16B8C2C6"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針對兩岸交流可能產生的社會、經濟、文化、教育衝擊，建立觀察指標，逐步建構並完善安全管理與風險管理機制，以控管交流衍生之風險，引導兩岸交流健全發展。</w:t>
      </w:r>
    </w:p>
    <w:p w14:paraId="4914F62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(八)</w:t>
      </w:r>
      <w:r>
        <w:rPr>
          <w:rFonts w:eastAsia="標楷體"/>
          <w:spacing w:val="4"/>
          <w:kern w:val="0"/>
          <w:sz w:val="28"/>
          <w:szCs w:val="22"/>
        </w:rPr>
        <w:t>健全兩岸交流之法制制度，保障人民權益，營造穩定與互利的兩岸互動環境</w:t>
      </w:r>
    </w:p>
    <w:p w14:paraId="44350AC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因應兩岸互動新局勢，檢視兩岸交流互動及管理需求，以及配合兩岸協商進程，持續檢討修正兩岸條例，落實兩岸人員往來權益保障，完善兩岸往來制度化及兩岸交流之法制根基，同時持續協調相關機關配合兩岸條例修正相關子法。</w:t>
      </w:r>
    </w:p>
    <w:p w14:paraId="41EBDD8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針對大陸法制及協議執行衍生之相關法律問題，加強分析及研究，並強化兩岸法制交流，提升兩岸法學研究，俾促進兩岸良性交流及解決實務衍生問題。</w:t>
      </w:r>
    </w:p>
    <w:p w14:paraId="109F087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(九)</w:t>
      </w:r>
      <w:r>
        <w:rPr>
          <w:rFonts w:eastAsia="標楷體"/>
          <w:spacing w:val="4"/>
          <w:kern w:val="0"/>
          <w:sz w:val="28"/>
          <w:szCs w:val="22"/>
        </w:rPr>
        <w:t>加強掌握港澳情勢，促進臺、港、澳交流</w:t>
      </w:r>
    </w:p>
    <w:p w14:paraId="4015B24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深化與港、澳各界接觸，廣泛蒐整各界分析及建言，並定期發布港、澳情勢觀察報告。</w:t>
      </w:r>
    </w:p>
    <w:p w14:paraId="1B65F65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持續洽邀港澳之經貿、藝文、教育、政黨、媒體等人士及官員訪臺，辦理臺、港、澳各類交流活動。</w:t>
      </w:r>
    </w:p>
    <w:p w14:paraId="31A8FEB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因應臺、港、澳情勢發展，適時檢討香港澳門關係條例及相關法規，以符合實際需要。</w:t>
      </w:r>
    </w:p>
    <w:p w14:paraId="3B407D6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檢討及鬆綁現行港、澳青年學子來臺就學相關規範，鼓勵優秀港澳學生來臺就學。</w:t>
      </w:r>
    </w:p>
    <w:p w14:paraId="3417F133"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58CF305"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貳、國防安全</w:t>
      </w:r>
    </w:p>
    <w:p w14:paraId="5B53B0D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4B47137"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60"/>
        <w:jc w:val="both"/>
        <w:textAlignment w:val="center"/>
        <w:rPr>
          <w:rFonts w:eastAsia="標楷體"/>
          <w:kern w:val="0"/>
          <w:sz w:val="28"/>
          <w:szCs w:val="26"/>
        </w:rPr>
      </w:pPr>
      <w:r>
        <w:rPr>
          <w:rFonts w:eastAsia="標楷體"/>
          <w:kern w:val="0"/>
          <w:sz w:val="28"/>
          <w:szCs w:val="26"/>
        </w:rPr>
        <w:t>為達成「打造精銳新國軍、確保臺海無戰事」願景，未來四年，政府將秉持「穩中求勝」的戰略思維，在「防衛固守，有效嚇阻」戰略指導下，積極推動募兵制、組織調整及籌購必要武器裝備等，建構</w:t>
      </w:r>
      <w:r>
        <w:rPr>
          <w:rFonts w:eastAsia="標楷體"/>
          <w:kern w:val="0"/>
          <w:sz w:val="28"/>
          <w:szCs w:val="26"/>
        </w:rPr>
        <w:lastRenderedPageBreak/>
        <w:t>足以嚇阻敵人來犯的可恃戰力，發揮「以小搏大」效果，確保國家安全。</w:t>
      </w:r>
    </w:p>
    <w:p w14:paraId="0968128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r>
        <w:rPr>
          <w:rFonts w:eastAsia="標楷體"/>
          <w:b/>
          <w:color w:val="0000FF"/>
          <w:spacing w:val="4"/>
          <w:kern w:val="0"/>
          <w:sz w:val="28"/>
          <w:szCs w:val="22"/>
        </w:rPr>
        <w:t xml:space="preserve"> </w:t>
      </w:r>
    </w:p>
    <w:p w14:paraId="789BFD8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循序推動兵役制度轉型，於</w:t>
      </w:r>
      <w:r>
        <w:rPr>
          <w:rFonts w:eastAsia="標楷體"/>
          <w:spacing w:val="4"/>
          <w:kern w:val="0"/>
          <w:sz w:val="28"/>
          <w:szCs w:val="22"/>
        </w:rPr>
        <w:t>103</w:t>
      </w:r>
      <w:r>
        <w:rPr>
          <w:rFonts w:eastAsia="標楷體"/>
          <w:spacing w:val="4"/>
          <w:kern w:val="0"/>
          <w:sz w:val="28"/>
          <w:szCs w:val="22"/>
        </w:rPr>
        <w:t>年底完成志願役現員</w:t>
      </w:r>
      <w:r>
        <w:rPr>
          <w:rFonts w:eastAsia="標楷體"/>
          <w:spacing w:val="4"/>
          <w:kern w:val="0"/>
          <w:sz w:val="28"/>
          <w:szCs w:val="22"/>
        </w:rPr>
        <w:t>17.6</w:t>
      </w:r>
      <w:r>
        <w:rPr>
          <w:rFonts w:eastAsia="標楷體"/>
          <w:spacing w:val="4"/>
          <w:kern w:val="0"/>
          <w:sz w:val="28"/>
          <w:szCs w:val="22"/>
        </w:rPr>
        <w:t>萬人目標，建構「小而精、小而強、小而巧」勁旅，奠定可長可久國防武力。</w:t>
      </w:r>
    </w:p>
    <w:p w14:paraId="1359927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(二)貫徹「平時能救災、戰時能作戰」訓練目標，兼顧降低人民災損及守護國土安全。</w:t>
      </w:r>
    </w:p>
    <w:p w14:paraId="6E53924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(三)積極兵力整建，精進組織效能；籌獲必要武器裝備，提升國防科技水準，有效運用技術移轉與工業互惠，建構自主國防。</w:t>
      </w:r>
    </w:p>
    <w:p w14:paraId="172075F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(四)重塑精神戰力，展現國軍「巧實力」，發揮有形與無形戰力相乘效果。</w:t>
      </w:r>
    </w:p>
    <w:p w14:paraId="535AE82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(五)擴大軍事交流合作管道，爭取友盟合作；廣拓情報來源，掌握區域安全情勢。</w:t>
      </w:r>
    </w:p>
    <w:p w14:paraId="61886B4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ascii="標楷體" w:eastAsia="標楷體" w:hAnsi="標楷體"/>
          <w:spacing w:val="4"/>
          <w:kern w:val="0"/>
          <w:sz w:val="28"/>
          <w:szCs w:val="22"/>
        </w:rPr>
      </w:pPr>
      <w:r>
        <w:rPr>
          <w:rFonts w:ascii="標楷體" w:eastAsia="標楷體" w:hAnsi="標楷體"/>
          <w:spacing w:val="4"/>
          <w:kern w:val="0"/>
          <w:sz w:val="28"/>
          <w:szCs w:val="22"/>
        </w:rPr>
        <w:t>(六)優化官兵照顧，落實眷屬服務，凝聚徵屬向心。</w:t>
      </w:r>
    </w:p>
    <w:p w14:paraId="498806C4"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027858B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推動募兵制度</w:t>
      </w:r>
    </w:p>
    <w:p w14:paraId="5DF0DB5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依募兵制實施計畫之目標與期程，逐年增加招募志願役人力補充常備部隊；</w:t>
      </w:r>
      <w:r>
        <w:rPr>
          <w:rFonts w:eastAsia="標楷體"/>
          <w:spacing w:val="4"/>
          <w:kern w:val="0"/>
          <w:sz w:val="28"/>
          <w:szCs w:val="26"/>
        </w:rPr>
        <w:t>83</w:t>
      </w:r>
      <w:r>
        <w:rPr>
          <w:rFonts w:eastAsia="標楷體"/>
          <w:spacing w:val="4"/>
          <w:kern w:val="0"/>
          <w:sz w:val="28"/>
          <w:szCs w:val="26"/>
        </w:rPr>
        <w:t>年次以後役男自</w:t>
      </w:r>
      <w:r>
        <w:rPr>
          <w:rFonts w:eastAsia="標楷體"/>
          <w:spacing w:val="4"/>
          <w:kern w:val="0"/>
          <w:sz w:val="28"/>
          <w:szCs w:val="26"/>
        </w:rPr>
        <w:t>102</w:t>
      </w:r>
      <w:r>
        <w:rPr>
          <w:rFonts w:eastAsia="標楷體"/>
          <w:spacing w:val="4"/>
          <w:kern w:val="0"/>
          <w:sz w:val="28"/>
          <w:szCs w:val="26"/>
        </w:rPr>
        <w:t>年</w:t>
      </w:r>
      <w:r>
        <w:rPr>
          <w:rFonts w:eastAsia="標楷體"/>
          <w:spacing w:val="4"/>
          <w:kern w:val="0"/>
          <w:sz w:val="28"/>
          <w:szCs w:val="26"/>
        </w:rPr>
        <w:t>1</w:t>
      </w:r>
      <w:r>
        <w:rPr>
          <w:rFonts w:eastAsia="標楷體"/>
          <w:spacing w:val="4"/>
          <w:kern w:val="0"/>
          <w:sz w:val="28"/>
          <w:szCs w:val="26"/>
        </w:rPr>
        <w:t>月</w:t>
      </w:r>
      <w:r>
        <w:rPr>
          <w:rFonts w:eastAsia="標楷體"/>
          <w:spacing w:val="4"/>
          <w:kern w:val="0"/>
          <w:sz w:val="28"/>
          <w:szCs w:val="26"/>
        </w:rPr>
        <w:t>1</w:t>
      </w:r>
      <w:r>
        <w:rPr>
          <w:rFonts w:eastAsia="標楷體"/>
          <w:spacing w:val="4"/>
          <w:kern w:val="0"/>
          <w:sz w:val="28"/>
          <w:szCs w:val="26"/>
        </w:rPr>
        <w:t>日起停止徵集服常備兵役現役，改徵集接受</w:t>
      </w:r>
      <w:r>
        <w:rPr>
          <w:rFonts w:eastAsia="標楷體"/>
          <w:spacing w:val="4"/>
          <w:kern w:val="0"/>
          <w:sz w:val="28"/>
          <w:szCs w:val="26"/>
        </w:rPr>
        <w:t>4</w:t>
      </w:r>
      <w:r>
        <w:rPr>
          <w:rFonts w:eastAsia="標楷體"/>
          <w:spacing w:val="4"/>
          <w:kern w:val="0"/>
          <w:sz w:val="28"/>
          <w:szCs w:val="26"/>
        </w:rPr>
        <w:t>個月軍事訓練。</w:t>
      </w:r>
    </w:p>
    <w:p w14:paraId="7C1C926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研擬志願役士兵薪資結構、留營、加給、醫療與軍眷照顧、生涯規劃等配套措施，使優秀官兵長留久任。</w:t>
      </w:r>
      <w:r>
        <w:rPr>
          <w:rFonts w:eastAsia="標楷體"/>
          <w:spacing w:val="4"/>
          <w:kern w:val="0"/>
          <w:sz w:val="28"/>
          <w:szCs w:val="26"/>
        </w:rPr>
        <w:t xml:space="preserve"> </w:t>
      </w:r>
    </w:p>
    <w:p w14:paraId="6F29171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善用民間教育資源及擴增軍校公餘進修班次、技能證照教育，使志願役官兵具備高等教育學位或民間證照專長。</w:t>
      </w:r>
      <w:r>
        <w:rPr>
          <w:rFonts w:eastAsia="標楷體"/>
          <w:spacing w:val="4"/>
          <w:kern w:val="0"/>
          <w:sz w:val="28"/>
          <w:szCs w:val="26"/>
        </w:rPr>
        <w:t xml:space="preserve"> </w:t>
      </w:r>
    </w:p>
    <w:p w14:paraId="1667A48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檢討部隊訓練權責、訓練週期及綜合考評驗證等措施，淬煉精實強悍志願役常備部隊。</w:t>
      </w:r>
    </w:p>
    <w:p w14:paraId="211E7F9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儲備適足後備軍人，藉教育召集訓練維繫後備部隊戰力，俾戰時迅速動員，與常備部隊共同協力防衛國土。</w:t>
      </w:r>
    </w:p>
    <w:p w14:paraId="2A10B8F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研議優質退伍人力轉用機制，鼓勵退伍官兵優先參與輔導會</w:t>
      </w:r>
      <w:r>
        <w:rPr>
          <w:rFonts w:eastAsia="標楷體"/>
          <w:spacing w:val="4"/>
          <w:kern w:val="0"/>
          <w:sz w:val="28"/>
          <w:szCs w:val="26"/>
        </w:rPr>
        <w:lastRenderedPageBreak/>
        <w:t>就業輔導措施及轉任公職，發揮人力資源運用效益。</w:t>
      </w:r>
    </w:p>
    <w:p w14:paraId="5E93B22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強化災害防救</w:t>
      </w:r>
    </w:p>
    <w:p w14:paraId="6326F36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強化災防整備，籌購災防與救難相關裝備，並賡續更新國軍災防地形地貌圖資資料庫。</w:t>
      </w:r>
    </w:p>
    <w:p w14:paraId="6855E50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各作戰區針對易發生土石流及淹水地區附近安全營區或處所，規劃於颱風登陸前</w:t>
      </w:r>
      <w:r>
        <w:rPr>
          <w:rFonts w:eastAsia="標楷體"/>
          <w:spacing w:val="4"/>
          <w:kern w:val="0"/>
          <w:sz w:val="28"/>
          <w:szCs w:val="26"/>
        </w:rPr>
        <w:t>24</w:t>
      </w:r>
      <w:r>
        <w:rPr>
          <w:rFonts w:eastAsia="標楷體"/>
          <w:spacing w:val="4"/>
          <w:kern w:val="0"/>
          <w:sz w:val="28"/>
          <w:szCs w:val="26"/>
        </w:rPr>
        <w:t>小時，預置救災兵力，並與地方政府保持通聯。</w:t>
      </w:r>
    </w:p>
    <w:p w14:paraId="4240397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持續精進救災應變部隊、師資、醫療、心理輔導、資源及收容營區安置整備工作。</w:t>
      </w:r>
    </w:p>
    <w:p w14:paraId="34E9C16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結合政府與民間災防資源，策辦各類災害防救演練與示範觀摩，提升災防演練成效。</w:t>
      </w:r>
    </w:p>
    <w:p w14:paraId="06AE771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發展「救災資源管理系統」，掌握救災資源部署動態，準確彙計救災成果與成本，俾利支援災防任務。</w:t>
      </w:r>
    </w:p>
    <w:p w14:paraId="6E1ACCC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建構可恃戰力</w:t>
      </w:r>
    </w:p>
    <w:p w14:paraId="152E9C9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衡酌施政優先性、必要性、急迫性等因素，妥適國防預算配置，提高預算運用效益。</w:t>
      </w:r>
    </w:p>
    <w:p w14:paraId="383A7D5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執行「精粹案」計畫，優先精簡高司組織；評估「募兵制」與「精粹案」執行成效，修正後續執行計畫。</w:t>
      </w:r>
    </w:p>
    <w:p w14:paraId="36E636D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縝密軍事投資，國防資源集中於主戰部隊，優先建置「創新／不對稱」戰力，籌購新式武器裝備，構建必要防衛武力。</w:t>
      </w:r>
    </w:p>
    <w:p w14:paraId="38D282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推動中科院轉型，致力關鍵技術研發，投入具高創新性、高技術門檻、高潛力效益之軍民通用科技研發。</w:t>
      </w:r>
    </w:p>
    <w:p w14:paraId="7EDB377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堅實戰訓整備，策辦「漢光」系列演訓，精進聯戰效能；強化資訊安全防護網能量，提升資電作戰能力。</w:t>
      </w:r>
    </w:p>
    <w:p w14:paraId="3AEC0A9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完善全民防衛動員準備，辦理「萬安」、「同心」及「自強」等演訓，提升全民防衛動員能量。</w:t>
      </w:r>
    </w:p>
    <w:p w14:paraId="0C5E9FB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重塑精神戰力</w:t>
      </w:r>
    </w:p>
    <w:p w14:paraId="252202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貫徹軍隊國家化，嚴守政治中立；運用多元文宣管道，加強官兵敵情意識宣教，激發榮譽感與三信心。</w:t>
      </w:r>
    </w:p>
    <w:p w14:paraId="24B58D0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深植「智、信、仁、勇、嚴」武德內涵，列入基礎教育及進</w:t>
      </w:r>
      <w:r>
        <w:rPr>
          <w:rFonts w:eastAsia="標楷體"/>
          <w:spacing w:val="4"/>
          <w:kern w:val="0"/>
          <w:sz w:val="28"/>
          <w:szCs w:val="26"/>
        </w:rPr>
        <w:lastRenderedPageBreak/>
        <w:t>修教育施教；強化武德信念，堅定忠貞氣節。</w:t>
      </w:r>
    </w:p>
    <w:p w14:paraId="63EF48D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刊播、出版軍人典型、戰役戰史介紹等專輯或書冊，辦理楷模表揚、學術研討、美展等活動，弘揚光榮傳統。</w:t>
      </w:r>
    </w:p>
    <w:p w14:paraId="6DCB168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精進軍紀整飭，綿密督檢訪查、刑懲併行、留優汰劣、保防安檢作為；推動廉政工作，引進政風、督察制度。</w:t>
      </w:r>
    </w:p>
    <w:p w14:paraId="232C4DD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深化諮商輔導機制，強化「國軍自殺防治中心」運作功能，健全自我傷害關懷網絡，期達零自傷及心理健康之目標。</w:t>
      </w:r>
    </w:p>
    <w:p w14:paraId="75B3742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持續清查忠勇殉職官兵，配合春、秋祭大典入祀國民革命及地方忠烈祠，形塑國軍忠烈典範。</w:t>
      </w:r>
    </w:p>
    <w:p w14:paraId="007B820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維護區域穩定</w:t>
      </w:r>
    </w:p>
    <w:p w14:paraId="1D378D8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配合外交政策，藉由邀訪、採購、訓練、軍事協助、智庫、軍法研討、人道救援及裝備援贈等方式，推動交流合作。</w:t>
      </w:r>
    </w:p>
    <w:p w14:paraId="773D1EC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爭取觀摩或實際參與友盟軍事演訓機會，擷取作戰經驗，增進聯戰能力，建立友盟互信與共識。</w:t>
      </w:r>
    </w:p>
    <w:p w14:paraId="7ED1A59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8"/>
          <w:kern w:val="0"/>
          <w:sz w:val="28"/>
          <w:szCs w:val="26"/>
        </w:rPr>
        <w:t>建立制度化戰略對話合作管道，共同維護區域海空交通線安全。</w:t>
      </w:r>
    </w:p>
    <w:p w14:paraId="4BCB9C5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整合情監偵能量，強化早期預警系統；加強情報交換，精確掌握敵情威脅相關情資，提升戰略及戰術預警能力。</w:t>
      </w:r>
    </w:p>
    <w:p w14:paraId="5D3A0F9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參與國際反恐與人道救援行動，支持遏制恐佈活動，協助區域內人道救援，善盡國際公民責任。</w:t>
      </w:r>
    </w:p>
    <w:p w14:paraId="17743CF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6.</w:t>
      </w:r>
      <w:r>
        <w:rPr>
          <w:rFonts w:eastAsia="標楷體"/>
          <w:spacing w:val="4"/>
          <w:kern w:val="0"/>
          <w:sz w:val="28"/>
          <w:szCs w:val="26"/>
        </w:rPr>
        <w:t>配合國軍毒品防制小組分工，加強與檢察署、警、調、海巡及海關等建立查緝網絡，防止毒品流入影響部隊戰力。</w:t>
      </w:r>
    </w:p>
    <w:p w14:paraId="6152A8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六</w:t>
      </w:r>
      <w:r>
        <w:rPr>
          <w:rFonts w:ascii="標楷體" w:eastAsia="標楷體" w:hAnsi="標楷體"/>
          <w:spacing w:val="4"/>
          <w:kern w:val="0"/>
          <w:sz w:val="28"/>
          <w:szCs w:val="22"/>
        </w:rPr>
        <w:t>)</w:t>
      </w:r>
      <w:r>
        <w:rPr>
          <w:rFonts w:eastAsia="標楷體"/>
          <w:spacing w:val="4"/>
          <w:kern w:val="0"/>
          <w:sz w:val="28"/>
          <w:szCs w:val="22"/>
        </w:rPr>
        <w:t>優化官兵照顧</w:t>
      </w:r>
    </w:p>
    <w:p w14:paraId="3B13D38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賡續關懷無依</w:t>
      </w:r>
      <w:r>
        <w:rPr>
          <w:rFonts w:ascii="標楷體" w:eastAsia="標楷體" w:hAnsi="標楷體"/>
          <w:spacing w:val="4"/>
          <w:kern w:val="0"/>
          <w:sz w:val="28"/>
          <w:szCs w:val="26"/>
        </w:rPr>
        <w:t>(</w:t>
      </w:r>
      <w:r>
        <w:rPr>
          <w:rFonts w:eastAsia="標楷體"/>
          <w:spacing w:val="4"/>
          <w:kern w:val="0"/>
          <w:sz w:val="28"/>
          <w:szCs w:val="26"/>
        </w:rPr>
        <w:t>眷</w:t>
      </w:r>
      <w:r>
        <w:rPr>
          <w:rFonts w:ascii="標楷體" w:eastAsia="標楷體" w:hAnsi="標楷體"/>
          <w:spacing w:val="4"/>
          <w:kern w:val="0"/>
          <w:sz w:val="28"/>
          <w:szCs w:val="26"/>
        </w:rPr>
        <w:t>)</w:t>
      </w:r>
      <w:r>
        <w:rPr>
          <w:rFonts w:eastAsia="標楷體"/>
          <w:spacing w:val="4"/>
          <w:kern w:val="0"/>
          <w:sz w:val="28"/>
          <w:szCs w:val="26"/>
        </w:rPr>
        <w:t>退役官兵生活，配合「友善關懷老人服務方案」，照撫退員及營區周邊孤苦無依退役袍澤眷屬。</w:t>
      </w:r>
    </w:p>
    <w:p w14:paraId="02A7E1C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整合軍眷服務工作體系，賡續辦理眷</w:t>
      </w:r>
      <w:r>
        <w:rPr>
          <w:rFonts w:ascii="標楷體" w:eastAsia="標楷體" w:hAnsi="標楷體"/>
          <w:spacing w:val="4"/>
          <w:kern w:val="0"/>
          <w:sz w:val="28"/>
          <w:szCs w:val="26"/>
        </w:rPr>
        <w:t>(</w:t>
      </w:r>
      <w:r>
        <w:rPr>
          <w:rFonts w:eastAsia="標楷體"/>
          <w:spacing w:val="4"/>
          <w:kern w:val="0"/>
          <w:sz w:val="28"/>
          <w:szCs w:val="26"/>
        </w:rPr>
        <w:t>徵</w:t>
      </w:r>
      <w:r>
        <w:rPr>
          <w:rFonts w:ascii="標楷體" w:eastAsia="標楷體" w:hAnsi="標楷體"/>
          <w:spacing w:val="4"/>
          <w:kern w:val="0"/>
          <w:sz w:val="28"/>
          <w:szCs w:val="26"/>
        </w:rPr>
        <w:t>)</w:t>
      </w:r>
      <w:r>
        <w:rPr>
          <w:rFonts w:eastAsia="標楷體"/>
          <w:spacing w:val="4"/>
          <w:kern w:val="0"/>
          <w:sz w:val="28"/>
          <w:szCs w:val="26"/>
        </w:rPr>
        <w:t>屬急難病困慰問等服務，協助解決疑難問題。</w:t>
      </w:r>
    </w:p>
    <w:p w14:paraId="7D8C638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加速眷村改建，賡續研訂軍眷安家多元方案；活化眷改資產及眷村文化保存，提升眷改資產運用效能與文化價值。</w:t>
      </w:r>
    </w:p>
    <w:p w14:paraId="0DD4328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賡續改善官兵生活設施，檢討都會區營地興建職務宿舍，增</w:t>
      </w:r>
      <w:r>
        <w:rPr>
          <w:rFonts w:eastAsia="標楷體"/>
          <w:spacing w:val="4"/>
          <w:kern w:val="0"/>
          <w:sz w:val="28"/>
          <w:szCs w:val="26"/>
        </w:rPr>
        <w:lastRenderedPageBreak/>
        <w:t>加優秀官士兵長留久任誘因。</w:t>
      </w:r>
    </w:p>
    <w:p w14:paraId="20A2494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建置「健康管理資料庫」及研修就醫優惠規定；培育軍法事務專業人才，提供法律諮詢與服務。</w:t>
      </w:r>
    </w:p>
    <w:p w14:paraId="0CE19DB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6.</w:t>
      </w:r>
      <w:r>
        <w:rPr>
          <w:rFonts w:eastAsia="標楷體"/>
          <w:spacing w:val="4"/>
          <w:kern w:val="0"/>
          <w:sz w:val="28"/>
          <w:szCs w:val="26"/>
        </w:rPr>
        <w:t>落實屆退官兵輔導工作，續辦軍官轉任公職考試輔導，俾利退役後轉入社會職場服務，擴大人力資源運用。</w:t>
      </w:r>
    </w:p>
    <w:p w14:paraId="466BE0BA"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rPr>
          <w:rFonts w:eastAsia="標楷體"/>
          <w:b/>
          <w:color w:val="0000FF"/>
          <w:spacing w:val="10"/>
          <w:kern w:val="0"/>
          <w:sz w:val="30"/>
          <w:szCs w:val="28"/>
        </w:rPr>
      </w:pPr>
      <w:r>
        <w:rPr>
          <w:rFonts w:eastAsia="標楷體"/>
          <w:b/>
          <w:color w:val="0000FF"/>
          <w:spacing w:val="10"/>
          <w:kern w:val="0"/>
          <w:sz w:val="30"/>
          <w:szCs w:val="28"/>
        </w:rPr>
        <w:t>第八節　友善國際</w:t>
      </w:r>
    </w:p>
    <w:p w14:paraId="33990D59"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11A1D7A4"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68"/>
        <w:jc w:val="both"/>
        <w:textAlignment w:val="center"/>
        <w:rPr>
          <w:rFonts w:eastAsia="標楷體"/>
          <w:spacing w:val="2"/>
          <w:kern w:val="0"/>
          <w:sz w:val="28"/>
          <w:szCs w:val="26"/>
        </w:rPr>
      </w:pPr>
      <w:r>
        <w:rPr>
          <w:rFonts w:eastAsia="標楷體"/>
          <w:spacing w:val="2"/>
          <w:kern w:val="0"/>
          <w:sz w:val="28"/>
          <w:szCs w:val="26"/>
        </w:rPr>
        <w:t>為達成友善國際願景，未來四年政府將推動「擴大參與」、「人道援助」、「文化交流」及「觀光升級」等政策主軸，以提升我國際形象及能見度。其中，擴大參與方面，在確保中華民國主權與安全下，將積極與主要國家簽訂自由貿易協定與推動加入跨太平洋夥伴協定，深化並落實主要國家或地區予我國人免簽證或落地簽證之施行與宣導，並積極爭取更多國家與我簽訂青年打工度假協議。人道援助方面，將善用我國醫療公衛、農漁業等強項協助友邦及開發中國家，強化國際合作並積極參與人道援助，扮演國際「人道援助提供者」角色。文化交流方面，將促進國際學術、語文、體育交流合作，發展青年多元國際交流與傳播臺灣人文思想。觀光升級方面，將以永續、品質、友善、生活、多元為核心，優化觀光產業品質，並發揚以臺灣多元資源與風貌為底蘊的觀光特色，逐步打造臺灣成為千萬國際旅客觀光大國。</w:t>
      </w:r>
    </w:p>
    <w:p w14:paraId="08DA6CE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E915202"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壹、擴大參與</w:t>
      </w:r>
    </w:p>
    <w:p w14:paraId="6803DA03"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6CF8346"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政府自</w:t>
      </w:r>
      <w:r>
        <w:rPr>
          <w:rFonts w:eastAsia="標楷體"/>
          <w:spacing w:val="4"/>
          <w:kern w:val="0"/>
          <w:sz w:val="28"/>
          <w:szCs w:val="26"/>
        </w:rPr>
        <w:t>2008</w:t>
      </w:r>
      <w:r>
        <w:rPr>
          <w:rFonts w:eastAsia="標楷體"/>
          <w:spacing w:val="4"/>
          <w:kern w:val="0"/>
          <w:sz w:val="28"/>
          <w:szCs w:val="26"/>
        </w:rPr>
        <w:t>年起推動「活路外交」政策以來，採取尊嚴、自主、務實、靈活原則，致力拓展國際空間、鞏固與邦交國關係、提升與無邦交國家的實質關係；同時促使兩岸在國際社會從過去的「惡性競爭」朝向「良性循環」發展。</w:t>
      </w:r>
    </w:p>
    <w:p w14:paraId="11EBFAA3"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我國自</w:t>
      </w:r>
      <w:r>
        <w:rPr>
          <w:rFonts w:eastAsia="標楷體"/>
          <w:spacing w:val="4"/>
          <w:kern w:val="0"/>
          <w:sz w:val="28"/>
          <w:szCs w:val="26"/>
        </w:rPr>
        <w:t>2009</w:t>
      </w:r>
      <w:r>
        <w:rPr>
          <w:rFonts w:eastAsia="標楷體"/>
          <w:spacing w:val="4"/>
          <w:kern w:val="0"/>
          <w:sz w:val="28"/>
          <w:szCs w:val="26"/>
        </w:rPr>
        <w:t>年獲納入「世界衛生組織」</w:t>
      </w:r>
      <w:r>
        <w:rPr>
          <w:rFonts w:ascii="標楷體" w:eastAsia="標楷體" w:hAnsi="標楷體"/>
          <w:spacing w:val="4"/>
          <w:kern w:val="0"/>
          <w:sz w:val="28"/>
          <w:szCs w:val="26"/>
        </w:rPr>
        <w:t>(</w:t>
      </w:r>
      <w:r>
        <w:rPr>
          <w:rFonts w:eastAsia="標楷體"/>
          <w:spacing w:val="4"/>
          <w:kern w:val="0"/>
          <w:sz w:val="28"/>
          <w:szCs w:val="26"/>
        </w:rPr>
        <w:t>WHO</w:t>
      </w:r>
      <w:r>
        <w:rPr>
          <w:rFonts w:ascii="標楷體" w:eastAsia="標楷體" w:hAnsi="標楷體"/>
          <w:spacing w:val="4"/>
          <w:kern w:val="0"/>
          <w:sz w:val="28"/>
          <w:szCs w:val="26"/>
        </w:rPr>
        <w:t>)</w:t>
      </w:r>
      <w:r>
        <w:rPr>
          <w:rFonts w:eastAsia="標楷體"/>
          <w:spacing w:val="4"/>
          <w:kern w:val="0"/>
          <w:sz w:val="28"/>
          <w:szCs w:val="26"/>
        </w:rPr>
        <w:t>國際衛生條例</w:t>
      </w:r>
      <w:r>
        <w:rPr>
          <w:rFonts w:ascii="標楷體" w:eastAsia="標楷體" w:hAnsi="標楷體"/>
          <w:spacing w:val="4"/>
          <w:kern w:val="0"/>
          <w:sz w:val="28"/>
          <w:szCs w:val="26"/>
        </w:rPr>
        <w:t>(</w:t>
      </w:r>
      <w:r>
        <w:rPr>
          <w:rFonts w:eastAsia="標楷體"/>
          <w:spacing w:val="4"/>
          <w:kern w:val="0"/>
          <w:sz w:val="28"/>
          <w:szCs w:val="26"/>
        </w:rPr>
        <w:t>IHR</w:t>
      </w:r>
      <w:r>
        <w:rPr>
          <w:rFonts w:ascii="標楷體" w:eastAsia="標楷體" w:hAnsi="標楷體"/>
          <w:spacing w:val="4"/>
          <w:kern w:val="0"/>
          <w:sz w:val="28"/>
          <w:szCs w:val="26"/>
        </w:rPr>
        <w:t>)</w:t>
      </w:r>
      <w:r>
        <w:rPr>
          <w:rFonts w:eastAsia="標楷體"/>
          <w:spacing w:val="4"/>
          <w:kern w:val="0"/>
          <w:sz w:val="28"/>
          <w:szCs w:val="26"/>
        </w:rPr>
        <w:t>運作體系後，行政院衛生署長已連續四年受邀以觀察員身分出席「世界衛生大會」</w:t>
      </w:r>
      <w:r>
        <w:rPr>
          <w:rFonts w:ascii="標楷體" w:eastAsia="標楷體" w:hAnsi="標楷體"/>
          <w:spacing w:val="4"/>
          <w:kern w:val="0"/>
          <w:sz w:val="28"/>
          <w:szCs w:val="26"/>
        </w:rPr>
        <w:t>(</w:t>
      </w:r>
      <w:r>
        <w:rPr>
          <w:rFonts w:eastAsia="標楷體"/>
          <w:spacing w:val="4"/>
          <w:kern w:val="0"/>
          <w:sz w:val="28"/>
          <w:szCs w:val="26"/>
        </w:rPr>
        <w:t>WHA</w:t>
      </w:r>
      <w:r>
        <w:rPr>
          <w:rFonts w:ascii="標楷體" w:eastAsia="標楷體" w:hAnsi="標楷體"/>
          <w:spacing w:val="4"/>
          <w:kern w:val="0"/>
          <w:sz w:val="28"/>
          <w:szCs w:val="26"/>
        </w:rPr>
        <w:t>)</w:t>
      </w:r>
      <w:r>
        <w:rPr>
          <w:rFonts w:eastAsia="標楷體"/>
          <w:spacing w:val="4"/>
          <w:kern w:val="0"/>
          <w:sz w:val="28"/>
          <w:szCs w:val="26"/>
        </w:rPr>
        <w:t>，此係我國自</w:t>
      </w:r>
      <w:r>
        <w:rPr>
          <w:rFonts w:eastAsia="標楷體"/>
          <w:spacing w:val="4"/>
          <w:kern w:val="0"/>
          <w:sz w:val="28"/>
          <w:szCs w:val="26"/>
        </w:rPr>
        <w:t>1971</w:t>
      </w:r>
      <w:r>
        <w:rPr>
          <w:rFonts w:eastAsia="標楷體"/>
          <w:spacing w:val="4"/>
          <w:kern w:val="0"/>
          <w:sz w:val="28"/>
          <w:szCs w:val="26"/>
        </w:rPr>
        <w:t>年退出聯合國後，首</w:t>
      </w:r>
      <w:r>
        <w:rPr>
          <w:rFonts w:eastAsia="標楷體"/>
          <w:spacing w:val="4"/>
          <w:kern w:val="0"/>
          <w:sz w:val="28"/>
          <w:szCs w:val="26"/>
        </w:rPr>
        <w:lastRenderedPageBreak/>
        <w:t>度重返聯合國體系。</w:t>
      </w:r>
    </w:p>
    <w:p w14:paraId="24FAE967"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我國自</w:t>
      </w:r>
      <w:r>
        <w:rPr>
          <w:rFonts w:eastAsia="標楷體"/>
          <w:spacing w:val="4"/>
          <w:kern w:val="0"/>
          <w:sz w:val="28"/>
          <w:szCs w:val="26"/>
        </w:rPr>
        <w:t>2008</w:t>
      </w:r>
      <w:r>
        <w:rPr>
          <w:rFonts w:eastAsia="標楷體"/>
          <w:spacing w:val="4"/>
          <w:kern w:val="0"/>
          <w:sz w:val="28"/>
          <w:szCs w:val="26"/>
        </w:rPr>
        <w:t>年以來出席「亞太經濟合作」</w:t>
      </w:r>
      <w:r>
        <w:rPr>
          <w:rFonts w:ascii="標楷體" w:eastAsia="標楷體" w:hAnsi="標楷體"/>
          <w:spacing w:val="4"/>
          <w:kern w:val="0"/>
          <w:sz w:val="28"/>
          <w:szCs w:val="26"/>
        </w:rPr>
        <w:t>(</w:t>
      </w:r>
      <w:r>
        <w:rPr>
          <w:rFonts w:eastAsia="標楷體"/>
          <w:spacing w:val="4"/>
          <w:kern w:val="0"/>
          <w:sz w:val="28"/>
          <w:szCs w:val="26"/>
        </w:rPr>
        <w:t>APEC</w:t>
      </w:r>
      <w:r>
        <w:rPr>
          <w:rFonts w:ascii="標楷體" w:eastAsia="標楷體" w:hAnsi="標楷體"/>
          <w:spacing w:val="4"/>
          <w:kern w:val="0"/>
          <w:sz w:val="28"/>
          <w:szCs w:val="26"/>
        </w:rPr>
        <w:t>)</w:t>
      </w:r>
      <w:r>
        <w:rPr>
          <w:rFonts w:eastAsia="標楷體"/>
          <w:spacing w:val="4"/>
          <w:kern w:val="0"/>
          <w:sz w:val="28"/>
          <w:szCs w:val="26"/>
        </w:rPr>
        <w:t>領袖會議，前副總統連戰五次代表馬總統出席該項會議，為我歷年來與會層級最高的代表，同時亦在該國際場域，與其他國家領袖舉行雙邊會談，成果豐碩。此外，我國於</w:t>
      </w:r>
      <w:r>
        <w:rPr>
          <w:rFonts w:eastAsia="標楷體"/>
          <w:spacing w:val="4"/>
          <w:kern w:val="0"/>
          <w:sz w:val="28"/>
          <w:szCs w:val="26"/>
        </w:rPr>
        <w:t>2010</w:t>
      </w:r>
      <w:r>
        <w:rPr>
          <w:rFonts w:eastAsia="標楷體"/>
          <w:spacing w:val="4"/>
          <w:kern w:val="0"/>
          <w:sz w:val="28"/>
          <w:szCs w:val="26"/>
        </w:rPr>
        <w:t>年獲得加入「美洲熱帶鮪魚委員會」</w:t>
      </w:r>
      <w:r>
        <w:rPr>
          <w:rFonts w:ascii="標楷體" w:eastAsia="標楷體" w:hAnsi="標楷體"/>
          <w:spacing w:val="4"/>
          <w:kern w:val="0"/>
          <w:sz w:val="28"/>
          <w:szCs w:val="26"/>
        </w:rPr>
        <w:t>(</w:t>
      </w:r>
      <w:r>
        <w:rPr>
          <w:rFonts w:eastAsia="標楷體"/>
          <w:spacing w:val="4"/>
          <w:kern w:val="0"/>
          <w:sz w:val="28"/>
          <w:szCs w:val="26"/>
        </w:rPr>
        <w:t>IATTC</w:t>
      </w:r>
      <w:r>
        <w:rPr>
          <w:rFonts w:ascii="標楷體" w:eastAsia="標楷體" w:hAnsi="標楷體"/>
          <w:spacing w:val="4"/>
          <w:kern w:val="0"/>
          <w:sz w:val="28"/>
          <w:szCs w:val="26"/>
        </w:rPr>
        <w:t>)</w:t>
      </w:r>
      <w:r>
        <w:rPr>
          <w:rFonts w:eastAsia="標楷體"/>
          <w:spacing w:val="4"/>
          <w:kern w:val="0"/>
          <w:sz w:val="28"/>
          <w:szCs w:val="26"/>
        </w:rPr>
        <w:t>及「國際政府資訊科技理事會」</w:t>
      </w:r>
      <w:r>
        <w:rPr>
          <w:rFonts w:ascii="標楷體" w:eastAsia="標楷體" w:hAnsi="標楷體"/>
          <w:spacing w:val="4"/>
          <w:kern w:val="0"/>
          <w:sz w:val="28"/>
          <w:szCs w:val="26"/>
        </w:rPr>
        <w:t>(</w:t>
      </w:r>
      <w:r>
        <w:rPr>
          <w:rFonts w:eastAsia="標楷體"/>
          <w:spacing w:val="4"/>
          <w:kern w:val="0"/>
          <w:sz w:val="28"/>
          <w:szCs w:val="26"/>
        </w:rPr>
        <w:t>ICA</w:t>
      </w:r>
      <w:r>
        <w:rPr>
          <w:rFonts w:ascii="標楷體" w:eastAsia="標楷體" w:hAnsi="標楷體"/>
          <w:spacing w:val="4"/>
          <w:kern w:val="0"/>
          <w:sz w:val="28"/>
          <w:szCs w:val="26"/>
        </w:rPr>
        <w:t>)</w:t>
      </w:r>
      <w:r>
        <w:rPr>
          <w:rFonts w:eastAsia="標楷體"/>
          <w:spacing w:val="4"/>
          <w:kern w:val="0"/>
          <w:sz w:val="28"/>
          <w:szCs w:val="26"/>
        </w:rPr>
        <w:t>政府間國際組織。</w:t>
      </w:r>
    </w:p>
    <w:p w14:paraId="48D8D202"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鑒於當前「世界貿易組織」</w:t>
      </w:r>
      <w:r>
        <w:rPr>
          <w:rFonts w:ascii="標楷體" w:eastAsia="標楷體" w:hAnsi="標楷體"/>
          <w:spacing w:val="4"/>
          <w:kern w:val="0"/>
          <w:sz w:val="28"/>
          <w:szCs w:val="26"/>
        </w:rPr>
        <w:t>(</w:t>
      </w:r>
      <w:r>
        <w:rPr>
          <w:rFonts w:eastAsia="標楷體"/>
          <w:spacing w:val="4"/>
          <w:kern w:val="0"/>
          <w:sz w:val="28"/>
          <w:szCs w:val="26"/>
        </w:rPr>
        <w:t>WTO</w:t>
      </w:r>
      <w:r>
        <w:rPr>
          <w:rFonts w:ascii="標楷體" w:eastAsia="標楷體" w:hAnsi="標楷體"/>
          <w:spacing w:val="4"/>
          <w:kern w:val="0"/>
          <w:sz w:val="28"/>
          <w:szCs w:val="26"/>
        </w:rPr>
        <w:t>)</w:t>
      </w:r>
      <w:r>
        <w:rPr>
          <w:rFonts w:eastAsia="標楷體"/>
          <w:spacing w:val="4"/>
          <w:kern w:val="0"/>
          <w:sz w:val="28"/>
          <w:szCs w:val="26"/>
        </w:rPr>
        <w:t>杜哈回合談判停滯不前，全球主要經濟體競相洽簽雙邊及</w:t>
      </w:r>
      <w:r>
        <w:rPr>
          <w:rFonts w:eastAsia="標楷體"/>
          <w:spacing w:val="2"/>
          <w:kern w:val="0"/>
          <w:sz w:val="28"/>
          <w:szCs w:val="26"/>
        </w:rPr>
        <w:t>複邊「自由貿易協定」</w:t>
      </w:r>
      <w:r>
        <w:rPr>
          <w:rFonts w:ascii="標楷體" w:eastAsia="標楷體" w:hAnsi="標楷體"/>
          <w:spacing w:val="2"/>
          <w:kern w:val="0"/>
          <w:sz w:val="28"/>
          <w:szCs w:val="26"/>
        </w:rPr>
        <w:t>(</w:t>
      </w:r>
      <w:r>
        <w:rPr>
          <w:rFonts w:eastAsia="標楷體"/>
          <w:spacing w:val="2"/>
          <w:kern w:val="0"/>
          <w:sz w:val="28"/>
          <w:szCs w:val="26"/>
        </w:rPr>
        <w:t>FTA</w:t>
      </w:r>
      <w:r>
        <w:rPr>
          <w:rFonts w:ascii="標楷體" w:eastAsia="標楷體" w:hAnsi="標楷體"/>
          <w:spacing w:val="2"/>
          <w:kern w:val="0"/>
          <w:sz w:val="28"/>
          <w:szCs w:val="26"/>
        </w:rPr>
        <w:t>)</w:t>
      </w:r>
      <w:r>
        <w:rPr>
          <w:rFonts w:eastAsia="標楷體"/>
          <w:spacing w:val="2"/>
          <w:kern w:val="0"/>
          <w:sz w:val="28"/>
          <w:szCs w:val="26"/>
        </w:rPr>
        <w:t>，</w:t>
      </w:r>
      <w:r>
        <w:rPr>
          <w:rFonts w:eastAsia="標楷體"/>
          <w:spacing w:val="4"/>
          <w:kern w:val="0"/>
          <w:sz w:val="28"/>
          <w:szCs w:val="26"/>
        </w:rPr>
        <w:t>其中以亞太國家尤盛。我國面對區域經濟整合之挑戰，致力推動貿易自由化，正分別與新加坡及紐西蘭就簽訂「經濟合作協議」展開談判，並為加入「跨太平洋夥伴協定」</w:t>
      </w:r>
      <w:r>
        <w:rPr>
          <w:rFonts w:ascii="標楷體" w:eastAsia="標楷體" w:hAnsi="標楷體"/>
          <w:spacing w:val="4"/>
          <w:kern w:val="0"/>
          <w:sz w:val="28"/>
          <w:szCs w:val="26"/>
        </w:rPr>
        <w:t>(</w:t>
      </w:r>
      <w:r>
        <w:rPr>
          <w:rFonts w:eastAsia="標楷體"/>
          <w:spacing w:val="4"/>
          <w:kern w:val="0"/>
          <w:sz w:val="28"/>
          <w:szCs w:val="26"/>
        </w:rPr>
        <w:t>TPP</w:t>
      </w:r>
      <w:r>
        <w:rPr>
          <w:rFonts w:ascii="標楷體" w:eastAsia="標楷體" w:hAnsi="標楷體"/>
          <w:spacing w:val="4"/>
          <w:kern w:val="0"/>
          <w:sz w:val="28"/>
          <w:szCs w:val="26"/>
        </w:rPr>
        <w:t>)</w:t>
      </w:r>
      <w:r>
        <w:rPr>
          <w:rFonts w:eastAsia="標楷體"/>
          <w:spacing w:val="4"/>
          <w:kern w:val="0"/>
          <w:sz w:val="28"/>
          <w:szCs w:val="26"/>
        </w:rPr>
        <w:t>創造有利條件，期盼八年之內，完成加入跨太平洋夥伴協定的目標。</w:t>
      </w:r>
    </w:p>
    <w:p w14:paraId="40FD7C68"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我國自</w:t>
      </w:r>
      <w:r>
        <w:rPr>
          <w:rFonts w:eastAsia="標楷體"/>
          <w:spacing w:val="4"/>
          <w:kern w:val="0"/>
          <w:sz w:val="28"/>
          <w:szCs w:val="26"/>
        </w:rPr>
        <w:t>1971</w:t>
      </w:r>
      <w:r>
        <w:rPr>
          <w:rFonts w:eastAsia="標楷體"/>
          <w:spacing w:val="4"/>
          <w:kern w:val="0"/>
          <w:sz w:val="28"/>
          <w:szCs w:val="26"/>
        </w:rPr>
        <w:t>年退出聯合國後，國際現實仍未有根本的改變，我國際處境仍然充滿了挑戰，尤其在面對中國大陸的崛起及區域經濟整合加速趨勢下，我國亟需持續拓展國際空間、提升國際地位、加入區域經濟整合，並積極在國際社會中扮演負責任之角色。</w:t>
      </w:r>
    </w:p>
    <w:p w14:paraId="579A67EA"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5991567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確保中華民國主權與安全，開創有利國家發展的國際環境。</w:t>
      </w:r>
    </w:p>
    <w:p w14:paraId="37AE367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鞏固與邦交國關係，提升與無邦交國實質合作關係。</w:t>
      </w:r>
    </w:p>
    <w:p w14:paraId="316C786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擴大國際參與，逐步爭取參與聯合國專門機構及功能性機制。</w:t>
      </w:r>
    </w:p>
    <w:p w14:paraId="2952F27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84" w:hanging="568"/>
        <w:jc w:val="both"/>
        <w:textAlignment w:val="center"/>
      </w:pPr>
      <w:r>
        <w:rPr>
          <w:rFonts w:ascii="標楷體" w:eastAsia="標楷體" w:hAnsi="標楷體"/>
          <w:spacing w:val="2"/>
          <w:kern w:val="0"/>
          <w:sz w:val="28"/>
          <w:szCs w:val="22"/>
        </w:rPr>
        <w:t>(</w:t>
      </w:r>
      <w:r>
        <w:rPr>
          <w:rFonts w:eastAsia="標楷體"/>
          <w:spacing w:val="2"/>
          <w:kern w:val="0"/>
          <w:sz w:val="28"/>
          <w:szCs w:val="22"/>
        </w:rPr>
        <w:t>四</w:t>
      </w:r>
      <w:r>
        <w:rPr>
          <w:rFonts w:ascii="標楷體" w:eastAsia="標楷體" w:hAnsi="標楷體"/>
          <w:spacing w:val="2"/>
          <w:kern w:val="0"/>
          <w:sz w:val="28"/>
          <w:szCs w:val="22"/>
        </w:rPr>
        <w:t>)</w:t>
      </w:r>
      <w:r>
        <w:rPr>
          <w:rFonts w:eastAsia="標楷體"/>
          <w:spacing w:val="6"/>
          <w:kern w:val="0"/>
          <w:sz w:val="28"/>
          <w:szCs w:val="22"/>
        </w:rPr>
        <w:t>積極推動參與區域經濟整合，營造有利我國經濟發展之國際環境。</w:t>
      </w:r>
    </w:p>
    <w:p w14:paraId="6E2C6EC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深化並落實主要國家或地區予我國人免簽證或落地簽證之施行與宣導，提供國人在海外經商、旅行、探親及遊學的便利。</w:t>
      </w:r>
    </w:p>
    <w:p w14:paraId="39A3E22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5F27BBD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深化與美、日、歐盟及周邊國家關係，確保我國主權與安全：持續強化臺美安全合作，以維護區域和平、穩定與繁榮。</w:t>
      </w:r>
    </w:p>
    <w:p w14:paraId="125D565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鞏固與邦交國關係，提升與無邦交國家實質關係</w:t>
      </w:r>
    </w:p>
    <w:p w14:paraId="21C5DC1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善用我國強項產業，透過技術協助與經驗分享，在各專業領</w:t>
      </w:r>
      <w:r>
        <w:rPr>
          <w:rFonts w:eastAsia="標楷體"/>
          <w:spacing w:val="4"/>
          <w:kern w:val="0"/>
          <w:sz w:val="28"/>
          <w:szCs w:val="26"/>
        </w:rPr>
        <w:lastRenderedPageBreak/>
        <w:t>域協助友邦改善基礎建設，嘉惠友邦人民，鞏固邦誼。</w:t>
      </w:r>
    </w:p>
    <w:p w14:paraId="3E981BD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深化並落實主要國家或地區予我國人免簽證或落地簽證之施行與宣導，讓國人世界走透透，為國人省簽證費、免除繁雜申請手續，提升出國便利與尊嚴。</w:t>
      </w:r>
    </w:p>
    <w:p w14:paraId="6C70F2A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推動與無邦交國家洽簽協議，提升官方交往層級。</w:t>
      </w:r>
    </w:p>
    <w:p w14:paraId="4418D71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加強拓展國際空間</w:t>
      </w:r>
    </w:p>
    <w:p w14:paraId="07FF733B" w14:textId="77777777" w:rsidR="00052596" w:rsidRDefault="00000000">
      <w:pPr>
        <w:overflowPunct w:val="0"/>
        <w:autoSpaceDE w:val="0"/>
        <w:spacing w:line="420" w:lineRule="exact"/>
        <w:ind w:left="792" w:firstLine="605"/>
        <w:jc w:val="both"/>
        <w:textAlignment w:val="center"/>
        <w:rPr>
          <w:rFonts w:eastAsia="標楷體"/>
          <w:spacing w:val="4"/>
          <w:kern w:val="0"/>
          <w:sz w:val="28"/>
          <w:szCs w:val="26"/>
        </w:rPr>
      </w:pPr>
      <w:r>
        <w:rPr>
          <w:rFonts w:eastAsia="標楷體"/>
          <w:spacing w:val="4"/>
          <w:kern w:val="0"/>
          <w:sz w:val="28"/>
          <w:szCs w:val="26"/>
        </w:rPr>
        <w:t>維護我國在已加入之國際組織會籍與權益，提高參與層級，擴大影響力；建立我國與尚未能參與之國際組織的實質聯繫，強化國際社會對我之支持。</w:t>
      </w:r>
    </w:p>
    <w:p w14:paraId="6DF45FE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四</w:t>
      </w:r>
      <w:r>
        <w:rPr>
          <w:rFonts w:ascii="標楷體" w:eastAsia="標楷體" w:hAnsi="標楷體"/>
          <w:spacing w:val="4"/>
          <w:kern w:val="0"/>
          <w:sz w:val="28"/>
          <w:szCs w:val="22"/>
        </w:rPr>
        <w:t>)</w:t>
      </w:r>
      <w:r>
        <w:rPr>
          <w:rFonts w:eastAsia="標楷體"/>
          <w:spacing w:val="4"/>
          <w:kern w:val="0"/>
          <w:sz w:val="28"/>
          <w:szCs w:val="22"/>
        </w:rPr>
        <w:t>協助我非政府組織參與國際事務</w:t>
      </w:r>
    </w:p>
    <w:p w14:paraId="5310B12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協助我國非政府組織參與國際事務，及參與各該專門領域「國際非政府組織」</w:t>
      </w:r>
      <w:r>
        <w:rPr>
          <w:rFonts w:ascii="標楷體" w:eastAsia="標楷體" w:hAnsi="標楷體"/>
          <w:spacing w:val="4"/>
          <w:kern w:val="0"/>
          <w:sz w:val="28"/>
          <w:szCs w:val="26"/>
        </w:rPr>
        <w:t>(</w:t>
      </w:r>
      <w:r>
        <w:rPr>
          <w:rFonts w:eastAsia="標楷體"/>
          <w:spacing w:val="4"/>
          <w:kern w:val="0"/>
          <w:sz w:val="28"/>
          <w:szCs w:val="26"/>
        </w:rPr>
        <w:t>INGO</w:t>
      </w:r>
      <w:r>
        <w:rPr>
          <w:rFonts w:ascii="標楷體" w:eastAsia="標楷體" w:hAnsi="標楷體"/>
          <w:spacing w:val="4"/>
          <w:kern w:val="0"/>
          <w:sz w:val="28"/>
          <w:szCs w:val="26"/>
        </w:rPr>
        <w:t>)</w:t>
      </w:r>
      <w:r>
        <w:rPr>
          <w:rFonts w:eastAsia="標楷體"/>
          <w:spacing w:val="4"/>
          <w:kern w:val="0"/>
          <w:sz w:val="28"/>
          <w:szCs w:val="26"/>
        </w:rPr>
        <w:t>會議及活動，強化我國非政府組織的國際影響力，爭取國際非政府組織在臺舉辦會議或活動。</w:t>
      </w:r>
    </w:p>
    <w:p w14:paraId="42683B7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協助我民間組織建立區域及全球網絡，針對國際關注議題進行合作；協調政府及民間資源參與聯合國體系及機構具諮詢地位或合作夥伴關係之國際非政府組織。</w:t>
      </w:r>
    </w:p>
    <w:p w14:paraId="33BD52F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五</w:t>
      </w:r>
      <w:r>
        <w:rPr>
          <w:rFonts w:ascii="標楷體" w:eastAsia="標楷體" w:hAnsi="標楷體"/>
          <w:spacing w:val="4"/>
          <w:kern w:val="0"/>
          <w:sz w:val="28"/>
          <w:szCs w:val="22"/>
        </w:rPr>
        <w:t>)</w:t>
      </w:r>
      <w:r>
        <w:rPr>
          <w:rFonts w:eastAsia="標楷體"/>
          <w:spacing w:val="4"/>
          <w:kern w:val="0"/>
          <w:sz w:val="28"/>
          <w:szCs w:val="22"/>
        </w:rPr>
        <w:t>積極參與區域經濟整合，協助企業拓展海外商機</w:t>
      </w:r>
    </w:p>
    <w:p w14:paraId="0123A8D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1.</w:t>
      </w:r>
      <w:r>
        <w:rPr>
          <w:rFonts w:eastAsia="標楷體"/>
          <w:spacing w:val="4"/>
          <w:kern w:val="0"/>
          <w:sz w:val="28"/>
          <w:szCs w:val="26"/>
        </w:rPr>
        <w:t>配合「亞太自由貿易區」</w:t>
      </w:r>
      <w:r>
        <w:rPr>
          <w:rFonts w:ascii="標楷體" w:eastAsia="標楷體" w:hAnsi="標楷體"/>
          <w:spacing w:val="4"/>
          <w:kern w:val="0"/>
          <w:sz w:val="28"/>
          <w:szCs w:val="26"/>
        </w:rPr>
        <w:t>(</w:t>
      </w:r>
      <w:r>
        <w:rPr>
          <w:rFonts w:eastAsia="標楷體"/>
          <w:spacing w:val="4"/>
          <w:kern w:val="0"/>
          <w:sz w:val="28"/>
          <w:szCs w:val="26"/>
        </w:rPr>
        <w:t>FTAAP</w:t>
      </w:r>
      <w:r>
        <w:rPr>
          <w:rFonts w:ascii="標楷體" w:eastAsia="標楷體" w:hAnsi="標楷體"/>
          <w:spacing w:val="4"/>
          <w:kern w:val="0"/>
          <w:sz w:val="28"/>
          <w:szCs w:val="26"/>
        </w:rPr>
        <w:t>)</w:t>
      </w:r>
      <w:r>
        <w:rPr>
          <w:rFonts w:eastAsia="標楷體"/>
          <w:spacing w:val="4"/>
          <w:kern w:val="0"/>
          <w:sz w:val="28"/>
          <w:szCs w:val="26"/>
        </w:rPr>
        <w:t>發展，爭取加入「跨太平洋夥伴協定」，推動參與亞太區域經濟整合，為我國經濟發展營造有利之國際環境。</w:t>
      </w:r>
    </w:p>
    <w:p w14:paraId="5010156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與美國重啟「貿易暨投資架構協定」</w:t>
      </w:r>
      <w:r>
        <w:rPr>
          <w:rFonts w:ascii="標楷體" w:eastAsia="標楷體" w:hAnsi="標楷體"/>
          <w:spacing w:val="4"/>
          <w:kern w:val="0"/>
          <w:sz w:val="28"/>
          <w:szCs w:val="26"/>
        </w:rPr>
        <w:t>(</w:t>
      </w:r>
      <w:r>
        <w:rPr>
          <w:rFonts w:eastAsia="標楷體"/>
          <w:spacing w:val="4"/>
          <w:kern w:val="0"/>
          <w:sz w:val="28"/>
          <w:szCs w:val="26"/>
        </w:rPr>
        <w:t>TIFA</w:t>
      </w:r>
      <w:r>
        <w:rPr>
          <w:rFonts w:ascii="標楷體" w:eastAsia="標楷體" w:hAnsi="標楷體"/>
          <w:spacing w:val="4"/>
          <w:kern w:val="0"/>
          <w:sz w:val="28"/>
          <w:szCs w:val="26"/>
        </w:rPr>
        <w:t>)</w:t>
      </w:r>
      <w:r>
        <w:rPr>
          <w:rFonts w:eastAsia="標楷體"/>
          <w:spacing w:val="4"/>
          <w:kern w:val="0"/>
          <w:sz w:val="28"/>
          <w:szCs w:val="26"/>
        </w:rPr>
        <w:t>談判，有效推進臺美經濟關係。</w:t>
      </w:r>
    </w:p>
    <w:p w14:paraId="14128C4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推動與貿易夥伴進行雙邊經貿諮商、洽簽經濟合作、投資保障及避免雙重課稅等協議，深化雙邊經貿關係。</w:t>
      </w:r>
    </w:p>
    <w:p w14:paraId="269B6B8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(六)</w:t>
      </w:r>
      <w:r>
        <w:rPr>
          <w:rFonts w:eastAsia="標楷體"/>
          <w:spacing w:val="4"/>
          <w:kern w:val="0"/>
          <w:sz w:val="28"/>
          <w:szCs w:val="22"/>
        </w:rPr>
        <w:t>善用各項軟實力，提升國家形象</w:t>
      </w:r>
    </w:p>
    <w:p w14:paraId="3378488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結合政府及民間資源，強化與各國重要學界及智庫聯繫，運用我各領域軟實力，建構國家優質形象，爭取國際輿論支持。</w:t>
      </w:r>
    </w:p>
    <w:p w14:paraId="2882FE8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積極爭取更多國家與我簽訂青年打工度假協議，並促請已簽</w:t>
      </w:r>
      <w:r>
        <w:rPr>
          <w:rFonts w:eastAsia="標楷體"/>
          <w:spacing w:val="4"/>
          <w:kern w:val="0"/>
          <w:sz w:val="28"/>
          <w:szCs w:val="26"/>
        </w:rPr>
        <w:lastRenderedPageBreak/>
        <w:t>訂該協議之國家開放更多名額及工作項目，發展青年多元國際服務及學習機會，拓展國際視野。</w:t>
      </w:r>
    </w:p>
    <w:p w14:paraId="446BE75F"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A980F49"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貳、人道援助</w:t>
      </w:r>
    </w:p>
    <w:p w14:paraId="368F5350"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37BFE34"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鑒於全球受氣候變遷之重大影響，水災、風災、地震、海嘯及複合式災難頻繁，常造成人類生命財產之重大傷亡，我國本著休戚與共及善盡國際義務的地球村概念，積極參與國際人道援助，以提升我國際優質形象。</w:t>
      </w:r>
    </w:p>
    <w:p w14:paraId="36D3D813"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隨著時代進步與經濟發展，我國援外已建立多元化、法制化及專業化制度。未來在全球化潮流、國際社會相互依存關係日益緊密下，我將進一步整合政府與民間資源，發揮即時、迅速、符合國際人道援助之需要，並拓展多元夥伴關係，與國際援助潮流接軌。</w:t>
      </w:r>
      <w:r>
        <w:rPr>
          <w:rFonts w:eastAsia="標楷體"/>
          <w:spacing w:val="4"/>
          <w:kern w:val="0"/>
          <w:sz w:val="28"/>
          <w:szCs w:val="26"/>
        </w:rPr>
        <w:t xml:space="preserve"> </w:t>
      </w:r>
    </w:p>
    <w:p w14:paraId="781519CE"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r>
        <w:rPr>
          <w:rFonts w:eastAsia="標楷體"/>
          <w:b/>
          <w:color w:val="0000FF"/>
          <w:spacing w:val="4"/>
          <w:kern w:val="0"/>
          <w:sz w:val="28"/>
          <w:szCs w:val="22"/>
        </w:rPr>
        <w:t xml:space="preserve"> </w:t>
      </w:r>
    </w:p>
    <w:p w14:paraId="5C8BE9E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秉持制度化、專業化及多元化援外政策，提升援外工作透明化，以與國際接軌。</w:t>
      </w:r>
    </w:p>
    <w:p w14:paraId="7E99E6C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建立快速反應的救災機制，在國際發生重大災難時，迅速協助救援、安置及重建，發揮人道關懷之精神。</w:t>
      </w:r>
    </w:p>
    <w:p w14:paraId="7136B37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強化國際合作並積極參與人道援助。</w:t>
      </w:r>
    </w:p>
    <w:p w14:paraId="5A908492"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r>
        <w:rPr>
          <w:rFonts w:eastAsia="標楷體"/>
          <w:b/>
          <w:color w:val="0000FF"/>
          <w:spacing w:val="4"/>
          <w:kern w:val="0"/>
          <w:sz w:val="28"/>
          <w:szCs w:val="22"/>
        </w:rPr>
        <w:t xml:space="preserve"> </w:t>
      </w:r>
    </w:p>
    <w:p w14:paraId="753ABDD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擴大國際合作，回饋國際社會</w:t>
      </w:r>
    </w:p>
    <w:p w14:paraId="6992A58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秉持「目的正當」、「程序合法」、「執行有效」等原則推動援外工作，並依據「國際合作發展法」及國際規範執行合作計畫，建立法制化、專業化、透明化及成果導向的發展合作模式，提升援助效益。</w:t>
      </w:r>
    </w:p>
    <w:p w14:paraId="39E5B2D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善用我國醫療公衛強項，辦理國際醫療衛生援助與合作及國際醫療衛生人員培訓，協助友邦及開發中國家對抗貧窮及防治傳染病等。</w:t>
      </w:r>
    </w:p>
    <w:p w14:paraId="3C09D64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善用我國在農漁業、職業訓練、人力資源、中小企業及縮短</w:t>
      </w:r>
      <w:r>
        <w:rPr>
          <w:rFonts w:eastAsia="標楷體"/>
          <w:spacing w:val="4"/>
          <w:kern w:val="0"/>
          <w:sz w:val="28"/>
          <w:szCs w:val="26"/>
        </w:rPr>
        <w:lastRenderedPageBreak/>
        <w:t>數位落差等強項，擴大與國際社會共同分享我國發展經驗。</w:t>
      </w:r>
    </w:p>
    <w:p w14:paraId="606EB0F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強化國際援助，發揮人道關懷</w:t>
      </w:r>
    </w:p>
    <w:p w14:paraId="1187FD0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整合政府與民間企業及慈善團體等各界資源，從事國際救援工作，將資源作最大效益使用；結合政府與民間力量、資源與經驗，推動國際合作及國際人道援助之參與，增進國際社會共同福祉，扮演國際間「人道援助提供者」角色，提升我國際形象及能見度。</w:t>
      </w:r>
    </w:p>
    <w:p w14:paraId="2901B9D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協助國內民間團體推動參與國際組織及國際非政府組織合作計畫，鼓勵擔任國際人道援助組織重要職務，爭取在臺辦理會議。</w:t>
      </w:r>
    </w:p>
    <w:p w14:paraId="4243934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3.</w:t>
      </w:r>
      <w:r>
        <w:rPr>
          <w:rFonts w:eastAsia="標楷體"/>
          <w:spacing w:val="4"/>
          <w:kern w:val="0"/>
          <w:sz w:val="28"/>
          <w:szCs w:val="26"/>
        </w:rPr>
        <w:t>加強國際人道援助機動性，於國際發生重大災難時，由內政部消防署與各直轄市、縣</w:t>
      </w:r>
      <w:r>
        <w:rPr>
          <w:rFonts w:ascii="標楷體" w:eastAsia="標楷體" w:hAnsi="標楷體"/>
          <w:spacing w:val="4"/>
          <w:kern w:val="0"/>
          <w:sz w:val="28"/>
          <w:szCs w:val="26"/>
        </w:rPr>
        <w:t>(</w:t>
      </w:r>
      <w:r>
        <w:rPr>
          <w:rFonts w:eastAsia="標楷體"/>
          <w:spacing w:val="4"/>
          <w:kern w:val="0"/>
          <w:sz w:val="28"/>
          <w:szCs w:val="26"/>
        </w:rPr>
        <w:t>市</w:t>
      </w:r>
      <w:r>
        <w:rPr>
          <w:rFonts w:ascii="標楷體" w:eastAsia="標楷體" w:hAnsi="標楷體"/>
          <w:spacing w:val="4"/>
          <w:kern w:val="0"/>
          <w:sz w:val="28"/>
          <w:szCs w:val="26"/>
        </w:rPr>
        <w:t>)</w:t>
      </w:r>
      <w:r>
        <w:rPr>
          <w:rFonts w:eastAsia="標楷體"/>
          <w:spacing w:val="4"/>
          <w:kern w:val="0"/>
          <w:sz w:val="28"/>
          <w:szCs w:val="26"/>
        </w:rPr>
        <w:t>特種搜救隊，立即動員參與國際人道救援任務。</w:t>
      </w:r>
    </w:p>
    <w:p w14:paraId="35769FC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透過直接援助或與國際慈善組織合作，提供亟需救濟或遭逢災變地區或國家人道援助，並協助建構意外災害防護能力。</w:t>
      </w:r>
    </w:p>
    <w:p w14:paraId="22DD697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2323ECF3"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參、文化交流</w:t>
      </w:r>
    </w:p>
    <w:p w14:paraId="3445DD47"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746ACB4"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文化力係綜合國力的重要一環，透過文化的交流，可以跨越語言與國界的藩籬，提升國家的影響力。過去四年來，政府積極運用文化軟實力推展外交，已成功藉由臺灣獨有的風格、特色、設計、文創及生活型態等文化魅力的展現，加速國際交流，推廣並提升國家的形象。</w:t>
      </w:r>
    </w:p>
    <w:p w14:paraId="6D5C7345"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展望未來，為持續擴大文化軟實力的國際穿透力，政府將透過拓展與國際藝文組織及藝文機構之合作、推動海外文化中心為臺灣國際文化交流平臺等措施，以文化參與國際社會，拓展國際友好網絡；同時，隨著我國運動選手逐漸在國際展露頭角，政府亦將積極拓展運動人口，營造運動風氣，提升競賽實力，爭取國際佳績，以運動外交提高國家形象及促進國際交流。</w:t>
      </w:r>
    </w:p>
    <w:p w14:paraId="0EBEFDE7"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501F46A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lastRenderedPageBreak/>
        <w:t>(一)</w:t>
      </w:r>
      <w:r>
        <w:rPr>
          <w:rFonts w:eastAsia="標楷體"/>
          <w:spacing w:val="4"/>
          <w:kern w:val="0"/>
          <w:sz w:val="28"/>
          <w:szCs w:val="22"/>
        </w:rPr>
        <w:t>以文化樹立國家識別標誌，輻射文化能量。</w:t>
      </w:r>
    </w:p>
    <w:p w14:paraId="5AE7712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爭取國際競技佳績及國際重要體育活動在臺舉行，提升我國國際形象。</w:t>
      </w:r>
    </w:p>
    <w:p w14:paraId="7BECCD3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發展青年多元國際交流，強化國際事務知能與行動力。</w:t>
      </w:r>
    </w:p>
    <w:p w14:paraId="468AA8D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(四)</w:t>
      </w:r>
      <w:r>
        <w:rPr>
          <w:rFonts w:eastAsia="標楷體"/>
          <w:spacing w:val="4"/>
          <w:kern w:val="0"/>
          <w:sz w:val="28"/>
          <w:szCs w:val="22"/>
        </w:rPr>
        <w:t>建立與世界各主要學術機構廣泛合作關係，促進國際學術交流合作；結合非政府組織</w:t>
      </w:r>
      <w:r>
        <w:rPr>
          <w:rFonts w:ascii="標楷體" w:eastAsia="標楷體" w:hAnsi="標楷體"/>
          <w:spacing w:val="4"/>
          <w:kern w:val="0"/>
          <w:sz w:val="28"/>
          <w:szCs w:val="22"/>
        </w:rPr>
        <w:t>(</w:t>
      </w:r>
      <w:r>
        <w:rPr>
          <w:rFonts w:eastAsia="標楷體"/>
          <w:spacing w:val="4"/>
          <w:kern w:val="0"/>
          <w:sz w:val="28"/>
          <w:szCs w:val="22"/>
        </w:rPr>
        <w:t>NGO</w:t>
      </w:r>
      <w:r>
        <w:rPr>
          <w:rFonts w:ascii="標楷體" w:eastAsia="標楷體" w:hAnsi="標楷體"/>
          <w:spacing w:val="4"/>
          <w:kern w:val="0"/>
          <w:sz w:val="28"/>
          <w:szCs w:val="22"/>
        </w:rPr>
        <w:t>)</w:t>
      </w:r>
      <w:r>
        <w:rPr>
          <w:rFonts w:eastAsia="標楷體"/>
          <w:spacing w:val="4"/>
          <w:kern w:val="0"/>
          <w:sz w:val="28"/>
          <w:szCs w:val="22"/>
        </w:rPr>
        <w:t>力量推動與各國文化交流。</w:t>
      </w:r>
    </w:p>
    <w:p w14:paraId="507B96AB"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30500D2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(一)</w:t>
      </w:r>
      <w:r>
        <w:rPr>
          <w:rFonts w:eastAsia="標楷體"/>
          <w:spacing w:val="4"/>
          <w:kern w:val="0"/>
          <w:sz w:val="28"/>
          <w:szCs w:val="22"/>
        </w:rPr>
        <w:t>推動國際文化交流</w:t>
      </w:r>
    </w:p>
    <w:p w14:paraId="0A15E57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建構臺灣文化交流網絡</w:t>
      </w:r>
    </w:p>
    <w:p w14:paraId="050FEA1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推動全球佈局行動方案，並積極辦理成立「文化全球佈點專案辦公室」，專責規劃與研提文化交流策略，透過文化思維整合外交、經濟、產業、教育、地方政府、環境永續發展等涉外政策。</w:t>
      </w:r>
    </w:p>
    <w:p w14:paraId="4E93ECC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拓展臺灣書院海外據點：以海外文化中心、臺灣書院及文化組三位一體方式，擇定具文化輻射能量城市，於文化氛圍濃厚的建築設立實體據點，發展海外文化網絡。</w:t>
      </w:r>
    </w:p>
    <w:p w14:paraId="1BEFCDF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推動臺灣書院藝文夥伴合作計畫，與國外藝術節、展覽、表演、影展、書展等單位及學術機構合作，辦理跨視覺、文學等領域及單一文化主題等活動。</w:t>
      </w:r>
    </w:p>
    <w:p w14:paraId="59BD224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辦理「我愛臺灣」民間文化大使站平臺計畫，鼓勵海外華人運用海外人脈及資源網絡，架接臺灣古蹟、歷史建物之認養及維護，協助臺灣文化保存及發展。</w:t>
      </w:r>
    </w:p>
    <w:p w14:paraId="47D88AF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傳播臺灣人文思想</w:t>
      </w:r>
    </w:p>
    <w:p w14:paraId="595897D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薦選並試譯具代表性的華文作品，結合版權經紀人制度，向世界介紹臺灣的作家及作品。</w:t>
      </w:r>
    </w:p>
    <w:p w14:paraId="36C54EE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推動「當代重要華文作品國際行銷計畫」，徵選並英譯當代重要華文獲選作品，作為版權交易基礎，並規劃國際出版商、版權經紀人來臺，增加版權交易機會。</w:t>
      </w:r>
    </w:p>
    <w:p w14:paraId="4A71825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透過補助機制鼓勵出版社、版權經紀公司以整合性計畫推介具市場性或潛力型作家</w:t>
      </w:r>
      <w:r>
        <w:rPr>
          <w:rFonts w:ascii="標楷體" w:eastAsia="標楷體" w:hAnsi="標楷體"/>
          <w:spacing w:val="4"/>
          <w:kern w:val="0"/>
          <w:sz w:val="28"/>
          <w:szCs w:val="22"/>
        </w:rPr>
        <w:t>(</w:t>
      </w:r>
      <w:r>
        <w:rPr>
          <w:rFonts w:eastAsia="標楷體"/>
          <w:spacing w:val="4"/>
          <w:kern w:val="0"/>
          <w:sz w:val="28"/>
          <w:szCs w:val="22"/>
        </w:rPr>
        <w:t>者</w:t>
      </w:r>
      <w:r>
        <w:rPr>
          <w:rFonts w:ascii="標楷體" w:eastAsia="標楷體" w:hAnsi="標楷體"/>
          <w:spacing w:val="4"/>
          <w:kern w:val="0"/>
          <w:sz w:val="28"/>
          <w:szCs w:val="22"/>
        </w:rPr>
        <w:t>)</w:t>
      </w:r>
      <w:r>
        <w:rPr>
          <w:rFonts w:eastAsia="標楷體"/>
          <w:spacing w:val="4"/>
          <w:kern w:val="0"/>
          <w:sz w:val="28"/>
          <w:szCs w:val="22"/>
        </w:rPr>
        <w:t>至海外參展；甄選推薦</w:t>
      </w:r>
      <w:r>
        <w:rPr>
          <w:rFonts w:eastAsia="標楷體"/>
          <w:spacing w:val="4"/>
          <w:kern w:val="0"/>
          <w:sz w:val="28"/>
          <w:szCs w:val="22"/>
        </w:rPr>
        <w:lastRenderedPageBreak/>
        <w:t>優秀作家</w:t>
      </w:r>
      <w:r>
        <w:rPr>
          <w:rFonts w:ascii="標楷體" w:eastAsia="標楷體" w:hAnsi="標楷體"/>
          <w:spacing w:val="4"/>
          <w:kern w:val="0"/>
          <w:sz w:val="28"/>
          <w:szCs w:val="22"/>
        </w:rPr>
        <w:t>(</w:t>
      </w:r>
      <w:r>
        <w:rPr>
          <w:rFonts w:eastAsia="標楷體"/>
          <w:spacing w:val="4"/>
          <w:kern w:val="0"/>
          <w:sz w:val="28"/>
          <w:szCs w:val="22"/>
        </w:rPr>
        <w:t>者</w:t>
      </w:r>
      <w:r>
        <w:rPr>
          <w:rFonts w:ascii="標楷體" w:eastAsia="標楷體" w:hAnsi="標楷體"/>
          <w:spacing w:val="4"/>
          <w:kern w:val="0"/>
          <w:sz w:val="28"/>
          <w:szCs w:val="22"/>
        </w:rPr>
        <w:t>)</w:t>
      </w:r>
      <w:r>
        <w:rPr>
          <w:rFonts w:eastAsia="標楷體"/>
          <w:spacing w:val="4"/>
          <w:kern w:val="0"/>
          <w:sz w:val="28"/>
          <w:szCs w:val="22"/>
        </w:rPr>
        <w:t>參加國際競賽及駐村創作，逐步建立交流管道。</w:t>
      </w:r>
    </w:p>
    <w:p w14:paraId="7FA1E57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建立藝文團體跨域連結</w:t>
      </w:r>
    </w:p>
    <w:p w14:paraId="00ED30B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推動駐華使節團及代表處雙方藝文機構及學術團體交流計畫，促進雙方專業機構之合作；推動外國文化週計畫，透過各國文化的呈現，提供社會大眾體驗外國文化。</w:t>
      </w:r>
    </w:p>
    <w:p w14:paraId="2671D92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辦理海外臺灣主題文化活動，透過專業機構及組織合作，以展覽、演出、書畫、工藝等結合講座、學術交流、研討會之方式，規劃臺灣主題文化週或文化月計畫。</w:t>
      </w:r>
    </w:p>
    <w:p w14:paraId="78A3B73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運用海外文化中心駐地資源，與當地博物館、美術館、大學及專業機構合作，推介國內藝文團體、優秀藝文人才，參與轄區內藝文活動；引薦臺灣藝術家駐地創作、發表。</w:t>
      </w:r>
    </w:p>
    <w:p w14:paraId="3BB93B8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補助國內機構及團體參與國際文化組織、從事國際藝文合作及交流。</w:t>
      </w:r>
    </w:p>
    <w:p w14:paraId="4C2D40E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推展多語文臺灣文化工具箱：運用數位使用及學習之概念，提供線上主題工具箱，供海外社會文化、學術、教育單位策辦臺灣文化相關活動線上參考依據；先期將規劃推動「臺灣電影工具箱」及「臺灣文學工具箱」。</w:t>
      </w:r>
    </w:p>
    <w:p w14:paraId="7F1F7A6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強化我國參與國際體育活動及交流</w:t>
      </w:r>
    </w:p>
    <w:p w14:paraId="75A7291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落實推動奧、亞運培訓計畫，建立效益評估體系，爭取競賽佳績；建構運動選手分級培訓制度；發掘及培育優秀及具潛力運動選手；建立教練培育機制，培養優秀教練人才。</w:t>
      </w:r>
    </w:p>
    <w:p w14:paraId="28DF49D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強化運動選手照護，落實獎勵輔導措施。</w:t>
      </w:r>
    </w:p>
    <w:p w14:paraId="191FAC4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建立運動訓練後勤支援，完善運動禁藥管制、檢測、宣導教育及運動選手醫療照護體系，提供完備行政服務。</w:t>
      </w:r>
    </w:p>
    <w:p w14:paraId="6F20A8A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4</w:t>
      </w:r>
      <w:r>
        <w:rPr>
          <w:rFonts w:ascii="標楷體" w:eastAsia="標楷體" w:hAnsi="標楷體"/>
          <w:spacing w:val="4"/>
          <w:kern w:val="0"/>
          <w:sz w:val="28"/>
          <w:szCs w:val="22"/>
        </w:rPr>
        <w:t>)</w:t>
      </w:r>
      <w:r>
        <w:rPr>
          <w:rFonts w:eastAsia="標楷體"/>
          <w:spacing w:val="4"/>
          <w:kern w:val="0"/>
          <w:sz w:val="28"/>
          <w:szCs w:val="22"/>
        </w:rPr>
        <w:t>舉辦頂級國際賽事，輔導籌辦「</w:t>
      </w:r>
      <w:r>
        <w:rPr>
          <w:rFonts w:eastAsia="標楷體"/>
          <w:spacing w:val="4"/>
          <w:kern w:val="0"/>
          <w:sz w:val="28"/>
          <w:szCs w:val="22"/>
        </w:rPr>
        <w:t>2017</w:t>
      </w:r>
      <w:r>
        <w:rPr>
          <w:rFonts w:eastAsia="標楷體"/>
          <w:spacing w:val="4"/>
          <w:kern w:val="0"/>
          <w:sz w:val="28"/>
          <w:szCs w:val="22"/>
        </w:rPr>
        <w:t>臺北世界大學運動</w:t>
      </w:r>
      <w:r>
        <w:rPr>
          <w:rFonts w:eastAsia="標楷體"/>
          <w:spacing w:val="4"/>
          <w:kern w:val="0"/>
          <w:sz w:val="28"/>
          <w:szCs w:val="22"/>
        </w:rPr>
        <w:lastRenderedPageBreak/>
        <w:t>會」提升我國運動競技水準與國際能見度。</w:t>
      </w:r>
    </w:p>
    <w:p w14:paraId="52F2395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以青年帶動文化交流</w:t>
      </w:r>
    </w:p>
    <w:p w14:paraId="318E035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加強與友好國家推動青年事務瞭解備忘錄或合作計畫，鼓勵國際青年來臺打工度假，促進青年事務多元交流及合作。</w:t>
      </w:r>
    </w:p>
    <w:p w14:paraId="3022E07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持續擴大國際青年壯遊臺灣之友善服務平臺，邀請全球國際青年來臺壯遊，鼓勵在臺就學之國際青年學生參與。</w:t>
      </w:r>
    </w:p>
    <w:p w14:paraId="450945F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推動多元青年國際體驗學習方案，鼓勵青年參與國際志工、海外實習體驗、國際會議等青年國際活動。</w:t>
      </w:r>
    </w:p>
    <w:p w14:paraId="0FCDD25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4.</w:t>
      </w:r>
      <w:r>
        <w:rPr>
          <w:rFonts w:eastAsia="標楷體"/>
          <w:spacing w:val="4"/>
          <w:kern w:val="0"/>
          <w:sz w:val="28"/>
          <w:szCs w:val="26"/>
        </w:rPr>
        <w:t>拓展青年國際交流網絡，積極邀訪國際青年領袖，並加強國內青年組織與國際組織之交流合作。</w:t>
      </w:r>
    </w:p>
    <w:p w14:paraId="660A797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5.</w:t>
      </w:r>
      <w:r>
        <w:rPr>
          <w:rFonts w:eastAsia="標楷體"/>
          <w:spacing w:val="4"/>
          <w:kern w:val="0"/>
          <w:sz w:val="28"/>
          <w:szCs w:val="26"/>
        </w:rPr>
        <w:t>舉辦各式青年國際參與培力，充實青少年國際交流資訊友善平臺，辦理青年海外生活體驗專案貸款。</w:t>
      </w:r>
    </w:p>
    <w:p w14:paraId="3AE2B6B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(三)</w:t>
      </w:r>
      <w:r>
        <w:rPr>
          <w:rFonts w:eastAsia="標楷體"/>
          <w:spacing w:val="4"/>
          <w:kern w:val="0"/>
          <w:sz w:val="28"/>
          <w:szCs w:val="22"/>
        </w:rPr>
        <w:t>推動語文及學術交流，加強與各國簽署文化交流協議</w:t>
      </w:r>
    </w:p>
    <w:p w14:paraId="2688D80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獎助優秀外國博士生或博士後研究員針對臺灣人文、社會科學、文化、藝術等領域來臺進行短期研究及在國際期刊發表研究成果，增進國際社會對臺灣文化社會之瞭解及外國學生來臺就學之意願。</w:t>
      </w:r>
    </w:p>
    <w:p w14:paraId="6AD3A7C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結合非政府組織</w:t>
      </w:r>
      <w:r>
        <w:rPr>
          <w:rFonts w:ascii="標楷體" w:eastAsia="標楷體" w:hAnsi="標楷體"/>
          <w:spacing w:val="4"/>
          <w:kern w:val="0"/>
          <w:sz w:val="28"/>
          <w:szCs w:val="26"/>
        </w:rPr>
        <w:t>(</w:t>
      </w:r>
      <w:r>
        <w:rPr>
          <w:rFonts w:eastAsia="標楷體"/>
          <w:spacing w:val="4"/>
          <w:kern w:val="0"/>
          <w:sz w:val="28"/>
          <w:szCs w:val="26"/>
        </w:rPr>
        <w:t>NGO</w:t>
      </w:r>
      <w:r>
        <w:rPr>
          <w:rFonts w:ascii="標楷體" w:eastAsia="標楷體" w:hAnsi="標楷體"/>
          <w:spacing w:val="4"/>
          <w:kern w:val="0"/>
          <w:sz w:val="28"/>
          <w:szCs w:val="26"/>
        </w:rPr>
        <w:t>)</w:t>
      </w:r>
      <w:r>
        <w:rPr>
          <w:rFonts w:eastAsia="標楷體"/>
          <w:spacing w:val="4"/>
          <w:kern w:val="0"/>
          <w:sz w:val="28"/>
          <w:szCs w:val="26"/>
        </w:rPr>
        <w:t>力量推動與各國文化交流，協助我</w:t>
      </w:r>
      <w:r>
        <w:rPr>
          <w:rFonts w:eastAsia="標楷體"/>
          <w:spacing w:val="4"/>
          <w:kern w:val="0"/>
          <w:sz w:val="28"/>
          <w:szCs w:val="26"/>
        </w:rPr>
        <w:t>NGO</w:t>
      </w:r>
      <w:r>
        <w:rPr>
          <w:rFonts w:eastAsia="標楷體"/>
          <w:spacing w:val="4"/>
          <w:kern w:val="0"/>
          <w:sz w:val="28"/>
          <w:szCs w:val="26"/>
        </w:rPr>
        <w:t>與國際接軌，「行銷臺灣」於國際社會，輔導國內的</w:t>
      </w:r>
      <w:r>
        <w:rPr>
          <w:rFonts w:eastAsia="標楷體"/>
          <w:spacing w:val="4"/>
          <w:kern w:val="0"/>
          <w:sz w:val="28"/>
          <w:szCs w:val="26"/>
        </w:rPr>
        <w:t>NGO</w:t>
      </w:r>
      <w:r>
        <w:rPr>
          <w:rFonts w:eastAsia="標楷體"/>
          <w:spacing w:val="4"/>
          <w:kern w:val="0"/>
          <w:sz w:val="28"/>
          <w:szCs w:val="26"/>
        </w:rPr>
        <w:t>與國際非政府組織</w:t>
      </w:r>
      <w:r>
        <w:rPr>
          <w:rFonts w:ascii="標楷體" w:eastAsia="標楷體" w:hAnsi="標楷體"/>
          <w:spacing w:val="4"/>
          <w:kern w:val="0"/>
          <w:sz w:val="28"/>
          <w:szCs w:val="26"/>
        </w:rPr>
        <w:t>(</w:t>
      </w:r>
      <w:r>
        <w:rPr>
          <w:rFonts w:eastAsia="標楷體"/>
          <w:spacing w:val="4"/>
          <w:kern w:val="0"/>
          <w:sz w:val="28"/>
          <w:szCs w:val="26"/>
        </w:rPr>
        <w:t>INGO</w:t>
      </w:r>
      <w:r>
        <w:rPr>
          <w:rFonts w:ascii="標楷體" w:eastAsia="標楷體" w:hAnsi="標楷體"/>
          <w:spacing w:val="4"/>
          <w:kern w:val="0"/>
          <w:sz w:val="28"/>
          <w:szCs w:val="26"/>
        </w:rPr>
        <w:t>)</w:t>
      </w:r>
      <w:r>
        <w:rPr>
          <w:rFonts w:eastAsia="標楷體"/>
          <w:spacing w:val="4"/>
          <w:kern w:val="0"/>
          <w:sz w:val="28"/>
          <w:szCs w:val="26"/>
        </w:rPr>
        <w:t>形成堅強協力夥伴關係。</w:t>
      </w:r>
    </w:p>
    <w:p w14:paraId="54D8827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為促進我國與其他國家間青年之互動交流，我國現已與紐西蘭、澳洲、日本、加拿大、德國</w:t>
      </w:r>
      <w:r>
        <w:rPr>
          <w:rFonts w:eastAsia="標楷體"/>
          <w:spacing w:val="4"/>
          <w:kern w:val="0"/>
          <w:sz w:val="28"/>
          <w:szCs w:val="26"/>
        </w:rPr>
        <w:t xml:space="preserve"> </w:t>
      </w:r>
      <w:r>
        <w:rPr>
          <w:rFonts w:eastAsia="標楷體"/>
          <w:spacing w:val="4"/>
          <w:kern w:val="0"/>
          <w:sz w:val="28"/>
          <w:szCs w:val="26"/>
        </w:rPr>
        <w:t>、韓國、英國及愛爾蘭等</w:t>
      </w:r>
      <w:r>
        <w:rPr>
          <w:rFonts w:eastAsia="標楷體"/>
          <w:spacing w:val="4"/>
          <w:kern w:val="0"/>
          <w:sz w:val="28"/>
          <w:szCs w:val="26"/>
        </w:rPr>
        <w:t>8</w:t>
      </w:r>
      <w:r>
        <w:rPr>
          <w:rFonts w:eastAsia="標楷體"/>
          <w:spacing w:val="4"/>
          <w:kern w:val="0"/>
          <w:sz w:val="28"/>
          <w:szCs w:val="26"/>
        </w:rPr>
        <w:t>國簽署青年打工度假協定，後續將持續與較多臺灣青年所學語言的國家洽簽打工度假協定。</w:t>
      </w:r>
    </w:p>
    <w:p w14:paraId="1110FA5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361053E"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肆、觀光升級</w:t>
      </w:r>
    </w:p>
    <w:p w14:paraId="4C12FE5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FB4B2F1"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pPr>
      <w:r>
        <w:rPr>
          <w:rFonts w:eastAsia="標楷體"/>
          <w:spacing w:val="4"/>
          <w:kern w:val="0"/>
          <w:sz w:val="28"/>
          <w:szCs w:val="26"/>
        </w:rPr>
        <w:t>近年來，來臺旅客人數明顯擴增，由</w:t>
      </w:r>
      <w:r>
        <w:rPr>
          <w:rFonts w:eastAsia="標楷體"/>
          <w:spacing w:val="4"/>
          <w:kern w:val="0"/>
          <w:sz w:val="28"/>
          <w:szCs w:val="26"/>
        </w:rPr>
        <w:t>89</w:t>
      </w:r>
      <w:r>
        <w:rPr>
          <w:rFonts w:eastAsia="標楷體"/>
          <w:spacing w:val="4"/>
          <w:kern w:val="0"/>
          <w:sz w:val="28"/>
          <w:szCs w:val="26"/>
        </w:rPr>
        <w:t>年的</w:t>
      </w:r>
      <w:r>
        <w:rPr>
          <w:rFonts w:eastAsia="標楷體"/>
          <w:spacing w:val="4"/>
          <w:kern w:val="0"/>
          <w:sz w:val="28"/>
          <w:szCs w:val="26"/>
        </w:rPr>
        <w:t>262</w:t>
      </w:r>
      <w:r>
        <w:rPr>
          <w:rFonts w:eastAsia="標楷體"/>
          <w:spacing w:val="4"/>
          <w:kern w:val="0"/>
          <w:sz w:val="28"/>
          <w:szCs w:val="26"/>
        </w:rPr>
        <w:t>萬人次，增至</w:t>
      </w:r>
      <w:r>
        <w:rPr>
          <w:rFonts w:eastAsia="標楷體"/>
          <w:spacing w:val="4"/>
          <w:kern w:val="0"/>
          <w:sz w:val="28"/>
          <w:szCs w:val="26"/>
        </w:rPr>
        <w:t>99</w:t>
      </w:r>
      <w:r>
        <w:rPr>
          <w:rFonts w:eastAsia="標楷體"/>
          <w:spacing w:val="4"/>
          <w:kern w:val="0"/>
          <w:sz w:val="28"/>
          <w:szCs w:val="26"/>
        </w:rPr>
        <w:t>年的超過</w:t>
      </w:r>
      <w:r>
        <w:rPr>
          <w:rFonts w:eastAsia="標楷體"/>
          <w:spacing w:val="4"/>
          <w:kern w:val="0"/>
          <w:sz w:val="28"/>
          <w:szCs w:val="26"/>
        </w:rPr>
        <w:t>500</w:t>
      </w:r>
      <w:r>
        <w:rPr>
          <w:rFonts w:eastAsia="標楷體"/>
          <w:spacing w:val="4"/>
          <w:kern w:val="0"/>
          <w:sz w:val="28"/>
          <w:szCs w:val="26"/>
        </w:rPr>
        <w:t>萬人次，</w:t>
      </w:r>
      <w:r>
        <w:rPr>
          <w:rFonts w:eastAsia="標楷體"/>
          <w:spacing w:val="4"/>
          <w:kern w:val="0"/>
          <w:sz w:val="28"/>
          <w:szCs w:val="26"/>
        </w:rPr>
        <w:t>100</w:t>
      </w:r>
      <w:r>
        <w:rPr>
          <w:rFonts w:eastAsia="標楷體"/>
          <w:spacing w:val="4"/>
          <w:kern w:val="0"/>
          <w:sz w:val="28"/>
          <w:szCs w:val="26"/>
        </w:rPr>
        <w:t>年更突破</w:t>
      </w:r>
      <w:r>
        <w:rPr>
          <w:rFonts w:eastAsia="標楷體"/>
          <w:spacing w:val="4"/>
          <w:kern w:val="0"/>
          <w:sz w:val="28"/>
          <w:szCs w:val="26"/>
        </w:rPr>
        <w:t>608.7</w:t>
      </w:r>
      <w:r>
        <w:rPr>
          <w:rFonts w:eastAsia="標楷體"/>
          <w:spacing w:val="4"/>
          <w:kern w:val="0"/>
          <w:sz w:val="28"/>
          <w:szCs w:val="26"/>
        </w:rPr>
        <w:t>萬人次，觀光外匯收入達新臺幣</w:t>
      </w:r>
      <w:r>
        <w:rPr>
          <w:rFonts w:eastAsia="標楷體"/>
          <w:spacing w:val="4"/>
          <w:kern w:val="0"/>
          <w:sz w:val="28"/>
          <w:szCs w:val="26"/>
        </w:rPr>
        <w:t>3,260</w:t>
      </w:r>
      <w:r>
        <w:rPr>
          <w:rFonts w:eastAsia="標楷體"/>
          <w:spacing w:val="4"/>
          <w:kern w:val="0"/>
          <w:sz w:val="28"/>
          <w:szCs w:val="26"/>
        </w:rPr>
        <w:t>億元，創歷年新高。臺灣旅遊市場在短期內快速成長，使</w:t>
      </w:r>
      <w:r>
        <w:rPr>
          <w:rFonts w:eastAsia="標楷體"/>
          <w:spacing w:val="4"/>
          <w:kern w:val="0"/>
          <w:sz w:val="28"/>
          <w:szCs w:val="26"/>
        </w:rPr>
        <w:lastRenderedPageBreak/>
        <w:t>國內觀光環境及承載量等面臨考驗，觀光產業亦將引發從</w:t>
      </w:r>
      <w:r>
        <w:rPr>
          <w:rFonts w:ascii="新細明體" w:hAnsi="新細明體"/>
          <w:spacing w:val="4"/>
          <w:kern w:val="0"/>
          <w:sz w:val="28"/>
          <w:szCs w:val="26"/>
        </w:rPr>
        <w:t>「</w:t>
      </w:r>
      <w:r>
        <w:rPr>
          <w:rFonts w:eastAsia="標楷體"/>
          <w:spacing w:val="4"/>
          <w:kern w:val="0"/>
          <w:sz w:val="28"/>
          <w:szCs w:val="26"/>
        </w:rPr>
        <w:t>量變</w:t>
      </w:r>
      <w:r>
        <w:rPr>
          <w:rFonts w:ascii="新細明體" w:hAnsi="新細明體"/>
          <w:spacing w:val="4"/>
          <w:kern w:val="0"/>
          <w:sz w:val="28"/>
          <w:szCs w:val="26"/>
        </w:rPr>
        <w:t>」</w:t>
      </w:r>
      <w:r>
        <w:rPr>
          <w:rFonts w:eastAsia="標楷體"/>
          <w:spacing w:val="4"/>
          <w:kern w:val="0"/>
          <w:sz w:val="28"/>
          <w:szCs w:val="26"/>
        </w:rPr>
        <w:t>到</w:t>
      </w:r>
      <w:r>
        <w:rPr>
          <w:rFonts w:ascii="新細明體" w:hAnsi="新細明體"/>
          <w:spacing w:val="4"/>
          <w:kern w:val="0"/>
          <w:sz w:val="28"/>
          <w:szCs w:val="26"/>
        </w:rPr>
        <w:t>「</w:t>
      </w:r>
      <w:r>
        <w:rPr>
          <w:rFonts w:eastAsia="標楷體"/>
          <w:spacing w:val="4"/>
          <w:kern w:val="0"/>
          <w:sz w:val="28"/>
          <w:szCs w:val="26"/>
        </w:rPr>
        <w:t>質變</w:t>
      </w:r>
      <w:r>
        <w:rPr>
          <w:rFonts w:ascii="新細明體" w:hAnsi="新細明體"/>
          <w:spacing w:val="4"/>
          <w:kern w:val="0"/>
          <w:sz w:val="28"/>
          <w:szCs w:val="26"/>
        </w:rPr>
        <w:t>」</w:t>
      </w:r>
      <w:r>
        <w:rPr>
          <w:rFonts w:eastAsia="標楷體"/>
          <w:spacing w:val="4"/>
          <w:kern w:val="0"/>
          <w:sz w:val="28"/>
          <w:szCs w:val="26"/>
        </w:rPr>
        <w:t>的結構性轉型。為促進臺灣觀光產業順利轉型升級，未來四年政府將以永續、品質、友善、生活、多元為核心，優化觀光產業品質，擴大國際化發展</w:t>
      </w:r>
      <w:r>
        <w:rPr>
          <w:rFonts w:ascii="新細明體" w:hAnsi="新細明體"/>
          <w:spacing w:val="4"/>
          <w:kern w:val="0"/>
          <w:sz w:val="28"/>
          <w:szCs w:val="26"/>
        </w:rPr>
        <w:t>，</w:t>
      </w:r>
      <w:r>
        <w:rPr>
          <w:rFonts w:eastAsia="標楷體"/>
          <w:spacing w:val="4"/>
          <w:kern w:val="0"/>
          <w:sz w:val="28"/>
          <w:szCs w:val="26"/>
        </w:rPr>
        <w:t>發揚以臺灣多元資源與風貌為底蘊的觀光特色</w:t>
      </w:r>
      <w:r>
        <w:rPr>
          <w:rFonts w:ascii="新細明體" w:hAnsi="新細明體"/>
          <w:spacing w:val="4"/>
          <w:kern w:val="0"/>
          <w:sz w:val="28"/>
          <w:szCs w:val="26"/>
        </w:rPr>
        <w:t>，</w:t>
      </w:r>
      <w:r>
        <w:rPr>
          <w:rFonts w:eastAsia="標楷體"/>
          <w:spacing w:val="4"/>
          <w:kern w:val="0"/>
          <w:sz w:val="28"/>
          <w:szCs w:val="26"/>
        </w:rPr>
        <w:t>推動觀光資源節能綠化，實現永續理念</w:t>
      </w:r>
      <w:r>
        <w:rPr>
          <w:rFonts w:ascii="新細明體" w:hAnsi="新細明體"/>
          <w:spacing w:val="4"/>
          <w:kern w:val="0"/>
          <w:sz w:val="28"/>
          <w:szCs w:val="26"/>
        </w:rPr>
        <w:t>，</w:t>
      </w:r>
      <w:r>
        <w:rPr>
          <w:rFonts w:eastAsia="標楷體"/>
          <w:spacing w:val="4"/>
          <w:kern w:val="0"/>
          <w:sz w:val="28"/>
          <w:szCs w:val="26"/>
        </w:rPr>
        <w:t>以逐步打造臺灣成為千萬國際旅客觀光大國</w:t>
      </w:r>
      <w:r>
        <w:rPr>
          <w:rFonts w:ascii="新細明體" w:hAnsi="新細明體"/>
          <w:spacing w:val="4"/>
          <w:kern w:val="0"/>
          <w:sz w:val="28"/>
          <w:szCs w:val="26"/>
        </w:rPr>
        <w:t>，</w:t>
      </w:r>
      <w:r>
        <w:rPr>
          <w:rFonts w:eastAsia="標楷體"/>
          <w:spacing w:val="4"/>
          <w:kern w:val="0"/>
          <w:sz w:val="28"/>
          <w:szCs w:val="26"/>
        </w:rPr>
        <w:t>以及「國際觀光重要旅遊目的地」。</w:t>
      </w:r>
    </w:p>
    <w:p w14:paraId="22417EC6"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一、目標</w:t>
      </w:r>
    </w:p>
    <w:p w14:paraId="45A946C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健全旅遊服務機制</w:t>
      </w:r>
      <w:r>
        <w:rPr>
          <w:rFonts w:ascii="新細明體" w:hAnsi="新細明體"/>
          <w:spacing w:val="4"/>
          <w:kern w:val="0"/>
          <w:sz w:val="28"/>
          <w:szCs w:val="22"/>
        </w:rPr>
        <w:t>，</w:t>
      </w:r>
      <w:r>
        <w:rPr>
          <w:rFonts w:eastAsia="標楷體"/>
          <w:spacing w:val="4"/>
          <w:kern w:val="0"/>
          <w:sz w:val="28"/>
          <w:szCs w:val="22"/>
        </w:rPr>
        <w:t>形塑「品質保證」的旅遊形象，營造臺灣處處皆可觀光的旅遊環境，藉由觀光軟實力提升我國際形象。</w:t>
      </w:r>
    </w:p>
    <w:p w14:paraId="0A0BFEE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(二)</w:t>
      </w:r>
      <w:r>
        <w:rPr>
          <w:rFonts w:eastAsia="標楷體"/>
          <w:spacing w:val="4"/>
          <w:kern w:val="0"/>
          <w:sz w:val="28"/>
          <w:szCs w:val="22"/>
        </w:rPr>
        <w:t>多元發展、全球布局，擴大觀光服務能量，催生</w:t>
      </w:r>
      <w:r>
        <w:rPr>
          <w:rFonts w:eastAsia="標楷體"/>
          <w:spacing w:val="4"/>
          <w:kern w:val="0"/>
          <w:sz w:val="28"/>
          <w:szCs w:val="22"/>
        </w:rPr>
        <w:t>105</w:t>
      </w:r>
      <w:r>
        <w:rPr>
          <w:rFonts w:eastAsia="標楷體"/>
          <w:spacing w:val="4"/>
          <w:kern w:val="0"/>
          <w:sz w:val="28"/>
          <w:szCs w:val="22"/>
        </w:rPr>
        <w:t>年</w:t>
      </w:r>
      <w:r>
        <w:rPr>
          <w:rFonts w:eastAsia="標楷體"/>
          <w:spacing w:val="4"/>
          <w:kern w:val="0"/>
          <w:sz w:val="28"/>
          <w:szCs w:val="22"/>
        </w:rPr>
        <w:t>1,000</w:t>
      </w:r>
      <w:r>
        <w:rPr>
          <w:rFonts w:eastAsia="標楷體"/>
          <w:spacing w:val="4"/>
          <w:kern w:val="0"/>
          <w:sz w:val="28"/>
          <w:szCs w:val="22"/>
        </w:rPr>
        <w:t>萬人次國際旅客來臺。對內增進區域經濟均衡發展，優化旅遊品質；對外強化國際觀光品牌意象，深化國際旅客感動體驗。</w:t>
      </w:r>
    </w:p>
    <w:p w14:paraId="093EC4E1" w14:textId="77777777" w:rsidR="00052596" w:rsidRDefault="00000000">
      <w:pPr>
        <w:tabs>
          <w:tab w:val="left" w:pos="960"/>
          <w:tab w:val="left" w:pos="1920"/>
          <w:tab w:val="left" w:pos="2880"/>
          <w:tab w:val="left" w:pos="3840"/>
          <w:tab w:val="left" w:pos="4800"/>
          <w:tab w:val="left" w:pos="5760"/>
        </w:tabs>
        <w:overflowPunct w:val="0"/>
        <w:autoSpaceDE w:val="0"/>
        <w:spacing w:before="120" w:after="120" w:line="420" w:lineRule="exact"/>
        <w:ind w:left="187" w:hanging="259"/>
        <w:jc w:val="both"/>
        <w:textAlignment w:val="center"/>
        <w:rPr>
          <w:rFonts w:eastAsia="標楷體"/>
          <w:b/>
          <w:color w:val="0000FF"/>
          <w:spacing w:val="4"/>
          <w:kern w:val="0"/>
          <w:sz w:val="28"/>
          <w:szCs w:val="22"/>
        </w:rPr>
      </w:pPr>
      <w:r>
        <w:rPr>
          <w:rFonts w:eastAsia="標楷體"/>
          <w:b/>
          <w:color w:val="0000FF"/>
          <w:spacing w:val="4"/>
          <w:kern w:val="0"/>
          <w:sz w:val="28"/>
          <w:szCs w:val="22"/>
        </w:rPr>
        <w:t>二、政策重點</w:t>
      </w:r>
    </w:p>
    <w:p w14:paraId="4813A0D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一</w:t>
      </w:r>
      <w:r>
        <w:rPr>
          <w:rFonts w:ascii="標楷體" w:eastAsia="標楷體" w:hAnsi="標楷體"/>
          <w:spacing w:val="4"/>
          <w:kern w:val="0"/>
          <w:sz w:val="28"/>
          <w:szCs w:val="22"/>
        </w:rPr>
        <w:t>)</w:t>
      </w:r>
      <w:r>
        <w:rPr>
          <w:rFonts w:eastAsia="標楷體"/>
          <w:spacing w:val="4"/>
          <w:kern w:val="0"/>
          <w:sz w:val="28"/>
          <w:szCs w:val="22"/>
        </w:rPr>
        <w:t>推動觀光產業轉型，擴大國際化發展</w:t>
      </w:r>
    </w:p>
    <w:p w14:paraId="340F0FC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市場營運調節與開放－深耕既有客源、開拓新興客源</w:t>
      </w:r>
    </w:p>
    <w:p w14:paraId="40DE43A7"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以多元行銷</w:t>
      </w:r>
      <w:r>
        <w:rPr>
          <w:rFonts w:ascii="標楷體" w:eastAsia="標楷體" w:hAnsi="標楷體"/>
          <w:spacing w:val="4"/>
          <w:kern w:val="0"/>
          <w:sz w:val="28"/>
          <w:szCs w:val="22"/>
        </w:rPr>
        <w:t>、</w:t>
      </w:r>
      <w:r>
        <w:rPr>
          <w:rFonts w:eastAsia="標楷體"/>
          <w:spacing w:val="4"/>
          <w:kern w:val="0"/>
          <w:sz w:val="28"/>
          <w:szCs w:val="22"/>
        </w:rPr>
        <w:t>全球布局手法，持續耕耘既有目標市場，爭取新興市場，針對各目標市場研擬策略，進行行銷推廣。</w:t>
      </w:r>
    </w:p>
    <w:p w14:paraId="29D63423"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以</w:t>
      </w:r>
      <w:r>
        <w:rPr>
          <w:rFonts w:eastAsia="標楷體"/>
          <w:color w:val="000000"/>
          <w:spacing w:val="4"/>
          <w:kern w:val="0"/>
          <w:sz w:val="28"/>
          <w:szCs w:val="22"/>
        </w:rPr>
        <w:t>創新手法，增加臺灣曝光度，與知名雜誌合作廣宣</w:t>
      </w:r>
      <w:r>
        <w:rPr>
          <w:rFonts w:ascii="新細明體" w:hAnsi="新細明體"/>
          <w:color w:val="000000"/>
          <w:spacing w:val="4"/>
          <w:kern w:val="0"/>
          <w:sz w:val="28"/>
          <w:szCs w:val="22"/>
        </w:rPr>
        <w:t>，</w:t>
      </w:r>
      <w:r>
        <w:rPr>
          <w:rFonts w:ascii="標楷體" w:eastAsia="標楷體" w:hAnsi="標楷體"/>
          <w:color w:val="000000"/>
          <w:spacing w:val="4"/>
          <w:kern w:val="0"/>
          <w:sz w:val="28"/>
          <w:szCs w:val="22"/>
        </w:rPr>
        <w:t>或與電視頻道合作製播專輯或節目；加強異業結盟，擴大</w:t>
      </w:r>
      <w:r>
        <w:rPr>
          <w:rFonts w:eastAsia="標楷體"/>
          <w:color w:val="000000"/>
          <w:spacing w:val="4"/>
          <w:kern w:val="0"/>
          <w:sz w:val="28"/>
          <w:szCs w:val="22"/>
        </w:rPr>
        <w:t>宣傳通路。</w:t>
      </w:r>
    </w:p>
    <w:p w14:paraId="199AEDB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6"/>
          <w:kern w:val="0"/>
          <w:sz w:val="28"/>
          <w:szCs w:val="26"/>
        </w:rPr>
        <w:t>產業結構轉型與升級－引進國際級經營者，促進觀光產業國際化</w:t>
      </w:r>
    </w:p>
    <w:p w14:paraId="679E7EDD"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透過與迪士尼學院等國際知名品牌合作培訓，輔導觀光遊樂業提升經營能力，塑造優質投資環境，提升服務品質。</w:t>
      </w:r>
    </w:p>
    <w:p w14:paraId="4675C80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6"/>
          <w:kern w:val="0"/>
          <w:sz w:val="28"/>
          <w:szCs w:val="22"/>
        </w:rPr>
        <w:t>持續推動星級旅館評鑑機制，與國際接軌</w:t>
      </w:r>
      <w:r>
        <w:rPr>
          <w:rFonts w:ascii="新細明體" w:hAnsi="新細明體"/>
          <w:spacing w:val="6"/>
          <w:kern w:val="0"/>
          <w:sz w:val="28"/>
          <w:szCs w:val="22"/>
        </w:rPr>
        <w:t>；</w:t>
      </w:r>
      <w:r>
        <w:rPr>
          <w:rFonts w:eastAsia="標楷體"/>
          <w:spacing w:val="6"/>
          <w:kern w:val="0"/>
          <w:sz w:val="28"/>
          <w:szCs w:val="22"/>
        </w:rPr>
        <w:t>補助加入國際或本土連鎖品牌相關費用，提升旅館服務品質及國際競爭力。</w:t>
      </w:r>
    </w:p>
    <w:p w14:paraId="2F87123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lastRenderedPageBreak/>
        <w:t>3.</w:t>
      </w:r>
      <w:r>
        <w:rPr>
          <w:rFonts w:eastAsia="標楷體"/>
          <w:spacing w:val="4"/>
          <w:kern w:val="0"/>
          <w:sz w:val="28"/>
          <w:szCs w:val="26"/>
        </w:rPr>
        <w:t>品牌經營創新與深化</w:t>
      </w:r>
      <w:r>
        <w:rPr>
          <w:rFonts w:ascii="新細明體" w:hAnsi="新細明體"/>
          <w:spacing w:val="4"/>
          <w:kern w:val="0"/>
          <w:sz w:val="28"/>
          <w:szCs w:val="26"/>
        </w:rPr>
        <w:t>，</w:t>
      </w:r>
      <w:r>
        <w:rPr>
          <w:rFonts w:eastAsia="標楷體"/>
          <w:spacing w:val="4"/>
          <w:kern w:val="0"/>
          <w:sz w:val="28"/>
          <w:szCs w:val="26"/>
        </w:rPr>
        <w:t>以「</w:t>
      </w:r>
      <w:r>
        <w:rPr>
          <w:rFonts w:eastAsia="標楷體"/>
          <w:spacing w:val="4"/>
          <w:kern w:val="0"/>
          <w:sz w:val="28"/>
          <w:szCs w:val="26"/>
        </w:rPr>
        <w:t>Taiwan-the Heart of Asia</w:t>
      </w:r>
      <w:r>
        <w:rPr>
          <w:rFonts w:eastAsia="標楷體"/>
          <w:spacing w:val="4"/>
          <w:kern w:val="0"/>
          <w:sz w:val="28"/>
          <w:szCs w:val="26"/>
        </w:rPr>
        <w:t>」</w:t>
      </w:r>
      <w:r>
        <w:rPr>
          <w:rFonts w:ascii="標楷體" w:eastAsia="標楷體" w:hAnsi="標楷體"/>
          <w:spacing w:val="4"/>
          <w:kern w:val="0"/>
          <w:sz w:val="28"/>
          <w:szCs w:val="26"/>
        </w:rPr>
        <w:t>(</w:t>
      </w:r>
      <w:r>
        <w:rPr>
          <w:rFonts w:eastAsia="標楷體"/>
          <w:spacing w:val="4"/>
          <w:kern w:val="0"/>
          <w:sz w:val="28"/>
          <w:szCs w:val="26"/>
        </w:rPr>
        <w:t>亞洲精華</w:t>
      </w:r>
      <w:r>
        <w:rPr>
          <w:rFonts w:eastAsia="標楷體"/>
          <w:spacing w:val="4"/>
          <w:kern w:val="0"/>
          <w:sz w:val="28"/>
          <w:szCs w:val="26"/>
        </w:rPr>
        <w:t xml:space="preserve"> </w:t>
      </w:r>
      <w:r>
        <w:rPr>
          <w:rFonts w:eastAsia="標楷體"/>
          <w:spacing w:val="4"/>
          <w:kern w:val="0"/>
          <w:sz w:val="28"/>
          <w:szCs w:val="26"/>
        </w:rPr>
        <w:t>心動臺灣</w:t>
      </w:r>
      <w:r>
        <w:rPr>
          <w:rFonts w:ascii="標楷體" w:eastAsia="標楷體" w:hAnsi="標楷體"/>
          <w:spacing w:val="4"/>
          <w:kern w:val="0"/>
          <w:sz w:val="28"/>
          <w:szCs w:val="26"/>
        </w:rPr>
        <w:t>)</w:t>
      </w:r>
      <w:r>
        <w:rPr>
          <w:rFonts w:eastAsia="標楷體"/>
          <w:spacing w:val="4"/>
          <w:kern w:val="0"/>
          <w:sz w:val="28"/>
          <w:szCs w:val="26"/>
        </w:rPr>
        <w:t>訴求全球旅客體驗旅行臺灣的感動</w:t>
      </w:r>
      <w:r>
        <w:rPr>
          <w:rFonts w:ascii="標楷體" w:eastAsia="標楷體" w:hAnsi="標楷體"/>
          <w:spacing w:val="4"/>
          <w:kern w:val="0"/>
          <w:sz w:val="28"/>
          <w:szCs w:val="26"/>
        </w:rPr>
        <w:t>；</w:t>
      </w:r>
      <w:r>
        <w:rPr>
          <w:rFonts w:eastAsia="標楷體"/>
          <w:spacing w:val="4"/>
          <w:kern w:val="0"/>
          <w:sz w:val="28"/>
          <w:szCs w:val="26"/>
        </w:rPr>
        <w:t>以「</w:t>
      </w:r>
      <w:r>
        <w:rPr>
          <w:rFonts w:eastAsia="標楷體"/>
          <w:spacing w:val="4"/>
          <w:kern w:val="0"/>
          <w:sz w:val="28"/>
          <w:szCs w:val="26"/>
        </w:rPr>
        <w:t>Time for Taiwan</w:t>
      </w:r>
      <w:r>
        <w:rPr>
          <w:rFonts w:eastAsia="標楷體"/>
          <w:spacing w:val="4"/>
          <w:kern w:val="0"/>
          <w:sz w:val="28"/>
          <w:szCs w:val="26"/>
        </w:rPr>
        <w:t>」</w:t>
      </w:r>
      <w:r>
        <w:rPr>
          <w:rFonts w:ascii="標楷體" w:eastAsia="標楷體" w:hAnsi="標楷體"/>
          <w:spacing w:val="4"/>
          <w:kern w:val="0"/>
          <w:sz w:val="28"/>
          <w:szCs w:val="26"/>
        </w:rPr>
        <w:t>(</w:t>
      </w:r>
      <w:r>
        <w:rPr>
          <w:rFonts w:eastAsia="標楷體"/>
          <w:spacing w:val="4"/>
          <w:kern w:val="0"/>
          <w:sz w:val="28"/>
          <w:szCs w:val="26"/>
        </w:rPr>
        <w:t>旅行臺灣</w:t>
      </w:r>
      <w:r>
        <w:rPr>
          <w:rFonts w:eastAsia="標楷體"/>
          <w:spacing w:val="4"/>
          <w:kern w:val="0"/>
          <w:sz w:val="28"/>
          <w:szCs w:val="26"/>
        </w:rPr>
        <w:t xml:space="preserve"> </w:t>
      </w:r>
      <w:r>
        <w:rPr>
          <w:rFonts w:eastAsia="標楷體"/>
          <w:spacing w:val="4"/>
          <w:kern w:val="0"/>
          <w:sz w:val="28"/>
          <w:szCs w:val="26"/>
        </w:rPr>
        <w:t>就是現在</w:t>
      </w:r>
      <w:r>
        <w:rPr>
          <w:rFonts w:ascii="標楷體" w:eastAsia="標楷體" w:hAnsi="標楷體"/>
          <w:spacing w:val="4"/>
          <w:kern w:val="0"/>
          <w:sz w:val="28"/>
          <w:szCs w:val="26"/>
        </w:rPr>
        <w:t>)</w:t>
      </w:r>
      <w:r>
        <w:rPr>
          <w:rFonts w:eastAsia="標楷體"/>
          <w:spacing w:val="4"/>
          <w:kern w:val="0"/>
          <w:sz w:val="28"/>
          <w:szCs w:val="26"/>
        </w:rPr>
        <w:t>訴求臺灣觀光新時代的來臨。</w:t>
      </w:r>
    </w:p>
    <w:p w14:paraId="6BD30D9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二</w:t>
      </w:r>
      <w:r>
        <w:rPr>
          <w:rFonts w:ascii="標楷體" w:eastAsia="標楷體" w:hAnsi="標楷體"/>
          <w:spacing w:val="4"/>
          <w:kern w:val="0"/>
          <w:sz w:val="28"/>
          <w:szCs w:val="22"/>
        </w:rPr>
        <w:t>)</w:t>
      </w:r>
      <w:r>
        <w:rPr>
          <w:rFonts w:eastAsia="標楷體"/>
          <w:spacing w:val="4"/>
          <w:kern w:val="0"/>
          <w:sz w:val="28"/>
          <w:szCs w:val="22"/>
        </w:rPr>
        <w:t>發揚以臺灣多元資源與風貌為底蘊的觀光特色</w:t>
      </w:r>
    </w:p>
    <w:p w14:paraId="1ABC4CF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建構觀光平臺－包裝臺灣生活、文化、生態、創意等新興產業旅遊產品</w:t>
      </w:r>
    </w:p>
    <w:p w14:paraId="44E27388"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重整臺灣觀光品牌十大旅遊元素</w:t>
      </w:r>
      <w:r>
        <w:rPr>
          <w:rFonts w:ascii="標楷體" w:eastAsia="標楷體" w:hAnsi="標楷體"/>
          <w:spacing w:val="4"/>
          <w:kern w:val="0"/>
          <w:sz w:val="28"/>
          <w:szCs w:val="22"/>
        </w:rPr>
        <w:t>(</w:t>
      </w:r>
      <w:r>
        <w:rPr>
          <w:rFonts w:eastAsia="標楷體"/>
          <w:spacing w:val="4"/>
          <w:kern w:val="0"/>
          <w:sz w:val="28"/>
          <w:szCs w:val="22"/>
        </w:rPr>
        <w:t>當代文化、在地文化、原住民、追星、民俗宗教、生態、單車、登山健行、溫泉及創新</w:t>
      </w:r>
      <w:r>
        <w:rPr>
          <w:rFonts w:ascii="標楷體" w:eastAsia="標楷體" w:hAnsi="標楷體"/>
          <w:spacing w:val="4"/>
          <w:kern w:val="0"/>
          <w:sz w:val="28"/>
          <w:szCs w:val="22"/>
        </w:rPr>
        <w:t>)</w:t>
      </w:r>
      <w:r>
        <w:rPr>
          <w:rFonts w:eastAsia="標楷體"/>
          <w:spacing w:val="4"/>
          <w:kern w:val="0"/>
          <w:sz w:val="28"/>
          <w:szCs w:val="22"/>
        </w:rPr>
        <w:t>為文化、浪漫、樂活、生態、購物、美食六大主軸，推動主題式旅遊。</w:t>
      </w:r>
    </w:p>
    <w:p w14:paraId="3E76F848"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kern w:val="0"/>
          <w:sz w:val="28"/>
          <w:szCs w:val="22"/>
        </w:rPr>
        <w:t>形塑國內最具國際潛力、最能達成觀光客指名消費標的之國際化商圈，帶動商圈觀光</w:t>
      </w:r>
      <w:r>
        <w:rPr>
          <w:rFonts w:ascii="標楷體" w:eastAsia="標楷體" w:hAnsi="標楷體"/>
          <w:kern w:val="0"/>
          <w:sz w:val="28"/>
          <w:szCs w:val="22"/>
        </w:rPr>
        <w:t>；</w:t>
      </w:r>
      <w:r>
        <w:rPr>
          <w:rFonts w:eastAsia="標楷體"/>
          <w:kern w:val="0"/>
          <w:sz w:val="28"/>
          <w:szCs w:val="22"/>
        </w:rPr>
        <w:t>促進商圈國際交流，提升能見度。</w:t>
      </w:r>
    </w:p>
    <w:p w14:paraId="751FADC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w:t>
      </w:r>
      <w:r>
        <w:rPr>
          <w:rFonts w:eastAsia="標楷體"/>
          <w:spacing w:val="4"/>
          <w:kern w:val="0"/>
          <w:sz w:val="28"/>
          <w:szCs w:val="22"/>
        </w:rPr>
        <w:t>配合「觀光工廠」及「產業博物館」的設置，推動文創品產銷，以產業生活知識及具特色的文創品吸引觀光旅遊。</w:t>
      </w:r>
    </w:p>
    <w:p w14:paraId="5B59CFE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2.</w:t>
      </w:r>
      <w:r>
        <w:rPr>
          <w:rFonts w:eastAsia="標楷體"/>
          <w:spacing w:val="4"/>
          <w:kern w:val="0"/>
          <w:sz w:val="28"/>
          <w:szCs w:val="26"/>
        </w:rPr>
        <w:t>強化區域特色－依區域特色規劃旅遊產品，增加遊程選項廣度與深度</w:t>
      </w:r>
    </w:p>
    <w:p w14:paraId="1F88D3DD" w14:textId="77777777" w:rsidR="00052596" w:rsidRDefault="00000000">
      <w:pPr>
        <w:overflowPunct w:val="0"/>
        <w:autoSpaceDE w:val="0"/>
        <w:spacing w:line="420" w:lineRule="exact"/>
        <w:ind w:left="1032" w:firstLine="576"/>
        <w:jc w:val="both"/>
        <w:textAlignment w:val="center"/>
        <w:rPr>
          <w:rFonts w:eastAsia="標楷體"/>
          <w:spacing w:val="4"/>
          <w:kern w:val="0"/>
          <w:sz w:val="28"/>
          <w:szCs w:val="22"/>
        </w:rPr>
      </w:pPr>
      <w:r>
        <w:rPr>
          <w:rFonts w:eastAsia="標楷體"/>
          <w:spacing w:val="4"/>
          <w:kern w:val="0"/>
          <w:sz w:val="28"/>
          <w:szCs w:val="22"/>
        </w:rPr>
        <w:t>針對北、中、南、東、離島不同區域，分別發展「生活文化」、「產業時尚」、「歷史海洋」、「慢活自然」、「特色島嶼」等特色，集中資源整備旅遊環境，塑造各區觀光景點特色，逐步增加遊程選項的廣度與深度。</w:t>
      </w:r>
    </w:p>
    <w:p w14:paraId="5F34990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3.</w:t>
      </w:r>
      <w:r>
        <w:rPr>
          <w:rFonts w:eastAsia="標楷體"/>
          <w:spacing w:val="4"/>
          <w:kern w:val="0"/>
          <w:sz w:val="28"/>
          <w:szCs w:val="26"/>
        </w:rPr>
        <w:t>推動客製服務－形塑「</w:t>
      </w:r>
      <w:r>
        <w:rPr>
          <w:rFonts w:eastAsia="標楷體"/>
          <w:spacing w:val="4"/>
          <w:kern w:val="0"/>
          <w:sz w:val="28"/>
          <w:szCs w:val="26"/>
        </w:rPr>
        <w:t>Only in Taiwan</w:t>
      </w:r>
      <w:r>
        <w:rPr>
          <w:rFonts w:eastAsia="標楷體"/>
          <w:spacing w:val="4"/>
          <w:kern w:val="0"/>
          <w:sz w:val="28"/>
          <w:szCs w:val="26"/>
        </w:rPr>
        <w:t>」臺灣獨特旅遊魅力的旅遊意象，訴求多元旅遊體驗</w:t>
      </w:r>
    </w:p>
    <w:p w14:paraId="7FE08AC5"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kern w:val="0"/>
          <w:sz w:val="28"/>
          <w:szCs w:val="22"/>
        </w:rPr>
        <w:t>與民間合作，從北部、中部、南部、東部、不分區</w:t>
      </w:r>
      <w:r>
        <w:rPr>
          <w:rFonts w:ascii="標楷體" w:eastAsia="標楷體" w:hAnsi="標楷體"/>
          <w:kern w:val="0"/>
          <w:sz w:val="28"/>
          <w:szCs w:val="22"/>
        </w:rPr>
        <w:t>(</w:t>
      </w:r>
      <w:r>
        <w:rPr>
          <w:rFonts w:eastAsia="標楷體"/>
          <w:kern w:val="0"/>
          <w:sz w:val="28"/>
          <w:szCs w:val="22"/>
        </w:rPr>
        <w:t>含離島</w:t>
      </w:r>
      <w:r>
        <w:rPr>
          <w:rFonts w:ascii="標楷體" w:eastAsia="標楷體" w:hAnsi="標楷體"/>
          <w:kern w:val="0"/>
          <w:sz w:val="28"/>
          <w:szCs w:val="22"/>
        </w:rPr>
        <w:t>)</w:t>
      </w:r>
      <w:r>
        <w:rPr>
          <w:rFonts w:eastAsia="標楷體"/>
          <w:kern w:val="0"/>
          <w:sz w:val="28"/>
          <w:szCs w:val="22"/>
        </w:rPr>
        <w:t>分別找出具國際級、獨特性，可長期定點定時、每日展演，以吸引國際旅客之產品，型塑為國際聚焦亮點，提供旅行社包裝成深度旅遊產品，強化臺灣觀光國際競爭力。</w:t>
      </w:r>
    </w:p>
    <w:p w14:paraId="64389BDA"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依區域特色，舉辦或邀請國際知名賽會、活動，包裝為</w:t>
      </w:r>
      <w:r>
        <w:rPr>
          <w:rFonts w:eastAsia="標楷體"/>
          <w:spacing w:val="4"/>
          <w:kern w:val="0"/>
          <w:sz w:val="28"/>
          <w:szCs w:val="22"/>
        </w:rPr>
        <w:lastRenderedPageBreak/>
        <w:t>立竿見影之旅遊產品，加強行銷臺灣。</w:t>
      </w:r>
    </w:p>
    <w:p w14:paraId="6ABFF6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4.</w:t>
      </w:r>
      <w:r>
        <w:rPr>
          <w:rFonts w:eastAsia="標楷體"/>
          <w:spacing w:val="4"/>
          <w:kern w:val="0"/>
          <w:sz w:val="28"/>
          <w:szCs w:val="26"/>
        </w:rPr>
        <w:t>加強國際</w:t>
      </w:r>
      <w:r>
        <w:rPr>
          <w:rFonts w:eastAsia="標楷體"/>
          <w:spacing w:val="6"/>
          <w:kern w:val="0"/>
          <w:sz w:val="28"/>
          <w:szCs w:val="26"/>
        </w:rPr>
        <w:t>交流</w:t>
      </w:r>
      <w:r>
        <w:rPr>
          <w:rFonts w:ascii="新細明體" w:hAnsi="新細明體"/>
          <w:spacing w:val="6"/>
          <w:kern w:val="0"/>
          <w:sz w:val="28"/>
          <w:szCs w:val="26"/>
        </w:rPr>
        <w:t>，</w:t>
      </w:r>
      <w:r>
        <w:rPr>
          <w:rFonts w:eastAsia="標楷體"/>
          <w:spacing w:val="6"/>
          <w:kern w:val="0"/>
          <w:sz w:val="28"/>
          <w:szCs w:val="26"/>
        </w:rPr>
        <w:t>透過參與國際觀光組織會議、國際旅展、觀光博覽會</w:t>
      </w:r>
      <w:r>
        <w:rPr>
          <w:rFonts w:ascii="新細明體" w:hAnsi="新細明體"/>
          <w:spacing w:val="6"/>
          <w:kern w:val="0"/>
          <w:sz w:val="28"/>
          <w:szCs w:val="26"/>
        </w:rPr>
        <w:t>，</w:t>
      </w:r>
      <w:r>
        <w:rPr>
          <w:rFonts w:eastAsia="標楷體"/>
          <w:spacing w:val="6"/>
          <w:kern w:val="0"/>
          <w:sz w:val="28"/>
          <w:szCs w:val="26"/>
        </w:rPr>
        <w:t>以及獎勵旅遊暨會議展覽</w:t>
      </w:r>
      <w:r>
        <w:rPr>
          <w:rFonts w:ascii="標楷體" w:eastAsia="標楷體" w:hAnsi="標楷體"/>
          <w:spacing w:val="6"/>
          <w:kern w:val="0"/>
          <w:sz w:val="28"/>
          <w:szCs w:val="26"/>
        </w:rPr>
        <w:t>(</w:t>
      </w:r>
      <w:r>
        <w:rPr>
          <w:rFonts w:eastAsia="標楷體"/>
          <w:spacing w:val="6"/>
          <w:kern w:val="0"/>
          <w:sz w:val="28"/>
          <w:szCs w:val="26"/>
        </w:rPr>
        <w:t>MICE</w:t>
      </w:r>
      <w:r>
        <w:rPr>
          <w:rFonts w:ascii="標楷體" w:eastAsia="標楷體" w:hAnsi="標楷體"/>
          <w:spacing w:val="6"/>
          <w:kern w:val="0"/>
          <w:sz w:val="28"/>
          <w:szCs w:val="26"/>
        </w:rPr>
        <w:t>)</w:t>
      </w:r>
      <w:r>
        <w:rPr>
          <w:rFonts w:eastAsia="標楷體"/>
          <w:spacing w:val="6"/>
          <w:kern w:val="0"/>
          <w:sz w:val="28"/>
          <w:szCs w:val="26"/>
        </w:rPr>
        <w:t>或舉辦國際觀光推</w:t>
      </w:r>
      <w:r>
        <w:rPr>
          <w:rFonts w:eastAsia="標楷體"/>
          <w:spacing w:val="4"/>
          <w:kern w:val="0"/>
          <w:sz w:val="28"/>
          <w:szCs w:val="26"/>
        </w:rPr>
        <w:t>廣活動，將臺灣特色觀光產品推向國際，打開國際版圖及能見度。</w:t>
      </w:r>
    </w:p>
    <w:p w14:paraId="616BF2E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pPr>
      <w:r>
        <w:rPr>
          <w:rFonts w:ascii="標楷體" w:eastAsia="標楷體" w:hAnsi="標楷體"/>
          <w:spacing w:val="4"/>
          <w:kern w:val="0"/>
          <w:sz w:val="28"/>
          <w:szCs w:val="22"/>
        </w:rPr>
        <w:t>(</w:t>
      </w:r>
      <w:r>
        <w:rPr>
          <w:rFonts w:eastAsia="標楷體"/>
          <w:spacing w:val="4"/>
          <w:kern w:val="0"/>
          <w:sz w:val="28"/>
          <w:szCs w:val="22"/>
        </w:rPr>
        <w:t>三</w:t>
      </w:r>
      <w:r>
        <w:rPr>
          <w:rFonts w:ascii="標楷體" w:eastAsia="標楷體" w:hAnsi="標楷體"/>
          <w:spacing w:val="4"/>
          <w:kern w:val="0"/>
          <w:sz w:val="28"/>
          <w:szCs w:val="22"/>
        </w:rPr>
        <w:t>)</w:t>
      </w:r>
      <w:r>
        <w:rPr>
          <w:rFonts w:eastAsia="標楷體"/>
          <w:spacing w:val="4"/>
          <w:kern w:val="0"/>
          <w:sz w:val="28"/>
          <w:szCs w:val="22"/>
        </w:rPr>
        <w:t>實現永續理念推動觀光資源節能綠化</w:t>
      </w:r>
    </w:p>
    <w:p w14:paraId="05539A3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rPr>
          <w:rFonts w:eastAsia="標楷體"/>
          <w:spacing w:val="4"/>
          <w:kern w:val="0"/>
          <w:sz w:val="28"/>
          <w:szCs w:val="26"/>
        </w:rPr>
      </w:pPr>
      <w:r>
        <w:rPr>
          <w:rFonts w:eastAsia="標楷體"/>
          <w:spacing w:val="4"/>
          <w:kern w:val="0"/>
          <w:sz w:val="28"/>
          <w:szCs w:val="26"/>
        </w:rPr>
        <w:t>1.</w:t>
      </w:r>
      <w:r>
        <w:rPr>
          <w:rFonts w:eastAsia="標楷體"/>
          <w:spacing w:val="4"/>
          <w:kern w:val="0"/>
          <w:sz w:val="28"/>
          <w:szCs w:val="26"/>
        </w:rPr>
        <w:t>推動各風景區綠色觀光，於國家風景區推動自行車、電動船、電動機車等低碳節能運具。</w:t>
      </w:r>
    </w:p>
    <w:p w14:paraId="734FC5D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1022" w:hanging="230"/>
        <w:jc w:val="both"/>
        <w:textAlignment w:val="center"/>
      </w:pPr>
      <w:r>
        <w:rPr>
          <w:rFonts w:eastAsia="標楷體"/>
          <w:spacing w:val="4"/>
          <w:kern w:val="0"/>
          <w:sz w:val="28"/>
          <w:szCs w:val="26"/>
        </w:rPr>
        <w:t>2.</w:t>
      </w:r>
      <w:r>
        <w:rPr>
          <w:rFonts w:eastAsia="標楷體"/>
          <w:spacing w:val="4"/>
          <w:kern w:val="0"/>
          <w:sz w:val="28"/>
          <w:szCs w:val="26"/>
        </w:rPr>
        <w:t>協力產業推動綠色經營管理</w:t>
      </w:r>
      <w:r>
        <w:rPr>
          <w:rFonts w:ascii="新細明體" w:hAnsi="新細明體"/>
          <w:spacing w:val="4"/>
          <w:kern w:val="0"/>
          <w:sz w:val="28"/>
          <w:szCs w:val="26"/>
        </w:rPr>
        <w:t>，</w:t>
      </w:r>
      <w:r>
        <w:rPr>
          <w:rFonts w:eastAsia="標楷體"/>
          <w:spacing w:val="4"/>
          <w:kern w:val="0"/>
          <w:sz w:val="28"/>
          <w:szCs w:val="26"/>
        </w:rPr>
        <w:t>獎勵產業界推動綠色住宿設施及綠色旅遊產品</w:t>
      </w:r>
    </w:p>
    <w:p w14:paraId="56666442"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1</w:t>
      </w:r>
      <w:r>
        <w:rPr>
          <w:rFonts w:ascii="標楷體" w:eastAsia="標楷體" w:hAnsi="標楷體"/>
          <w:spacing w:val="4"/>
          <w:kern w:val="0"/>
          <w:sz w:val="28"/>
          <w:szCs w:val="22"/>
        </w:rPr>
        <w:t>)</w:t>
      </w:r>
      <w:r>
        <w:rPr>
          <w:rFonts w:eastAsia="標楷體"/>
          <w:spacing w:val="4"/>
          <w:kern w:val="0"/>
          <w:sz w:val="28"/>
          <w:szCs w:val="22"/>
        </w:rPr>
        <w:t>鼓勵旅宿業者提供配合環保作為之住宿優惠措施，如不使用一次性即丟盥洗用具或續住不更換床單等。</w:t>
      </w:r>
    </w:p>
    <w:p w14:paraId="31212200"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2</w:t>
      </w:r>
      <w:r>
        <w:rPr>
          <w:rFonts w:ascii="標楷體" w:eastAsia="標楷體" w:hAnsi="標楷體"/>
          <w:spacing w:val="4"/>
          <w:kern w:val="0"/>
          <w:sz w:val="28"/>
          <w:szCs w:val="22"/>
        </w:rPr>
        <w:t>)</w:t>
      </w:r>
      <w:r>
        <w:rPr>
          <w:rFonts w:eastAsia="標楷體"/>
          <w:spacing w:val="4"/>
          <w:kern w:val="0"/>
          <w:sz w:val="28"/>
          <w:szCs w:val="22"/>
        </w:rPr>
        <w:t>推動旅館業及旅行業環保標章，鼓勵業者依據標章規格標準提出申請。</w:t>
      </w:r>
    </w:p>
    <w:p w14:paraId="5F2234A9"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ind w:left="1440" w:hanging="432"/>
        <w:jc w:val="both"/>
        <w:textAlignment w:val="center"/>
      </w:pPr>
      <w:r>
        <w:rPr>
          <w:rFonts w:ascii="標楷體" w:eastAsia="標楷體" w:hAnsi="標楷體"/>
          <w:spacing w:val="4"/>
          <w:kern w:val="0"/>
          <w:sz w:val="28"/>
          <w:szCs w:val="22"/>
        </w:rPr>
        <w:t>(</w:t>
      </w:r>
      <w:r>
        <w:rPr>
          <w:rFonts w:eastAsia="標楷體"/>
          <w:spacing w:val="4"/>
          <w:kern w:val="0"/>
          <w:sz w:val="28"/>
          <w:szCs w:val="22"/>
        </w:rPr>
        <w:t>3</w:t>
      </w:r>
      <w:r>
        <w:rPr>
          <w:rFonts w:ascii="標楷體" w:eastAsia="標楷體" w:hAnsi="標楷體"/>
          <w:spacing w:val="4"/>
          <w:kern w:val="0"/>
          <w:sz w:val="28"/>
          <w:szCs w:val="22"/>
        </w:rPr>
        <w:t>)獎勵</w:t>
      </w:r>
      <w:r>
        <w:rPr>
          <w:rFonts w:eastAsia="標楷體"/>
          <w:spacing w:val="4"/>
          <w:kern w:val="0"/>
          <w:sz w:val="28"/>
          <w:szCs w:val="22"/>
        </w:rPr>
        <w:t>觀光產業取得專業認證，補助取得旅館業環保標章、綠建築標章等相關認證費用</w:t>
      </w:r>
      <w:r>
        <w:rPr>
          <w:rFonts w:ascii="新細明體" w:hAnsi="新細明體"/>
          <w:spacing w:val="4"/>
          <w:kern w:val="0"/>
          <w:sz w:val="28"/>
          <w:szCs w:val="22"/>
        </w:rPr>
        <w:t>，</w:t>
      </w:r>
      <w:r>
        <w:rPr>
          <w:rFonts w:eastAsia="標楷體"/>
          <w:spacing w:val="4"/>
          <w:kern w:val="0"/>
          <w:sz w:val="28"/>
          <w:szCs w:val="22"/>
        </w:rPr>
        <w:t>落實政府品質管理、環保節能等政策。</w:t>
      </w:r>
      <w:r>
        <w:rPr>
          <w:rFonts w:eastAsia="標楷體"/>
          <w:spacing w:val="4"/>
          <w:kern w:val="0"/>
          <w:sz w:val="32"/>
          <w:szCs w:val="22"/>
        </w:rPr>
        <w:tab/>
      </w:r>
      <w:r>
        <w:rPr>
          <w:rFonts w:eastAsia="標楷體"/>
          <w:spacing w:val="4"/>
          <w:kern w:val="0"/>
          <w:sz w:val="32"/>
          <w:szCs w:val="22"/>
        </w:rPr>
        <w:tab/>
      </w:r>
    </w:p>
    <w:p w14:paraId="3E4B2F5B" w14:textId="77777777" w:rsidR="00052596" w:rsidRDefault="00000000">
      <w:pPr>
        <w:tabs>
          <w:tab w:val="left" w:pos="960"/>
          <w:tab w:val="left" w:pos="1920"/>
          <w:tab w:val="left" w:pos="2880"/>
          <w:tab w:val="left" w:pos="3840"/>
          <w:tab w:val="left" w:pos="4800"/>
          <w:tab w:val="left" w:pos="5760"/>
        </w:tabs>
        <w:overflowPunct w:val="0"/>
        <w:autoSpaceDE w:val="0"/>
        <w:spacing w:line="400" w:lineRule="exact"/>
        <w:jc w:val="center"/>
        <w:textAlignment w:val="center"/>
      </w:pPr>
      <w:r>
        <w:rPr>
          <w:rFonts w:ascii="Wingdings" w:eastAsia="Wingdings" w:hAnsi="Wingdings" w:cs="Wingdings"/>
          <w:b/>
          <w:color w:val="0000FF"/>
          <w:spacing w:val="10"/>
          <w:kern w:val="0"/>
          <w:sz w:val="30"/>
          <w:szCs w:val="28"/>
        </w:rPr>
        <w:t></w:t>
      </w:r>
      <w:r>
        <w:rPr>
          <w:rFonts w:eastAsia="標楷體"/>
          <w:b/>
          <w:color w:val="0000FF"/>
          <w:spacing w:val="10"/>
          <w:kern w:val="0"/>
          <w:sz w:val="16"/>
          <w:szCs w:val="16"/>
        </w:rPr>
        <w:t xml:space="preserve"> </w:t>
      </w:r>
      <w:r>
        <w:rPr>
          <w:rFonts w:eastAsia="標楷體"/>
          <w:b/>
          <w:color w:val="0000FF"/>
          <w:spacing w:val="10"/>
          <w:kern w:val="0"/>
          <w:sz w:val="30"/>
          <w:szCs w:val="28"/>
        </w:rPr>
        <w:t>全力拚經濟－執行「經濟動能推升方案」</w:t>
      </w:r>
      <w:r>
        <w:rPr>
          <w:rFonts w:eastAsia="標楷體"/>
          <w:b/>
          <w:color w:val="0000FF"/>
          <w:spacing w:val="10"/>
          <w:kern w:val="0"/>
          <w:sz w:val="16"/>
          <w:szCs w:val="16"/>
        </w:rPr>
        <w:t xml:space="preserve"> </w:t>
      </w:r>
      <w:r>
        <w:rPr>
          <w:rFonts w:ascii="Wingdings" w:eastAsia="Wingdings" w:hAnsi="Wingdings" w:cs="Wingdings"/>
          <w:b/>
          <w:color w:val="0000FF"/>
          <w:spacing w:val="10"/>
          <w:kern w:val="0"/>
          <w:sz w:val="30"/>
          <w:szCs w:val="28"/>
        </w:rPr>
        <w:t></w:t>
      </w:r>
    </w:p>
    <w:p w14:paraId="6564887A"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CD4A907" w14:textId="77777777" w:rsidR="00052596" w:rsidRDefault="00000000">
      <w:pPr>
        <w:tabs>
          <w:tab w:val="left" w:pos="960"/>
          <w:tab w:val="left" w:pos="1920"/>
          <w:tab w:val="left" w:pos="2880"/>
          <w:tab w:val="left" w:pos="3840"/>
          <w:tab w:val="left" w:pos="4800"/>
          <w:tab w:val="left" w:pos="5760"/>
        </w:tabs>
        <w:overflowPunct w:val="0"/>
        <w:autoSpaceDE w:val="0"/>
        <w:snapToGrid w:val="0"/>
        <w:spacing w:line="420" w:lineRule="exact"/>
        <w:ind w:left="-72" w:firstLine="576"/>
        <w:jc w:val="both"/>
        <w:textAlignment w:val="center"/>
        <w:rPr>
          <w:rFonts w:eastAsia="標楷體"/>
          <w:spacing w:val="4"/>
          <w:kern w:val="0"/>
          <w:sz w:val="28"/>
          <w:szCs w:val="26"/>
        </w:rPr>
      </w:pPr>
      <w:r>
        <w:rPr>
          <w:rFonts w:eastAsia="標楷體"/>
          <w:spacing w:val="4"/>
          <w:kern w:val="0"/>
          <w:sz w:val="28"/>
          <w:szCs w:val="26"/>
        </w:rPr>
        <w:t>鑒於歐債危機短期難解，國內亦面臨產業結構失衡、出口衰退等課題，</w:t>
      </w:r>
      <w:r>
        <w:rPr>
          <w:rFonts w:eastAsia="標楷體"/>
          <w:spacing w:val="4"/>
          <w:kern w:val="0"/>
          <w:sz w:val="28"/>
          <w:szCs w:val="26"/>
        </w:rPr>
        <w:t>101</w:t>
      </w:r>
      <w:r>
        <w:rPr>
          <w:rFonts w:eastAsia="標楷體"/>
          <w:spacing w:val="4"/>
          <w:kern w:val="0"/>
          <w:sz w:val="28"/>
          <w:szCs w:val="26"/>
        </w:rPr>
        <w:t>年</w:t>
      </w:r>
      <w:r>
        <w:rPr>
          <w:rFonts w:eastAsia="標楷體"/>
          <w:spacing w:val="4"/>
          <w:kern w:val="0"/>
          <w:sz w:val="28"/>
          <w:szCs w:val="26"/>
        </w:rPr>
        <w:t>9</w:t>
      </w:r>
      <w:r>
        <w:rPr>
          <w:rFonts w:eastAsia="標楷體"/>
          <w:spacing w:val="4"/>
          <w:kern w:val="0"/>
          <w:sz w:val="28"/>
          <w:szCs w:val="26"/>
        </w:rPr>
        <w:t>月</w:t>
      </w:r>
      <w:r>
        <w:rPr>
          <w:rFonts w:eastAsia="標楷體"/>
          <w:spacing w:val="4"/>
          <w:kern w:val="0"/>
          <w:sz w:val="28"/>
          <w:szCs w:val="26"/>
        </w:rPr>
        <w:t>11</w:t>
      </w:r>
      <w:r>
        <w:rPr>
          <w:rFonts w:eastAsia="標楷體"/>
          <w:spacing w:val="4"/>
          <w:kern w:val="0"/>
          <w:sz w:val="28"/>
          <w:szCs w:val="26"/>
        </w:rPr>
        <w:t>日行政院公布「經濟動能推升方案」，以產業、輸出、人力、投資、政府五面向，擬定五大政策方針，共計</w:t>
      </w:r>
      <w:r>
        <w:rPr>
          <w:rFonts w:eastAsia="標楷體"/>
          <w:spacing w:val="4"/>
          <w:kern w:val="0"/>
          <w:sz w:val="28"/>
          <w:szCs w:val="26"/>
        </w:rPr>
        <w:t>25</w:t>
      </w:r>
      <w:r>
        <w:rPr>
          <w:rFonts w:eastAsia="標楷體"/>
          <w:spacing w:val="4"/>
          <w:kern w:val="0"/>
          <w:sz w:val="28"/>
          <w:szCs w:val="26"/>
        </w:rPr>
        <w:t>項工作重點，兼顧短期提振國內景氣、中長期調整經濟與產業結構之政策效益。</w:t>
      </w:r>
    </w:p>
    <w:p w14:paraId="6565634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D9EB704"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壹、推動產業多元創新</w:t>
      </w:r>
    </w:p>
    <w:p w14:paraId="4CE009F1"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9EA353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一、</w:t>
      </w:r>
      <w:r>
        <w:rPr>
          <w:rFonts w:eastAsia="標楷體"/>
          <w:b/>
          <w:color w:val="0000FF"/>
          <w:spacing w:val="6"/>
          <w:kern w:val="0"/>
          <w:sz w:val="28"/>
          <w:szCs w:val="22"/>
        </w:rPr>
        <w:t>推動產業結構優化</w:t>
      </w:r>
      <w:r>
        <w:rPr>
          <w:rFonts w:eastAsia="標楷體"/>
          <w:color w:val="0000FF"/>
          <w:spacing w:val="6"/>
          <w:kern w:val="0"/>
          <w:sz w:val="28"/>
          <w:szCs w:val="22"/>
        </w:rPr>
        <w:t>：</w:t>
      </w:r>
      <w:r>
        <w:rPr>
          <w:rFonts w:eastAsia="標楷體"/>
          <w:spacing w:val="6"/>
          <w:kern w:val="0"/>
          <w:sz w:val="28"/>
          <w:szCs w:val="22"/>
        </w:rPr>
        <w:t>推動三業四化，以「製造業服務化、服務業科技化與國際化、傳統產業特色化」為三大主軸，選取亮點產業作為示範案例，第</w:t>
      </w:r>
      <w:r>
        <w:rPr>
          <w:rFonts w:eastAsia="標楷體"/>
          <w:spacing w:val="6"/>
          <w:kern w:val="0"/>
          <w:sz w:val="28"/>
          <w:szCs w:val="22"/>
        </w:rPr>
        <w:t>1</w:t>
      </w:r>
      <w:r>
        <w:rPr>
          <w:rFonts w:eastAsia="標楷體"/>
          <w:spacing w:val="6"/>
          <w:kern w:val="0"/>
          <w:sz w:val="28"/>
          <w:szCs w:val="22"/>
        </w:rPr>
        <w:t>階段先由經濟部辦理，選定示範亮點產業包括：創新時尚紡織、工具機、物流產業、資訊服</w:t>
      </w:r>
      <w:r>
        <w:rPr>
          <w:rFonts w:eastAsia="標楷體"/>
          <w:spacing w:val="6"/>
          <w:kern w:val="0"/>
          <w:sz w:val="28"/>
          <w:szCs w:val="22"/>
        </w:rPr>
        <w:lastRenderedPageBreak/>
        <w:t>務、智慧生活等，第</w:t>
      </w:r>
      <w:r>
        <w:rPr>
          <w:rFonts w:eastAsia="標楷體"/>
          <w:spacing w:val="6"/>
          <w:kern w:val="0"/>
          <w:sz w:val="28"/>
          <w:szCs w:val="22"/>
        </w:rPr>
        <w:t>2</w:t>
      </w:r>
      <w:r>
        <w:rPr>
          <w:rFonts w:eastAsia="標楷體"/>
          <w:spacing w:val="6"/>
          <w:kern w:val="0"/>
          <w:sz w:val="28"/>
          <w:szCs w:val="22"/>
        </w:rPr>
        <w:t>階段將進一步擴大推廣至各部會主管之產業業別。</w:t>
      </w:r>
    </w:p>
    <w:p w14:paraId="3907A66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二、</w:t>
      </w:r>
      <w:r>
        <w:rPr>
          <w:rFonts w:eastAsia="標楷體"/>
          <w:b/>
          <w:color w:val="0000FF"/>
          <w:spacing w:val="6"/>
          <w:kern w:val="0"/>
          <w:sz w:val="28"/>
          <w:szCs w:val="22"/>
        </w:rPr>
        <w:t>協助傳統產業維新</w:t>
      </w:r>
      <w:r>
        <w:rPr>
          <w:rFonts w:eastAsia="標楷體"/>
          <w:color w:val="0000FF"/>
          <w:spacing w:val="6"/>
          <w:kern w:val="0"/>
          <w:sz w:val="28"/>
          <w:szCs w:val="22"/>
        </w:rPr>
        <w:t>：</w:t>
      </w:r>
      <w:r>
        <w:rPr>
          <w:rFonts w:eastAsia="標楷體"/>
          <w:spacing w:val="6"/>
          <w:kern w:val="0"/>
          <w:sz w:val="28"/>
          <w:szCs w:val="22"/>
        </w:rPr>
        <w:t>對於具有維新意涵且具在地發展性、示範性產業，推動「傳統產業維新方案」，預計</w:t>
      </w:r>
      <w:r>
        <w:rPr>
          <w:rFonts w:eastAsia="標楷體"/>
          <w:spacing w:val="6"/>
          <w:kern w:val="0"/>
          <w:sz w:val="28"/>
          <w:szCs w:val="22"/>
        </w:rPr>
        <w:t>101</w:t>
      </w:r>
      <w:r>
        <w:rPr>
          <w:rFonts w:eastAsia="標楷體"/>
          <w:spacing w:val="6"/>
          <w:kern w:val="0"/>
          <w:sz w:val="28"/>
          <w:szCs w:val="22"/>
        </w:rPr>
        <w:t>至</w:t>
      </w:r>
      <w:r>
        <w:rPr>
          <w:rFonts w:eastAsia="標楷體"/>
          <w:spacing w:val="6"/>
          <w:kern w:val="0"/>
          <w:sz w:val="28"/>
          <w:szCs w:val="22"/>
        </w:rPr>
        <w:t>108</w:t>
      </w:r>
      <w:r>
        <w:rPr>
          <w:rFonts w:eastAsia="標楷體"/>
          <w:spacing w:val="6"/>
          <w:kern w:val="0"/>
          <w:sz w:val="28"/>
          <w:szCs w:val="22"/>
        </w:rPr>
        <w:t>年間將協調相關部會維新</w:t>
      </w:r>
      <w:r>
        <w:rPr>
          <w:rFonts w:eastAsia="標楷體"/>
          <w:spacing w:val="6"/>
          <w:kern w:val="0"/>
          <w:sz w:val="28"/>
          <w:szCs w:val="22"/>
        </w:rPr>
        <w:t>50</w:t>
      </w:r>
      <w:r>
        <w:rPr>
          <w:rFonts w:eastAsia="標楷體"/>
          <w:spacing w:val="6"/>
          <w:kern w:val="0"/>
          <w:sz w:val="28"/>
          <w:szCs w:val="22"/>
        </w:rPr>
        <w:t>項產業，預期可發展</w:t>
      </w:r>
      <w:r>
        <w:rPr>
          <w:rFonts w:eastAsia="標楷體"/>
          <w:spacing w:val="6"/>
          <w:kern w:val="0"/>
          <w:sz w:val="28"/>
          <w:szCs w:val="22"/>
        </w:rPr>
        <w:t>5</w:t>
      </w:r>
      <w:r>
        <w:rPr>
          <w:rFonts w:eastAsia="標楷體"/>
          <w:spacing w:val="6"/>
          <w:kern w:val="0"/>
          <w:sz w:val="28"/>
          <w:szCs w:val="22"/>
        </w:rPr>
        <w:t>個國際品牌、新增就業人數</w:t>
      </w:r>
      <w:r>
        <w:rPr>
          <w:rFonts w:eastAsia="標楷體"/>
          <w:spacing w:val="6"/>
          <w:kern w:val="0"/>
          <w:sz w:val="28"/>
          <w:szCs w:val="22"/>
        </w:rPr>
        <w:t>25,000</w:t>
      </w:r>
      <w:r>
        <w:rPr>
          <w:rFonts w:eastAsia="標楷體"/>
          <w:spacing w:val="6"/>
          <w:kern w:val="0"/>
          <w:sz w:val="28"/>
          <w:szCs w:val="22"/>
        </w:rPr>
        <w:t>人、出口金額累計增加</w:t>
      </w:r>
      <w:r>
        <w:rPr>
          <w:rFonts w:eastAsia="標楷體"/>
          <w:spacing w:val="6"/>
          <w:kern w:val="0"/>
          <w:sz w:val="28"/>
          <w:szCs w:val="22"/>
        </w:rPr>
        <w:t>2,000</w:t>
      </w:r>
      <w:r>
        <w:rPr>
          <w:rFonts w:eastAsia="標楷體"/>
          <w:spacing w:val="6"/>
          <w:kern w:val="0"/>
          <w:sz w:val="28"/>
          <w:szCs w:val="22"/>
        </w:rPr>
        <w:t>億元及促進民間投資</w:t>
      </w:r>
      <w:r>
        <w:rPr>
          <w:rFonts w:eastAsia="標楷體"/>
          <w:spacing w:val="6"/>
          <w:kern w:val="0"/>
          <w:sz w:val="28"/>
          <w:szCs w:val="22"/>
        </w:rPr>
        <w:t>500</w:t>
      </w:r>
      <w:r>
        <w:rPr>
          <w:rFonts w:eastAsia="標楷體"/>
          <w:spacing w:val="6"/>
          <w:kern w:val="0"/>
          <w:sz w:val="28"/>
          <w:szCs w:val="22"/>
        </w:rPr>
        <w:t>億元。</w:t>
      </w:r>
    </w:p>
    <w:p w14:paraId="758815E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三、</w:t>
      </w:r>
      <w:r>
        <w:rPr>
          <w:rFonts w:eastAsia="標楷體"/>
          <w:b/>
          <w:color w:val="0000FF"/>
          <w:spacing w:val="4"/>
          <w:kern w:val="0"/>
          <w:sz w:val="28"/>
          <w:szCs w:val="22"/>
        </w:rPr>
        <w:t>推動中堅企業躍升</w:t>
      </w:r>
      <w:r>
        <w:rPr>
          <w:rFonts w:eastAsia="標楷體"/>
          <w:color w:val="0000FF"/>
          <w:spacing w:val="4"/>
          <w:kern w:val="0"/>
          <w:sz w:val="28"/>
          <w:szCs w:val="22"/>
        </w:rPr>
        <w:t>：</w:t>
      </w:r>
      <w:r>
        <w:rPr>
          <w:rFonts w:eastAsia="標楷體"/>
          <w:spacing w:val="4"/>
          <w:kern w:val="0"/>
          <w:sz w:val="28"/>
          <w:szCs w:val="22"/>
        </w:rPr>
        <w:t>參考德國</w:t>
      </w:r>
      <w:r>
        <w:rPr>
          <w:rFonts w:eastAsia="標楷體"/>
          <w:spacing w:val="4"/>
          <w:kern w:val="0"/>
          <w:sz w:val="28"/>
          <w:szCs w:val="22"/>
        </w:rPr>
        <w:t>Mittelstand</w:t>
      </w:r>
      <w:r>
        <w:rPr>
          <w:rFonts w:eastAsia="標楷體"/>
          <w:spacing w:val="4"/>
          <w:kern w:val="0"/>
          <w:sz w:val="28"/>
          <w:szCs w:val="22"/>
        </w:rPr>
        <w:t>亦稱為</w:t>
      </w:r>
      <w:r>
        <w:rPr>
          <w:rFonts w:eastAsia="標楷體"/>
          <w:spacing w:val="4"/>
          <w:kern w:val="0"/>
          <w:sz w:val="28"/>
          <w:szCs w:val="22"/>
        </w:rPr>
        <w:t>hidden champion</w:t>
      </w:r>
      <w:r>
        <w:rPr>
          <w:rFonts w:eastAsia="標楷體"/>
          <w:spacing w:val="4"/>
          <w:kern w:val="0"/>
          <w:sz w:val="28"/>
          <w:szCs w:val="22"/>
        </w:rPr>
        <w:t>的特質與條件，推動發展並輔導具適當規模，基礎技術紮實，在特定領域具有技術獨特性及關鍵性、具高度國際市場競爭力，並以國內為主要經營基地之「中堅企業」，推動中堅企業躍升。</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103</w:t>
      </w:r>
      <w:r>
        <w:rPr>
          <w:rFonts w:eastAsia="標楷體"/>
          <w:spacing w:val="4"/>
          <w:kern w:val="0"/>
          <w:sz w:val="28"/>
          <w:szCs w:val="22"/>
        </w:rPr>
        <w:t>年預計重點輔導</w:t>
      </w:r>
      <w:r>
        <w:rPr>
          <w:rFonts w:eastAsia="標楷體"/>
          <w:spacing w:val="4"/>
          <w:kern w:val="0"/>
          <w:sz w:val="28"/>
          <w:szCs w:val="22"/>
        </w:rPr>
        <w:t>150</w:t>
      </w:r>
      <w:r>
        <w:rPr>
          <w:rFonts w:eastAsia="標楷體"/>
          <w:spacing w:val="4"/>
          <w:kern w:val="0"/>
          <w:sz w:val="28"/>
          <w:szCs w:val="22"/>
        </w:rPr>
        <w:t>家以上具潛力之中小型企業群、表彰約</w:t>
      </w:r>
      <w:r>
        <w:rPr>
          <w:rFonts w:eastAsia="標楷體"/>
          <w:spacing w:val="4"/>
          <w:kern w:val="0"/>
          <w:sz w:val="28"/>
          <w:szCs w:val="22"/>
        </w:rPr>
        <w:t>30</w:t>
      </w:r>
      <w:r>
        <w:rPr>
          <w:rFonts w:eastAsia="標楷體"/>
          <w:spacing w:val="4"/>
          <w:kern w:val="0"/>
          <w:sz w:val="28"/>
          <w:szCs w:val="22"/>
        </w:rPr>
        <w:t>家卓越中堅企業、帶動相關投資</w:t>
      </w:r>
      <w:r>
        <w:rPr>
          <w:rFonts w:eastAsia="標楷體"/>
          <w:spacing w:val="4"/>
          <w:kern w:val="0"/>
          <w:sz w:val="28"/>
          <w:szCs w:val="22"/>
        </w:rPr>
        <w:t>1,000</w:t>
      </w:r>
      <w:r>
        <w:rPr>
          <w:rFonts w:eastAsia="標楷體"/>
          <w:spacing w:val="4"/>
          <w:kern w:val="0"/>
          <w:sz w:val="28"/>
          <w:szCs w:val="22"/>
        </w:rPr>
        <w:t>億元及創造</w:t>
      </w:r>
      <w:r>
        <w:rPr>
          <w:rFonts w:eastAsia="標楷體"/>
          <w:spacing w:val="4"/>
          <w:kern w:val="0"/>
          <w:sz w:val="28"/>
          <w:szCs w:val="22"/>
        </w:rPr>
        <w:t>10,000</w:t>
      </w:r>
      <w:r>
        <w:rPr>
          <w:rFonts w:eastAsia="標楷體"/>
          <w:spacing w:val="4"/>
          <w:kern w:val="0"/>
          <w:sz w:val="28"/>
          <w:szCs w:val="22"/>
        </w:rPr>
        <w:t>人就業機會。</w:t>
      </w:r>
    </w:p>
    <w:p w14:paraId="00BC761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四、</w:t>
      </w:r>
      <w:r>
        <w:rPr>
          <w:rFonts w:eastAsia="標楷體"/>
          <w:b/>
          <w:color w:val="0000FF"/>
          <w:spacing w:val="4"/>
          <w:kern w:val="0"/>
          <w:sz w:val="28"/>
          <w:szCs w:val="22"/>
        </w:rPr>
        <w:t>擴大觀光服務能量</w:t>
      </w:r>
      <w:r>
        <w:rPr>
          <w:rFonts w:eastAsia="標楷體"/>
          <w:color w:val="0000FF"/>
          <w:spacing w:val="4"/>
          <w:kern w:val="0"/>
          <w:sz w:val="28"/>
          <w:szCs w:val="22"/>
        </w:rPr>
        <w:t>：</w:t>
      </w:r>
      <w:r>
        <w:rPr>
          <w:rFonts w:eastAsia="標楷體"/>
          <w:spacing w:val="4"/>
          <w:kern w:val="0"/>
          <w:sz w:val="28"/>
          <w:szCs w:val="22"/>
        </w:rPr>
        <w:t>持續辦理「臺灣觀光年曆推動計畫」及「旅行臺灣</w:t>
      </w:r>
      <w:r>
        <w:rPr>
          <w:rFonts w:eastAsia="標楷體"/>
          <w:spacing w:val="4"/>
          <w:kern w:val="0"/>
          <w:sz w:val="28"/>
          <w:szCs w:val="22"/>
        </w:rPr>
        <w:t xml:space="preserve"> </w:t>
      </w:r>
      <w:r>
        <w:rPr>
          <w:rFonts w:eastAsia="標楷體"/>
          <w:spacing w:val="4"/>
          <w:kern w:val="0"/>
          <w:sz w:val="28"/>
          <w:szCs w:val="22"/>
        </w:rPr>
        <w:t>就是現</w:t>
      </w:r>
      <w:r>
        <w:rPr>
          <w:rFonts w:ascii="標楷體" w:eastAsia="標楷體" w:hAnsi="標楷體"/>
          <w:spacing w:val="4"/>
          <w:kern w:val="0"/>
          <w:sz w:val="28"/>
          <w:szCs w:val="22"/>
        </w:rPr>
        <w:t>在(</w:t>
      </w:r>
      <w:r>
        <w:rPr>
          <w:rFonts w:eastAsia="標楷體"/>
          <w:spacing w:val="4"/>
          <w:kern w:val="0"/>
          <w:sz w:val="28"/>
          <w:szCs w:val="22"/>
        </w:rPr>
        <w:t>Time for Taiwan</w:t>
      </w:r>
      <w:r>
        <w:rPr>
          <w:rFonts w:ascii="標楷體" w:eastAsia="標楷體" w:hAnsi="標楷體"/>
          <w:spacing w:val="4"/>
          <w:kern w:val="0"/>
          <w:sz w:val="28"/>
          <w:szCs w:val="22"/>
        </w:rPr>
        <w:t>)</w:t>
      </w:r>
      <w:r>
        <w:rPr>
          <w:rFonts w:eastAsia="標楷體"/>
          <w:spacing w:val="4"/>
          <w:kern w:val="0"/>
          <w:sz w:val="28"/>
          <w:szCs w:val="22"/>
        </w:rPr>
        <w:t>行銷推廣計畫」，並開發高價值客源來臺，積極爭取東南亞</w:t>
      </w:r>
      <w:r>
        <w:rPr>
          <w:rFonts w:eastAsia="標楷體"/>
          <w:spacing w:val="4"/>
          <w:kern w:val="0"/>
          <w:sz w:val="28"/>
          <w:szCs w:val="22"/>
        </w:rPr>
        <w:t>5</w:t>
      </w:r>
      <w:r>
        <w:rPr>
          <w:rFonts w:eastAsia="標楷體"/>
          <w:spacing w:val="4"/>
          <w:kern w:val="0"/>
          <w:sz w:val="28"/>
          <w:szCs w:val="22"/>
        </w:rPr>
        <w:t>國</w:t>
      </w:r>
      <w:r>
        <w:rPr>
          <w:rFonts w:ascii="標楷體" w:eastAsia="標楷體" w:hAnsi="標楷體"/>
          <w:spacing w:val="4"/>
          <w:kern w:val="0"/>
          <w:sz w:val="28"/>
          <w:szCs w:val="22"/>
        </w:rPr>
        <w:t>(</w:t>
      </w:r>
      <w:r>
        <w:rPr>
          <w:rFonts w:eastAsia="標楷體"/>
          <w:spacing w:val="4"/>
          <w:kern w:val="0"/>
          <w:sz w:val="28"/>
          <w:szCs w:val="22"/>
        </w:rPr>
        <w:t>印度、印尼、泰國、越南、菲律賓</w:t>
      </w:r>
      <w:r>
        <w:rPr>
          <w:rFonts w:ascii="標楷體" w:eastAsia="標楷體" w:hAnsi="標楷體"/>
          <w:spacing w:val="4"/>
          <w:kern w:val="0"/>
          <w:sz w:val="28"/>
          <w:szCs w:val="22"/>
        </w:rPr>
        <w:t>)之</w:t>
      </w:r>
      <w:r>
        <w:rPr>
          <w:rFonts w:eastAsia="標楷體"/>
          <w:spacing w:val="4"/>
          <w:kern w:val="0"/>
          <w:sz w:val="28"/>
          <w:szCs w:val="22"/>
        </w:rPr>
        <w:t>新富階級，以及穆斯林市場客源，並簡化大陸商務客、自由行旅客來臺之申請手續，提高來臺之便利性及誘因。</w:t>
      </w:r>
      <w:r>
        <w:rPr>
          <w:rFonts w:eastAsia="標楷體"/>
          <w:spacing w:val="4"/>
          <w:kern w:val="0"/>
          <w:sz w:val="28"/>
          <w:szCs w:val="22"/>
        </w:rPr>
        <w:t>105</w:t>
      </w:r>
      <w:r>
        <w:rPr>
          <w:rFonts w:eastAsia="標楷體"/>
          <w:spacing w:val="4"/>
          <w:kern w:val="0"/>
          <w:sz w:val="28"/>
          <w:szCs w:val="22"/>
        </w:rPr>
        <w:t>年預計達成來臺旅客</w:t>
      </w:r>
      <w:r>
        <w:rPr>
          <w:rFonts w:eastAsia="標楷體"/>
          <w:spacing w:val="4"/>
          <w:kern w:val="0"/>
          <w:sz w:val="28"/>
          <w:szCs w:val="22"/>
        </w:rPr>
        <w:t>1,000</w:t>
      </w:r>
      <w:r>
        <w:rPr>
          <w:rFonts w:eastAsia="標楷體"/>
          <w:spacing w:val="4"/>
          <w:kern w:val="0"/>
          <w:sz w:val="28"/>
          <w:szCs w:val="22"/>
        </w:rPr>
        <w:t>萬人次、觀光外匯收入</w:t>
      </w:r>
      <w:r>
        <w:rPr>
          <w:rFonts w:eastAsia="標楷體"/>
          <w:spacing w:val="4"/>
          <w:kern w:val="0"/>
          <w:sz w:val="28"/>
          <w:szCs w:val="22"/>
        </w:rPr>
        <w:t>4,700</w:t>
      </w:r>
      <w:r>
        <w:rPr>
          <w:rFonts w:eastAsia="標楷體"/>
          <w:spacing w:val="4"/>
          <w:kern w:val="0"/>
          <w:sz w:val="28"/>
          <w:szCs w:val="22"/>
        </w:rPr>
        <w:t>億元、星級旅館</w:t>
      </w:r>
      <w:r>
        <w:rPr>
          <w:rFonts w:eastAsia="標楷體"/>
          <w:spacing w:val="4"/>
          <w:kern w:val="0"/>
          <w:sz w:val="28"/>
          <w:szCs w:val="22"/>
        </w:rPr>
        <w:t>550</w:t>
      </w:r>
      <w:r>
        <w:rPr>
          <w:rFonts w:eastAsia="標楷體"/>
          <w:spacing w:val="4"/>
          <w:kern w:val="0"/>
          <w:sz w:val="28"/>
          <w:szCs w:val="22"/>
        </w:rPr>
        <w:t>家、好客民宿</w:t>
      </w:r>
      <w:r>
        <w:rPr>
          <w:rFonts w:eastAsia="標楷體"/>
          <w:spacing w:val="4"/>
          <w:kern w:val="0"/>
          <w:sz w:val="28"/>
          <w:szCs w:val="22"/>
        </w:rPr>
        <w:t>1,000</w:t>
      </w:r>
      <w:r>
        <w:rPr>
          <w:rFonts w:eastAsia="標楷體"/>
          <w:spacing w:val="4"/>
          <w:kern w:val="0"/>
          <w:sz w:val="28"/>
          <w:szCs w:val="22"/>
        </w:rPr>
        <w:t>家之目標。</w:t>
      </w:r>
    </w:p>
    <w:p w14:paraId="590B14E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五、</w:t>
      </w:r>
      <w:r>
        <w:rPr>
          <w:rFonts w:eastAsia="標楷體"/>
          <w:b/>
          <w:color w:val="0000FF"/>
          <w:spacing w:val="4"/>
          <w:kern w:val="0"/>
          <w:sz w:val="28"/>
          <w:szCs w:val="22"/>
        </w:rPr>
        <w:t>活化金融永續發展</w:t>
      </w:r>
      <w:r>
        <w:rPr>
          <w:rFonts w:eastAsia="標楷體"/>
          <w:color w:val="0000FF"/>
          <w:spacing w:val="4"/>
          <w:kern w:val="0"/>
          <w:sz w:val="28"/>
          <w:szCs w:val="22"/>
        </w:rPr>
        <w:t>：</w:t>
      </w:r>
      <w:r>
        <w:rPr>
          <w:rFonts w:eastAsia="標楷體"/>
          <w:spacing w:val="4"/>
          <w:kern w:val="0"/>
          <w:sz w:val="28"/>
          <w:szCs w:val="22"/>
        </w:rPr>
        <w:t>掌握兩岸金融發展契機，積極推動「發展具兩岸特色之金融業務」及「發展以臺灣為主之國人理財平臺」，尤其「海峽兩岸貨幣清算合作備忘錄」已於</w:t>
      </w:r>
      <w:r>
        <w:rPr>
          <w:rFonts w:eastAsia="標楷體"/>
          <w:spacing w:val="4"/>
          <w:kern w:val="0"/>
          <w:sz w:val="28"/>
          <w:szCs w:val="22"/>
        </w:rPr>
        <w:t>101</w:t>
      </w:r>
      <w:r>
        <w:rPr>
          <w:rFonts w:eastAsia="標楷體"/>
          <w:spacing w:val="4"/>
          <w:kern w:val="0"/>
          <w:sz w:val="28"/>
          <w:szCs w:val="22"/>
        </w:rPr>
        <w:t>年</w:t>
      </w:r>
      <w:r>
        <w:rPr>
          <w:rFonts w:eastAsia="標楷體"/>
          <w:spacing w:val="4"/>
          <w:kern w:val="0"/>
          <w:sz w:val="28"/>
          <w:szCs w:val="22"/>
        </w:rPr>
        <w:t>10</w:t>
      </w:r>
      <w:r>
        <w:rPr>
          <w:rFonts w:eastAsia="標楷體"/>
          <w:spacing w:val="4"/>
          <w:kern w:val="0"/>
          <w:sz w:val="28"/>
          <w:szCs w:val="22"/>
        </w:rPr>
        <w:t>月生效，將配合兩岸貨幣清算機制建立時程，開放國銀國際金融業務分行</w:t>
      </w:r>
      <w:r>
        <w:rPr>
          <w:rFonts w:ascii="標楷體" w:eastAsia="標楷體" w:hAnsi="標楷體"/>
          <w:spacing w:val="4"/>
          <w:kern w:val="0"/>
          <w:sz w:val="28"/>
          <w:szCs w:val="22"/>
        </w:rPr>
        <w:t>(</w:t>
      </w:r>
      <w:r>
        <w:rPr>
          <w:rFonts w:eastAsia="標楷體"/>
          <w:spacing w:val="4"/>
          <w:kern w:val="0"/>
          <w:sz w:val="28"/>
          <w:szCs w:val="22"/>
        </w:rPr>
        <w:t>OBU</w:t>
      </w:r>
      <w:r>
        <w:rPr>
          <w:rFonts w:ascii="標楷體" w:eastAsia="標楷體" w:hAnsi="標楷體"/>
          <w:spacing w:val="4"/>
          <w:kern w:val="0"/>
          <w:sz w:val="28"/>
          <w:szCs w:val="22"/>
        </w:rPr>
        <w:t>)</w:t>
      </w:r>
      <w:r>
        <w:rPr>
          <w:rFonts w:eastAsia="標楷體"/>
          <w:spacing w:val="4"/>
          <w:kern w:val="0"/>
          <w:sz w:val="28"/>
          <w:szCs w:val="22"/>
        </w:rPr>
        <w:t>人民幣存款同業帳戶開戶，持續協助金融產業發展。</w:t>
      </w:r>
    </w:p>
    <w:p w14:paraId="192E3691"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六、</w:t>
      </w:r>
      <w:r>
        <w:rPr>
          <w:rFonts w:eastAsia="標楷體"/>
          <w:b/>
          <w:color w:val="0000FF"/>
          <w:spacing w:val="4"/>
          <w:kern w:val="0"/>
          <w:sz w:val="28"/>
          <w:szCs w:val="22"/>
        </w:rPr>
        <w:t>輔導農民進行農業節水生產</w:t>
      </w:r>
      <w:r>
        <w:rPr>
          <w:rFonts w:eastAsia="標楷體"/>
          <w:color w:val="0000FF"/>
          <w:spacing w:val="4"/>
          <w:kern w:val="0"/>
          <w:sz w:val="28"/>
          <w:szCs w:val="22"/>
        </w:rPr>
        <w:t>：</w:t>
      </w:r>
      <w:r>
        <w:rPr>
          <w:rFonts w:eastAsia="標楷體"/>
          <w:spacing w:val="4"/>
          <w:kern w:val="0"/>
          <w:sz w:val="28"/>
          <w:szCs w:val="22"/>
        </w:rPr>
        <w:t>規劃</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109</w:t>
      </w:r>
      <w:r>
        <w:rPr>
          <w:rFonts w:eastAsia="標楷體"/>
          <w:spacing w:val="4"/>
          <w:kern w:val="0"/>
          <w:sz w:val="28"/>
          <w:szCs w:val="22"/>
        </w:rPr>
        <w:t>年推動「黃金廊道農業新方案」，輔導農民從事低耗水性農業生產，發展農業節水生產專區，以改善地層嚴重下陷區土地及水資源情勢，預計</w:t>
      </w:r>
      <w:r>
        <w:rPr>
          <w:rFonts w:eastAsia="標楷體"/>
          <w:spacing w:val="4"/>
          <w:kern w:val="0"/>
          <w:sz w:val="28"/>
          <w:szCs w:val="22"/>
        </w:rPr>
        <w:lastRenderedPageBreak/>
        <w:t>於</w:t>
      </w:r>
      <w:r>
        <w:rPr>
          <w:rFonts w:eastAsia="標楷體"/>
          <w:spacing w:val="4"/>
          <w:kern w:val="0"/>
          <w:sz w:val="28"/>
          <w:szCs w:val="22"/>
        </w:rPr>
        <w:t>105</w:t>
      </w:r>
      <w:r>
        <w:rPr>
          <w:rFonts w:eastAsia="標楷體"/>
          <w:spacing w:val="4"/>
          <w:kern w:val="0"/>
          <w:sz w:val="28"/>
          <w:szCs w:val="22"/>
        </w:rPr>
        <w:t>年時每年將可減少</w:t>
      </w:r>
      <w:r>
        <w:rPr>
          <w:rFonts w:eastAsia="標楷體"/>
          <w:spacing w:val="4"/>
          <w:kern w:val="0"/>
          <w:sz w:val="28"/>
          <w:szCs w:val="22"/>
        </w:rPr>
        <w:t>1,400</w:t>
      </w:r>
      <w:r>
        <w:rPr>
          <w:rFonts w:eastAsia="標楷體"/>
          <w:spacing w:val="4"/>
          <w:kern w:val="0"/>
          <w:sz w:val="28"/>
          <w:szCs w:val="22"/>
        </w:rPr>
        <w:t>萬噸用水，約等於</w:t>
      </w:r>
      <w:r>
        <w:rPr>
          <w:rFonts w:eastAsia="標楷體"/>
          <w:spacing w:val="4"/>
          <w:kern w:val="0"/>
          <w:sz w:val="28"/>
          <w:szCs w:val="22"/>
        </w:rPr>
        <w:t>26%</w:t>
      </w:r>
      <w:r>
        <w:rPr>
          <w:rFonts w:eastAsia="標楷體"/>
          <w:spacing w:val="4"/>
          <w:kern w:val="0"/>
          <w:sz w:val="28"/>
          <w:szCs w:val="22"/>
        </w:rPr>
        <w:t>的湖山水庫有效庫容</w:t>
      </w:r>
      <w:r>
        <w:rPr>
          <w:rFonts w:ascii="標楷體" w:eastAsia="標楷體" w:hAnsi="標楷體"/>
          <w:spacing w:val="4"/>
          <w:kern w:val="0"/>
          <w:sz w:val="28"/>
          <w:szCs w:val="22"/>
        </w:rPr>
        <w:t>(</w:t>
      </w:r>
      <w:r>
        <w:rPr>
          <w:rFonts w:eastAsia="標楷體"/>
          <w:spacing w:val="4"/>
          <w:kern w:val="0"/>
          <w:sz w:val="28"/>
          <w:szCs w:val="22"/>
        </w:rPr>
        <w:t>5,218</w:t>
      </w:r>
      <w:r>
        <w:rPr>
          <w:rFonts w:eastAsia="標楷體"/>
          <w:spacing w:val="4"/>
          <w:kern w:val="0"/>
          <w:sz w:val="28"/>
          <w:szCs w:val="22"/>
        </w:rPr>
        <w:t>萬噸</w:t>
      </w:r>
      <w:r>
        <w:rPr>
          <w:rFonts w:ascii="標楷體" w:eastAsia="標楷體" w:hAnsi="標楷體"/>
          <w:spacing w:val="4"/>
          <w:kern w:val="0"/>
          <w:sz w:val="28"/>
          <w:szCs w:val="22"/>
        </w:rPr>
        <w:t>)</w:t>
      </w:r>
      <w:r>
        <w:rPr>
          <w:rFonts w:eastAsia="標楷體"/>
          <w:spacing w:val="4"/>
          <w:kern w:val="0"/>
          <w:sz w:val="28"/>
          <w:szCs w:val="22"/>
        </w:rPr>
        <w:t>，並累計帶動農業旅遊</w:t>
      </w:r>
      <w:r>
        <w:rPr>
          <w:rFonts w:eastAsia="標楷體"/>
          <w:spacing w:val="4"/>
          <w:kern w:val="0"/>
          <w:sz w:val="28"/>
          <w:szCs w:val="22"/>
        </w:rPr>
        <w:t>55,000</w:t>
      </w:r>
      <w:r>
        <w:rPr>
          <w:rFonts w:eastAsia="標楷體"/>
          <w:spacing w:val="4"/>
          <w:kern w:val="0"/>
          <w:sz w:val="28"/>
          <w:szCs w:val="22"/>
        </w:rPr>
        <w:t>人次。</w:t>
      </w:r>
    </w:p>
    <w:p w14:paraId="1CF02AA6"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4A0F134"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貳、促進輸出拓展市場</w:t>
      </w:r>
    </w:p>
    <w:p w14:paraId="6D523BFE"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6D472E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一、</w:t>
      </w:r>
      <w:r>
        <w:rPr>
          <w:rFonts w:eastAsia="標楷體"/>
          <w:b/>
          <w:color w:val="0000FF"/>
          <w:spacing w:val="4"/>
          <w:kern w:val="0"/>
          <w:sz w:val="28"/>
          <w:szCs w:val="22"/>
        </w:rPr>
        <w:t>強化新興市場資訊並增設據點</w:t>
      </w:r>
      <w:r>
        <w:rPr>
          <w:rFonts w:eastAsia="標楷體"/>
          <w:color w:val="0000FF"/>
          <w:spacing w:val="4"/>
          <w:kern w:val="0"/>
          <w:sz w:val="28"/>
          <w:szCs w:val="22"/>
        </w:rPr>
        <w:t>：</w:t>
      </w:r>
      <w:r>
        <w:rPr>
          <w:rFonts w:eastAsia="標楷體"/>
          <w:spacing w:val="4"/>
          <w:kern w:val="0"/>
          <w:sz w:val="28"/>
          <w:szCs w:val="22"/>
        </w:rPr>
        <w:t>每年至少進行</w:t>
      </w:r>
      <w:r>
        <w:rPr>
          <w:rFonts w:eastAsia="標楷體"/>
          <w:spacing w:val="4"/>
          <w:kern w:val="0"/>
          <w:sz w:val="28"/>
          <w:szCs w:val="22"/>
        </w:rPr>
        <w:t>16</w:t>
      </w:r>
      <w:r>
        <w:rPr>
          <w:rFonts w:eastAsia="標楷體"/>
          <w:spacing w:val="4"/>
          <w:kern w:val="0"/>
          <w:sz w:val="28"/>
          <w:szCs w:val="22"/>
        </w:rPr>
        <w:t>個新興市場城市、</w:t>
      </w:r>
      <w:r>
        <w:rPr>
          <w:rFonts w:eastAsia="標楷體"/>
          <w:spacing w:val="4"/>
          <w:kern w:val="0"/>
          <w:sz w:val="28"/>
          <w:szCs w:val="22"/>
        </w:rPr>
        <w:t>14</w:t>
      </w:r>
      <w:r>
        <w:rPr>
          <w:rFonts w:eastAsia="標楷體"/>
          <w:spacing w:val="4"/>
          <w:kern w:val="0"/>
          <w:sz w:val="28"/>
          <w:szCs w:val="22"/>
        </w:rPr>
        <w:t>個產品品項之研究；新興市場之商業大城增設據點，</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102</w:t>
      </w:r>
      <w:r>
        <w:rPr>
          <w:rFonts w:eastAsia="標楷體"/>
          <w:spacing w:val="4"/>
          <w:kern w:val="0"/>
          <w:sz w:val="28"/>
          <w:szCs w:val="22"/>
        </w:rPr>
        <w:t>年預計增設</w:t>
      </w:r>
      <w:r>
        <w:rPr>
          <w:rFonts w:eastAsia="標楷體"/>
          <w:spacing w:val="4"/>
          <w:kern w:val="0"/>
          <w:sz w:val="28"/>
          <w:szCs w:val="22"/>
        </w:rPr>
        <w:t>4</w:t>
      </w:r>
      <w:r>
        <w:rPr>
          <w:rFonts w:eastAsia="標楷體"/>
          <w:spacing w:val="4"/>
          <w:kern w:val="0"/>
          <w:sz w:val="28"/>
          <w:szCs w:val="22"/>
        </w:rPr>
        <w:t>個據點，</w:t>
      </w:r>
      <w:r>
        <w:rPr>
          <w:rFonts w:eastAsia="標楷體"/>
          <w:spacing w:val="4"/>
          <w:kern w:val="0"/>
          <w:sz w:val="28"/>
          <w:szCs w:val="22"/>
        </w:rPr>
        <w:t>103</w:t>
      </w:r>
      <w:r>
        <w:rPr>
          <w:rFonts w:eastAsia="標楷體"/>
          <w:spacing w:val="4"/>
          <w:kern w:val="0"/>
          <w:sz w:val="28"/>
          <w:szCs w:val="22"/>
        </w:rPr>
        <w:t>至</w:t>
      </w:r>
      <w:r>
        <w:rPr>
          <w:rFonts w:eastAsia="標楷體"/>
          <w:spacing w:val="4"/>
          <w:kern w:val="0"/>
          <w:sz w:val="28"/>
          <w:szCs w:val="22"/>
        </w:rPr>
        <w:t>104</w:t>
      </w:r>
      <w:r>
        <w:rPr>
          <w:rFonts w:eastAsia="標楷體"/>
          <w:spacing w:val="4"/>
          <w:kern w:val="0"/>
          <w:sz w:val="28"/>
          <w:szCs w:val="22"/>
        </w:rPr>
        <w:t>年每年增設</w:t>
      </w:r>
      <w:r>
        <w:rPr>
          <w:rFonts w:eastAsia="標楷體"/>
          <w:spacing w:val="4"/>
          <w:kern w:val="0"/>
          <w:sz w:val="28"/>
          <w:szCs w:val="22"/>
        </w:rPr>
        <w:t>1</w:t>
      </w:r>
      <w:r>
        <w:rPr>
          <w:rFonts w:eastAsia="標楷體"/>
          <w:spacing w:val="4"/>
          <w:kern w:val="0"/>
          <w:sz w:val="28"/>
          <w:szCs w:val="22"/>
        </w:rPr>
        <w:t>個據點。</w:t>
      </w:r>
    </w:p>
    <w:p w14:paraId="1F4852CC"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二、</w:t>
      </w:r>
      <w:r>
        <w:rPr>
          <w:rFonts w:eastAsia="標楷體"/>
          <w:b/>
          <w:color w:val="0000FF"/>
          <w:spacing w:val="4"/>
          <w:kern w:val="0"/>
          <w:sz w:val="28"/>
          <w:szCs w:val="22"/>
        </w:rPr>
        <w:t>強化服務輸出競爭力</w:t>
      </w:r>
      <w:r>
        <w:rPr>
          <w:rFonts w:eastAsia="標楷體"/>
          <w:color w:val="0000FF"/>
          <w:spacing w:val="4"/>
          <w:kern w:val="0"/>
          <w:sz w:val="28"/>
          <w:szCs w:val="22"/>
        </w:rPr>
        <w:t>：</w:t>
      </w:r>
      <w:r>
        <w:rPr>
          <w:rFonts w:eastAsia="標楷體"/>
          <w:spacing w:val="4"/>
          <w:kern w:val="0"/>
          <w:sz w:val="28"/>
          <w:szCs w:val="22"/>
        </w:rPr>
        <w:t>鎖定具國際競爭力之服務業進行海外行銷推廣，包括：每年協助美食業者海外開設</w:t>
      </w:r>
      <w:r>
        <w:rPr>
          <w:rFonts w:eastAsia="標楷體"/>
          <w:spacing w:val="4"/>
          <w:kern w:val="0"/>
          <w:sz w:val="28"/>
          <w:szCs w:val="22"/>
        </w:rPr>
        <w:t>300</w:t>
      </w:r>
      <w:r>
        <w:rPr>
          <w:rFonts w:eastAsia="標楷體"/>
          <w:spacing w:val="4"/>
          <w:kern w:val="0"/>
          <w:sz w:val="28"/>
          <w:szCs w:val="22"/>
        </w:rPr>
        <w:t>個分店，輔導臺灣企業運用電子商務跨境行銷中國大陸市場，</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104</w:t>
      </w:r>
      <w:r>
        <w:rPr>
          <w:rFonts w:eastAsia="標楷體"/>
          <w:spacing w:val="4"/>
          <w:kern w:val="0"/>
          <w:sz w:val="28"/>
          <w:szCs w:val="22"/>
        </w:rPr>
        <w:t>年預計輔導</w:t>
      </w:r>
      <w:r>
        <w:rPr>
          <w:rFonts w:eastAsia="標楷體"/>
          <w:spacing w:val="4"/>
          <w:kern w:val="0"/>
          <w:sz w:val="28"/>
          <w:szCs w:val="22"/>
        </w:rPr>
        <w:t>370</w:t>
      </w:r>
      <w:r>
        <w:rPr>
          <w:rFonts w:eastAsia="標楷體"/>
          <w:spacing w:val="4"/>
          <w:kern w:val="0"/>
          <w:sz w:val="28"/>
          <w:szCs w:val="22"/>
        </w:rPr>
        <w:t>家廠商。</w:t>
      </w:r>
    </w:p>
    <w:p w14:paraId="349D17E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三、</w:t>
      </w:r>
      <w:r>
        <w:rPr>
          <w:rFonts w:eastAsia="標楷體"/>
          <w:b/>
          <w:color w:val="0000FF"/>
          <w:spacing w:val="4"/>
          <w:kern w:val="0"/>
          <w:sz w:val="28"/>
          <w:szCs w:val="22"/>
        </w:rPr>
        <w:t>擴大會展商機</w:t>
      </w:r>
      <w:r>
        <w:rPr>
          <w:rFonts w:eastAsia="標楷體"/>
          <w:color w:val="0000FF"/>
          <w:spacing w:val="4"/>
          <w:kern w:val="0"/>
          <w:sz w:val="28"/>
          <w:szCs w:val="22"/>
        </w:rPr>
        <w:t>：</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年預定舉辦</w:t>
      </w:r>
      <w:r>
        <w:rPr>
          <w:rFonts w:eastAsia="標楷體"/>
          <w:spacing w:val="4"/>
          <w:kern w:val="0"/>
          <w:sz w:val="28"/>
          <w:szCs w:val="22"/>
        </w:rPr>
        <w:t>1,000</w:t>
      </w:r>
      <w:r>
        <w:rPr>
          <w:rFonts w:eastAsia="標楷體"/>
          <w:spacing w:val="4"/>
          <w:kern w:val="0"/>
          <w:sz w:val="28"/>
          <w:szCs w:val="22"/>
        </w:rPr>
        <w:t>場國際會議及</w:t>
      </w:r>
      <w:r>
        <w:rPr>
          <w:rFonts w:eastAsia="標楷體"/>
          <w:spacing w:val="4"/>
          <w:kern w:val="0"/>
          <w:sz w:val="28"/>
          <w:szCs w:val="22"/>
        </w:rPr>
        <w:t>1,000</w:t>
      </w:r>
      <w:r>
        <w:rPr>
          <w:rFonts w:eastAsia="標楷體"/>
          <w:spacing w:val="4"/>
          <w:kern w:val="0"/>
          <w:sz w:val="28"/>
          <w:szCs w:val="22"/>
        </w:rPr>
        <w:t>檔展覽活動</w:t>
      </w:r>
      <w:r>
        <w:rPr>
          <w:rFonts w:ascii="標楷體" w:eastAsia="標楷體" w:hAnsi="標楷體"/>
          <w:spacing w:val="4"/>
          <w:kern w:val="0"/>
          <w:sz w:val="28"/>
          <w:szCs w:val="22"/>
        </w:rPr>
        <w:t>(</w:t>
      </w:r>
      <w:r>
        <w:rPr>
          <w:rFonts w:eastAsia="標楷體"/>
          <w:spacing w:val="4"/>
          <w:kern w:val="0"/>
          <w:sz w:val="28"/>
          <w:szCs w:val="22"/>
        </w:rPr>
        <w:t>含獎勵旅遊</w:t>
      </w:r>
      <w:r>
        <w:rPr>
          <w:rFonts w:ascii="標楷體" w:eastAsia="標楷體" w:hAnsi="標楷體"/>
          <w:spacing w:val="4"/>
          <w:kern w:val="0"/>
          <w:sz w:val="28"/>
          <w:szCs w:val="22"/>
        </w:rPr>
        <w:t>)</w:t>
      </w:r>
      <w:r>
        <w:rPr>
          <w:rFonts w:eastAsia="標楷體"/>
          <w:spacing w:val="4"/>
          <w:kern w:val="0"/>
          <w:sz w:val="28"/>
          <w:szCs w:val="22"/>
        </w:rPr>
        <w:t>，吸引國外人士來臺消費，帶動會展及週邊產業商機達</w:t>
      </w:r>
      <w:r>
        <w:rPr>
          <w:rFonts w:eastAsia="標楷體"/>
          <w:spacing w:val="4"/>
          <w:kern w:val="0"/>
          <w:sz w:val="28"/>
          <w:szCs w:val="22"/>
        </w:rPr>
        <w:t>900</w:t>
      </w:r>
      <w:r>
        <w:rPr>
          <w:rFonts w:eastAsia="標楷體"/>
          <w:spacing w:val="4"/>
          <w:kern w:val="0"/>
          <w:sz w:val="28"/>
          <w:szCs w:val="22"/>
        </w:rPr>
        <w:t>億元，並結合「臺灣觀光年曆」，提升觀光品質。</w:t>
      </w:r>
    </w:p>
    <w:p w14:paraId="09AAD0D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四、</w:t>
      </w:r>
      <w:r>
        <w:rPr>
          <w:rFonts w:eastAsia="標楷體"/>
          <w:b/>
          <w:color w:val="0000FF"/>
          <w:spacing w:val="4"/>
          <w:kern w:val="0"/>
          <w:sz w:val="28"/>
          <w:szCs w:val="22"/>
        </w:rPr>
        <w:t>協助廠商創新國際行銷模式</w:t>
      </w:r>
      <w:r>
        <w:rPr>
          <w:rFonts w:eastAsia="標楷體"/>
          <w:color w:val="0000FF"/>
          <w:spacing w:val="4"/>
          <w:kern w:val="0"/>
          <w:sz w:val="28"/>
          <w:szCs w:val="22"/>
        </w:rPr>
        <w:t>：</w:t>
      </w:r>
      <w:r>
        <w:rPr>
          <w:rFonts w:eastAsia="標楷體"/>
          <w:spacing w:val="4"/>
          <w:kern w:val="0"/>
          <w:sz w:val="28"/>
          <w:szCs w:val="22"/>
        </w:rPr>
        <w:t>提供專案資源，結合法人能量，協助廠商開發創新國際行銷模式，並遴選領頭廠商帶領其他廠商，以水平或垂直整合模式共同拓展新興市場，</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104</w:t>
      </w:r>
      <w:r>
        <w:rPr>
          <w:rFonts w:eastAsia="標楷體"/>
          <w:spacing w:val="4"/>
          <w:kern w:val="0"/>
          <w:sz w:val="28"/>
          <w:szCs w:val="22"/>
        </w:rPr>
        <w:t>年預計推動</w:t>
      </w:r>
      <w:r>
        <w:rPr>
          <w:rFonts w:eastAsia="標楷體"/>
          <w:spacing w:val="4"/>
          <w:kern w:val="0"/>
          <w:sz w:val="28"/>
          <w:szCs w:val="22"/>
        </w:rPr>
        <w:t>8~10</w:t>
      </w:r>
      <w:r>
        <w:rPr>
          <w:rFonts w:eastAsia="標楷體"/>
          <w:spacing w:val="4"/>
          <w:kern w:val="0"/>
          <w:sz w:val="28"/>
          <w:szCs w:val="22"/>
        </w:rPr>
        <w:t>個整合示範案例。</w:t>
      </w:r>
    </w:p>
    <w:p w14:paraId="7919718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五、</w:t>
      </w:r>
      <w:r>
        <w:rPr>
          <w:rFonts w:eastAsia="標楷體"/>
          <w:b/>
          <w:color w:val="0000FF"/>
          <w:spacing w:val="4"/>
          <w:kern w:val="0"/>
          <w:sz w:val="28"/>
          <w:szCs w:val="22"/>
        </w:rPr>
        <w:t>推動自由貿易港區多元發展</w:t>
      </w:r>
      <w:r>
        <w:rPr>
          <w:rFonts w:eastAsia="標楷體"/>
          <w:color w:val="0000FF"/>
          <w:spacing w:val="4"/>
          <w:kern w:val="0"/>
          <w:sz w:val="28"/>
          <w:szCs w:val="22"/>
        </w:rPr>
        <w:t>：</w:t>
      </w:r>
      <w:r>
        <w:rPr>
          <w:rFonts w:eastAsia="標楷體"/>
          <w:spacing w:val="4"/>
          <w:kern w:val="0"/>
          <w:sz w:val="28"/>
          <w:szCs w:val="22"/>
        </w:rPr>
        <w:t>促使臺灣港務公司轉型發展多角化核心業務、擴大自由貿易港區營運面積，並鬆綁及革新法規制度，</w:t>
      </w:r>
      <w:r>
        <w:rPr>
          <w:rFonts w:eastAsia="標楷體"/>
          <w:spacing w:val="4"/>
          <w:kern w:val="0"/>
          <w:sz w:val="28"/>
          <w:szCs w:val="22"/>
        </w:rPr>
        <w:t>102</w:t>
      </w:r>
      <w:r>
        <w:rPr>
          <w:rFonts w:eastAsia="標楷體"/>
          <w:spacing w:val="4"/>
          <w:kern w:val="0"/>
          <w:sz w:val="28"/>
          <w:szCs w:val="22"/>
        </w:rPr>
        <w:t>年預計完成臺中港自由港區增設港埠發展專業區</w:t>
      </w:r>
      <w:r>
        <w:rPr>
          <w:rFonts w:eastAsia="標楷體"/>
          <w:spacing w:val="4"/>
          <w:kern w:val="0"/>
          <w:sz w:val="28"/>
          <w:szCs w:val="22"/>
        </w:rPr>
        <w:t>82.5</w:t>
      </w:r>
      <w:r>
        <w:rPr>
          <w:rFonts w:eastAsia="標楷體"/>
          <w:spacing w:val="4"/>
          <w:kern w:val="0"/>
          <w:sz w:val="28"/>
          <w:szCs w:val="22"/>
        </w:rPr>
        <w:t>公頃土地，</w:t>
      </w:r>
      <w:r>
        <w:rPr>
          <w:rFonts w:eastAsia="標楷體"/>
          <w:spacing w:val="4"/>
          <w:kern w:val="0"/>
          <w:sz w:val="28"/>
          <w:szCs w:val="22"/>
        </w:rPr>
        <w:t>103</w:t>
      </w:r>
      <w:r>
        <w:rPr>
          <w:rFonts w:eastAsia="標楷體"/>
          <w:spacing w:val="4"/>
          <w:kern w:val="0"/>
          <w:sz w:val="28"/>
          <w:szCs w:val="22"/>
        </w:rPr>
        <w:t>年預計完成高雄港自由港區增設南星計畫區</w:t>
      </w:r>
      <w:r>
        <w:rPr>
          <w:rFonts w:eastAsia="標楷體"/>
          <w:spacing w:val="4"/>
          <w:kern w:val="0"/>
          <w:sz w:val="28"/>
          <w:szCs w:val="22"/>
        </w:rPr>
        <w:t>53</w:t>
      </w:r>
      <w:r>
        <w:rPr>
          <w:rFonts w:eastAsia="標楷體"/>
          <w:spacing w:val="4"/>
          <w:kern w:val="0"/>
          <w:sz w:val="28"/>
          <w:szCs w:val="22"/>
        </w:rPr>
        <w:t>公頃土地。</w:t>
      </w:r>
    </w:p>
    <w:p w14:paraId="6024800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六、</w:t>
      </w:r>
      <w:r>
        <w:rPr>
          <w:rFonts w:eastAsia="標楷體"/>
          <w:b/>
          <w:color w:val="0000FF"/>
          <w:spacing w:val="4"/>
          <w:kern w:val="0"/>
          <w:sz w:val="28"/>
          <w:szCs w:val="22"/>
        </w:rPr>
        <w:t>積極加入區域經濟整合</w:t>
      </w:r>
      <w:r>
        <w:rPr>
          <w:rFonts w:eastAsia="標楷體"/>
          <w:color w:val="0000FF"/>
          <w:spacing w:val="4"/>
          <w:kern w:val="0"/>
          <w:sz w:val="28"/>
          <w:szCs w:val="22"/>
        </w:rPr>
        <w:t>：</w:t>
      </w:r>
      <w:r>
        <w:rPr>
          <w:rFonts w:eastAsia="標楷體"/>
          <w:spacing w:val="4"/>
          <w:kern w:val="0"/>
          <w:sz w:val="28"/>
          <w:szCs w:val="22"/>
        </w:rPr>
        <w:t>行政院已提升「國際經貿策略聯盟布局小組」層級，由院長親自擔任召集人；將持續推動與重要貿易夥伴洽簽經濟合作協議</w:t>
      </w:r>
      <w:r>
        <w:rPr>
          <w:rFonts w:ascii="標楷體" w:eastAsia="標楷體" w:hAnsi="標楷體"/>
          <w:spacing w:val="4"/>
          <w:kern w:val="0"/>
          <w:sz w:val="28"/>
          <w:szCs w:val="22"/>
        </w:rPr>
        <w:t>(</w:t>
      </w:r>
      <w:r>
        <w:rPr>
          <w:rFonts w:eastAsia="標楷體"/>
          <w:spacing w:val="4"/>
          <w:kern w:val="0"/>
          <w:sz w:val="28"/>
          <w:szCs w:val="22"/>
        </w:rPr>
        <w:t>ECA</w:t>
      </w:r>
      <w:r>
        <w:rPr>
          <w:rFonts w:ascii="標楷體" w:eastAsia="標楷體" w:hAnsi="標楷體"/>
          <w:spacing w:val="4"/>
          <w:kern w:val="0"/>
          <w:sz w:val="28"/>
          <w:szCs w:val="22"/>
        </w:rPr>
        <w:t>)</w:t>
      </w:r>
      <w:r>
        <w:rPr>
          <w:rFonts w:eastAsia="標楷體"/>
          <w:spacing w:val="4"/>
          <w:kern w:val="0"/>
          <w:sz w:val="28"/>
          <w:szCs w:val="22"/>
        </w:rPr>
        <w:t>，加速完成海峽兩岸經濟合作架構協</w:t>
      </w:r>
      <w:r>
        <w:rPr>
          <w:rFonts w:ascii="標楷體" w:eastAsia="標楷體" w:hAnsi="標楷體"/>
          <w:spacing w:val="4"/>
          <w:kern w:val="0"/>
          <w:sz w:val="28"/>
          <w:szCs w:val="22"/>
        </w:rPr>
        <w:t>議(</w:t>
      </w:r>
      <w:r>
        <w:rPr>
          <w:rFonts w:eastAsia="標楷體"/>
          <w:spacing w:val="4"/>
          <w:kern w:val="0"/>
          <w:sz w:val="28"/>
          <w:szCs w:val="22"/>
        </w:rPr>
        <w:t>ECFA</w:t>
      </w:r>
      <w:r>
        <w:rPr>
          <w:rFonts w:ascii="標楷體" w:eastAsia="標楷體" w:hAnsi="標楷體"/>
          <w:spacing w:val="4"/>
          <w:kern w:val="0"/>
          <w:sz w:val="28"/>
          <w:szCs w:val="22"/>
        </w:rPr>
        <w:t>)後</w:t>
      </w:r>
      <w:r>
        <w:rPr>
          <w:rFonts w:eastAsia="標楷體"/>
          <w:spacing w:val="4"/>
          <w:kern w:val="0"/>
          <w:sz w:val="28"/>
          <w:szCs w:val="22"/>
        </w:rPr>
        <w:t>續協議談判，並創造有利條件，於</w:t>
      </w:r>
      <w:r>
        <w:rPr>
          <w:rFonts w:eastAsia="標楷體"/>
          <w:spacing w:val="4"/>
          <w:kern w:val="0"/>
          <w:sz w:val="28"/>
          <w:szCs w:val="22"/>
        </w:rPr>
        <w:t>8</w:t>
      </w:r>
      <w:r>
        <w:rPr>
          <w:rFonts w:eastAsia="標楷體"/>
          <w:spacing w:val="4"/>
          <w:kern w:val="0"/>
          <w:sz w:val="28"/>
          <w:szCs w:val="22"/>
        </w:rPr>
        <w:t>年內加入跨太平洋夥伴協</w:t>
      </w:r>
      <w:r>
        <w:rPr>
          <w:rFonts w:ascii="標楷體" w:eastAsia="標楷體" w:hAnsi="標楷體"/>
          <w:spacing w:val="4"/>
          <w:kern w:val="0"/>
          <w:sz w:val="28"/>
          <w:szCs w:val="22"/>
        </w:rPr>
        <w:t>定(</w:t>
      </w:r>
      <w:r>
        <w:rPr>
          <w:rFonts w:eastAsia="標楷體"/>
          <w:spacing w:val="4"/>
          <w:kern w:val="0"/>
          <w:sz w:val="28"/>
          <w:szCs w:val="22"/>
        </w:rPr>
        <w:t>TPP</w:t>
      </w:r>
      <w:r>
        <w:rPr>
          <w:rFonts w:ascii="標楷體" w:eastAsia="標楷體" w:hAnsi="標楷體"/>
          <w:spacing w:val="4"/>
          <w:kern w:val="0"/>
          <w:sz w:val="28"/>
          <w:szCs w:val="22"/>
        </w:rPr>
        <w:t>)</w:t>
      </w:r>
      <w:r>
        <w:rPr>
          <w:rFonts w:eastAsia="標楷體"/>
          <w:spacing w:val="4"/>
          <w:kern w:val="0"/>
          <w:sz w:val="28"/>
          <w:szCs w:val="22"/>
        </w:rPr>
        <w:t>。</w:t>
      </w:r>
    </w:p>
    <w:p w14:paraId="7350C430"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C836D5B"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參、強化產業人力培訓</w:t>
      </w:r>
    </w:p>
    <w:p w14:paraId="59072914"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02BFC93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一、</w:t>
      </w:r>
      <w:r>
        <w:rPr>
          <w:rFonts w:eastAsia="標楷體"/>
          <w:b/>
          <w:color w:val="0000FF"/>
          <w:spacing w:val="4"/>
          <w:kern w:val="0"/>
          <w:sz w:val="28"/>
          <w:szCs w:val="22"/>
        </w:rPr>
        <w:t>結合產業需求，強化產學合作</w:t>
      </w:r>
      <w:r>
        <w:rPr>
          <w:rFonts w:eastAsia="標楷體"/>
          <w:color w:val="0000FF"/>
          <w:spacing w:val="4"/>
          <w:kern w:val="0"/>
          <w:sz w:val="28"/>
          <w:szCs w:val="22"/>
        </w:rPr>
        <w:t>：</w:t>
      </w:r>
      <w:r>
        <w:rPr>
          <w:rFonts w:eastAsia="標楷體"/>
          <w:spacing w:val="4"/>
          <w:kern w:val="0"/>
          <w:sz w:val="28"/>
          <w:szCs w:val="22"/>
        </w:rPr>
        <w:t>積極推動「縮短學訓考用落差方案」，以強化產業導向之產學合作，培育產業所需人力，</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年每年預計培育</w:t>
      </w:r>
      <w:r>
        <w:rPr>
          <w:rFonts w:eastAsia="標楷體"/>
          <w:spacing w:val="4"/>
          <w:kern w:val="0"/>
          <w:sz w:val="28"/>
          <w:szCs w:val="22"/>
        </w:rPr>
        <w:t>4,550</w:t>
      </w:r>
      <w:r>
        <w:rPr>
          <w:rFonts w:eastAsia="標楷體"/>
          <w:spacing w:val="4"/>
          <w:kern w:val="0"/>
          <w:sz w:val="28"/>
          <w:szCs w:val="22"/>
        </w:rPr>
        <w:t>位產業所需人才。</w:t>
      </w:r>
    </w:p>
    <w:p w14:paraId="1296505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二、</w:t>
      </w:r>
      <w:r>
        <w:rPr>
          <w:rFonts w:eastAsia="標楷體"/>
          <w:b/>
          <w:color w:val="0000FF"/>
          <w:spacing w:val="4"/>
          <w:kern w:val="0"/>
          <w:sz w:val="28"/>
          <w:szCs w:val="22"/>
        </w:rPr>
        <w:t>協助青年提升就業力</w:t>
      </w:r>
      <w:r>
        <w:rPr>
          <w:rFonts w:eastAsia="標楷體"/>
          <w:color w:val="0000FF"/>
          <w:spacing w:val="4"/>
          <w:kern w:val="0"/>
          <w:sz w:val="28"/>
          <w:szCs w:val="22"/>
        </w:rPr>
        <w:t>：</w:t>
      </w:r>
      <w:r>
        <w:rPr>
          <w:rFonts w:eastAsia="標楷體"/>
          <w:spacing w:val="4"/>
          <w:kern w:val="0"/>
          <w:sz w:val="28"/>
          <w:szCs w:val="22"/>
        </w:rPr>
        <w:t>執行「青年人才培訓深耕方案」，針對</w:t>
      </w:r>
      <w:r>
        <w:rPr>
          <w:rFonts w:eastAsia="標楷體"/>
          <w:spacing w:val="4"/>
          <w:kern w:val="0"/>
          <w:sz w:val="28"/>
          <w:szCs w:val="22"/>
        </w:rPr>
        <w:t>15</w:t>
      </w:r>
      <w:r>
        <w:rPr>
          <w:rFonts w:eastAsia="標楷體"/>
          <w:spacing w:val="4"/>
          <w:kern w:val="0"/>
          <w:sz w:val="28"/>
          <w:szCs w:val="22"/>
        </w:rPr>
        <w:t>至</w:t>
      </w:r>
      <w:r>
        <w:rPr>
          <w:rFonts w:eastAsia="標楷體"/>
          <w:spacing w:val="4"/>
          <w:kern w:val="0"/>
          <w:sz w:val="28"/>
          <w:szCs w:val="22"/>
        </w:rPr>
        <w:t>29</w:t>
      </w:r>
      <w:r>
        <w:rPr>
          <w:rFonts w:eastAsia="標楷體"/>
          <w:spacing w:val="4"/>
          <w:kern w:val="0"/>
          <w:sz w:val="28"/>
          <w:szCs w:val="22"/>
        </w:rPr>
        <w:t>歲青年辦理訓練計畫，</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年預計訓練</w:t>
      </w:r>
      <w:r>
        <w:rPr>
          <w:rFonts w:eastAsia="標楷體"/>
          <w:spacing w:val="4"/>
          <w:kern w:val="0"/>
          <w:sz w:val="28"/>
          <w:szCs w:val="22"/>
        </w:rPr>
        <w:t>139,130</w:t>
      </w:r>
      <w:r>
        <w:rPr>
          <w:rFonts w:eastAsia="標楷體"/>
          <w:spacing w:val="4"/>
          <w:kern w:val="0"/>
          <w:sz w:val="28"/>
          <w:szCs w:val="22"/>
        </w:rPr>
        <w:t>人。</w:t>
      </w:r>
    </w:p>
    <w:p w14:paraId="2B94F6E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三、</w:t>
      </w:r>
      <w:r>
        <w:rPr>
          <w:rFonts w:eastAsia="標楷體"/>
          <w:b/>
          <w:color w:val="0000FF"/>
          <w:spacing w:val="4"/>
          <w:kern w:val="0"/>
          <w:sz w:val="28"/>
          <w:szCs w:val="22"/>
        </w:rPr>
        <w:t>落實職業證照法制化</w:t>
      </w:r>
      <w:r>
        <w:rPr>
          <w:rFonts w:eastAsia="標楷體"/>
          <w:color w:val="0000FF"/>
          <w:spacing w:val="4"/>
          <w:kern w:val="0"/>
          <w:sz w:val="28"/>
          <w:szCs w:val="22"/>
        </w:rPr>
        <w:t>：</w:t>
      </w:r>
      <w:r>
        <w:rPr>
          <w:rFonts w:eastAsia="標楷體"/>
          <w:spacing w:val="4"/>
          <w:kern w:val="0"/>
          <w:sz w:val="28"/>
          <w:szCs w:val="22"/>
        </w:rPr>
        <w:t>強化職場就業能力，使技職校院師生取得國、內外證照數每年增加</w:t>
      </w:r>
      <w:r>
        <w:rPr>
          <w:rFonts w:eastAsia="標楷體"/>
          <w:spacing w:val="4"/>
          <w:kern w:val="0"/>
          <w:sz w:val="28"/>
          <w:szCs w:val="22"/>
        </w:rPr>
        <w:t>20%</w:t>
      </w:r>
      <w:r>
        <w:rPr>
          <w:rFonts w:eastAsia="標楷體"/>
          <w:spacing w:val="4"/>
          <w:kern w:val="0"/>
          <w:sz w:val="28"/>
          <w:szCs w:val="22"/>
        </w:rPr>
        <w:t>。</w:t>
      </w:r>
    </w:p>
    <w:p w14:paraId="0CD07F25"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四、</w:t>
      </w:r>
      <w:r>
        <w:rPr>
          <w:rFonts w:eastAsia="標楷體"/>
          <w:b/>
          <w:color w:val="0000FF"/>
          <w:spacing w:val="4"/>
          <w:kern w:val="0"/>
          <w:sz w:val="28"/>
          <w:szCs w:val="22"/>
        </w:rPr>
        <w:t>強化產學訓之銜接</w:t>
      </w:r>
      <w:r>
        <w:rPr>
          <w:rFonts w:eastAsia="標楷體"/>
          <w:color w:val="0000FF"/>
          <w:spacing w:val="4"/>
          <w:kern w:val="0"/>
          <w:sz w:val="28"/>
          <w:szCs w:val="22"/>
        </w:rPr>
        <w:t>：</w:t>
      </w:r>
      <w:r>
        <w:rPr>
          <w:rFonts w:eastAsia="標楷體"/>
          <w:spacing w:val="4"/>
          <w:kern w:val="0"/>
          <w:sz w:val="28"/>
          <w:szCs w:val="22"/>
        </w:rPr>
        <w:t>建置職能基準及營運能力鑑定，並推廣至大專校院，調整教學方向或增設學程。</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103</w:t>
      </w:r>
      <w:r>
        <w:rPr>
          <w:rFonts w:eastAsia="標楷體"/>
          <w:spacing w:val="4"/>
          <w:kern w:val="0"/>
          <w:sz w:val="28"/>
          <w:szCs w:val="22"/>
        </w:rPr>
        <w:t>年預計建置</w:t>
      </w:r>
      <w:r>
        <w:rPr>
          <w:rFonts w:eastAsia="標楷體"/>
          <w:spacing w:val="4"/>
          <w:kern w:val="0"/>
          <w:sz w:val="28"/>
          <w:szCs w:val="22"/>
        </w:rPr>
        <w:t>6</w:t>
      </w:r>
      <w:r>
        <w:rPr>
          <w:rFonts w:eastAsia="標楷體"/>
          <w:spacing w:val="4"/>
          <w:kern w:val="0"/>
          <w:sz w:val="28"/>
          <w:szCs w:val="22"/>
        </w:rPr>
        <w:t>項職能基準規劃及營運</w:t>
      </w:r>
      <w:r>
        <w:rPr>
          <w:rFonts w:eastAsia="標楷體"/>
          <w:spacing w:val="4"/>
          <w:kern w:val="0"/>
          <w:sz w:val="28"/>
          <w:szCs w:val="22"/>
        </w:rPr>
        <w:t>3</w:t>
      </w:r>
      <w:r>
        <w:rPr>
          <w:rFonts w:eastAsia="標楷體"/>
          <w:spacing w:val="4"/>
          <w:kern w:val="0"/>
          <w:sz w:val="28"/>
          <w:szCs w:val="22"/>
        </w:rPr>
        <w:t>項能力鑑定，促成報考人次達</w:t>
      </w:r>
      <w:r>
        <w:rPr>
          <w:rFonts w:eastAsia="標楷體"/>
          <w:spacing w:val="4"/>
          <w:kern w:val="0"/>
          <w:sz w:val="28"/>
          <w:szCs w:val="22"/>
        </w:rPr>
        <w:t>4,000</w:t>
      </w:r>
      <w:r>
        <w:rPr>
          <w:rFonts w:eastAsia="標楷體"/>
          <w:spacing w:val="4"/>
          <w:kern w:val="0"/>
          <w:sz w:val="28"/>
          <w:szCs w:val="22"/>
        </w:rPr>
        <w:t>人次，並至少推廣</w:t>
      </w:r>
      <w:r>
        <w:rPr>
          <w:rFonts w:eastAsia="標楷體"/>
          <w:spacing w:val="4"/>
          <w:kern w:val="0"/>
          <w:sz w:val="28"/>
          <w:szCs w:val="22"/>
        </w:rPr>
        <w:t>70</w:t>
      </w:r>
      <w:r>
        <w:rPr>
          <w:rFonts w:eastAsia="標楷體"/>
          <w:spacing w:val="4"/>
          <w:kern w:val="0"/>
          <w:sz w:val="28"/>
          <w:szCs w:val="22"/>
        </w:rPr>
        <w:t>所大專校院、</w:t>
      </w:r>
      <w:r>
        <w:rPr>
          <w:rFonts w:eastAsia="標楷體"/>
          <w:spacing w:val="4"/>
          <w:kern w:val="0"/>
          <w:sz w:val="28"/>
          <w:szCs w:val="22"/>
        </w:rPr>
        <w:t>200</w:t>
      </w:r>
      <w:r>
        <w:rPr>
          <w:rFonts w:eastAsia="標楷體"/>
          <w:spacing w:val="4"/>
          <w:kern w:val="0"/>
          <w:sz w:val="28"/>
          <w:szCs w:val="22"/>
        </w:rPr>
        <w:t>個系所運用。</w:t>
      </w:r>
    </w:p>
    <w:p w14:paraId="35AA5AA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五、</w:t>
      </w:r>
      <w:r>
        <w:rPr>
          <w:rFonts w:eastAsia="標楷體"/>
          <w:b/>
          <w:color w:val="0000FF"/>
          <w:kern w:val="0"/>
          <w:sz w:val="28"/>
          <w:szCs w:val="22"/>
        </w:rPr>
        <w:t>辦理職業訓練課程</w:t>
      </w:r>
      <w:r>
        <w:rPr>
          <w:rFonts w:eastAsia="標楷體"/>
          <w:color w:val="0000FF"/>
          <w:kern w:val="0"/>
          <w:sz w:val="28"/>
          <w:szCs w:val="22"/>
        </w:rPr>
        <w:t>：</w:t>
      </w:r>
      <w:r>
        <w:rPr>
          <w:rFonts w:eastAsia="標楷體"/>
          <w:kern w:val="0"/>
          <w:sz w:val="28"/>
          <w:szCs w:val="22"/>
        </w:rPr>
        <w:t>辦理職前、在職、青年專案相關訓練，</w:t>
      </w:r>
      <w:r>
        <w:rPr>
          <w:rFonts w:eastAsia="標楷體"/>
          <w:kern w:val="0"/>
          <w:sz w:val="28"/>
          <w:szCs w:val="22"/>
        </w:rPr>
        <w:t>101</w:t>
      </w:r>
      <w:r>
        <w:rPr>
          <w:rFonts w:eastAsia="標楷體"/>
          <w:kern w:val="0"/>
          <w:sz w:val="28"/>
          <w:szCs w:val="22"/>
        </w:rPr>
        <w:t>至</w:t>
      </w:r>
      <w:r>
        <w:rPr>
          <w:rFonts w:eastAsia="標楷體"/>
          <w:kern w:val="0"/>
          <w:sz w:val="28"/>
          <w:szCs w:val="22"/>
        </w:rPr>
        <w:t>102</w:t>
      </w:r>
      <w:r>
        <w:rPr>
          <w:rFonts w:eastAsia="標楷體"/>
          <w:kern w:val="0"/>
          <w:sz w:val="28"/>
          <w:szCs w:val="22"/>
        </w:rPr>
        <w:t>年前預計訓練</w:t>
      </w:r>
      <w:r>
        <w:rPr>
          <w:rFonts w:eastAsia="標楷體"/>
          <w:kern w:val="0"/>
          <w:sz w:val="28"/>
          <w:szCs w:val="22"/>
        </w:rPr>
        <w:t>296,342</w:t>
      </w:r>
      <w:r>
        <w:rPr>
          <w:rFonts w:eastAsia="標楷體"/>
          <w:kern w:val="0"/>
          <w:sz w:val="28"/>
          <w:szCs w:val="22"/>
        </w:rPr>
        <w:t>人；</w:t>
      </w:r>
      <w:r>
        <w:rPr>
          <w:rFonts w:eastAsia="標楷體"/>
          <w:kern w:val="0"/>
          <w:sz w:val="28"/>
          <w:szCs w:val="22"/>
        </w:rPr>
        <w:t>103</w:t>
      </w:r>
      <w:r>
        <w:rPr>
          <w:rFonts w:eastAsia="標楷體"/>
          <w:kern w:val="0"/>
          <w:sz w:val="28"/>
          <w:szCs w:val="22"/>
        </w:rPr>
        <w:t>至</w:t>
      </w:r>
      <w:r>
        <w:rPr>
          <w:rFonts w:eastAsia="標楷體"/>
          <w:kern w:val="0"/>
          <w:sz w:val="28"/>
          <w:szCs w:val="22"/>
        </w:rPr>
        <w:t>105</w:t>
      </w:r>
      <w:r>
        <w:rPr>
          <w:rFonts w:eastAsia="標楷體"/>
          <w:kern w:val="0"/>
          <w:sz w:val="28"/>
          <w:szCs w:val="22"/>
        </w:rPr>
        <w:t>年，每年預計訓練</w:t>
      </w:r>
      <w:r>
        <w:rPr>
          <w:rFonts w:eastAsia="標楷體"/>
          <w:kern w:val="0"/>
          <w:sz w:val="28"/>
          <w:szCs w:val="22"/>
        </w:rPr>
        <w:t>434,500</w:t>
      </w:r>
      <w:r>
        <w:rPr>
          <w:rFonts w:eastAsia="標楷體"/>
          <w:kern w:val="0"/>
          <w:sz w:val="28"/>
          <w:szCs w:val="22"/>
        </w:rPr>
        <w:t>人。</w:t>
      </w:r>
    </w:p>
    <w:p w14:paraId="6364729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六、</w:t>
      </w:r>
      <w:r>
        <w:rPr>
          <w:rFonts w:eastAsia="標楷體"/>
          <w:b/>
          <w:color w:val="0000FF"/>
          <w:kern w:val="0"/>
          <w:sz w:val="28"/>
          <w:szCs w:val="22"/>
        </w:rPr>
        <w:t>培訓中高階及國際行銷人才</w:t>
      </w:r>
      <w:r>
        <w:rPr>
          <w:rFonts w:eastAsia="標楷體"/>
          <w:color w:val="0000FF"/>
          <w:kern w:val="0"/>
          <w:sz w:val="28"/>
          <w:szCs w:val="22"/>
        </w:rPr>
        <w:t>：</w:t>
      </w:r>
      <w:r>
        <w:rPr>
          <w:rFonts w:eastAsia="標楷體"/>
          <w:kern w:val="0"/>
          <w:sz w:val="28"/>
          <w:szCs w:val="22"/>
        </w:rPr>
        <w:t>102</w:t>
      </w:r>
      <w:r>
        <w:rPr>
          <w:rFonts w:eastAsia="標楷體"/>
          <w:kern w:val="0"/>
          <w:sz w:val="28"/>
          <w:szCs w:val="22"/>
        </w:rPr>
        <w:t>至</w:t>
      </w:r>
      <w:r>
        <w:rPr>
          <w:rFonts w:eastAsia="標楷體"/>
          <w:kern w:val="0"/>
          <w:sz w:val="28"/>
          <w:szCs w:val="22"/>
        </w:rPr>
        <w:t>103</w:t>
      </w:r>
      <w:r>
        <w:rPr>
          <w:rFonts w:eastAsia="標楷體"/>
          <w:kern w:val="0"/>
          <w:sz w:val="28"/>
          <w:szCs w:val="22"/>
        </w:rPr>
        <w:t>年預計培訓中高階人才</w:t>
      </w:r>
      <w:r>
        <w:rPr>
          <w:rFonts w:eastAsia="標楷體"/>
          <w:kern w:val="0"/>
          <w:sz w:val="28"/>
          <w:szCs w:val="22"/>
        </w:rPr>
        <w:t>40,000</w:t>
      </w:r>
      <w:r>
        <w:rPr>
          <w:rFonts w:eastAsia="標楷體"/>
          <w:kern w:val="0"/>
          <w:sz w:val="28"/>
          <w:szCs w:val="22"/>
        </w:rPr>
        <w:t>人次；</w:t>
      </w:r>
      <w:r>
        <w:rPr>
          <w:rFonts w:eastAsia="標楷體"/>
          <w:kern w:val="0"/>
          <w:sz w:val="28"/>
          <w:szCs w:val="22"/>
        </w:rPr>
        <w:t>101</w:t>
      </w:r>
      <w:r>
        <w:rPr>
          <w:rFonts w:eastAsia="標楷體"/>
          <w:kern w:val="0"/>
          <w:sz w:val="28"/>
          <w:szCs w:val="22"/>
        </w:rPr>
        <w:t>至</w:t>
      </w:r>
      <w:r>
        <w:rPr>
          <w:rFonts w:eastAsia="標楷體"/>
          <w:kern w:val="0"/>
          <w:sz w:val="28"/>
          <w:szCs w:val="22"/>
        </w:rPr>
        <w:t>105</w:t>
      </w:r>
      <w:r>
        <w:rPr>
          <w:rFonts w:eastAsia="標楷體"/>
          <w:kern w:val="0"/>
          <w:sz w:val="28"/>
          <w:szCs w:val="22"/>
        </w:rPr>
        <w:t>年預計培訓國際行銷業務經理人</w:t>
      </w:r>
      <w:r>
        <w:rPr>
          <w:rFonts w:eastAsia="標楷體"/>
          <w:kern w:val="0"/>
          <w:sz w:val="28"/>
          <w:szCs w:val="22"/>
        </w:rPr>
        <w:t>23,540</w:t>
      </w:r>
      <w:r>
        <w:rPr>
          <w:rFonts w:eastAsia="標楷體"/>
          <w:kern w:val="0"/>
          <w:sz w:val="28"/>
          <w:szCs w:val="22"/>
        </w:rPr>
        <w:t>名。</w:t>
      </w:r>
    </w:p>
    <w:p w14:paraId="1F8CCDFE"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七、</w:t>
      </w:r>
      <w:r>
        <w:rPr>
          <w:rFonts w:eastAsia="標楷體"/>
          <w:b/>
          <w:color w:val="0000FF"/>
          <w:spacing w:val="4"/>
          <w:kern w:val="0"/>
          <w:sz w:val="28"/>
          <w:szCs w:val="22"/>
        </w:rPr>
        <w:t>媒合新興市場學生畢業後為企業所用</w:t>
      </w:r>
      <w:r>
        <w:rPr>
          <w:rFonts w:eastAsia="標楷體"/>
          <w:color w:val="0000FF"/>
          <w:spacing w:val="4"/>
          <w:kern w:val="0"/>
          <w:sz w:val="28"/>
          <w:szCs w:val="22"/>
        </w:rPr>
        <w:t>：</w:t>
      </w:r>
      <w:r>
        <w:rPr>
          <w:rFonts w:eastAsia="標楷體"/>
          <w:spacing w:val="4"/>
          <w:kern w:val="0"/>
          <w:sz w:val="28"/>
          <w:szCs w:val="22"/>
        </w:rPr>
        <w:t>自</w:t>
      </w:r>
      <w:r>
        <w:rPr>
          <w:rFonts w:eastAsia="標楷體"/>
          <w:spacing w:val="4"/>
          <w:kern w:val="0"/>
          <w:sz w:val="28"/>
          <w:szCs w:val="22"/>
        </w:rPr>
        <w:t>102</w:t>
      </w:r>
      <w:r>
        <w:rPr>
          <w:rFonts w:eastAsia="標楷體"/>
          <w:spacing w:val="4"/>
          <w:kern w:val="0"/>
          <w:sz w:val="28"/>
          <w:szCs w:val="22"/>
        </w:rPr>
        <w:t>年起，提供新興市場來臺留學獎學金名額，預計增加為</w:t>
      </w:r>
      <w:r>
        <w:rPr>
          <w:rFonts w:eastAsia="標楷體"/>
          <w:spacing w:val="4"/>
          <w:kern w:val="0"/>
          <w:sz w:val="28"/>
          <w:szCs w:val="22"/>
        </w:rPr>
        <w:t>100</w:t>
      </w:r>
      <w:r>
        <w:rPr>
          <w:rFonts w:eastAsia="標楷體"/>
          <w:spacing w:val="4"/>
          <w:kern w:val="0"/>
          <w:sz w:val="28"/>
          <w:szCs w:val="22"/>
        </w:rPr>
        <w:t>名；</w:t>
      </w:r>
      <w:r>
        <w:rPr>
          <w:rFonts w:eastAsia="標楷體"/>
          <w:spacing w:val="4"/>
          <w:kern w:val="0"/>
          <w:sz w:val="28"/>
          <w:szCs w:val="22"/>
        </w:rPr>
        <w:t>1</w:t>
      </w:r>
      <w:r>
        <w:rPr>
          <w:rFonts w:eastAsia="標楷體"/>
          <w:spacing w:val="4"/>
          <w:kern w:val="0"/>
          <w:sz w:val="28"/>
          <w:szCs w:val="22"/>
        </w:rPr>
        <w:t>年期華語文奬學金，預定增加為</w:t>
      </w:r>
      <w:r>
        <w:rPr>
          <w:rFonts w:eastAsia="標楷體"/>
          <w:spacing w:val="4"/>
          <w:kern w:val="0"/>
          <w:sz w:val="28"/>
          <w:szCs w:val="22"/>
        </w:rPr>
        <w:t>100</w:t>
      </w:r>
      <w:r>
        <w:rPr>
          <w:rFonts w:eastAsia="標楷體"/>
          <w:spacing w:val="4"/>
          <w:kern w:val="0"/>
          <w:sz w:val="28"/>
          <w:szCs w:val="22"/>
        </w:rPr>
        <w:t>名；</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年提供新興市場地區學生，在臺留學期間赴業界實習機會，每年</w:t>
      </w:r>
      <w:r>
        <w:rPr>
          <w:rFonts w:eastAsia="標楷體"/>
          <w:spacing w:val="4"/>
          <w:kern w:val="0"/>
          <w:sz w:val="28"/>
          <w:szCs w:val="22"/>
        </w:rPr>
        <w:t>300~500</w:t>
      </w:r>
      <w:r>
        <w:rPr>
          <w:rFonts w:eastAsia="標楷體"/>
          <w:spacing w:val="4"/>
          <w:kern w:val="0"/>
          <w:sz w:val="28"/>
          <w:szCs w:val="22"/>
        </w:rPr>
        <w:t>位。</w:t>
      </w:r>
    </w:p>
    <w:p w14:paraId="77C75985"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35C231C3"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肆、促進投資推動建設</w:t>
      </w:r>
    </w:p>
    <w:p w14:paraId="75FBD5C9"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594578F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一、</w:t>
      </w:r>
      <w:r>
        <w:rPr>
          <w:rFonts w:eastAsia="標楷體"/>
          <w:b/>
          <w:color w:val="0000FF"/>
          <w:spacing w:val="4"/>
          <w:kern w:val="0"/>
          <w:sz w:val="28"/>
          <w:szCs w:val="22"/>
        </w:rPr>
        <w:t>擴大招商，積極促進民間投資</w:t>
      </w:r>
      <w:r>
        <w:rPr>
          <w:rFonts w:eastAsia="標楷體"/>
          <w:color w:val="0000FF"/>
          <w:spacing w:val="4"/>
          <w:kern w:val="0"/>
          <w:sz w:val="28"/>
          <w:szCs w:val="22"/>
        </w:rPr>
        <w:t>：</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年每年帶動民間投資金額至少</w:t>
      </w:r>
      <w:r>
        <w:rPr>
          <w:rFonts w:eastAsia="標楷體"/>
          <w:spacing w:val="4"/>
          <w:kern w:val="0"/>
          <w:sz w:val="28"/>
          <w:szCs w:val="22"/>
        </w:rPr>
        <w:t>1</w:t>
      </w:r>
      <w:r>
        <w:rPr>
          <w:rFonts w:eastAsia="標楷體"/>
          <w:spacing w:val="4"/>
          <w:kern w:val="0"/>
          <w:sz w:val="28"/>
          <w:szCs w:val="22"/>
        </w:rPr>
        <w:t>兆元。</w:t>
      </w:r>
    </w:p>
    <w:p w14:paraId="593E0912"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lastRenderedPageBreak/>
        <w:t>二、</w:t>
      </w:r>
      <w:r>
        <w:rPr>
          <w:rFonts w:eastAsia="標楷體"/>
          <w:b/>
          <w:color w:val="0000FF"/>
          <w:spacing w:val="4"/>
          <w:kern w:val="0"/>
          <w:sz w:val="28"/>
          <w:szCs w:val="22"/>
        </w:rPr>
        <w:t>引導創投資金投資策略性服務業</w:t>
      </w:r>
      <w:r>
        <w:rPr>
          <w:rFonts w:eastAsia="標楷體"/>
          <w:color w:val="0000FF"/>
          <w:spacing w:val="4"/>
          <w:kern w:val="0"/>
          <w:sz w:val="28"/>
          <w:szCs w:val="22"/>
        </w:rPr>
        <w:t>：</w:t>
      </w:r>
      <w:r>
        <w:rPr>
          <w:rFonts w:eastAsia="標楷體"/>
          <w:spacing w:val="4"/>
          <w:kern w:val="0"/>
          <w:sz w:val="28"/>
          <w:szCs w:val="22"/>
        </w:rPr>
        <w:t>由國發基金匡列</w:t>
      </w:r>
      <w:r>
        <w:rPr>
          <w:rFonts w:eastAsia="標楷體"/>
          <w:spacing w:val="4"/>
          <w:kern w:val="0"/>
          <w:sz w:val="28"/>
          <w:szCs w:val="22"/>
        </w:rPr>
        <w:t>100</w:t>
      </w:r>
      <w:r>
        <w:rPr>
          <w:rFonts w:eastAsia="標楷體"/>
          <w:spacing w:val="4"/>
          <w:kern w:val="0"/>
          <w:sz w:val="28"/>
          <w:szCs w:val="22"/>
        </w:rPr>
        <w:t>億元推動「加強投資策略性服務業實施方案」，預計</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111</w:t>
      </w:r>
      <w:r>
        <w:rPr>
          <w:rFonts w:eastAsia="標楷體"/>
          <w:spacing w:val="4"/>
          <w:kern w:val="0"/>
          <w:sz w:val="28"/>
          <w:szCs w:val="22"/>
        </w:rPr>
        <w:t>年</w:t>
      </w:r>
      <w:r>
        <w:rPr>
          <w:rFonts w:eastAsia="標楷體"/>
          <w:spacing w:val="4"/>
          <w:kern w:val="0"/>
          <w:sz w:val="28"/>
          <w:szCs w:val="22"/>
        </w:rPr>
        <w:t>10</w:t>
      </w:r>
      <w:r>
        <w:rPr>
          <w:rFonts w:eastAsia="標楷體"/>
          <w:spacing w:val="4"/>
          <w:kern w:val="0"/>
          <w:sz w:val="28"/>
          <w:szCs w:val="22"/>
        </w:rPr>
        <w:t>年內，帶動創投及民間投資</w:t>
      </w:r>
      <w:r>
        <w:rPr>
          <w:rFonts w:eastAsia="標楷體"/>
          <w:spacing w:val="4"/>
          <w:kern w:val="0"/>
          <w:sz w:val="28"/>
          <w:szCs w:val="22"/>
        </w:rPr>
        <w:t>110</w:t>
      </w:r>
      <w:r>
        <w:rPr>
          <w:rFonts w:eastAsia="標楷體"/>
          <w:spacing w:val="4"/>
          <w:kern w:val="0"/>
          <w:sz w:val="28"/>
          <w:szCs w:val="22"/>
        </w:rPr>
        <w:t>億元，完成投資案</w:t>
      </w:r>
      <w:r>
        <w:rPr>
          <w:rFonts w:eastAsia="標楷體"/>
          <w:spacing w:val="4"/>
          <w:kern w:val="0"/>
          <w:sz w:val="28"/>
          <w:szCs w:val="22"/>
        </w:rPr>
        <w:t>300</w:t>
      </w:r>
      <w:r>
        <w:rPr>
          <w:rFonts w:eastAsia="標楷體"/>
          <w:spacing w:val="4"/>
          <w:kern w:val="0"/>
          <w:sz w:val="28"/>
          <w:szCs w:val="22"/>
        </w:rPr>
        <w:t>件，增加</w:t>
      </w:r>
      <w:r>
        <w:rPr>
          <w:rFonts w:eastAsia="標楷體"/>
          <w:spacing w:val="4"/>
          <w:kern w:val="0"/>
          <w:sz w:val="28"/>
          <w:szCs w:val="22"/>
        </w:rPr>
        <w:t>16,000</w:t>
      </w:r>
      <w:r>
        <w:rPr>
          <w:rFonts w:eastAsia="標楷體"/>
          <w:spacing w:val="4"/>
          <w:kern w:val="0"/>
          <w:sz w:val="28"/>
          <w:szCs w:val="22"/>
        </w:rPr>
        <w:t>個就業機會。</w:t>
      </w:r>
    </w:p>
    <w:p w14:paraId="3BEEEEF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三、</w:t>
      </w:r>
      <w:r>
        <w:rPr>
          <w:rFonts w:eastAsia="標楷體"/>
          <w:b/>
          <w:color w:val="0000FF"/>
          <w:spacing w:val="4"/>
          <w:kern w:val="0"/>
          <w:sz w:val="28"/>
          <w:szCs w:val="22"/>
        </w:rPr>
        <w:t>擴大招商，吸引國外廠商來臺投資</w:t>
      </w:r>
      <w:r>
        <w:rPr>
          <w:rFonts w:eastAsia="標楷體"/>
          <w:color w:val="0000FF"/>
          <w:spacing w:val="4"/>
          <w:kern w:val="0"/>
          <w:sz w:val="28"/>
          <w:szCs w:val="22"/>
        </w:rPr>
        <w:t>：</w:t>
      </w:r>
      <w:r>
        <w:rPr>
          <w:rFonts w:eastAsia="標楷體"/>
          <w:spacing w:val="4"/>
          <w:kern w:val="0"/>
          <w:sz w:val="28"/>
          <w:szCs w:val="22"/>
        </w:rPr>
        <w:t>成立臺日及臺美產業合作推動辦公室。臺日方面，</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年預計促成</w:t>
      </w:r>
      <w:r>
        <w:rPr>
          <w:rFonts w:eastAsia="標楷體"/>
          <w:spacing w:val="4"/>
          <w:kern w:val="0"/>
          <w:sz w:val="28"/>
          <w:szCs w:val="22"/>
        </w:rPr>
        <w:t>500</w:t>
      </w:r>
      <w:r>
        <w:rPr>
          <w:rFonts w:eastAsia="標楷體"/>
          <w:spacing w:val="4"/>
          <w:kern w:val="0"/>
          <w:sz w:val="28"/>
          <w:szCs w:val="22"/>
        </w:rPr>
        <w:t>件合作案、日商國際採購辦事處</w:t>
      </w:r>
      <w:r>
        <w:rPr>
          <w:rFonts w:ascii="標楷體" w:eastAsia="標楷體" w:hAnsi="標楷體"/>
          <w:spacing w:val="4"/>
          <w:kern w:val="0"/>
          <w:sz w:val="28"/>
          <w:szCs w:val="22"/>
        </w:rPr>
        <w:t>(</w:t>
      </w:r>
      <w:r>
        <w:rPr>
          <w:rFonts w:eastAsia="標楷體"/>
          <w:spacing w:val="4"/>
          <w:kern w:val="0"/>
          <w:sz w:val="28"/>
          <w:szCs w:val="22"/>
        </w:rPr>
        <w:t>IPO</w:t>
      </w:r>
      <w:r>
        <w:rPr>
          <w:rFonts w:ascii="標楷體" w:eastAsia="標楷體" w:hAnsi="標楷體"/>
          <w:spacing w:val="4"/>
          <w:kern w:val="0"/>
          <w:sz w:val="28"/>
          <w:szCs w:val="22"/>
        </w:rPr>
        <w:t>)</w:t>
      </w:r>
      <w:r>
        <w:rPr>
          <w:rFonts w:eastAsia="標楷體"/>
          <w:spacing w:val="4"/>
          <w:kern w:val="0"/>
          <w:sz w:val="28"/>
          <w:szCs w:val="22"/>
        </w:rPr>
        <w:t>在臺採購金額達</w:t>
      </w:r>
      <w:r>
        <w:rPr>
          <w:rFonts w:eastAsia="標楷體"/>
          <w:spacing w:val="4"/>
          <w:kern w:val="0"/>
          <w:sz w:val="28"/>
          <w:szCs w:val="22"/>
        </w:rPr>
        <w:t>3</w:t>
      </w:r>
      <w:r>
        <w:rPr>
          <w:rFonts w:eastAsia="標楷體"/>
          <w:spacing w:val="4"/>
          <w:kern w:val="0"/>
          <w:sz w:val="28"/>
          <w:szCs w:val="22"/>
        </w:rPr>
        <w:t>兆元、日本企業對臺投資達</w:t>
      </w:r>
      <w:r>
        <w:rPr>
          <w:rFonts w:eastAsia="標楷體"/>
          <w:spacing w:val="4"/>
          <w:kern w:val="0"/>
          <w:sz w:val="28"/>
          <w:szCs w:val="22"/>
        </w:rPr>
        <w:t>300</w:t>
      </w:r>
      <w:r>
        <w:rPr>
          <w:rFonts w:eastAsia="標楷體"/>
          <w:spacing w:val="4"/>
          <w:kern w:val="0"/>
          <w:sz w:val="28"/>
          <w:szCs w:val="22"/>
        </w:rPr>
        <w:t>億元；臺美方面，</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102</w:t>
      </w:r>
      <w:r>
        <w:rPr>
          <w:rFonts w:eastAsia="標楷體"/>
          <w:spacing w:val="4"/>
          <w:kern w:val="0"/>
          <w:sz w:val="28"/>
          <w:szCs w:val="22"/>
        </w:rPr>
        <w:t>年預計促成美商來臺投資</w:t>
      </w:r>
      <w:r>
        <w:rPr>
          <w:rFonts w:eastAsia="標楷體"/>
          <w:spacing w:val="4"/>
          <w:kern w:val="0"/>
          <w:sz w:val="28"/>
          <w:szCs w:val="22"/>
        </w:rPr>
        <w:t>20</w:t>
      </w:r>
      <w:r>
        <w:rPr>
          <w:rFonts w:eastAsia="標楷體"/>
          <w:spacing w:val="4"/>
          <w:kern w:val="0"/>
          <w:sz w:val="28"/>
          <w:szCs w:val="22"/>
        </w:rPr>
        <w:t>億元以上、</w:t>
      </w:r>
      <w:r>
        <w:rPr>
          <w:rFonts w:eastAsia="標楷體"/>
          <w:spacing w:val="4"/>
          <w:kern w:val="0"/>
          <w:sz w:val="28"/>
          <w:szCs w:val="22"/>
        </w:rPr>
        <w:t>103</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年累計促成美商來臺投資</w:t>
      </w:r>
      <w:r>
        <w:rPr>
          <w:rFonts w:eastAsia="標楷體"/>
          <w:spacing w:val="4"/>
          <w:kern w:val="0"/>
          <w:sz w:val="28"/>
          <w:szCs w:val="22"/>
        </w:rPr>
        <w:t>150</w:t>
      </w:r>
      <w:r>
        <w:rPr>
          <w:rFonts w:eastAsia="標楷體"/>
          <w:spacing w:val="4"/>
          <w:kern w:val="0"/>
          <w:sz w:val="28"/>
          <w:szCs w:val="22"/>
        </w:rPr>
        <w:t>億元以上。</w:t>
      </w:r>
    </w:p>
    <w:p w14:paraId="5852B4D3"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四、</w:t>
      </w:r>
      <w:r>
        <w:rPr>
          <w:rFonts w:eastAsia="標楷體"/>
          <w:b/>
          <w:color w:val="0000FF"/>
          <w:spacing w:val="4"/>
          <w:kern w:val="0"/>
          <w:sz w:val="28"/>
          <w:szCs w:val="22"/>
        </w:rPr>
        <w:t>推動臺商回臺</w:t>
      </w:r>
      <w:r>
        <w:rPr>
          <w:rFonts w:eastAsia="標楷體"/>
          <w:color w:val="0000FF"/>
          <w:spacing w:val="4"/>
          <w:kern w:val="0"/>
          <w:sz w:val="28"/>
          <w:szCs w:val="22"/>
        </w:rPr>
        <w:t>：</w:t>
      </w:r>
      <w:r>
        <w:rPr>
          <w:rFonts w:eastAsia="標楷體"/>
          <w:spacing w:val="4"/>
          <w:kern w:val="0"/>
          <w:sz w:val="28"/>
          <w:szCs w:val="22"/>
        </w:rPr>
        <w:t>為掌握兩岸簽訂</w:t>
      </w:r>
      <w:r>
        <w:rPr>
          <w:rFonts w:eastAsia="標楷體"/>
          <w:spacing w:val="4"/>
          <w:kern w:val="0"/>
          <w:sz w:val="28"/>
          <w:szCs w:val="22"/>
        </w:rPr>
        <w:t>ECFA</w:t>
      </w:r>
      <w:r>
        <w:rPr>
          <w:rFonts w:eastAsia="標楷體"/>
          <w:spacing w:val="4"/>
          <w:kern w:val="0"/>
          <w:sz w:val="28"/>
          <w:szCs w:val="22"/>
        </w:rPr>
        <w:t>契機，提升產業價值鏈及技術，落實「加強推動臺商回臺投資方案」，自</w:t>
      </w:r>
      <w:r>
        <w:rPr>
          <w:rFonts w:eastAsia="標楷體"/>
          <w:spacing w:val="4"/>
          <w:kern w:val="0"/>
          <w:sz w:val="28"/>
          <w:szCs w:val="22"/>
        </w:rPr>
        <w:t>101</w:t>
      </w:r>
      <w:r>
        <w:rPr>
          <w:rFonts w:eastAsia="標楷體"/>
          <w:spacing w:val="4"/>
          <w:kern w:val="0"/>
          <w:sz w:val="28"/>
          <w:szCs w:val="22"/>
        </w:rPr>
        <w:t>年</w:t>
      </w:r>
      <w:r>
        <w:rPr>
          <w:rFonts w:eastAsia="標楷體"/>
          <w:spacing w:val="4"/>
          <w:kern w:val="0"/>
          <w:sz w:val="28"/>
          <w:szCs w:val="22"/>
        </w:rPr>
        <w:t>11</w:t>
      </w:r>
      <w:r>
        <w:rPr>
          <w:rFonts w:eastAsia="標楷體"/>
          <w:spacing w:val="4"/>
          <w:kern w:val="0"/>
          <w:sz w:val="28"/>
          <w:szCs w:val="22"/>
        </w:rPr>
        <w:t>月</w:t>
      </w:r>
      <w:r>
        <w:rPr>
          <w:rFonts w:eastAsia="標楷體"/>
          <w:spacing w:val="4"/>
          <w:kern w:val="0"/>
          <w:sz w:val="28"/>
          <w:szCs w:val="22"/>
        </w:rPr>
        <w:t>1</w:t>
      </w:r>
      <w:r>
        <w:rPr>
          <w:rFonts w:eastAsia="標楷體"/>
          <w:spacing w:val="4"/>
          <w:kern w:val="0"/>
          <w:sz w:val="28"/>
          <w:szCs w:val="22"/>
        </w:rPr>
        <w:t>日起正式實施</w:t>
      </w:r>
      <w:r>
        <w:rPr>
          <w:rFonts w:eastAsia="標楷體"/>
          <w:spacing w:val="4"/>
          <w:kern w:val="0"/>
          <w:sz w:val="28"/>
          <w:szCs w:val="22"/>
        </w:rPr>
        <w:t>2</w:t>
      </w:r>
      <w:r>
        <w:rPr>
          <w:rFonts w:eastAsia="標楷體"/>
          <w:spacing w:val="4"/>
          <w:kern w:val="0"/>
          <w:sz w:val="28"/>
          <w:szCs w:val="22"/>
        </w:rPr>
        <w:t>年。本方案將鼓勵發展國際品牌、於產業鏈居關鍵地位與發展高附加價值之指標性臺商回流，並透過解決基層人力不足放寬外勞、擴大職訓、土地取得困難、設備進口關稅優惠、</w:t>
      </w:r>
      <w:r>
        <w:rPr>
          <w:rFonts w:eastAsia="標楷體"/>
          <w:spacing w:val="4"/>
          <w:kern w:val="0"/>
          <w:sz w:val="28"/>
          <w:szCs w:val="22"/>
        </w:rPr>
        <w:t>ECFA</w:t>
      </w:r>
      <w:r>
        <w:rPr>
          <w:rFonts w:eastAsia="標楷體"/>
          <w:spacing w:val="4"/>
          <w:kern w:val="0"/>
          <w:sz w:val="28"/>
          <w:szCs w:val="22"/>
        </w:rPr>
        <w:t>談判有利項目等方式，落實在臺投資及就業之成長。</w:t>
      </w:r>
    </w:p>
    <w:p w14:paraId="77EFF1D8"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五、</w:t>
      </w:r>
      <w:r>
        <w:rPr>
          <w:rFonts w:eastAsia="標楷體"/>
          <w:b/>
          <w:color w:val="0000FF"/>
          <w:spacing w:val="4"/>
          <w:kern w:val="0"/>
          <w:sz w:val="28"/>
          <w:szCs w:val="22"/>
        </w:rPr>
        <w:t>協助公共建設籌措資金</w:t>
      </w:r>
      <w:r>
        <w:rPr>
          <w:rFonts w:eastAsia="標楷體"/>
          <w:color w:val="0000FF"/>
          <w:spacing w:val="4"/>
          <w:kern w:val="0"/>
          <w:sz w:val="28"/>
          <w:szCs w:val="22"/>
        </w:rPr>
        <w:t>：</w:t>
      </w:r>
      <w:r>
        <w:rPr>
          <w:rFonts w:eastAsia="標楷體"/>
          <w:spacing w:val="4"/>
          <w:kern w:val="0"/>
          <w:sz w:val="28"/>
          <w:szCs w:val="22"/>
        </w:rPr>
        <w:t>採取創新財務策略，推動「跨域加值公共建設財務規劃」及「民間財務主導公共建設</w:t>
      </w:r>
      <w:r>
        <w:rPr>
          <w:rFonts w:ascii="標楷體" w:eastAsia="標楷體" w:hAnsi="標楷體"/>
          <w:spacing w:val="4"/>
          <w:kern w:val="0"/>
          <w:sz w:val="28"/>
          <w:szCs w:val="22"/>
        </w:rPr>
        <w:t>(</w:t>
      </w:r>
      <w:r>
        <w:rPr>
          <w:rFonts w:eastAsia="標楷體"/>
          <w:spacing w:val="4"/>
          <w:kern w:val="0"/>
          <w:sz w:val="28"/>
          <w:szCs w:val="22"/>
        </w:rPr>
        <w:t>PFI</w:t>
      </w:r>
      <w:r>
        <w:rPr>
          <w:rFonts w:ascii="標楷體" w:eastAsia="標楷體" w:hAnsi="標楷體"/>
          <w:spacing w:val="4"/>
          <w:kern w:val="0"/>
          <w:sz w:val="28"/>
          <w:szCs w:val="22"/>
        </w:rPr>
        <w:t>)</w:t>
      </w:r>
      <w:r>
        <w:rPr>
          <w:rFonts w:eastAsia="標楷體"/>
          <w:spacing w:val="4"/>
          <w:kern w:val="0"/>
          <w:sz w:val="28"/>
          <w:szCs w:val="22"/>
        </w:rPr>
        <w:t>」等做法；已成立「</w:t>
      </w:r>
      <w:r>
        <w:rPr>
          <w:rFonts w:eastAsia="標楷體"/>
          <w:spacing w:val="4"/>
          <w:kern w:val="0"/>
          <w:sz w:val="28"/>
          <w:szCs w:val="22"/>
        </w:rPr>
        <w:t>PFI</w:t>
      </w:r>
      <w:r>
        <w:rPr>
          <w:rFonts w:eastAsia="標楷體"/>
          <w:spacing w:val="4"/>
          <w:kern w:val="0"/>
          <w:sz w:val="28"/>
          <w:szCs w:val="22"/>
        </w:rPr>
        <w:t>專案小組」協助推動各項事宜，</w:t>
      </w:r>
      <w:r>
        <w:rPr>
          <w:rFonts w:eastAsia="標楷體"/>
          <w:spacing w:val="4"/>
          <w:kern w:val="0"/>
          <w:sz w:val="28"/>
          <w:szCs w:val="22"/>
        </w:rPr>
        <w:t>103</w:t>
      </w:r>
      <w:r>
        <w:rPr>
          <w:rFonts w:eastAsia="標楷體"/>
          <w:spacing w:val="4"/>
          <w:kern w:val="0"/>
          <w:sz w:val="28"/>
          <w:szCs w:val="22"/>
        </w:rPr>
        <w:t>年</w:t>
      </w:r>
      <w:r>
        <w:rPr>
          <w:rFonts w:eastAsia="標楷體"/>
          <w:spacing w:val="4"/>
          <w:kern w:val="0"/>
          <w:sz w:val="28"/>
          <w:szCs w:val="22"/>
        </w:rPr>
        <w:t>12</w:t>
      </w:r>
      <w:r>
        <w:rPr>
          <w:rFonts w:eastAsia="標楷體"/>
          <w:spacing w:val="4"/>
          <w:kern w:val="0"/>
          <w:sz w:val="28"/>
          <w:szCs w:val="22"/>
        </w:rPr>
        <w:t>月底前完成</w:t>
      </w:r>
      <w:r>
        <w:rPr>
          <w:rFonts w:eastAsia="標楷體"/>
          <w:spacing w:val="4"/>
          <w:kern w:val="0"/>
          <w:sz w:val="28"/>
          <w:szCs w:val="22"/>
        </w:rPr>
        <w:t>3</w:t>
      </w:r>
      <w:r>
        <w:rPr>
          <w:rFonts w:eastAsia="標楷體"/>
          <w:spacing w:val="4"/>
          <w:kern w:val="0"/>
          <w:sz w:val="28"/>
          <w:szCs w:val="22"/>
        </w:rPr>
        <w:t>件示範案件招商及執行。</w:t>
      </w:r>
    </w:p>
    <w:p w14:paraId="4B1DDA96"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六、</w:t>
      </w:r>
      <w:r>
        <w:rPr>
          <w:rFonts w:eastAsia="標楷體"/>
          <w:b/>
          <w:color w:val="0000FF"/>
          <w:spacing w:val="4"/>
          <w:kern w:val="0"/>
          <w:sz w:val="28"/>
          <w:szCs w:val="22"/>
        </w:rPr>
        <w:t>積極啟發促參案源，吸引國內資金及</w:t>
      </w:r>
      <w:r>
        <w:rPr>
          <w:rFonts w:ascii="標楷體" w:eastAsia="標楷體" w:hAnsi="標楷體"/>
          <w:b/>
          <w:color w:val="0000FF"/>
          <w:spacing w:val="4"/>
          <w:kern w:val="0"/>
          <w:sz w:val="28"/>
          <w:szCs w:val="22"/>
        </w:rPr>
        <w:t>陸(</w:t>
      </w:r>
      <w:r>
        <w:rPr>
          <w:rFonts w:eastAsia="標楷體"/>
          <w:b/>
          <w:color w:val="0000FF"/>
          <w:spacing w:val="4"/>
          <w:kern w:val="0"/>
          <w:sz w:val="28"/>
          <w:szCs w:val="22"/>
        </w:rPr>
        <w:t>外</w:t>
      </w:r>
      <w:r>
        <w:rPr>
          <w:rFonts w:ascii="標楷體" w:eastAsia="標楷體" w:hAnsi="標楷體"/>
          <w:b/>
          <w:color w:val="0000FF"/>
          <w:spacing w:val="4"/>
          <w:kern w:val="0"/>
          <w:sz w:val="28"/>
          <w:szCs w:val="22"/>
        </w:rPr>
        <w:t>)</w:t>
      </w:r>
      <w:r>
        <w:rPr>
          <w:rFonts w:eastAsia="標楷體"/>
          <w:b/>
          <w:color w:val="0000FF"/>
          <w:spacing w:val="4"/>
          <w:kern w:val="0"/>
          <w:sz w:val="28"/>
          <w:szCs w:val="22"/>
        </w:rPr>
        <w:t>資投入公共建設</w:t>
      </w:r>
      <w:r>
        <w:rPr>
          <w:rFonts w:eastAsia="標楷體"/>
          <w:color w:val="0000FF"/>
          <w:spacing w:val="4"/>
          <w:kern w:val="0"/>
          <w:sz w:val="28"/>
          <w:szCs w:val="22"/>
        </w:rPr>
        <w:t>：</w:t>
      </w:r>
      <w:r>
        <w:rPr>
          <w:rFonts w:eastAsia="標楷體"/>
          <w:spacing w:val="4"/>
          <w:kern w:val="0"/>
          <w:sz w:val="28"/>
          <w:szCs w:val="22"/>
        </w:rPr>
        <w:t>102</w:t>
      </w:r>
      <w:r>
        <w:rPr>
          <w:rFonts w:eastAsia="標楷體"/>
          <w:spacing w:val="4"/>
          <w:kern w:val="0"/>
          <w:sz w:val="28"/>
          <w:szCs w:val="22"/>
        </w:rPr>
        <w:t>年促參簽約金額預計達</w:t>
      </w:r>
      <w:r>
        <w:rPr>
          <w:rFonts w:eastAsia="標楷體"/>
          <w:spacing w:val="4"/>
          <w:kern w:val="0"/>
          <w:sz w:val="28"/>
          <w:szCs w:val="22"/>
        </w:rPr>
        <w:t>2,000</w:t>
      </w:r>
      <w:r>
        <w:rPr>
          <w:rFonts w:eastAsia="標楷體"/>
          <w:spacing w:val="4"/>
          <w:kern w:val="0"/>
          <w:sz w:val="28"/>
          <w:szCs w:val="22"/>
        </w:rPr>
        <w:t>億元，</w:t>
      </w:r>
      <w:r>
        <w:rPr>
          <w:rFonts w:eastAsia="標楷體"/>
          <w:spacing w:val="4"/>
          <w:kern w:val="0"/>
          <w:sz w:val="28"/>
          <w:szCs w:val="22"/>
        </w:rPr>
        <w:t>103</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年每年預計</w:t>
      </w:r>
      <w:r>
        <w:rPr>
          <w:rFonts w:eastAsia="標楷體"/>
          <w:spacing w:val="4"/>
          <w:kern w:val="0"/>
          <w:sz w:val="28"/>
          <w:szCs w:val="22"/>
        </w:rPr>
        <w:t>1,000</w:t>
      </w:r>
      <w:r>
        <w:rPr>
          <w:rFonts w:eastAsia="標楷體"/>
          <w:spacing w:val="4"/>
          <w:kern w:val="0"/>
          <w:sz w:val="28"/>
          <w:szCs w:val="22"/>
        </w:rPr>
        <w:t>億元。</w:t>
      </w:r>
    </w:p>
    <w:p w14:paraId="535794B7"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七、</w:t>
      </w:r>
      <w:r>
        <w:rPr>
          <w:rFonts w:eastAsia="標楷體"/>
          <w:b/>
          <w:color w:val="0000FF"/>
          <w:spacing w:val="4"/>
          <w:kern w:val="0"/>
          <w:sz w:val="28"/>
          <w:szCs w:val="22"/>
        </w:rPr>
        <w:t>打造優質投資環境</w:t>
      </w:r>
      <w:r>
        <w:rPr>
          <w:rFonts w:eastAsia="標楷體"/>
          <w:color w:val="0000FF"/>
          <w:spacing w:val="4"/>
          <w:kern w:val="0"/>
          <w:sz w:val="28"/>
          <w:szCs w:val="22"/>
        </w:rPr>
        <w:t>：</w:t>
      </w:r>
      <w:r>
        <w:rPr>
          <w:rFonts w:eastAsia="標楷體"/>
          <w:spacing w:val="4"/>
          <w:kern w:val="0"/>
          <w:sz w:val="28"/>
          <w:szCs w:val="22"/>
        </w:rPr>
        <w:t>規劃推動「自由經濟示範區」，在強化區域經濟整合及提升競爭力之作為外，並提供土地、勞力、資本等生產要素更優惠條件，創造誘因吸引投資。</w:t>
      </w:r>
    </w:p>
    <w:p w14:paraId="61F123B8"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7AF4319E" w14:textId="77777777" w:rsidR="00052596" w:rsidRDefault="00000000">
      <w:pPr>
        <w:overflowPunct w:val="0"/>
        <w:autoSpaceDE w:val="0"/>
        <w:spacing w:line="400" w:lineRule="exact"/>
        <w:jc w:val="center"/>
        <w:textAlignment w:val="center"/>
        <w:rPr>
          <w:rFonts w:eastAsia="標楷體"/>
          <w:b/>
          <w:color w:val="0000FF"/>
          <w:kern w:val="0"/>
          <w:sz w:val="28"/>
          <w:szCs w:val="28"/>
        </w:rPr>
      </w:pPr>
      <w:r>
        <w:rPr>
          <w:rFonts w:eastAsia="標楷體"/>
          <w:b/>
          <w:color w:val="0000FF"/>
          <w:kern w:val="0"/>
          <w:sz w:val="28"/>
          <w:szCs w:val="28"/>
        </w:rPr>
        <w:t>伍、精進各級政府效能</w:t>
      </w:r>
    </w:p>
    <w:p w14:paraId="05206A32"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jc w:val="center"/>
        <w:textAlignment w:val="center"/>
        <w:rPr>
          <w:rFonts w:ascii="Calibri" w:eastAsia="標楷體" w:hAnsi="Calibri"/>
          <w:spacing w:val="4"/>
          <w:kern w:val="0"/>
          <w:sz w:val="28"/>
          <w:szCs w:val="28"/>
        </w:rPr>
      </w:pPr>
    </w:p>
    <w:p w14:paraId="4796B3F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lastRenderedPageBreak/>
        <w:t>一、</w:t>
      </w:r>
      <w:r>
        <w:rPr>
          <w:rFonts w:eastAsia="標楷體"/>
          <w:b/>
          <w:color w:val="0000FF"/>
          <w:spacing w:val="4"/>
          <w:kern w:val="0"/>
          <w:sz w:val="28"/>
          <w:szCs w:val="22"/>
        </w:rPr>
        <w:t>清理檢討閒置國有用地</w:t>
      </w:r>
      <w:r>
        <w:rPr>
          <w:rFonts w:eastAsia="標楷體"/>
          <w:color w:val="0000FF"/>
          <w:spacing w:val="4"/>
          <w:kern w:val="0"/>
          <w:sz w:val="28"/>
          <w:szCs w:val="22"/>
        </w:rPr>
        <w:t>：</w:t>
      </w:r>
      <w:r>
        <w:rPr>
          <w:rFonts w:eastAsia="標楷體"/>
          <w:spacing w:val="4"/>
          <w:kern w:val="0"/>
          <w:sz w:val="28"/>
          <w:szCs w:val="22"/>
        </w:rPr>
        <w:t>督導中央各主管機關清理檢討閒置、低度利用及不經濟使用之大面積國有建築用地，提升整體運用效益，</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102</w:t>
      </w:r>
      <w:r>
        <w:rPr>
          <w:rFonts w:eastAsia="標楷體"/>
          <w:spacing w:val="4"/>
          <w:kern w:val="0"/>
          <w:sz w:val="28"/>
          <w:szCs w:val="22"/>
        </w:rPr>
        <w:t>年預估創造年度收益</w:t>
      </w:r>
      <w:r>
        <w:rPr>
          <w:rFonts w:eastAsia="標楷體"/>
          <w:spacing w:val="4"/>
          <w:kern w:val="0"/>
          <w:sz w:val="28"/>
          <w:szCs w:val="22"/>
        </w:rPr>
        <w:t>150</w:t>
      </w:r>
      <w:r>
        <w:rPr>
          <w:rFonts w:eastAsia="標楷體"/>
          <w:spacing w:val="4"/>
          <w:kern w:val="0"/>
          <w:sz w:val="28"/>
          <w:szCs w:val="22"/>
        </w:rPr>
        <w:t>億元以上，</w:t>
      </w:r>
      <w:r>
        <w:rPr>
          <w:rFonts w:eastAsia="標楷體"/>
          <w:spacing w:val="4"/>
          <w:kern w:val="0"/>
          <w:sz w:val="28"/>
          <w:szCs w:val="22"/>
        </w:rPr>
        <w:t>103</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年預估創造年度收益</w:t>
      </w:r>
      <w:r>
        <w:rPr>
          <w:rFonts w:eastAsia="標楷體"/>
          <w:spacing w:val="4"/>
          <w:kern w:val="0"/>
          <w:sz w:val="28"/>
          <w:szCs w:val="22"/>
        </w:rPr>
        <w:t>200</w:t>
      </w:r>
      <w:r>
        <w:rPr>
          <w:rFonts w:eastAsia="標楷體"/>
          <w:spacing w:val="4"/>
          <w:kern w:val="0"/>
          <w:sz w:val="28"/>
          <w:szCs w:val="22"/>
        </w:rPr>
        <w:t>億元以上。</w:t>
      </w:r>
    </w:p>
    <w:p w14:paraId="7B81EBBB"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二、</w:t>
      </w:r>
      <w:r>
        <w:rPr>
          <w:rFonts w:eastAsia="標楷體"/>
          <w:b/>
          <w:color w:val="0000FF"/>
          <w:spacing w:val="4"/>
          <w:kern w:val="0"/>
          <w:sz w:val="28"/>
          <w:szCs w:val="22"/>
        </w:rPr>
        <w:t>活化公有土地及資產</w:t>
      </w:r>
      <w:r>
        <w:rPr>
          <w:rFonts w:eastAsia="標楷體"/>
          <w:color w:val="0000FF"/>
          <w:spacing w:val="4"/>
          <w:kern w:val="0"/>
          <w:sz w:val="28"/>
          <w:szCs w:val="22"/>
        </w:rPr>
        <w:t>：</w:t>
      </w:r>
      <w:r>
        <w:rPr>
          <w:rFonts w:eastAsia="標楷體"/>
          <w:spacing w:val="4"/>
          <w:kern w:val="0"/>
          <w:sz w:val="28"/>
          <w:szCs w:val="22"/>
        </w:rPr>
        <w:t>訂定「加強運用國有土地結合目的事業主管機關推動產業發展計畫」，積極促成目的事業主管機關所規劃之重要建設或產業，帶動地區發展、活絡經濟。</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年，每年達成簽約</w:t>
      </w:r>
      <w:r>
        <w:rPr>
          <w:rFonts w:eastAsia="標楷體"/>
          <w:spacing w:val="4"/>
          <w:kern w:val="0"/>
          <w:sz w:val="28"/>
          <w:szCs w:val="22"/>
        </w:rPr>
        <w:t>5</w:t>
      </w:r>
      <w:r>
        <w:rPr>
          <w:rFonts w:eastAsia="標楷體"/>
          <w:spacing w:val="4"/>
          <w:kern w:val="0"/>
          <w:sz w:val="28"/>
          <w:szCs w:val="22"/>
        </w:rPr>
        <w:t>案之目標，預估可創造總收益</w:t>
      </w:r>
      <w:r>
        <w:rPr>
          <w:rFonts w:eastAsia="標楷體"/>
          <w:spacing w:val="4"/>
          <w:kern w:val="0"/>
          <w:sz w:val="28"/>
          <w:szCs w:val="22"/>
        </w:rPr>
        <w:t>150</w:t>
      </w:r>
      <w:r>
        <w:rPr>
          <w:rFonts w:eastAsia="標楷體"/>
          <w:spacing w:val="4"/>
          <w:kern w:val="0"/>
          <w:sz w:val="28"/>
          <w:szCs w:val="22"/>
        </w:rPr>
        <w:t>億元，民間投資總額約</w:t>
      </w:r>
      <w:r>
        <w:rPr>
          <w:rFonts w:eastAsia="標楷體"/>
          <w:spacing w:val="4"/>
          <w:kern w:val="0"/>
          <w:sz w:val="28"/>
          <w:szCs w:val="22"/>
        </w:rPr>
        <w:t>202</w:t>
      </w:r>
      <w:r>
        <w:rPr>
          <w:rFonts w:eastAsia="標楷體"/>
          <w:spacing w:val="4"/>
          <w:kern w:val="0"/>
          <w:sz w:val="28"/>
          <w:szCs w:val="22"/>
        </w:rPr>
        <w:t>億元，相關稅收約</w:t>
      </w:r>
      <w:r>
        <w:rPr>
          <w:rFonts w:eastAsia="標楷體"/>
          <w:spacing w:val="4"/>
          <w:kern w:val="0"/>
          <w:sz w:val="28"/>
          <w:szCs w:val="22"/>
        </w:rPr>
        <w:t>208</w:t>
      </w:r>
      <w:r>
        <w:rPr>
          <w:rFonts w:eastAsia="標楷體"/>
          <w:spacing w:val="4"/>
          <w:kern w:val="0"/>
          <w:sz w:val="28"/>
          <w:szCs w:val="22"/>
        </w:rPr>
        <w:t>億元，提供就業機會逾</w:t>
      </w:r>
      <w:r>
        <w:rPr>
          <w:rFonts w:eastAsia="標楷體"/>
          <w:spacing w:val="4"/>
          <w:kern w:val="0"/>
          <w:sz w:val="28"/>
          <w:szCs w:val="22"/>
        </w:rPr>
        <w:t>12,800</w:t>
      </w:r>
      <w:r>
        <w:rPr>
          <w:rFonts w:eastAsia="標楷體"/>
          <w:spacing w:val="4"/>
          <w:kern w:val="0"/>
          <w:sz w:val="28"/>
          <w:szCs w:val="22"/>
        </w:rPr>
        <w:t>人次。</w:t>
      </w:r>
    </w:p>
    <w:p w14:paraId="423D5434"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三、</w:t>
      </w:r>
      <w:r>
        <w:rPr>
          <w:rFonts w:eastAsia="標楷體"/>
          <w:b/>
          <w:color w:val="0000FF"/>
          <w:spacing w:val="4"/>
          <w:kern w:val="0"/>
          <w:sz w:val="28"/>
          <w:szCs w:val="22"/>
        </w:rPr>
        <w:t>推動民航關聯產業</w:t>
      </w:r>
      <w:r>
        <w:rPr>
          <w:rFonts w:eastAsia="標楷體"/>
          <w:color w:val="0000FF"/>
          <w:spacing w:val="4"/>
          <w:kern w:val="0"/>
          <w:sz w:val="28"/>
          <w:szCs w:val="22"/>
        </w:rPr>
        <w:t>：</w:t>
      </w:r>
      <w:r>
        <w:rPr>
          <w:rFonts w:eastAsia="標楷體"/>
          <w:spacing w:val="4"/>
          <w:kern w:val="0"/>
          <w:sz w:val="28"/>
          <w:szCs w:val="22"/>
        </w:rPr>
        <w:t>開發松山機場「民航關聯產業廊帶」，導入商業設施、航空關聯產業區、會展中心、商務旅館及商辦大樓等設施，並引進民間資金參與建設，開發規模預估</w:t>
      </w:r>
      <w:r>
        <w:rPr>
          <w:rFonts w:eastAsia="標楷體"/>
          <w:spacing w:val="4"/>
          <w:kern w:val="0"/>
          <w:sz w:val="28"/>
          <w:szCs w:val="22"/>
        </w:rPr>
        <w:t>200~400</w:t>
      </w:r>
      <w:r>
        <w:rPr>
          <w:rFonts w:eastAsia="標楷體"/>
          <w:spacing w:val="4"/>
          <w:kern w:val="0"/>
          <w:sz w:val="28"/>
          <w:szCs w:val="22"/>
        </w:rPr>
        <w:t>億元。</w:t>
      </w:r>
    </w:p>
    <w:p w14:paraId="45D41EB0"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四、</w:t>
      </w:r>
      <w:r>
        <w:rPr>
          <w:rFonts w:eastAsia="標楷體"/>
          <w:b/>
          <w:color w:val="0000FF"/>
          <w:spacing w:val="4"/>
          <w:kern w:val="0"/>
          <w:sz w:val="28"/>
          <w:szCs w:val="22"/>
        </w:rPr>
        <w:t>增加公股及國營事業投資</w:t>
      </w:r>
      <w:r>
        <w:rPr>
          <w:rFonts w:eastAsia="標楷體"/>
          <w:color w:val="0000FF"/>
          <w:spacing w:val="4"/>
          <w:kern w:val="0"/>
          <w:sz w:val="28"/>
          <w:szCs w:val="22"/>
        </w:rPr>
        <w:t>：</w:t>
      </w:r>
      <w:r>
        <w:rPr>
          <w:rFonts w:eastAsia="標楷體"/>
          <w:spacing w:val="4"/>
          <w:kern w:val="0"/>
          <w:sz w:val="28"/>
          <w:szCs w:val="22"/>
        </w:rPr>
        <w:t>中鋼結合民間企業發展高值化鋼材事業，</w:t>
      </w:r>
      <w:r>
        <w:rPr>
          <w:rFonts w:eastAsia="標楷體"/>
          <w:spacing w:val="4"/>
          <w:kern w:val="0"/>
          <w:sz w:val="28"/>
          <w:szCs w:val="22"/>
        </w:rPr>
        <w:t>102</w:t>
      </w:r>
      <w:r>
        <w:rPr>
          <w:rFonts w:eastAsia="標楷體"/>
          <w:spacing w:val="4"/>
          <w:kern w:val="0"/>
          <w:sz w:val="28"/>
          <w:szCs w:val="22"/>
        </w:rPr>
        <w:t>至</w:t>
      </w:r>
      <w:r>
        <w:rPr>
          <w:rFonts w:eastAsia="標楷體"/>
          <w:spacing w:val="4"/>
          <w:kern w:val="0"/>
          <w:sz w:val="28"/>
          <w:szCs w:val="22"/>
        </w:rPr>
        <w:t>106</w:t>
      </w:r>
      <w:r>
        <w:rPr>
          <w:rFonts w:eastAsia="標楷體"/>
          <w:spacing w:val="4"/>
          <w:kern w:val="0"/>
          <w:sz w:val="28"/>
          <w:szCs w:val="22"/>
        </w:rPr>
        <w:t>年預計投資約</w:t>
      </w:r>
      <w:r>
        <w:rPr>
          <w:rFonts w:eastAsia="標楷體"/>
          <w:spacing w:val="4"/>
          <w:kern w:val="0"/>
          <w:sz w:val="28"/>
          <w:szCs w:val="22"/>
        </w:rPr>
        <w:t>200</w:t>
      </w:r>
      <w:r>
        <w:rPr>
          <w:rFonts w:eastAsia="標楷體"/>
          <w:spacing w:val="4"/>
          <w:kern w:val="0"/>
          <w:sz w:val="28"/>
          <w:szCs w:val="22"/>
        </w:rPr>
        <w:t>億元；台糖預計於</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107</w:t>
      </w:r>
      <w:r>
        <w:rPr>
          <w:rFonts w:eastAsia="標楷體"/>
          <w:spacing w:val="4"/>
          <w:kern w:val="0"/>
          <w:sz w:val="28"/>
          <w:szCs w:val="22"/>
        </w:rPr>
        <w:t>年投資</w:t>
      </w:r>
      <w:r>
        <w:rPr>
          <w:rFonts w:eastAsia="標楷體"/>
          <w:spacing w:val="4"/>
          <w:kern w:val="0"/>
          <w:sz w:val="28"/>
          <w:szCs w:val="22"/>
        </w:rPr>
        <w:t>62</w:t>
      </w:r>
      <w:r>
        <w:rPr>
          <w:rFonts w:eastAsia="標楷體"/>
          <w:spacing w:val="4"/>
          <w:kern w:val="0"/>
          <w:sz w:val="28"/>
          <w:szCs w:val="22"/>
        </w:rPr>
        <w:t>億元，積極發展觀光休閒產業、辦理文化園區開發、興建旅館等。</w:t>
      </w:r>
    </w:p>
    <w:p w14:paraId="75AA30EF"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五、</w:t>
      </w:r>
      <w:r>
        <w:rPr>
          <w:rFonts w:eastAsia="標楷體"/>
          <w:b/>
          <w:color w:val="0000FF"/>
          <w:spacing w:val="4"/>
          <w:kern w:val="0"/>
          <w:sz w:val="28"/>
          <w:szCs w:val="22"/>
        </w:rPr>
        <w:t>打造全方位加值物流港</w:t>
      </w:r>
      <w:r>
        <w:rPr>
          <w:rFonts w:eastAsia="標楷體"/>
          <w:color w:val="0000FF"/>
          <w:spacing w:val="4"/>
          <w:kern w:val="0"/>
          <w:sz w:val="28"/>
          <w:szCs w:val="22"/>
        </w:rPr>
        <w:t>：</w:t>
      </w:r>
      <w:r>
        <w:rPr>
          <w:rFonts w:eastAsia="標楷體"/>
          <w:spacing w:val="4"/>
          <w:kern w:val="0"/>
          <w:sz w:val="28"/>
          <w:szCs w:val="22"/>
        </w:rPr>
        <w:t>臺灣港務股份有限公司興建基隆、高雄港國際郵輪中心、辦理高雄港洲際貨櫃中心第</w:t>
      </w:r>
      <w:r>
        <w:rPr>
          <w:rFonts w:eastAsia="標楷體"/>
          <w:spacing w:val="4"/>
          <w:kern w:val="0"/>
          <w:sz w:val="28"/>
          <w:szCs w:val="22"/>
        </w:rPr>
        <w:t>2</w:t>
      </w:r>
      <w:r>
        <w:rPr>
          <w:rFonts w:eastAsia="標楷體"/>
          <w:spacing w:val="4"/>
          <w:kern w:val="0"/>
          <w:sz w:val="28"/>
          <w:szCs w:val="22"/>
        </w:rPr>
        <w:t>期、南星土地開發等重大港埠建設計畫，</w:t>
      </w:r>
      <w:r>
        <w:rPr>
          <w:rFonts w:eastAsia="標楷體"/>
          <w:spacing w:val="4"/>
          <w:kern w:val="0"/>
          <w:sz w:val="28"/>
          <w:szCs w:val="22"/>
        </w:rPr>
        <w:t>101</w:t>
      </w:r>
      <w:r>
        <w:rPr>
          <w:rFonts w:eastAsia="標楷體"/>
          <w:spacing w:val="4"/>
          <w:kern w:val="0"/>
          <w:sz w:val="28"/>
          <w:szCs w:val="22"/>
        </w:rPr>
        <w:t>至</w:t>
      </w:r>
      <w:r>
        <w:rPr>
          <w:rFonts w:eastAsia="標楷體"/>
          <w:spacing w:val="4"/>
          <w:kern w:val="0"/>
          <w:sz w:val="28"/>
          <w:szCs w:val="22"/>
        </w:rPr>
        <w:t>105</w:t>
      </w:r>
      <w:r>
        <w:rPr>
          <w:rFonts w:eastAsia="標楷體"/>
          <w:spacing w:val="4"/>
          <w:kern w:val="0"/>
          <w:sz w:val="28"/>
          <w:szCs w:val="22"/>
        </w:rPr>
        <w:t>年預計投資</w:t>
      </w:r>
      <w:r>
        <w:rPr>
          <w:rFonts w:eastAsia="標楷體"/>
          <w:spacing w:val="4"/>
          <w:kern w:val="0"/>
          <w:sz w:val="28"/>
          <w:szCs w:val="22"/>
        </w:rPr>
        <w:t>660</w:t>
      </w:r>
      <w:r>
        <w:rPr>
          <w:rFonts w:eastAsia="標楷體"/>
          <w:spacing w:val="4"/>
          <w:kern w:val="0"/>
          <w:sz w:val="28"/>
          <w:szCs w:val="22"/>
        </w:rPr>
        <w:t>億元。</w:t>
      </w:r>
    </w:p>
    <w:p w14:paraId="1D24295A"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六、</w:t>
      </w:r>
      <w:r>
        <w:rPr>
          <w:rFonts w:eastAsia="標楷體"/>
          <w:b/>
          <w:color w:val="0000FF"/>
          <w:spacing w:val="4"/>
          <w:kern w:val="0"/>
          <w:sz w:val="28"/>
          <w:szCs w:val="22"/>
        </w:rPr>
        <w:t>開發具指標性國有土地</w:t>
      </w:r>
      <w:r>
        <w:rPr>
          <w:rFonts w:eastAsia="標楷體"/>
          <w:color w:val="0000FF"/>
          <w:spacing w:val="4"/>
          <w:kern w:val="0"/>
          <w:sz w:val="28"/>
          <w:szCs w:val="22"/>
        </w:rPr>
        <w:t>：</w:t>
      </w:r>
      <w:r>
        <w:rPr>
          <w:rFonts w:eastAsia="標楷體"/>
          <w:spacing w:val="4"/>
          <w:kern w:val="0"/>
          <w:sz w:val="28"/>
          <w:szCs w:val="22"/>
        </w:rPr>
        <w:t>106</w:t>
      </w:r>
      <w:r>
        <w:rPr>
          <w:rFonts w:eastAsia="標楷體"/>
          <w:spacing w:val="4"/>
          <w:kern w:val="0"/>
          <w:sz w:val="28"/>
          <w:szCs w:val="22"/>
        </w:rPr>
        <w:t>年底前完成開發與興建華光社區國有土地，預估可創造總收益</w:t>
      </w:r>
      <w:r>
        <w:rPr>
          <w:rFonts w:eastAsia="標楷體"/>
          <w:spacing w:val="4"/>
          <w:kern w:val="0"/>
          <w:sz w:val="28"/>
          <w:szCs w:val="22"/>
        </w:rPr>
        <w:t>250</w:t>
      </w:r>
      <w:r>
        <w:rPr>
          <w:rFonts w:eastAsia="標楷體"/>
          <w:spacing w:val="4"/>
          <w:kern w:val="0"/>
          <w:sz w:val="28"/>
          <w:szCs w:val="22"/>
        </w:rPr>
        <w:t>億元，民間投資總額</w:t>
      </w:r>
      <w:r>
        <w:rPr>
          <w:rFonts w:eastAsia="標楷體"/>
          <w:spacing w:val="4"/>
          <w:kern w:val="0"/>
          <w:sz w:val="28"/>
          <w:szCs w:val="22"/>
        </w:rPr>
        <w:t>54</w:t>
      </w:r>
      <w:r>
        <w:rPr>
          <w:rFonts w:eastAsia="標楷體"/>
          <w:spacing w:val="4"/>
          <w:kern w:val="0"/>
          <w:sz w:val="28"/>
          <w:szCs w:val="22"/>
        </w:rPr>
        <w:t>億元，相關稅收</w:t>
      </w:r>
      <w:r>
        <w:rPr>
          <w:rFonts w:eastAsia="標楷體"/>
          <w:spacing w:val="4"/>
          <w:kern w:val="0"/>
          <w:sz w:val="28"/>
          <w:szCs w:val="22"/>
        </w:rPr>
        <w:t>0.93</w:t>
      </w:r>
      <w:r>
        <w:rPr>
          <w:rFonts w:eastAsia="標楷體"/>
          <w:spacing w:val="4"/>
          <w:kern w:val="0"/>
          <w:sz w:val="28"/>
          <w:szCs w:val="22"/>
        </w:rPr>
        <w:t>億元，提供就業機會</w:t>
      </w:r>
      <w:r>
        <w:rPr>
          <w:rFonts w:eastAsia="標楷體"/>
          <w:spacing w:val="4"/>
          <w:kern w:val="0"/>
          <w:sz w:val="28"/>
          <w:szCs w:val="22"/>
        </w:rPr>
        <w:t>2,800</w:t>
      </w:r>
      <w:r>
        <w:rPr>
          <w:rFonts w:eastAsia="標楷體"/>
          <w:spacing w:val="4"/>
          <w:kern w:val="0"/>
          <w:sz w:val="28"/>
          <w:szCs w:val="22"/>
        </w:rPr>
        <w:t>人次。</w:t>
      </w:r>
    </w:p>
    <w:p w14:paraId="0F532429" w14:textId="77777777" w:rsidR="00052596" w:rsidRDefault="00000000">
      <w:pPr>
        <w:tabs>
          <w:tab w:val="left" w:pos="960"/>
          <w:tab w:val="left" w:pos="1920"/>
          <w:tab w:val="left" w:pos="2880"/>
          <w:tab w:val="left" w:pos="3840"/>
          <w:tab w:val="left" w:pos="4800"/>
          <w:tab w:val="left" w:pos="5760"/>
        </w:tabs>
        <w:overflowPunct w:val="0"/>
        <w:autoSpaceDE w:val="0"/>
        <w:spacing w:line="420" w:lineRule="exact"/>
        <w:ind w:left="793" w:hanging="577"/>
        <w:jc w:val="both"/>
        <w:textAlignment w:val="center"/>
      </w:pPr>
      <w:r>
        <w:rPr>
          <w:rFonts w:ascii="標楷體" w:eastAsia="標楷體" w:hAnsi="標楷體"/>
          <w:b/>
          <w:color w:val="0000FF"/>
          <w:spacing w:val="4"/>
          <w:kern w:val="0"/>
          <w:sz w:val="28"/>
          <w:szCs w:val="22"/>
        </w:rPr>
        <w:t>七、</w:t>
      </w:r>
      <w:r>
        <w:rPr>
          <w:rFonts w:eastAsia="標楷體"/>
          <w:b/>
          <w:color w:val="0000FF"/>
          <w:spacing w:val="6"/>
          <w:kern w:val="0"/>
          <w:sz w:val="28"/>
          <w:szCs w:val="22"/>
        </w:rPr>
        <w:t>持續擴展航空網絡，帶動區域及產業發展</w:t>
      </w:r>
      <w:r>
        <w:rPr>
          <w:rFonts w:eastAsia="標楷體"/>
          <w:color w:val="0000FF"/>
          <w:spacing w:val="6"/>
          <w:kern w:val="0"/>
          <w:sz w:val="28"/>
          <w:szCs w:val="22"/>
        </w:rPr>
        <w:t>：</w:t>
      </w:r>
      <w:r>
        <w:rPr>
          <w:rFonts w:eastAsia="標楷體"/>
          <w:spacing w:val="6"/>
          <w:kern w:val="0"/>
          <w:sz w:val="28"/>
          <w:szCs w:val="22"/>
        </w:rPr>
        <w:t>桃園國際機場股份有限公司持續推動桃園航空城計畫，</w:t>
      </w:r>
      <w:r>
        <w:rPr>
          <w:rFonts w:eastAsia="標楷體"/>
          <w:spacing w:val="6"/>
          <w:kern w:val="0"/>
          <w:sz w:val="28"/>
          <w:szCs w:val="22"/>
        </w:rPr>
        <w:t>101</w:t>
      </w:r>
      <w:r>
        <w:rPr>
          <w:rFonts w:eastAsia="標楷體"/>
          <w:spacing w:val="6"/>
          <w:kern w:val="0"/>
          <w:sz w:val="28"/>
          <w:szCs w:val="22"/>
        </w:rPr>
        <w:t>至</w:t>
      </w:r>
      <w:r>
        <w:rPr>
          <w:rFonts w:eastAsia="標楷體"/>
          <w:spacing w:val="6"/>
          <w:kern w:val="0"/>
          <w:sz w:val="28"/>
          <w:szCs w:val="22"/>
        </w:rPr>
        <w:t>107</w:t>
      </w:r>
      <w:r>
        <w:rPr>
          <w:rFonts w:eastAsia="標楷體"/>
          <w:spacing w:val="6"/>
          <w:kern w:val="0"/>
          <w:sz w:val="28"/>
          <w:szCs w:val="22"/>
        </w:rPr>
        <w:t>年預計投資</w:t>
      </w:r>
      <w:r>
        <w:rPr>
          <w:rFonts w:eastAsia="標楷體"/>
          <w:spacing w:val="6"/>
          <w:kern w:val="0"/>
          <w:sz w:val="28"/>
          <w:szCs w:val="22"/>
        </w:rPr>
        <w:t>953</w:t>
      </w:r>
      <w:r>
        <w:rPr>
          <w:rFonts w:eastAsia="標楷體"/>
          <w:spacing w:val="6"/>
          <w:kern w:val="0"/>
          <w:sz w:val="28"/>
          <w:szCs w:val="22"/>
        </w:rPr>
        <w:t>億元。</w:t>
      </w:r>
    </w:p>
    <w:p w14:paraId="039EF0CC" w14:textId="77777777" w:rsidR="00052596" w:rsidRDefault="00052596">
      <w:pPr>
        <w:tabs>
          <w:tab w:val="left" w:pos="960"/>
          <w:tab w:val="left" w:pos="1920"/>
          <w:tab w:val="left" w:pos="2880"/>
          <w:tab w:val="left" w:pos="3840"/>
          <w:tab w:val="left" w:pos="4800"/>
          <w:tab w:val="left" w:pos="5760"/>
        </w:tabs>
        <w:overflowPunct w:val="0"/>
        <w:autoSpaceDE w:val="0"/>
        <w:spacing w:line="420" w:lineRule="exact"/>
        <w:ind w:left="792" w:hanging="576"/>
        <w:jc w:val="both"/>
        <w:textAlignment w:val="center"/>
        <w:rPr>
          <w:rFonts w:eastAsia="標楷體"/>
          <w:spacing w:val="4"/>
          <w:kern w:val="0"/>
          <w:sz w:val="28"/>
          <w:szCs w:val="22"/>
        </w:rPr>
        <w:sectPr w:rsidR="00052596">
          <w:headerReference w:type="even" r:id="rId72"/>
          <w:headerReference w:type="default" r:id="rId73"/>
          <w:footerReference w:type="even" r:id="rId74"/>
          <w:footerReference w:type="default" r:id="rId75"/>
          <w:pgSz w:w="11907" w:h="16840"/>
          <w:pgMar w:top="2268" w:right="1701" w:bottom="1701" w:left="1701" w:header="680" w:footer="737" w:gutter="0"/>
          <w:pgNumType w:start="99"/>
          <w:cols w:space="720"/>
        </w:sectPr>
      </w:pPr>
    </w:p>
    <w:p w14:paraId="0388628F" w14:textId="77777777" w:rsidR="00052596" w:rsidRDefault="00000000">
      <w:pPr>
        <w:overflowPunct w:val="0"/>
        <w:spacing w:after="120" w:line="240" w:lineRule="atLeast"/>
        <w:ind w:firstLine="244"/>
        <w:jc w:val="both"/>
        <w:rPr>
          <w:rFonts w:ascii="新細明體" w:hAnsi="新細明體"/>
          <w:b/>
          <w:spacing w:val="4"/>
          <w:kern w:val="0"/>
        </w:rPr>
      </w:pPr>
      <w:r>
        <w:rPr>
          <w:rFonts w:ascii="新細明體" w:hAnsi="新細明體"/>
          <w:b/>
          <w:spacing w:val="4"/>
          <w:kern w:val="0"/>
        </w:rPr>
        <w:lastRenderedPageBreak/>
        <w:t xml:space="preserve">國家圖書館出版品預行編目(CIP)資料 </w:t>
      </w:r>
    </w:p>
    <w:tbl>
      <w:tblPr>
        <w:tblW w:w="7125" w:type="dxa"/>
        <w:tblInd w:w="19" w:type="dxa"/>
        <w:tblCellMar>
          <w:left w:w="10" w:type="dxa"/>
          <w:right w:w="10" w:type="dxa"/>
        </w:tblCellMar>
        <w:tblLook w:val="04A0" w:firstRow="1" w:lastRow="0" w:firstColumn="1" w:lastColumn="0" w:noHBand="0" w:noVBand="1"/>
      </w:tblPr>
      <w:tblGrid>
        <w:gridCol w:w="7125"/>
      </w:tblGrid>
      <w:tr w:rsidR="00052596" w14:paraId="620092E9" w14:textId="77777777">
        <w:tblPrEx>
          <w:tblCellMar>
            <w:top w:w="0" w:type="dxa"/>
            <w:bottom w:w="0" w:type="dxa"/>
          </w:tblCellMar>
        </w:tblPrEx>
        <w:trPr>
          <w:trHeight w:val="3565"/>
        </w:trPr>
        <w:tc>
          <w:tcPr>
            <w:tcW w:w="71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39AE04" w14:textId="77777777" w:rsidR="00052596" w:rsidRDefault="00052596">
            <w:pPr>
              <w:widowControl/>
              <w:ind w:left="1138" w:right="840" w:hanging="240"/>
              <w:jc w:val="both"/>
              <w:rPr>
                <w:rFonts w:ascii="新細明體" w:hAnsi="新細明體" w:cs="新細明體"/>
                <w:kern w:val="0"/>
                <w:szCs w:val="24"/>
              </w:rPr>
            </w:pPr>
          </w:p>
          <w:p w14:paraId="19D58D6C" w14:textId="77777777" w:rsidR="00052596" w:rsidRDefault="00000000">
            <w:pPr>
              <w:widowControl/>
              <w:spacing w:after="72" w:line="340" w:lineRule="exact"/>
              <w:ind w:left="568" w:right="840" w:hanging="33"/>
              <w:jc w:val="both"/>
              <w:rPr>
                <w:rFonts w:ascii="新細明體" w:hAnsi="新細明體" w:cs="新細明體"/>
                <w:spacing w:val="8"/>
                <w:kern w:val="0"/>
                <w:szCs w:val="24"/>
              </w:rPr>
            </w:pPr>
            <w:r>
              <w:rPr>
                <w:rFonts w:ascii="新細明體" w:hAnsi="新細明體" w:cs="新細明體"/>
                <w:spacing w:val="8"/>
                <w:kern w:val="0"/>
                <w:szCs w:val="24"/>
              </w:rPr>
              <w:t xml:space="preserve">國家發展計畫. 102至105年 / 行政院經濟建設委員會編著. -- 初版. -- 臺北市 : 經建會, 民102.1 </w:t>
            </w:r>
          </w:p>
          <w:p w14:paraId="309F2407" w14:textId="77777777" w:rsidR="00052596" w:rsidRDefault="00000000">
            <w:pPr>
              <w:widowControl/>
              <w:spacing w:after="72" w:line="340" w:lineRule="exact"/>
              <w:ind w:left="568" w:right="840" w:hanging="33"/>
              <w:jc w:val="both"/>
              <w:rPr>
                <w:rFonts w:ascii="新細明體" w:hAnsi="新細明體" w:cs="新細明體"/>
                <w:spacing w:val="8"/>
                <w:kern w:val="0"/>
                <w:szCs w:val="24"/>
              </w:rPr>
            </w:pPr>
            <w:r>
              <w:rPr>
                <w:rFonts w:ascii="新細明體" w:hAnsi="新細明體" w:cs="新細明體"/>
                <w:spacing w:val="8"/>
                <w:kern w:val="0"/>
                <w:szCs w:val="24"/>
              </w:rPr>
              <w:t xml:space="preserve">　面 ; 　公分 </w:t>
            </w:r>
          </w:p>
          <w:p w14:paraId="6435F86F" w14:textId="77777777" w:rsidR="00052596" w:rsidRDefault="00000000">
            <w:pPr>
              <w:widowControl/>
              <w:spacing w:before="120"/>
              <w:ind w:left="901" w:right="840" w:hanging="164"/>
              <w:jc w:val="both"/>
              <w:rPr>
                <w:rFonts w:ascii="新細明體" w:hAnsi="新細明體" w:cs="新細明體"/>
                <w:spacing w:val="8"/>
                <w:kern w:val="0"/>
                <w:szCs w:val="24"/>
              </w:rPr>
            </w:pPr>
            <w:r>
              <w:rPr>
                <w:rFonts w:ascii="新細明體" w:hAnsi="新細明體" w:cs="新細明體"/>
                <w:spacing w:val="8"/>
                <w:kern w:val="0"/>
                <w:szCs w:val="24"/>
              </w:rPr>
              <w:t xml:space="preserve">ISBN 978-986-03-5620-5(平裝) </w:t>
            </w:r>
          </w:p>
          <w:p w14:paraId="058896A4" w14:textId="77777777" w:rsidR="00052596" w:rsidRDefault="00052596">
            <w:pPr>
              <w:widowControl/>
              <w:spacing w:before="120" w:line="240" w:lineRule="exact"/>
              <w:ind w:left="901" w:right="840" w:hanging="164"/>
              <w:jc w:val="both"/>
              <w:rPr>
                <w:rFonts w:ascii="新細明體" w:hAnsi="新細明體" w:cs="新細明體"/>
                <w:spacing w:val="8"/>
                <w:kern w:val="0"/>
                <w:szCs w:val="24"/>
              </w:rPr>
            </w:pPr>
          </w:p>
          <w:p w14:paraId="6407BCA9" w14:textId="77777777" w:rsidR="00052596" w:rsidRDefault="00000000">
            <w:pPr>
              <w:widowControl/>
              <w:spacing w:before="120"/>
              <w:ind w:left="901" w:right="840" w:hanging="164"/>
              <w:jc w:val="both"/>
              <w:rPr>
                <w:rFonts w:ascii="新細明體" w:hAnsi="新細明體" w:cs="新細明體"/>
                <w:spacing w:val="8"/>
                <w:kern w:val="0"/>
                <w:szCs w:val="24"/>
              </w:rPr>
            </w:pPr>
            <w:r>
              <w:rPr>
                <w:rFonts w:ascii="新細明體" w:hAnsi="新細明體" w:cs="新細明體"/>
                <w:spacing w:val="8"/>
                <w:kern w:val="0"/>
                <w:szCs w:val="24"/>
              </w:rPr>
              <w:t xml:space="preserve">1.經濟建設 2.國家發展 3.臺灣 </w:t>
            </w:r>
          </w:p>
          <w:p w14:paraId="17DD8A3F" w14:textId="77777777" w:rsidR="00052596" w:rsidRDefault="00052596">
            <w:pPr>
              <w:widowControl/>
              <w:ind w:left="1138" w:right="804" w:hanging="240"/>
              <w:jc w:val="both"/>
              <w:rPr>
                <w:rFonts w:ascii="新細明體" w:hAnsi="新細明體" w:cs="新細明體"/>
                <w:kern w:val="0"/>
                <w:szCs w:val="24"/>
              </w:rPr>
            </w:pPr>
          </w:p>
          <w:tbl>
            <w:tblPr>
              <w:tblW w:w="5000" w:type="pct"/>
              <w:jc w:val="center"/>
              <w:tblCellMar>
                <w:left w:w="10" w:type="dxa"/>
                <w:right w:w="10" w:type="dxa"/>
              </w:tblCellMar>
              <w:tblLook w:val="04A0" w:firstRow="1" w:lastRow="0" w:firstColumn="1" w:lastColumn="0" w:noHBand="0" w:noVBand="1"/>
            </w:tblPr>
            <w:tblGrid>
              <w:gridCol w:w="720"/>
              <w:gridCol w:w="2133"/>
              <w:gridCol w:w="3467"/>
              <w:gridCol w:w="795"/>
            </w:tblGrid>
            <w:tr w:rsidR="00052596" w14:paraId="6FE57542" w14:textId="77777777">
              <w:tblPrEx>
                <w:tblCellMar>
                  <w:top w:w="0" w:type="dxa"/>
                  <w:bottom w:w="0" w:type="dxa"/>
                </w:tblCellMar>
              </w:tblPrEx>
              <w:trPr>
                <w:jc w:val="center"/>
              </w:trPr>
              <w:tc>
                <w:tcPr>
                  <w:tcW w:w="720" w:type="dxa"/>
                  <w:shd w:val="clear" w:color="auto" w:fill="auto"/>
                  <w:tcMar>
                    <w:top w:w="0" w:type="dxa"/>
                    <w:left w:w="0" w:type="dxa"/>
                    <w:bottom w:w="0" w:type="dxa"/>
                    <w:right w:w="0" w:type="dxa"/>
                  </w:tcMar>
                  <w:vAlign w:val="center"/>
                </w:tcPr>
                <w:p w14:paraId="290D471D" w14:textId="77777777" w:rsidR="00052596" w:rsidRDefault="00000000">
                  <w:pPr>
                    <w:widowControl/>
                    <w:rPr>
                      <w:rFonts w:ascii="新細明體" w:hAnsi="新細明體" w:cs="Arial"/>
                      <w:kern w:val="0"/>
                      <w:szCs w:val="24"/>
                    </w:rPr>
                  </w:pPr>
                  <w:r>
                    <w:rPr>
                      <w:rFonts w:ascii="新細明體" w:hAnsi="新細明體" w:cs="Arial"/>
                      <w:kern w:val="0"/>
                      <w:szCs w:val="24"/>
                    </w:rPr>
                    <w:t> </w:t>
                  </w:r>
                </w:p>
              </w:tc>
              <w:tc>
                <w:tcPr>
                  <w:tcW w:w="2133" w:type="dxa"/>
                  <w:shd w:val="clear" w:color="auto" w:fill="auto"/>
                  <w:tcMar>
                    <w:top w:w="0" w:type="dxa"/>
                    <w:left w:w="0" w:type="dxa"/>
                    <w:bottom w:w="0" w:type="dxa"/>
                    <w:right w:w="0" w:type="dxa"/>
                  </w:tcMar>
                  <w:vAlign w:val="center"/>
                </w:tcPr>
                <w:p w14:paraId="7D6DEE29" w14:textId="77777777" w:rsidR="00052596" w:rsidRDefault="00000000">
                  <w:pPr>
                    <w:widowControl/>
                    <w:rPr>
                      <w:rFonts w:ascii="新細明體" w:hAnsi="新細明體" w:cs="Arial"/>
                      <w:kern w:val="0"/>
                      <w:szCs w:val="24"/>
                    </w:rPr>
                  </w:pPr>
                  <w:r>
                    <w:rPr>
                      <w:rFonts w:ascii="新細明體" w:hAnsi="新細明體" w:cs="Arial"/>
                      <w:kern w:val="0"/>
                      <w:szCs w:val="24"/>
                    </w:rPr>
                    <w:t>552.33</w:t>
                  </w:r>
                </w:p>
              </w:tc>
              <w:tc>
                <w:tcPr>
                  <w:tcW w:w="3467" w:type="dxa"/>
                  <w:shd w:val="clear" w:color="auto" w:fill="auto"/>
                  <w:tcMar>
                    <w:top w:w="0" w:type="dxa"/>
                    <w:left w:w="0" w:type="dxa"/>
                    <w:bottom w:w="0" w:type="dxa"/>
                    <w:right w:w="0" w:type="dxa"/>
                  </w:tcMar>
                  <w:vAlign w:val="center"/>
                </w:tcPr>
                <w:p w14:paraId="7D5697CC" w14:textId="77777777" w:rsidR="00052596" w:rsidRDefault="00000000">
                  <w:pPr>
                    <w:widowControl/>
                    <w:jc w:val="right"/>
                    <w:rPr>
                      <w:rFonts w:ascii="新細明體" w:hAnsi="新細明體" w:cs="Arial"/>
                      <w:kern w:val="0"/>
                      <w:szCs w:val="24"/>
                    </w:rPr>
                  </w:pPr>
                  <w:r>
                    <w:rPr>
                      <w:rFonts w:ascii="新細明體" w:hAnsi="新細明體" w:cs="Arial"/>
                      <w:kern w:val="0"/>
                      <w:szCs w:val="24"/>
                    </w:rPr>
                    <w:t>101026953</w:t>
                  </w:r>
                </w:p>
              </w:tc>
              <w:tc>
                <w:tcPr>
                  <w:tcW w:w="795" w:type="dxa"/>
                  <w:shd w:val="clear" w:color="auto" w:fill="auto"/>
                  <w:tcMar>
                    <w:top w:w="0" w:type="dxa"/>
                    <w:left w:w="0" w:type="dxa"/>
                    <w:bottom w:w="0" w:type="dxa"/>
                    <w:right w:w="0" w:type="dxa"/>
                  </w:tcMar>
                  <w:vAlign w:val="center"/>
                </w:tcPr>
                <w:p w14:paraId="7E0A6584" w14:textId="77777777" w:rsidR="00052596" w:rsidRDefault="00000000">
                  <w:pPr>
                    <w:widowControl/>
                    <w:rPr>
                      <w:rFonts w:ascii="新細明體" w:hAnsi="新細明體" w:cs="Arial"/>
                      <w:kern w:val="0"/>
                      <w:szCs w:val="24"/>
                    </w:rPr>
                  </w:pPr>
                  <w:r>
                    <w:rPr>
                      <w:rFonts w:ascii="新細明體" w:hAnsi="新細明體" w:cs="Arial"/>
                      <w:kern w:val="0"/>
                      <w:szCs w:val="24"/>
                    </w:rPr>
                    <w:t>  </w:t>
                  </w:r>
                </w:p>
              </w:tc>
            </w:tr>
          </w:tbl>
          <w:p w14:paraId="50D04C01" w14:textId="77777777" w:rsidR="00052596" w:rsidRDefault="00052596">
            <w:pPr>
              <w:widowControl/>
              <w:jc w:val="center"/>
              <w:rPr>
                <w:rFonts w:ascii="新細明體" w:hAnsi="新細明體" w:cs="新細明體"/>
                <w:kern w:val="0"/>
                <w:szCs w:val="24"/>
              </w:rPr>
            </w:pPr>
          </w:p>
        </w:tc>
      </w:tr>
    </w:tbl>
    <w:p w14:paraId="4B10D899" w14:textId="77777777" w:rsidR="00052596" w:rsidRDefault="00052596">
      <w:pPr>
        <w:overflowPunct w:val="0"/>
        <w:spacing w:line="240" w:lineRule="exact"/>
        <w:jc w:val="both"/>
        <w:rPr>
          <w:rFonts w:ascii="文鼎中楷" w:eastAsia="文鼎中楷" w:hAnsi="文鼎中楷"/>
          <w:spacing w:val="4"/>
          <w:kern w:val="0"/>
          <w:sz w:val="32"/>
        </w:rPr>
      </w:pPr>
    </w:p>
    <w:p w14:paraId="60524B42" w14:textId="77777777" w:rsidR="00052596" w:rsidRDefault="00000000">
      <w:pPr>
        <w:overflowPunct w:val="0"/>
        <w:autoSpaceDE w:val="0"/>
        <w:spacing w:before="240" w:after="120" w:line="300" w:lineRule="exact"/>
        <w:ind w:left="856" w:right="329" w:hanging="470"/>
        <w:jc w:val="both"/>
      </w:pPr>
      <w:r>
        <w:rPr>
          <w:noProof/>
        </w:rPr>
        <mc:AlternateContent>
          <mc:Choice Requires="wps">
            <w:drawing>
              <wp:anchor distT="0" distB="0" distL="114300" distR="114300" simplePos="0" relativeHeight="251698688" behindDoc="0" locked="0" layoutInCell="1" allowOverlap="1" wp14:anchorId="12273425" wp14:editId="050825D8">
                <wp:simplePos x="0" y="0"/>
                <wp:positionH relativeFrom="column">
                  <wp:posOffset>27303</wp:posOffset>
                </wp:positionH>
                <wp:positionV relativeFrom="paragraph">
                  <wp:posOffset>43177</wp:posOffset>
                </wp:positionV>
                <wp:extent cx="4495803" cy="4683757"/>
                <wp:effectExtent l="0" t="0" r="19047" b="21593"/>
                <wp:wrapNone/>
                <wp:docPr id="205" name="Rectangle 3"/>
                <wp:cNvGraphicFramePr/>
                <a:graphic xmlns:a="http://schemas.openxmlformats.org/drawingml/2006/main">
                  <a:graphicData uri="http://schemas.microsoft.com/office/word/2010/wordprocessingShape">
                    <wps:wsp>
                      <wps:cNvSpPr/>
                      <wps:spPr>
                        <a:xfrm>
                          <a:off x="0" y="0"/>
                          <a:ext cx="4495803" cy="4683757"/>
                        </a:xfrm>
                        <a:prstGeom prst="rect">
                          <a:avLst/>
                        </a:prstGeom>
                        <a:noFill/>
                        <a:ln w="9528">
                          <a:solidFill>
                            <a:srgbClr val="000000"/>
                          </a:solidFill>
                          <a:prstDash val="solid"/>
                          <a:miter/>
                        </a:ln>
                      </wps:spPr>
                      <wps:bodyPr lIns="0" tIns="0" rIns="0" bIns="0"/>
                    </wps:wsp>
                  </a:graphicData>
                </a:graphic>
              </wp:anchor>
            </w:drawing>
          </mc:Choice>
          <mc:Fallback>
            <w:pict>
              <v:rect w14:anchorId="71DA1D31" id="Rectangle 3" o:spid="_x0000_s1026" style="position:absolute;margin-left:2.15pt;margin-top:3.4pt;width:354pt;height:368.8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" filled="f" strokeweight=".26467mm">
                <v:textbox inset="0,0,0,0"/>
              </v:rect>
            </w:pict>
          </mc:Fallback>
        </mc:AlternateContent>
      </w:r>
      <w:r>
        <w:rPr>
          <w:rFonts w:ascii="新細明體" w:hAnsi="新細明體"/>
          <w:b/>
          <w:spacing w:val="24"/>
          <w:kern w:val="0"/>
        </w:rPr>
        <w:t>國家發展計畫(102至105年)</w:t>
      </w:r>
    </w:p>
    <w:p w14:paraId="501E0F79" w14:textId="77777777" w:rsidR="00052596" w:rsidRDefault="00000000">
      <w:pPr>
        <w:overflowPunct w:val="0"/>
        <w:autoSpaceDE w:val="0"/>
        <w:spacing w:before="48" w:after="24" w:line="360" w:lineRule="exact"/>
        <w:ind w:left="397"/>
        <w:jc w:val="both"/>
        <w:rPr>
          <w:rFonts w:ascii="新細明體" w:hAnsi="新細明體"/>
          <w:spacing w:val="8"/>
          <w:kern w:val="0"/>
          <w:szCs w:val="24"/>
        </w:rPr>
      </w:pPr>
      <w:r>
        <w:rPr>
          <w:rFonts w:ascii="新細明體" w:hAnsi="新細明體"/>
          <w:spacing w:val="8"/>
          <w:kern w:val="0"/>
          <w:szCs w:val="24"/>
        </w:rPr>
        <w:t>編 著 者：行政院經濟建設委員會</w:t>
      </w:r>
    </w:p>
    <w:p w14:paraId="2C446F66" w14:textId="77777777" w:rsidR="00052596" w:rsidRDefault="00000000">
      <w:pPr>
        <w:overflowPunct w:val="0"/>
        <w:autoSpaceDE w:val="0"/>
        <w:spacing w:before="48" w:after="24" w:line="360" w:lineRule="exact"/>
        <w:ind w:left="397"/>
        <w:jc w:val="both"/>
        <w:rPr>
          <w:rFonts w:ascii="新細明體" w:hAnsi="新細明體"/>
          <w:spacing w:val="8"/>
          <w:kern w:val="0"/>
          <w:szCs w:val="24"/>
        </w:rPr>
      </w:pPr>
      <w:r>
        <w:rPr>
          <w:rFonts w:ascii="新細明體" w:hAnsi="新細明體"/>
          <w:spacing w:val="8"/>
          <w:kern w:val="0"/>
          <w:szCs w:val="24"/>
        </w:rPr>
        <w:t>出版機關：行政院經濟建設委員會</w:t>
      </w:r>
    </w:p>
    <w:p w14:paraId="587258BF" w14:textId="77777777" w:rsidR="00052596" w:rsidRDefault="00000000">
      <w:pPr>
        <w:overflowPunct w:val="0"/>
        <w:autoSpaceDE w:val="0"/>
        <w:spacing w:before="48" w:after="24" w:line="360" w:lineRule="exact"/>
        <w:ind w:left="397"/>
        <w:jc w:val="both"/>
        <w:rPr>
          <w:rFonts w:ascii="新細明體" w:hAnsi="新細明體"/>
          <w:spacing w:val="8"/>
          <w:kern w:val="0"/>
          <w:szCs w:val="24"/>
        </w:rPr>
      </w:pPr>
      <w:r>
        <w:rPr>
          <w:rFonts w:ascii="新細明體" w:hAnsi="新細明體"/>
          <w:spacing w:val="8"/>
          <w:kern w:val="0"/>
          <w:szCs w:val="24"/>
        </w:rPr>
        <w:t>地    址：臺北市寶慶路3號   (02)2316-5300</w:t>
      </w:r>
    </w:p>
    <w:p w14:paraId="35C3762C" w14:textId="77777777" w:rsidR="00052596" w:rsidRDefault="00000000">
      <w:pPr>
        <w:overflowPunct w:val="0"/>
        <w:autoSpaceDE w:val="0"/>
        <w:spacing w:before="48" w:after="24" w:line="360" w:lineRule="exact"/>
        <w:ind w:left="397"/>
        <w:jc w:val="both"/>
        <w:rPr>
          <w:rFonts w:ascii="新細明體" w:hAnsi="新細明體"/>
          <w:spacing w:val="8"/>
          <w:kern w:val="0"/>
          <w:szCs w:val="24"/>
        </w:rPr>
      </w:pPr>
      <w:r>
        <w:rPr>
          <w:rFonts w:ascii="新細明體" w:hAnsi="新細明體"/>
          <w:spacing w:val="8"/>
          <w:kern w:val="0"/>
          <w:szCs w:val="24"/>
        </w:rPr>
        <w:t>網    址：http://www.cepd.gov.tw</w:t>
      </w:r>
    </w:p>
    <w:p w14:paraId="26994735" w14:textId="77777777" w:rsidR="00052596" w:rsidRDefault="00000000">
      <w:pPr>
        <w:overflowPunct w:val="0"/>
        <w:autoSpaceDE w:val="0"/>
        <w:spacing w:before="48" w:after="24" w:line="360" w:lineRule="exact"/>
        <w:ind w:left="397"/>
        <w:jc w:val="both"/>
        <w:rPr>
          <w:rFonts w:ascii="新細明體" w:hAnsi="新細明體"/>
          <w:spacing w:val="40"/>
          <w:kern w:val="0"/>
          <w:szCs w:val="24"/>
        </w:rPr>
      </w:pPr>
      <w:r>
        <w:rPr>
          <w:rFonts w:ascii="新細明體" w:hAnsi="新細明體"/>
          <w:spacing w:val="40"/>
          <w:kern w:val="0"/>
          <w:szCs w:val="24"/>
        </w:rPr>
        <w:t>中華民國102年1月初版</w:t>
      </w:r>
    </w:p>
    <w:p w14:paraId="614D9232" w14:textId="77777777" w:rsidR="00052596" w:rsidRDefault="00000000">
      <w:pPr>
        <w:overflowPunct w:val="0"/>
        <w:autoSpaceDE w:val="0"/>
        <w:spacing w:before="48" w:after="120" w:line="360" w:lineRule="exact"/>
        <w:ind w:left="397"/>
        <w:jc w:val="both"/>
        <w:rPr>
          <w:rFonts w:ascii="新細明體" w:hAnsi="新細明體"/>
          <w:spacing w:val="8"/>
          <w:kern w:val="0"/>
          <w:szCs w:val="24"/>
        </w:rPr>
      </w:pPr>
      <w:r>
        <w:rPr>
          <w:rFonts w:ascii="新細明體" w:hAnsi="新細明體"/>
          <w:spacing w:val="8"/>
          <w:kern w:val="0"/>
          <w:szCs w:val="24"/>
        </w:rPr>
        <w:t>定    價：新臺幣250元</w:t>
      </w:r>
    </w:p>
    <w:p w14:paraId="77EE6F1D" w14:textId="77777777" w:rsidR="00052596" w:rsidRDefault="00000000">
      <w:pPr>
        <w:overflowPunct w:val="0"/>
        <w:autoSpaceDE w:val="0"/>
        <w:spacing w:after="72" w:line="280" w:lineRule="exact"/>
        <w:ind w:left="1878" w:hanging="1508"/>
      </w:pPr>
      <w:r>
        <w:rPr>
          <w:rFonts w:ascii="新細明體" w:hAnsi="新細明體"/>
          <w:spacing w:val="10"/>
          <w:kern w:val="0"/>
          <w:szCs w:val="24"/>
        </w:rPr>
        <w:t>展 售 處：</w:t>
      </w:r>
      <w:r>
        <w:rPr>
          <w:rFonts w:ascii="新細明體" w:hAnsi="新細明體"/>
          <w:spacing w:val="8"/>
          <w:kern w:val="0"/>
          <w:szCs w:val="24"/>
        </w:rPr>
        <w:t>三民書局</w:t>
      </w:r>
    </w:p>
    <w:p w14:paraId="11299B68" w14:textId="77777777" w:rsidR="00052596" w:rsidRDefault="00000000">
      <w:pPr>
        <w:overflowPunct w:val="0"/>
        <w:autoSpaceDE w:val="0"/>
        <w:spacing w:before="20" w:after="72" w:line="280" w:lineRule="exact"/>
        <w:ind w:left="1826"/>
        <w:jc w:val="both"/>
        <w:rPr>
          <w:rFonts w:ascii="新細明體" w:hAnsi="新細明體"/>
          <w:spacing w:val="8"/>
          <w:kern w:val="0"/>
          <w:szCs w:val="24"/>
        </w:rPr>
      </w:pPr>
      <w:r>
        <w:rPr>
          <w:rFonts w:ascii="新細明體" w:hAnsi="新細明體"/>
          <w:spacing w:val="8"/>
          <w:kern w:val="0"/>
          <w:szCs w:val="24"/>
        </w:rPr>
        <w:t>100臺北市重慶南路1段61號</w:t>
      </w:r>
    </w:p>
    <w:p w14:paraId="043B9F9B" w14:textId="77777777" w:rsidR="00052596" w:rsidRDefault="00000000">
      <w:pPr>
        <w:overflowPunct w:val="0"/>
        <w:autoSpaceDE w:val="0"/>
        <w:spacing w:before="20" w:after="72" w:line="280" w:lineRule="exact"/>
        <w:ind w:left="1826"/>
        <w:jc w:val="both"/>
        <w:rPr>
          <w:rFonts w:ascii="新細明體" w:hAnsi="新細明體"/>
          <w:spacing w:val="8"/>
          <w:kern w:val="0"/>
          <w:szCs w:val="24"/>
        </w:rPr>
      </w:pPr>
      <w:r>
        <w:rPr>
          <w:rFonts w:ascii="新細明體" w:hAnsi="新細明體"/>
          <w:spacing w:val="8"/>
          <w:kern w:val="0"/>
          <w:szCs w:val="24"/>
        </w:rPr>
        <w:t>TEL：02-23617511  FAX：02-23613355</w:t>
      </w:r>
    </w:p>
    <w:p w14:paraId="7E66A0F9" w14:textId="77777777" w:rsidR="00052596" w:rsidRDefault="00000000">
      <w:pPr>
        <w:overflowPunct w:val="0"/>
        <w:autoSpaceDE w:val="0"/>
        <w:spacing w:before="20" w:after="72" w:line="280" w:lineRule="exact"/>
        <w:ind w:left="1826"/>
        <w:jc w:val="both"/>
        <w:rPr>
          <w:rFonts w:ascii="新細明體" w:hAnsi="新細明體"/>
          <w:spacing w:val="8"/>
          <w:kern w:val="0"/>
          <w:szCs w:val="24"/>
        </w:rPr>
      </w:pPr>
      <w:r>
        <w:rPr>
          <w:rFonts w:ascii="新細明體" w:hAnsi="新細明體"/>
          <w:spacing w:val="8"/>
          <w:kern w:val="0"/>
          <w:szCs w:val="24"/>
        </w:rPr>
        <w:t>http://www.sanmin.com.tw/</w:t>
      </w:r>
    </w:p>
    <w:p w14:paraId="423A5BFB" w14:textId="77777777" w:rsidR="00052596" w:rsidRDefault="00000000">
      <w:pPr>
        <w:overflowPunct w:val="0"/>
        <w:autoSpaceDE w:val="0"/>
        <w:spacing w:before="20" w:after="72" w:line="280" w:lineRule="exact"/>
        <w:ind w:left="1757" w:hanging="118"/>
        <w:jc w:val="both"/>
        <w:rPr>
          <w:rFonts w:ascii="新細明體" w:hAnsi="新細明體"/>
          <w:spacing w:val="8"/>
          <w:kern w:val="0"/>
          <w:szCs w:val="24"/>
        </w:rPr>
      </w:pPr>
      <w:r>
        <w:rPr>
          <w:rFonts w:ascii="新細明體" w:hAnsi="新細明體"/>
          <w:spacing w:val="8"/>
          <w:kern w:val="0"/>
          <w:szCs w:val="24"/>
        </w:rPr>
        <w:t>臺中五南文化廣場</w:t>
      </w:r>
    </w:p>
    <w:p w14:paraId="53E778D6" w14:textId="77777777" w:rsidR="00052596" w:rsidRDefault="00000000">
      <w:pPr>
        <w:overflowPunct w:val="0"/>
        <w:autoSpaceDE w:val="0"/>
        <w:spacing w:before="20" w:after="72" w:line="280" w:lineRule="exact"/>
        <w:ind w:left="1826"/>
        <w:jc w:val="both"/>
        <w:rPr>
          <w:rFonts w:ascii="新細明體" w:hAnsi="新細明體"/>
          <w:spacing w:val="8"/>
          <w:kern w:val="0"/>
          <w:szCs w:val="24"/>
        </w:rPr>
      </w:pPr>
      <w:r>
        <w:rPr>
          <w:rFonts w:ascii="新細明體" w:hAnsi="新細明體"/>
          <w:spacing w:val="8"/>
          <w:kern w:val="0"/>
          <w:szCs w:val="24"/>
        </w:rPr>
        <w:t>400台中市中區中山路6號</w:t>
      </w:r>
    </w:p>
    <w:p w14:paraId="72137C9C" w14:textId="77777777" w:rsidR="00052596" w:rsidRDefault="00000000">
      <w:pPr>
        <w:overflowPunct w:val="0"/>
        <w:autoSpaceDE w:val="0"/>
        <w:spacing w:before="20" w:after="72" w:line="280" w:lineRule="exact"/>
        <w:ind w:left="1826"/>
        <w:jc w:val="both"/>
      </w:pPr>
      <w:r>
        <w:rPr>
          <w:rFonts w:ascii="新細明體" w:hAnsi="新細明體"/>
          <w:spacing w:val="8"/>
          <w:kern w:val="0"/>
          <w:szCs w:val="24"/>
        </w:rPr>
        <w:t>TEL：04-22260330  FAX：04-</w:t>
      </w:r>
      <w:r>
        <w:rPr>
          <w:rFonts w:eastAsia="華康楷書體W4"/>
          <w:spacing w:val="4"/>
          <w:kern w:val="0"/>
        </w:rPr>
        <w:t xml:space="preserve"> </w:t>
      </w:r>
      <w:r>
        <w:rPr>
          <w:rFonts w:ascii="新細明體" w:hAnsi="新細明體"/>
          <w:spacing w:val="8"/>
          <w:kern w:val="0"/>
          <w:szCs w:val="24"/>
        </w:rPr>
        <w:t>22258234</w:t>
      </w:r>
    </w:p>
    <w:p w14:paraId="70A068D3" w14:textId="77777777" w:rsidR="00052596" w:rsidRDefault="00000000">
      <w:pPr>
        <w:overflowPunct w:val="0"/>
        <w:autoSpaceDE w:val="0"/>
        <w:spacing w:before="20" w:after="72" w:line="280" w:lineRule="exact"/>
        <w:ind w:left="1826"/>
        <w:jc w:val="both"/>
        <w:rPr>
          <w:rFonts w:ascii="新細明體" w:hAnsi="新細明體"/>
          <w:spacing w:val="8"/>
          <w:kern w:val="0"/>
          <w:szCs w:val="24"/>
        </w:rPr>
      </w:pPr>
      <w:r>
        <w:rPr>
          <w:rFonts w:ascii="新細明體" w:hAnsi="新細明體"/>
          <w:spacing w:val="8"/>
          <w:kern w:val="0"/>
          <w:szCs w:val="24"/>
        </w:rPr>
        <w:t>http://www.wunanbooks.com.tw/</w:t>
      </w:r>
    </w:p>
    <w:p w14:paraId="54E2661B" w14:textId="77777777" w:rsidR="00052596" w:rsidRDefault="00000000">
      <w:pPr>
        <w:overflowPunct w:val="0"/>
        <w:autoSpaceDE w:val="0"/>
        <w:spacing w:before="20" w:after="72" w:line="280" w:lineRule="exact"/>
        <w:ind w:left="1757" w:hanging="118"/>
        <w:jc w:val="both"/>
        <w:rPr>
          <w:rFonts w:ascii="新細明體" w:hAnsi="新細明體"/>
          <w:spacing w:val="8"/>
          <w:kern w:val="0"/>
          <w:szCs w:val="24"/>
        </w:rPr>
      </w:pPr>
      <w:r>
        <w:rPr>
          <w:rFonts w:ascii="新細明體" w:hAnsi="新細明體"/>
          <w:spacing w:val="8"/>
          <w:kern w:val="0"/>
          <w:szCs w:val="24"/>
        </w:rPr>
        <w:t>國家書店松江門市</w:t>
      </w:r>
    </w:p>
    <w:p w14:paraId="0C73F29A" w14:textId="77777777" w:rsidR="00052596" w:rsidRDefault="00000000">
      <w:pPr>
        <w:overflowPunct w:val="0"/>
        <w:autoSpaceDE w:val="0"/>
        <w:spacing w:before="20" w:after="72" w:line="280" w:lineRule="exact"/>
        <w:ind w:left="1757" w:firstLine="44"/>
        <w:jc w:val="both"/>
      </w:pPr>
      <w:r>
        <w:rPr>
          <w:rFonts w:ascii="新細明體" w:hAnsi="新細明體"/>
          <w:spacing w:val="8"/>
          <w:kern w:val="0"/>
          <w:szCs w:val="24"/>
          <w:lang w:val="fr-FR"/>
        </w:rPr>
        <w:t>104</w:t>
      </w:r>
      <w:r>
        <w:rPr>
          <w:rFonts w:ascii="新細明體" w:hAnsi="新細明體"/>
          <w:spacing w:val="8"/>
          <w:kern w:val="0"/>
          <w:szCs w:val="24"/>
        </w:rPr>
        <w:t>臺北市松江路</w:t>
      </w:r>
      <w:r>
        <w:rPr>
          <w:rFonts w:ascii="新細明體" w:hAnsi="新細明體"/>
          <w:spacing w:val="8"/>
          <w:kern w:val="0"/>
          <w:szCs w:val="24"/>
          <w:lang w:val="fr-FR"/>
        </w:rPr>
        <w:t>209</w:t>
      </w:r>
      <w:r>
        <w:rPr>
          <w:rFonts w:ascii="新細明體" w:hAnsi="新細明體"/>
          <w:spacing w:val="8"/>
          <w:kern w:val="0"/>
          <w:szCs w:val="24"/>
        </w:rPr>
        <w:t>號</w:t>
      </w:r>
      <w:r>
        <w:rPr>
          <w:rFonts w:ascii="新細明體" w:hAnsi="新細明體"/>
          <w:spacing w:val="8"/>
          <w:kern w:val="0"/>
          <w:szCs w:val="24"/>
          <w:lang w:val="fr-FR"/>
        </w:rPr>
        <w:t>1</w:t>
      </w:r>
      <w:r>
        <w:rPr>
          <w:rFonts w:ascii="新細明體" w:hAnsi="新細明體"/>
          <w:spacing w:val="8"/>
          <w:kern w:val="0"/>
          <w:szCs w:val="24"/>
        </w:rPr>
        <w:t>樓</w:t>
      </w:r>
    </w:p>
    <w:p w14:paraId="572EBAC9" w14:textId="77777777" w:rsidR="00052596" w:rsidRDefault="00000000">
      <w:pPr>
        <w:overflowPunct w:val="0"/>
        <w:autoSpaceDE w:val="0"/>
        <w:spacing w:before="20" w:after="72" w:line="280" w:lineRule="exact"/>
        <w:ind w:left="1757" w:firstLine="44"/>
        <w:jc w:val="both"/>
        <w:rPr>
          <w:rFonts w:ascii="新細明體" w:hAnsi="新細明體"/>
          <w:spacing w:val="8"/>
          <w:kern w:val="0"/>
          <w:szCs w:val="24"/>
          <w:lang w:val="fr-FR"/>
        </w:rPr>
      </w:pPr>
      <w:r>
        <w:rPr>
          <w:rFonts w:ascii="新細明體" w:hAnsi="新細明體"/>
          <w:spacing w:val="8"/>
          <w:kern w:val="0"/>
          <w:szCs w:val="24"/>
          <w:lang w:val="fr-FR"/>
        </w:rPr>
        <w:t>TEL：02-25180207  FAX ：02-25180778</w:t>
      </w:r>
    </w:p>
    <w:p w14:paraId="36C09DBE" w14:textId="77777777" w:rsidR="00052596" w:rsidRDefault="00000000">
      <w:pPr>
        <w:overflowPunct w:val="0"/>
        <w:autoSpaceDE w:val="0"/>
        <w:spacing w:before="20" w:after="72" w:line="280" w:lineRule="exact"/>
        <w:ind w:firstLine="1664"/>
        <w:jc w:val="both"/>
      </w:pPr>
      <w:r>
        <w:rPr>
          <w:rFonts w:ascii="新細明體" w:hAnsi="新細明體"/>
          <w:spacing w:val="8"/>
          <w:kern w:val="0"/>
          <w:szCs w:val="24"/>
        </w:rPr>
        <w:t>國家</w:t>
      </w:r>
      <w:r>
        <w:rPr>
          <w:rFonts w:ascii="新細明體" w:hAnsi="新細明體"/>
          <w:spacing w:val="8"/>
          <w:kern w:val="0"/>
          <w:szCs w:val="24"/>
          <w:lang w:val="fr-FR"/>
        </w:rPr>
        <w:t xml:space="preserve">網路書店：http://www.govbooks.com.tw </w:t>
      </w:r>
    </w:p>
    <w:p w14:paraId="16704B02" w14:textId="77777777" w:rsidR="00052596" w:rsidRDefault="00000000">
      <w:pPr>
        <w:spacing w:before="240" w:line="340" w:lineRule="exact"/>
        <w:ind w:firstLine="244"/>
        <w:rPr>
          <w:rFonts w:ascii="新細明體" w:hAnsi="新細明體"/>
          <w:spacing w:val="2"/>
          <w:kern w:val="0"/>
          <w:szCs w:val="24"/>
        </w:rPr>
      </w:pPr>
      <w:r>
        <w:rPr>
          <w:rFonts w:ascii="新細明體" w:hAnsi="新細明體"/>
          <w:spacing w:val="2"/>
          <w:kern w:val="0"/>
          <w:szCs w:val="24"/>
        </w:rPr>
        <w:t>編號：(102)006.103</w:t>
      </w:r>
    </w:p>
    <w:p w14:paraId="6CFA3C0E" w14:textId="77777777" w:rsidR="00052596" w:rsidRDefault="00000000">
      <w:pPr>
        <w:spacing w:line="340" w:lineRule="exact"/>
        <w:ind w:firstLine="251"/>
        <w:rPr>
          <w:rFonts w:ascii="新細明體" w:hAnsi="新細明體"/>
          <w:spacing w:val="2"/>
          <w:kern w:val="0"/>
          <w:szCs w:val="24"/>
        </w:rPr>
      </w:pPr>
      <w:r>
        <w:rPr>
          <w:rFonts w:ascii="新細明體" w:hAnsi="新細明體"/>
          <w:spacing w:val="2"/>
          <w:kern w:val="0"/>
          <w:szCs w:val="24"/>
        </w:rPr>
        <w:t>GPN：1010200079</w:t>
      </w:r>
    </w:p>
    <w:p w14:paraId="56DEC4FE" w14:textId="77777777" w:rsidR="00052596" w:rsidRDefault="00000000">
      <w:pPr>
        <w:spacing w:line="340" w:lineRule="exact"/>
        <w:ind w:firstLine="251"/>
      </w:pPr>
      <w:r>
        <w:rPr>
          <w:rFonts w:ascii="新細明體" w:hAnsi="新細明體"/>
          <w:spacing w:val="2"/>
          <w:kern w:val="0"/>
          <w:szCs w:val="24"/>
        </w:rPr>
        <w:t>ISBN：978-986-03-5620-5（平裝）</w:t>
      </w:r>
    </w:p>
    <w:sectPr w:rsidR="00052596">
      <w:headerReference w:type="even" r:id="rId76"/>
      <w:headerReference w:type="default" r:id="rId77"/>
      <w:footerReference w:type="even" r:id="rId78"/>
      <w:footerReference w:type="default" r:id="rId79"/>
      <w:pgSz w:w="11907" w:h="16840"/>
      <w:pgMar w:top="2155" w:right="1701" w:bottom="1701" w:left="2552" w:header="1474" w:footer="992" w:gutter="0"/>
      <w:pgNumType w:start="25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06A4F" w14:textId="77777777" w:rsidR="00926811" w:rsidRDefault="00926811">
      <w:r>
        <w:separator/>
      </w:r>
    </w:p>
  </w:endnote>
  <w:endnote w:type="continuationSeparator" w:id="0">
    <w:p w14:paraId="70E7645F" w14:textId="77777777" w:rsidR="00926811" w:rsidRDefault="0092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仿宋體W6">
    <w:altName w:val="Calibri"/>
    <w:charset w:val="00"/>
    <w:family w:val="modern"/>
    <w:pitch w:val="fixed"/>
  </w:font>
  <w:font w:name="標楷體">
    <w:panose1 w:val="03000509000000000000"/>
    <w:charset w:val="88"/>
    <w:family w:val="script"/>
    <w:pitch w:val="fixed"/>
    <w:sig w:usb0="00000003" w:usb1="080E0000" w:usb2="00000016" w:usb3="00000000" w:csb0="00100001" w:csb1="00000000"/>
  </w:font>
  <w:font w:name="華康細圓體">
    <w:charset w:val="00"/>
    <w:family w:val="modern"/>
    <w:pitch w:val="fixed"/>
  </w:font>
  <w:font w:name="華康隸書體W5">
    <w:charset w:val="00"/>
    <w:family w:val="modern"/>
    <w:pitch w:val="fixed"/>
  </w:font>
  <w:font w:name="華康楷書體W5">
    <w:altName w:val="Calibri"/>
    <w:charset w:val="00"/>
    <w:family w:val="modern"/>
    <w:pitch w:val="fixed"/>
  </w:font>
  <w:font w:name="華康楷書體W4">
    <w:charset w:val="00"/>
    <w:family w:val="modern"/>
    <w:pitch w:val="fixed"/>
  </w:font>
  <w:font w:name="文鼎中楷">
    <w:altName w:val="Calibri"/>
    <w:charset w:val="00"/>
    <w:family w:val="modern"/>
    <w:pitch w:val="fixed"/>
  </w:font>
  <w:font w:name="Vani">
    <w:charset w:val="00"/>
    <w:family w:val="roman"/>
    <w:pitch w:val="variable"/>
    <w:sig w:usb0="002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A351" w14:textId="77777777" w:rsidR="00187886" w:rsidRDefault="00000000">
    <w:pPr>
      <w:pStyle w:val="a4"/>
      <w:jc w:val="center"/>
    </w:pPr>
    <w:r>
      <w:rPr>
        <w:noProof/>
      </w:rPr>
      <mc:AlternateContent>
        <mc:Choice Requires="wps">
          <w:drawing>
            <wp:anchor distT="0" distB="0" distL="114300" distR="114300" simplePos="0" relativeHeight="251674624" behindDoc="0" locked="0" layoutInCell="1" allowOverlap="1" wp14:anchorId="66DC977D" wp14:editId="37AC9112">
              <wp:simplePos x="0" y="0"/>
              <wp:positionH relativeFrom="column">
                <wp:posOffset>1055373</wp:posOffset>
              </wp:positionH>
              <wp:positionV relativeFrom="paragraph">
                <wp:posOffset>-19046</wp:posOffset>
              </wp:positionV>
              <wp:extent cx="5436236" cy="0"/>
              <wp:effectExtent l="0" t="0" r="0" b="0"/>
              <wp:wrapNone/>
              <wp:docPr id="16" name="Line 63"/>
              <wp:cNvGraphicFramePr/>
              <a:graphic xmlns:a="http://schemas.openxmlformats.org/drawingml/2006/main">
                <a:graphicData uri="http://schemas.microsoft.com/office/word/2010/wordprocessingShape">
                  <wps:wsp>
                    <wps:cNvSpPr/>
                    <wps:spPr>
                      <a:xfrm>
                        <a:off x="0" y="0"/>
                        <a:ext cx="543623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3512869C" id="Line 63" o:spid="_x0000_s1026" style="position:absolute;margin-left:83.1pt;margin-top:-1.5pt;width:428.05pt;height:0;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54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" path="m,l5436236,1e" filled="f" strokecolor="#0096b2" strokeweight=".26467mm">
              <v:path arrowok="t" o:connecttype="custom" o:connectlocs="2718118,0;5436236,1;2718118,1;0,1;0,0;5436236,1" o:connectangles="270,0,90,180,90,270" textboxrect="0,0,5436236,0"/>
            </v:shape>
          </w:pict>
        </mc:Fallback>
      </mc:AlternateContent>
    </w:r>
    <w:r>
      <w:rPr>
        <w:rStyle w:val="a5"/>
        <w:b/>
        <w:iCs/>
        <w:color w:val="0096B2"/>
        <w:spacing w:val="-4"/>
        <w:sz w:val="24"/>
        <w:szCs w:val="26"/>
      </w:rPr>
      <w:fldChar w:fldCharType="begin"/>
    </w:r>
    <w:r>
      <w:rPr>
        <w:rStyle w:val="a5"/>
        <w:b/>
        <w:iCs/>
        <w:color w:val="0096B2"/>
        <w:spacing w:val="-4"/>
        <w:sz w:val="24"/>
        <w:szCs w:val="26"/>
      </w:rPr>
      <w:instrText xml:space="preserve"> PAGE </w:instrText>
    </w:r>
    <w:r>
      <w:rPr>
        <w:rStyle w:val="a5"/>
        <w:b/>
        <w:iCs/>
        <w:color w:val="0096B2"/>
        <w:spacing w:val="-4"/>
        <w:sz w:val="24"/>
        <w:szCs w:val="26"/>
      </w:rPr>
      <w:fldChar w:fldCharType="separate"/>
    </w:r>
    <w:r>
      <w:rPr>
        <w:rStyle w:val="a5"/>
        <w:b/>
        <w:iCs/>
        <w:color w:val="0096B2"/>
        <w:spacing w:val="-4"/>
        <w:sz w:val="24"/>
        <w:szCs w:val="26"/>
      </w:rPr>
      <w:t>4</w:t>
    </w:r>
    <w:r>
      <w:rPr>
        <w:rStyle w:val="a5"/>
        <w:b/>
        <w:iCs/>
        <w:color w:val="0096B2"/>
        <w:spacing w:val="-4"/>
        <w:sz w:val="24"/>
        <w:szCs w:val="26"/>
      </w:rPr>
      <w:fldChar w:fldCharType="end"/>
    </w:r>
  </w:p>
  <w:p w14:paraId="43145349" w14:textId="77777777" w:rsidR="00187886" w:rsidRDefault="0000000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A35D" w14:textId="77777777" w:rsidR="00187886" w:rsidRDefault="00000000">
    <w:pPr>
      <w:pStyle w:val="a4"/>
      <w:jc w:val="center"/>
    </w:pPr>
    <w:r>
      <w:rPr>
        <w:noProof/>
      </w:rPr>
      <mc:AlternateContent>
        <mc:Choice Requires="wps">
          <w:drawing>
            <wp:anchor distT="0" distB="0" distL="114300" distR="114300" simplePos="0" relativeHeight="251751424" behindDoc="0" locked="0" layoutInCell="1" allowOverlap="1" wp14:anchorId="2A7FE516" wp14:editId="07845869">
              <wp:simplePos x="0" y="0"/>
              <wp:positionH relativeFrom="margin">
                <wp:align>center</wp:align>
              </wp:positionH>
              <wp:positionV relativeFrom="paragraph">
                <wp:posOffset>548</wp:posOffset>
              </wp:positionV>
              <wp:extent cx="0" cy="0"/>
              <wp:effectExtent l="0" t="0" r="0" b="0"/>
              <wp:wrapSquare wrapText="bothSides"/>
              <wp:docPr id="70" name="文字方塊 70"/>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2AC37718" w14:textId="77777777" w:rsidR="00187886" w:rsidRDefault="00000000">
                          <w:pPr>
                            <w:pStyle w:val="a4"/>
                          </w:pPr>
                          <w:r>
                            <w:rPr>
                              <w:rStyle w:val="a5"/>
                              <w:iCs/>
                              <w:color w:val="0096B2"/>
                              <w:sz w:val="24"/>
                              <w:szCs w:val="26"/>
                            </w:rPr>
                            <w:fldChar w:fldCharType="begin"/>
                          </w:r>
                          <w:r>
                            <w:rPr>
                              <w:rStyle w:val="a5"/>
                              <w:iCs/>
                              <w:color w:val="0096B2"/>
                              <w:sz w:val="24"/>
                              <w:szCs w:val="26"/>
                            </w:rPr>
                            <w:instrText xml:space="preserve"> PAGE </w:instrText>
                          </w:r>
                          <w:r>
                            <w:rPr>
                              <w:rStyle w:val="a5"/>
                              <w:iCs/>
                              <w:color w:val="0096B2"/>
                              <w:sz w:val="24"/>
                              <w:szCs w:val="26"/>
                            </w:rPr>
                            <w:fldChar w:fldCharType="separate"/>
                          </w:r>
                          <w:r>
                            <w:rPr>
                              <w:rStyle w:val="a5"/>
                              <w:iCs/>
                              <w:color w:val="0096B2"/>
                              <w:sz w:val="24"/>
                              <w:szCs w:val="26"/>
                            </w:rPr>
                            <w:t>101</w:t>
                          </w:r>
                          <w:r>
                            <w:rPr>
                              <w:rStyle w:val="a5"/>
                              <w:iCs/>
                              <w:color w:val="0096B2"/>
                              <w:sz w:val="24"/>
                              <w:szCs w:val="26"/>
                            </w:rPr>
                            <w:fldChar w:fldCharType="end"/>
                          </w:r>
                        </w:p>
                      </w:txbxContent>
                    </wps:txbx>
                    <wps:bodyPr wrap="none" lIns="0" tIns="0" rIns="0" bIns="0">
                      <a:spAutoFit/>
                    </wps:bodyPr>
                  </wps:wsp>
                </a:graphicData>
              </a:graphic>
            </wp:anchor>
          </w:drawing>
        </mc:Choice>
        <mc:Fallback>
          <w:pict>
            <v:shapetype w14:anchorId="2A7FE516" id="_x0000_t202" coordsize="21600,21600" o:spt="202" path="m,l,21600r21600,l21600,xe">
              <v:stroke joinstyle="miter"/>
              <v:path gradientshapeok="t" o:connecttype="rect"/>
            </v:shapetype>
            <v:shape id="文字方塊 70" o:spid="_x0000_s1140" type="#_x0000_t202" style="position:absolute;left:0;text-align:left;margin-left:0;margin-top:.05pt;width:0;height:0;z-index:2517514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" filled="f" stroked="f">
              <v:textbox style="mso-fit-shape-to-text:t" inset="0,0,0,0">
                <w:txbxContent>
                  <w:p w14:paraId="2AC37718" w14:textId="77777777" w:rsidR="00187886" w:rsidRDefault="00000000">
                    <w:pPr>
                      <w:pStyle w:val="a4"/>
                    </w:pPr>
                    <w:r>
                      <w:rPr>
                        <w:rStyle w:val="a5"/>
                        <w:iCs/>
                        <w:color w:val="0096B2"/>
                        <w:sz w:val="24"/>
                        <w:szCs w:val="26"/>
                      </w:rPr>
                      <w:fldChar w:fldCharType="begin"/>
                    </w:r>
                    <w:r>
                      <w:rPr>
                        <w:rStyle w:val="a5"/>
                        <w:iCs/>
                        <w:color w:val="0096B2"/>
                        <w:sz w:val="24"/>
                        <w:szCs w:val="26"/>
                      </w:rPr>
                      <w:instrText xml:space="preserve"> PAGE </w:instrText>
                    </w:r>
                    <w:r>
                      <w:rPr>
                        <w:rStyle w:val="a5"/>
                        <w:iCs/>
                        <w:color w:val="0096B2"/>
                        <w:sz w:val="24"/>
                        <w:szCs w:val="26"/>
                      </w:rPr>
                      <w:fldChar w:fldCharType="separate"/>
                    </w:r>
                    <w:r>
                      <w:rPr>
                        <w:rStyle w:val="a5"/>
                        <w:iCs/>
                        <w:color w:val="0096B2"/>
                        <w:sz w:val="24"/>
                        <w:szCs w:val="26"/>
                      </w:rPr>
                      <w:t>101</w:t>
                    </w:r>
                    <w:r>
                      <w:rPr>
                        <w:rStyle w:val="a5"/>
                        <w:iCs/>
                        <w:color w:val="0096B2"/>
                        <w:sz w:val="24"/>
                        <w:szCs w:val="26"/>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752448" behindDoc="0" locked="0" layoutInCell="1" allowOverlap="1" wp14:anchorId="7B405855" wp14:editId="6E89AAD0">
              <wp:simplePos x="0" y="0"/>
              <wp:positionH relativeFrom="column">
                <wp:posOffset>-19046</wp:posOffset>
              </wp:positionH>
              <wp:positionV relativeFrom="paragraph">
                <wp:posOffset>-33018</wp:posOffset>
              </wp:positionV>
              <wp:extent cx="5436236" cy="0"/>
              <wp:effectExtent l="0" t="0" r="0" b="0"/>
              <wp:wrapNone/>
              <wp:docPr id="71" name="直線接點 43049"/>
              <wp:cNvGraphicFramePr/>
              <a:graphic xmlns:a="http://schemas.openxmlformats.org/drawingml/2006/main">
                <a:graphicData uri="http://schemas.microsoft.com/office/word/2010/wordprocessingShape">
                  <wps:wsp>
                    <wps:cNvSpPr/>
                    <wps:spPr>
                      <a:xfrm>
                        <a:off x="0" y="0"/>
                        <a:ext cx="543623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285E1C4F" id="直線接點 43049" o:spid="_x0000_s1026" style="position:absolute;margin-left:-1.5pt;margin-top:-2.6pt;width:428.05pt;height:0;z-index:251752448;visibility:visible;mso-wrap-style:square;mso-wrap-distance-left:9pt;mso-wrap-distance-top:0;mso-wrap-distance-right:9pt;mso-wrap-distance-bottom:0;mso-position-horizontal:absolute;mso-position-horizontal-relative:text;mso-position-vertical:absolute;mso-position-vertical-relative:text;v-text-anchor:top" coordsize="54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" path="m,l5436236,1e" filled="f" strokecolor="#0096b2" strokeweight=".26467mm">
              <v:path arrowok="t" o:connecttype="custom" o:connectlocs="2718118,0;5436236,1;2718118,1;0,1;0,0;5436236,1" o:connectangles="270,0,90,180,90,270" textboxrect="0,0,5436236,0"/>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BAE5" w14:textId="77777777" w:rsidR="00187886" w:rsidRDefault="00000000">
    <w:pPr>
      <w:pStyle w:val="a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5FB3" w14:textId="77777777" w:rsidR="00187886" w:rsidRDefault="0000000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5E8DF" w14:textId="77777777" w:rsidR="00187886" w:rsidRDefault="00000000">
    <w:pPr>
      <w:tabs>
        <w:tab w:val="center" w:pos="4153"/>
        <w:tab w:val="right" w:pos="8306"/>
      </w:tabs>
      <w:spacing w:line="360" w:lineRule="exact"/>
      <w:jc w:val="center"/>
    </w:pPr>
    <w:r>
      <w:rPr>
        <w:noProof/>
      </w:rPr>
      <mc:AlternateContent>
        <mc:Choice Requires="wps">
          <w:drawing>
            <wp:anchor distT="0" distB="0" distL="114300" distR="114300" simplePos="0" relativeHeight="251677696" behindDoc="0" locked="0" layoutInCell="1" allowOverlap="1" wp14:anchorId="72462046" wp14:editId="07511B3D">
              <wp:simplePos x="0" y="0"/>
              <wp:positionH relativeFrom="margin">
                <wp:align>center</wp:align>
              </wp:positionH>
              <wp:positionV relativeFrom="paragraph">
                <wp:posOffset>548</wp:posOffset>
              </wp:positionV>
              <wp:extent cx="0" cy="0"/>
              <wp:effectExtent l="0" t="0" r="0" b="0"/>
              <wp:wrapSquare wrapText="bothSides"/>
              <wp:docPr id="14" name="文字方塊 14"/>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3624ED16" w14:textId="77777777" w:rsidR="00187886" w:rsidRDefault="00000000">
                          <w:pPr>
                            <w:tabs>
                              <w:tab w:val="center" w:pos="4153"/>
                              <w:tab w:val="right" w:pos="8306"/>
                            </w:tabs>
                            <w:spacing w:line="360" w:lineRule="atLeast"/>
                          </w:pPr>
                          <w:r>
                            <w:rPr>
                              <w:rFonts w:eastAsia="華康楷書體W4"/>
                              <w:color w:val="0096B2"/>
                              <w:kern w:val="0"/>
                              <w:szCs w:val="24"/>
                            </w:rPr>
                            <w:fldChar w:fldCharType="begin"/>
                          </w:r>
                          <w:r>
                            <w:rPr>
                              <w:rFonts w:eastAsia="華康楷書體W4"/>
                              <w:color w:val="0096B2"/>
                              <w:kern w:val="0"/>
                              <w:szCs w:val="24"/>
                            </w:rPr>
                            <w:instrText xml:space="preserve"> PAGE </w:instrText>
                          </w:r>
                          <w:r>
                            <w:rPr>
                              <w:rFonts w:eastAsia="華康楷書體W4"/>
                              <w:color w:val="0096B2"/>
                              <w:kern w:val="0"/>
                              <w:szCs w:val="24"/>
                            </w:rPr>
                            <w:fldChar w:fldCharType="separate"/>
                          </w:r>
                          <w:r>
                            <w:rPr>
                              <w:rFonts w:eastAsia="華康楷書體W4"/>
                              <w:color w:val="0096B2"/>
                              <w:kern w:val="0"/>
                              <w:szCs w:val="24"/>
                            </w:rPr>
                            <w:t>3</w:t>
                          </w:r>
                          <w:r>
                            <w:rPr>
                              <w:rFonts w:eastAsia="華康楷書體W4"/>
                              <w:color w:val="0096B2"/>
                              <w:kern w:val="0"/>
                              <w:szCs w:val="24"/>
                            </w:rPr>
                            <w:fldChar w:fldCharType="end"/>
                          </w:r>
                        </w:p>
                      </w:txbxContent>
                    </wps:txbx>
                    <wps:bodyPr wrap="none" lIns="0" tIns="0" rIns="0" bIns="0">
                      <a:spAutoFit/>
                    </wps:bodyPr>
                  </wps:wsp>
                </a:graphicData>
              </a:graphic>
            </wp:anchor>
          </w:drawing>
        </mc:Choice>
        <mc:Fallback>
          <w:pict>
            <v:shapetype w14:anchorId="72462046" id="_x0000_t202" coordsize="21600,21600" o:spt="202" path="m,l,21600r21600,l21600,xe">
              <v:stroke joinstyle="miter"/>
              <v:path gradientshapeok="t" o:connecttype="rect"/>
            </v:shapetype>
            <v:shape id="文字方塊 14" o:spid="_x0000_s1121" type="#_x0000_t202" style="position:absolute;left:0;text-align:left;margin-left:0;margin-top:.05pt;width:0;height:0;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" filled="f" stroked="f">
              <v:textbox style="mso-fit-shape-to-text:t" inset="0,0,0,0">
                <w:txbxContent>
                  <w:p w14:paraId="3624ED16" w14:textId="77777777" w:rsidR="00187886" w:rsidRDefault="00000000">
                    <w:pPr>
                      <w:tabs>
                        <w:tab w:val="center" w:pos="4153"/>
                        <w:tab w:val="right" w:pos="8306"/>
                      </w:tabs>
                      <w:spacing w:line="360" w:lineRule="atLeast"/>
                    </w:pPr>
                    <w:r>
                      <w:rPr>
                        <w:rFonts w:eastAsia="華康楷書體W4"/>
                        <w:color w:val="0096B2"/>
                        <w:kern w:val="0"/>
                        <w:szCs w:val="24"/>
                      </w:rPr>
                      <w:fldChar w:fldCharType="begin"/>
                    </w:r>
                    <w:r>
                      <w:rPr>
                        <w:rFonts w:eastAsia="華康楷書體W4"/>
                        <w:color w:val="0096B2"/>
                        <w:kern w:val="0"/>
                        <w:szCs w:val="24"/>
                      </w:rPr>
                      <w:instrText xml:space="preserve"> PAGE </w:instrText>
                    </w:r>
                    <w:r>
                      <w:rPr>
                        <w:rFonts w:eastAsia="華康楷書體W4"/>
                        <w:color w:val="0096B2"/>
                        <w:kern w:val="0"/>
                        <w:szCs w:val="24"/>
                      </w:rPr>
                      <w:fldChar w:fldCharType="separate"/>
                    </w:r>
                    <w:r>
                      <w:rPr>
                        <w:rFonts w:eastAsia="華康楷書體W4"/>
                        <w:color w:val="0096B2"/>
                        <w:kern w:val="0"/>
                        <w:szCs w:val="24"/>
                      </w:rPr>
                      <w:t>3</w:t>
                    </w:r>
                    <w:r>
                      <w:rPr>
                        <w:rFonts w:eastAsia="華康楷書體W4"/>
                        <w:color w:val="0096B2"/>
                        <w:kern w:val="0"/>
                        <w:szCs w:val="24"/>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676672" behindDoc="0" locked="0" layoutInCell="1" allowOverlap="1" wp14:anchorId="4D8EA5BC" wp14:editId="74790E70">
              <wp:simplePos x="0" y="0"/>
              <wp:positionH relativeFrom="column">
                <wp:posOffset>-219712</wp:posOffset>
              </wp:positionH>
              <wp:positionV relativeFrom="paragraph">
                <wp:posOffset>1901</wp:posOffset>
              </wp:positionV>
              <wp:extent cx="5868033" cy="0"/>
              <wp:effectExtent l="0" t="0" r="0" b="0"/>
              <wp:wrapNone/>
              <wp:docPr id="15" name="直線接點 57"/>
              <wp:cNvGraphicFramePr/>
              <a:graphic xmlns:a="http://schemas.openxmlformats.org/drawingml/2006/main">
                <a:graphicData uri="http://schemas.microsoft.com/office/word/2010/wordprocessingShape">
                  <wps:wsp>
                    <wps:cNvSpPr/>
                    <wps:spPr>
                      <a:xfrm>
                        <a:off x="0" y="0"/>
                        <a:ext cx="5868033"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4C07D8FE" id="直線接點 57" o:spid="_x0000_s1026" style="position:absolute;margin-left:-17.3pt;margin-top:.15pt;width:462.05pt;height:0;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5868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" path="m,l5868033,1e" filled="f" strokecolor="#0096b2" strokeweight=".26467mm">
              <v:path arrowok="t" o:connecttype="custom" o:connectlocs="2934017,0;5868033,1;2934017,1;0,1;0,0;5868033,1" o:connectangles="270,0,90,180,90,270" textboxrect="0,0,5868033,0"/>
            </v:shape>
          </w:pict>
        </mc:Fallback>
      </mc:AlternateContent>
    </w:r>
  </w:p>
  <w:p w14:paraId="76237EC3" w14:textId="77777777" w:rsidR="00187886" w:rsidRDefault="00000000">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37B3D" w14:textId="77777777" w:rsidR="00187886" w:rsidRDefault="00000000">
    <w:pPr>
      <w:pStyle w:val="a4"/>
      <w:jc w:val="center"/>
    </w:pPr>
    <w:r>
      <w:rPr>
        <w:noProof/>
      </w:rPr>
      <mc:AlternateContent>
        <mc:Choice Requires="wps">
          <w:drawing>
            <wp:anchor distT="0" distB="0" distL="114300" distR="114300" simplePos="0" relativeHeight="251695104" behindDoc="0" locked="0" layoutInCell="1" allowOverlap="1" wp14:anchorId="4B79E221" wp14:editId="1DE4FB09">
              <wp:simplePos x="0" y="0"/>
              <wp:positionH relativeFrom="column">
                <wp:posOffset>1055373</wp:posOffset>
              </wp:positionH>
              <wp:positionV relativeFrom="paragraph">
                <wp:posOffset>-19046</wp:posOffset>
              </wp:positionV>
              <wp:extent cx="5436236" cy="0"/>
              <wp:effectExtent l="0" t="0" r="0" b="0"/>
              <wp:wrapNone/>
              <wp:docPr id="32" name="Line 63"/>
              <wp:cNvGraphicFramePr/>
              <a:graphic xmlns:a="http://schemas.openxmlformats.org/drawingml/2006/main">
                <a:graphicData uri="http://schemas.microsoft.com/office/word/2010/wordprocessingShape">
                  <wps:wsp>
                    <wps:cNvSpPr/>
                    <wps:spPr>
                      <a:xfrm>
                        <a:off x="0" y="0"/>
                        <a:ext cx="543623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258C3B50" id="Line 63" o:spid="_x0000_s1026" style="position:absolute;margin-left:83.1pt;margin-top:-1.5pt;width:428.05pt;height:0;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54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" path="m,l5436236,1e" filled="f" strokecolor="#0096b2" strokeweight=".26467mm">
              <v:path arrowok="t" o:connecttype="custom" o:connectlocs="2718118,0;5436236,1;2718118,1;0,1;0,0;5436236,1" o:connectangles="270,0,90,180,90,270" textboxrect="0,0,5436236,0"/>
            </v:shape>
          </w:pict>
        </mc:Fallback>
      </mc:AlternateContent>
    </w:r>
    <w:r>
      <w:rPr>
        <w:rStyle w:val="a5"/>
        <w:b/>
        <w:i/>
        <w:iCs/>
        <w:color w:val="0096B2"/>
        <w:spacing w:val="-4"/>
        <w:sz w:val="26"/>
        <w:szCs w:val="26"/>
      </w:rPr>
      <w:fldChar w:fldCharType="begin"/>
    </w:r>
    <w:r>
      <w:rPr>
        <w:rStyle w:val="a5"/>
        <w:b/>
        <w:i/>
        <w:iCs/>
        <w:color w:val="0096B2"/>
        <w:spacing w:val="-4"/>
        <w:sz w:val="26"/>
        <w:szCs w:val="26"/>
      </w:rPr>
      <w:instrText xml:space="preserve"> PAGE </w:instrText>
    </w:r>
    <w:r>
      <w:rPr>
        <w:rStyle w:val="a5"/>
        <w:b/>
        <w:i/>
        <w:iCs/>
        <w:color w:val="0096B2"/>
        <w:spacing w:val="-4"/>
        <w:sz w:val="26"/>
        <w:szCs w:val="26"/>
      </w:rPr>
      <w:fldChar w:fldCharType="separate"/>
    </w:r>
    <w:r>
      <w:rPr>
        <w:rStyle w:val="a5"/>
        <w:b/>
        <w:i/>
        <w:iCs/>
        <w:color w:val="0096B2"/>
        <w:spacing w:val="-4"/>
        <w:sz w:val="26"/>
        <w:szCs w:val="26"/>
      </w:rPr>
      <w:t>xxx</w:t>
    </w:r>
    <w:r>
      <w:rPr>
        <w:rStyle w:val="a5"/>
        <w:b/>
        <w:i/>
        <w:iCs/>
        <w:color w:val="0096B2"/>
        <w:spacing w:val="-4"/>
        <w:sz w:val="26"/>
        <w:szCs w:val="26"/>
      </w:rPr>
      <w:fldChar w:fldCharType="end"/>
    </w:r>
  </w:p>
  <w:p w14:paraId="4B9B898F" w14:textId="77777777" w:rsidR="00187886" w:rsidRDefault="000000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BB96" w14:textId="77777777" w:rsidR="00187886" w:rsidRDefault="00000000">
    <w:pPr>
      <w:pStyle w:val="a4"/>
    </w:pPr>
    <w:r>
      <w:rPr>
        <w:noProof/>
      </w:rPr>
      <mc:AlternateContent>
        <mc:Choice Requires="wps">
          <w:drawing>
            <wp:anchor distT="0" distB="0" distL="114300" distR="114300" simplePos="0" relativeHeight="251698176" behindDoc="0" locked="0" layoutInCell="1" allowOverlap="1" wp14:anchorId="747F4316" wp14:editId="513D9362">
              <wp:simplePos x="0" y="0"/>
              <wp:positionH relativeFrom="margin">
                <wp:align>center</wp:align>
              </wp:positionH>
              <wp:positionV relativeFrom="paragraph">
                <wp:posOffset>548</wp:posOffset>
              </wp:positionV>
              <wp:extent cx="0" cy="0"/>
              <wp:effectExtent l="0" t="0" r="0" b="0"/>
              <wp:wrapSquare wrapText="bothSides"/>
              <wp:docPr id="30" name="文字方塊 30"/>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78CAA1C1" w14:textId="77777777" w:rsidR="00187886" w:rsidRDefault="00000000">
                          <w:pPr>
                            <w:pStyle w:val="a4"/>
                          </w:pPr>
                          <w:r>
                            <w:rPr>
                              <w:rStyle w:val="a5"/>
                              <w:b/>
                              <w:i/>
                              <w:iCs/>
                              <w:color w:val="0096B2"/>
                              <w:spacing w:val="-4"/>
                              <w:sz w:val="26"/>
                              <w:szCs w:val="26"/>
                            </w:rPr>
                            <w:fldChar w:fldCharType="begin"/>
                          </w:r>
                          <w:r>
                            <w:rPr>
                              <w:rStyle w:val="a5"/>
                              <w:b/>
                              <w:i/>
                              <w:iCs/>
                              <w:color w:val="0096B2"/>
                              <w:spacing w:val="-4"/>
                              <w:sz w:val="26"/>
                              <w:szCs w:val="26"/>
                            </w:rPr>
                            <w:instrText xml:space="preserve"> PAGE </w:instrText>
                          </w:r>
                          <w:r>
                            <w:rPr>
                              <w:rStyle w:val="a5"/>
                              <w:b/>
                              <w:i/>
                              <w:iCs/>
                              <w:color w:val="0096B2"/>
                              <w:spacing w:val="-4"/>
                              <w:sz w:val="26"/>
                              <w:szCs w:val="26"/>
                            </w:rPr>
                            <w:fldChar w:fldCharType="separate"/>
                          </w:r>
                          <w:r>
                            <w:rPr>
                              <w:rStyle w:val="a5"/>
                              <w:b/>
                              <w:i/>
                              <w:iCs/>
                              <w:color w:val="0096B2"/>
                              <w:spacing w:val="-4"/>
                              <w:sz w:val="26"/>
                              <w:szCs w:val="26"/>
                            </w:rPr>
                            <w:t>xxix</w:t>
                          </w:r>
                          <w:r>
                            <w:rPr>
                              <w:rStyle w:val="a5"/>
                              <w:b/>
                              <w:i/>
                              <w:iCs/>
                              <w:color w:val="0096B2"/>
                              <w:spacing w:val="-4"/>
                              <w:sz w:val="26"/>
                              <w:szCs w:val="26"/>
                            </w:rPr>
                            <w:fldChar w:fldCharType="end"/>
                          </w:r>
                        </w:p>
                      </w:txbxContent>
                    </wps:txbx>
                    <wps:bodyPr wrap="none" lIns="0" tIns="0" rIns="0" bIns="0">
                      <a:spAutoFit/>
                    </wps:bodyPr>
                  </wps:wsp>
                </a:graphicData>
              </a:graphic>
            </wp:anchor>
          </w:drawing>
        </mc:Choice>
        <mc:Fallback>
          <w:pict>
            <v:shapetype w14:anchorId="747F4316" id="_x0000_t202" coordsize="21600,21600" o:spt="202" path="m,l,21600r21600,l21600,xe">
              <v:stroke joinstyle="miter"/>
              <v:path gradientshapeok="t" o:connecttype="rect"/>
            </v:shapetype>
            <v:shape id="文字方塊 30" o:spid="_x0000_s1128" type="#_x0000_t202" style="position:absolute;margin-left:0;margin-top:.05pt;width:0;height:0;z-index:251698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" filled="f" stroked="f">
              <v:textbox style="mso-fit-shape-to-text:t" inset="0,0,0,0">
                <w:txbxContent>
                  <w:p w14:paraId="78CAA1C1" w14:textId="77777777" w:rsidR="00187886" w:rsidRDefault="00000000">
                    <w:pPr>
                      <w:pStyle w:val="a4"/>
                    </w:pPr>
                    <w:r>
                      <w:rPr>
                        <w:rStyle w:val="a5"/>
                        <w:b/>
                        <w:i/>
                        <w:iCs/>
                        <w:color w:val="0096B2"/>
                        <w:spacing w:val="-4"/>
                        <w:sz w:val="26"/>
                        <w:szCs w:val="26"/>
                      </w:rPr>
                      <w:fldChar w:fldCharType="begin"/>
                    </w:r>
                    <w:r>
                      <w:rPr>
                        <w:rStyle w:val="a5"/>
                        <w:b/>
                        <w:i/>
                        <w:iCs/>
                        <w:color w:val="0096B2"/>
                        <w:spacing w:val="-4"/>
                        <w:sz w:val="26"/>
                        <w:szCs w:val="26"/>
                      </w:rPr>
                      <w:instrText xml:space="preserve"> PAGE </w:instrText>
                    </w:r>
                    <w:r>
                      <w:rPr>
                        <w:rStyle w:val="a5"/>
                        <w:b/>
                        <w:i/>
                        <w:iCs/>
                        <w:color w:val="0096B2"/>
                        <w:spacing w:val="-4"/>
                        <w:sz w:val="26"/>
                        <w:szCs w:val="26"/>
                      </w:rPr>
                      <w:fldChar w:fldCharType="separate"/>
                    </w:r>
                    <w:r>
                      <w:rPr>
                        <w:rStyle w:val="a5"/>
                        <w:b/>
                        <w:i/>
                        <w:iCs/>
                        <w:color w:val="0096B2"/>
                        <w:spacing w:val="-4"/>
                        <w:sz w:val="26"/>
                        <w:szCs w:val="26"/>
                      </w:rPr>
                      <w:t>xxix</w:t>
                    </w:r>
                    <w:r>
                      <w:rPr>
                        <w:rStyle w:val="a5"/>
                        <w:b/>
                        <w:i/>
                        <w:iCs/>
                        <w:color w:val="0096B2"/>
                        <w:spacing w:val="-4"/>
                        <w:sz w:val="26"/>
                        <w:szCs w:val="26"/>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697152" behindDoc="0" locked="0" layoutInCell="1" allowOverlap="1" wp14:anchorId="424C0220" wp14:editId="78FA5233">
              <wp:simplePos x="0" y="0"/>
              <wp:positionH relativeFrom="column">
                <wp:posOffset>-10799</wp:posOffset>
              </wp:positionH>
              <wp:positionV relativeFrom="paragraph">
                <wp:posOffset>-15243</wp:posOffset>
              </wp:positionV>
              <wp:extent cx="5436236" cy="0"/>
              <wp:effectExtent l="0" t="0" r="0" b="0"/>
              <wp:wrapNone/>
              <wp:docPr id="31" name="Line 63"/>
              <wp:cNvGraphicFramePr/>
              <a:graphic xmlns:a="http://schemas.openxmlformats.org/drawingml/2006/main">
                <a:graphicData uri="http://schemas.microsoft.com/office/word/2010/wordprocessingShape">
                  <wps:wsp>
                    <wps:cNvSpPr/>
                    <wps:spPr>
                      <a:xfrm>
                        <a:off x="0" y="0"/>
                        <a:ext cx="543623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4693D04C" id="Line 63" o:spid="_x0000_s1026" style="position:absolute;margin-left:-.85pt;margin-top:-1.2pt;width:428.05pt;height:0;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54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" path="m,l5436236,1e" filled="f" strokecolor="#0096b2" strokeweight=".26467mm">
              <v:path arrowok="t" o:connecttype="custom" o:connectlocs="2718118,0;5436236,1;2718118,1;0,1;0,0;5436236,1" o:connectangles="270,0,90,180,90,270" textboxrect="0,0,5436236,0"/>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2E3E" w14:textId="77777777" w:rsidR="00187886" w:rsidRDefault="00000000">
    <w:r>
      <w:rPr>
        <w:noProof/>
      </w:rPr>
      <mc:AlternateContent>
        <mc:Choice Requires="wps">
          <w:drawing>
            <wp:anchor distT="0" distB="0" distL="114300" distR="114300" simplePos="0" relativeHeight="251713536" behindDoc="0" locked="0" layoutInCell="1" allowOverlap="1" wp14:anchorId="347C9E92" wp14:editId="2BDC0887">
              <wp:simplePos x="0" y="0"/>
              <wp:positionH relativeFrom="margin">
                <wp:align>center</wp:align>
              </wp:positionH>
              <wp:positionV relativeFrom="paragraph">
                <wp:posOffset>548</wp:posOffset>
              </wp:positionV>
              <wp:extent cx="0" cy="0"/>
              <wp:effectExtent l="0" t="0" r="0" b="0"/>
              <wp:wrapSquare wrapText="bothSides"/>
              <wp:docPr id="45" name="文字方塊 45"/>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66EF3A2A" w14:textId="77777777" w:rsidR="00187886" w:rsidRDefault="00000000">
                          <w:pPr>
                            <w:pStyle w:val="a4"/>
                          </w:pPr>
                          <w:r>
                            <w:rPr>
                              <w:rStyle w:val="a5"/>
                              <w:iCs/>
                              <w:color w:val="0096B2"/>
                              <w:sz w:val="24"/>
                              <w:szCs w:val="26"/>
                            </w:rPr>
                            <w:fldChar w:fldCharType="begin"/>
                          </w:r>
                          <w:r>
                            <w:rPr>
                              <w:rStyle w:val="a5"/>
                              <w:iCs/>
                              <w:color w:val="0096B2"/>
                              <w:sz w:val="24"/>
                              <w:szCs w:val="26"/>
                            </w:rPr>
                            <w:instrText xml:space="preserve"> PAGE </w:instrText>
                          </w:r>
                          <w:r>
                            <w:rPr>
                              <w:rStyle w:val="a5"/>
                              <w:iCs/>
                              <w:color w:val="0096B2"/>
                              <w:sz w:val="24"/>
                              <w:szCs w:val="26"/>
                            </w:rPr>
                            <w:fldChar w:fldCharType="separate"/>
                          </w:r>
                          <w:r>
                            <w:rPr>
                              <w:rStyle w:val="a5"/>
                              <w:iCs/>
                              <w:color w:val="0096B2"/>
                              <w:sz w:val="24"/>
                              <w:szCs w:val="26"/>
                            </w:rPr>
                            <w:t>48</w:t>
                          </w:r>
                          <w:r>
                            <w:rPr>
                              <w:rStyle w:val="a5"/>
                              <w:iCs/>
                              <w:color w:val="0096B2"/>
                              <w:sz w:val="24"/>
                              <w:szCs w:val="26"/>
                            </w:rPr>
                            <w:fldChar w:fldCharType="end"/>
                          </w:r>
                        </w:p>
                      </w:txbxContent>
                    </wps:txbx>
                    <wps:bodyPr wrap="none" lIns="0" tIns="0" rIns="0" bIns="0">
                      <a:spAutoFit/>
                    </wps:bodyPr>
                  </wps:wsp>
                </a:graphicData>
              </a:graphic>
            </wp:anchor>
          </w:drawing>
        </mc:Choice>
        <mc:Fallback>
          <w:pict>
            <v:shapetype w14:anchorId="347C9E92" id="_x0000_t202" coordsize="21600,21600" o:spt="202" path="m,l,21600r21600,l21600,xe">
              <v:stroke joinstyle="miter"/>
              <v:path gradientshapeok="t" o:connecttype="rect"/>
            </v:shapetype>
            <v:shape id="文字方塊 45" o:spid="_x0000_s1131" type="#_x0000_t202" style="position:absolute;margin-left:0;margin-top:.05pt;width:0;height:0;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" filled="f" stroked="f">
              <v:textbox style="mso-fit-shape-to-text:t" inset="0,0,0,0">
                <w:txbxContent>
                  <w:p w14:paraId="66EF3A2A" w14:textId="77777777" w:rsidR="00187886" w:rsidRDefault="00000000">
                    <w:pPr>
                      <w:pStyle w:val="a4"/>
                    </w:pPr>
                    <w:r>
                      <w:rPr>
                        <w:rStyle w:val="a5"/>
                        <w:iCs/>
                        <w:color w:val="0096B2"/>
                        <w:sz w:val="24"/>
                        <w:szCs w:val="26"/>
                      </w:rPr>
                      <w:fldChar w:fldCharType="begin"/>
                    </w:r>
                    <w:r>
                      <w:rPr>
                        <w:rStyle w:val="a5"/>
                        <w:iCs/>
                        <w:color w:val="0096B2"/>
                        <w:sz w:val="24"/>
                        <w:szCs w:val="26"/>
                      </w:rPr>
                      <w:instrText xml:space="preserve"> PAGE </w:instrText>
                    </w:r>
                    <w:r>
                      <w:rPr>
                        <w:rStyle w:val="a5"/>
                        <w:iCs/>
                        <w:color w:val="0096B2"/>
                        <w:sz w:val="24"/>
                        <w:szCs w:val="26"/>
                      </w:rPr>
                      <w:fldChar w:fldCharType="separate"/>
                    </w:r>
                    <w:r>
                      <w:rPr>
                        <w:rStyle w:val="a5"/>
                        <w:iCs/>
                        <w:color w:val="0096B2"/>
                        <w:sz w:val="24"/>
                        <w:szCs w:val="26"/>
                      </w:rPr>
                      <w:t>48</w:t>
                    </w:r>
                    <w:r>
                      <w:rPr>
                        <w:rStyle w:val="a5"/>
                        <w:iCs/>
                        <w:color w:val="0096B2"/>
                        <w:sz w:val="24"/>
                        <w:szCs w:val="26"/>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712512" behindDoc="0" locked="0" layoutInCell="1" allowOverlap="1" wp14:anchorId="333FF371" wp14:editId="376B0C12">
              <wp:simplePos x="0" y="0"/>
              <wp:positionH relativeFrom="column">
                <wp:posOffset>-17775</wp:posOffset>
              </wp:positionH>
              <wp:positionV relativeFrom="paragraph">
                <wp:posOffset>-32388</wp:posOffset>
              </wp:positionV>
              <wp:extent cx="5436236" cy="0"/>
              <wp:effectExtent l="0" t="0" r="0" b="0"/>
              <wp:wrapNone/>
              <wp:docPr id="46" name="直線接點 86"/>
              <wp:cNvGraphicFramePr/>
              <a:graphic xmlns:a="http://schemas.openxmlformats.org/drawingml/2006/main">
                <a:graphicData uri="http://schemas.microsoft.com/office/word/2010/wordprocessingShape">
                  <wps:wsp>
                    <wps:cNvSpPr/>
                    <wps:spPr>
                      <a:xfrm>
                        <a:off x="0" y="0"/>
                        <a:ext cx="543623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385B4C7" id="直線接點 86" o:spid="_x0000_s1026" style="position:absolute;margin-left:-1.4pt;margin-top:-2.55pt;width:428.05pt;height:0;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54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" path="m,l5436236,1e" filled="f" strokecolor="#0096b2" strokeweight=".26467mm">
              <v:path arrowok="t" o:connecttype="custom" o:connectlocs="2718118,0;5436236,1;2718118,1;0,1;0,0;5436236,1" o:connectangles="270,0,90,180,90,270" textboxrect="0,0,5436236,0"/>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EC0B" w14:textId="77777777" w:rsidR="00187886" w:rsidRDefault="00000000">
    <w:pPr>
      <w:pStyle w:val="a4"/>
      <w:jc w:val="center"/>
    </w:pPr>
    <w:r>
      <w:rPr>
        <w:noProof/>
      </w:rPr>
      <mc:AlternateContent>
        <mc:Choice Requires="wps">
          <w:drawing>
            <wp:anchor distT="0" distB="0" distL="114300" distR="114300" simplePos="0" relativeHeight="251716608" behindDoc="0" locked="0" layoutInCell="1" allowOverlap="1" wp14:anchorId="20BAD619" wp14:editId="3AB44277">
              <wp:simplePos x="0" y="0"/>
              <wp:positionH relativeFrom="margin">
                <wp:align>center</wp:align>
              </wp:positionH>
              <wp:positionV relativeFrom="paragraph">
                <wp:posOffset>548</wp:posOffset>
              </wp:positionV>
              <wp:extent cx="0" cy="0"/>
              <wp:effectExtent l="0" t="0" r="0" b="0"/>
              <wp:wrapSquare wrapText="bothSides"/>
              <wp:docPr id="43" name="文字方塊 43"/>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7FA4FAAE" w14:textId="77777777" w:rsidR="00187886" w:rsidRDefault="00000000">
                          <w:pPr>
                            <w:pStyle w:val="a4"/>
                          </w:pPr>
                          <w:r>
                            <w:rPr>
                              <w:rStyle w:val="a5"/>
                              <w:iCs/>
                              <w:color w:val="0096B2"/>
                              <w:sz w:val="24"/>
                              <w:szCs w:val="24"/>
                            </w:rPr>
                            <w:fldChar w:fldCharType="begin"/>
                          </w:r>
                          <w:r>
                            <w:rPr>
                              <w:rStyle w:val="a5"/>
                              <w:iCs/>
                              <w:color w:val="0096B2"/>
                              <w:sz w:val="24"/>
                              <w:szCs w:val="24"/>
                            </w:rPr>
                            <w:instrText xml:space="preserve"> PAGE </w:instrText>
                          </w:r>
                          <w:r>
                            <w:rPr>
                              <w:rStyle w:val="a5"/>
                              <w:iCs/>
                              <w:color w:val="0096B2"/>
                              <w:sz w:val="24"/>
                              <w:szCs w:val="24"/>
                            </w:rPr>
                            <w:fldChar w:fldCharType="separate"/>
                          </w:r>
                          <w:r>
                            <w:rPr>
                              <w:rStyle w:val="a5"/>
                              <w:iCs/>
                              <w:color w:val="0096B2"/>
                              <w:sz w:val="24"/>
                              <w:szCs w:val="24"/>
                            </w:rPr>
                            <w:t>49</w:t>
                          </w:r>
                          <w:r>
                            <w:rPr>
                              <w:rStyle w:val="a5"/>
                              <w:iCs/>
                              <w:color w:val="0096B2"/>
                              <w:sz w:val="24"/>
                              <w:szCs w:val="24"/>
                            </w:rPr>
                            <w:fldChar w:fldCharType="end"/>
                          </w:r>
                        </w:p>
                      </w:txbxContent>
                    </wps:txbx>
                    <wps:bodyPr wrap="none" lIns="0" tIns="0" rIns="0" bIns="0">
                      <a:spAutoFit/>
                    </wps:bodyPr>
                  </wps:wsp>
                </a:graphicData>
              </a:graphic>
            </wp:anchor>
          </w:drawing>
        </mc:Choice>
        <mc:Fallback>
          <w:pict>
            <v:shapetype w14:anchorId="20BAD619" id="_x0000_t202" coordsize="21600,21600" o:spt="202" path="m,l,21600r21600,l21600,xe">
              <v:stroke joinstyle="miter"/>
              <v:path gradientshapeok="t" o:connecttype="rect"/>
            </v:shapetype>
            <v:shape id="文字方塊 43" o:spid="_x0000_s1132" type="#_x0000_t202" style="position:absolute;left:0;text-align:left;margin-left:0;margin-top:.05pt;width:0;height:0;z-index:251716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" filled="f" stroked="f">
              <v:textbox style="mso-fit-shape-to-text:t" inset="0,0,0,0">
                <w:txbxContent>
                  <w:p w14:paraId="7FA4FAAE" w14:textId="77777777" w:rsidR="00187886" w:rsidRDefault="00000000">
                    <w:pPr>
                      <w:pStyle w:val="a4"/>
                    </w:pPr>
                    <w:r>
                      <w:rPr>
                        <w:rStyle w:val="a5"/>
                        <w:iCs/>
                        <w:color w:val="0096B2"/>
                        <w:sz w:val="24"/>
                        <w:szCs w:val="24"/>
                      </w:rPr>
                      <w:fldChar w:fldCharType="begin"/>
                    </w:r>
                    <w:r>
                      <w:rPr>
                        <w:rStyle w:val="a5"/>
                        <w:iCs/>
                        <w:color w:val="0096B2"/>
                        <w:sz w:val="24"/>
                        <w:szCs w:val="24"/>
                      </w:rPr>
                      <w:instrText xml:space="preserve"> PAGE </w:instrText>
                    </w:r>
                    <w:r>
                      <w:rPr>
                        <w:rStyle w:val="a5"/>
                        <w:iCs/>
                        <w:color w:val="0096B2"/>
                        <w:sz w:val="24"/>
                        <w:szCs w:val="24"/>
                      </w:rPr>
                      <w:fldChar w:fldCharType="separate"/>
                    </w:r>
                    <w:r>
                      <w:rPr>
                        <w:rStyle w:val="a5"/>
                        <w:iCs/>
                        <w:color w:val="0096B2"/>
                        <w:sz w:val="24"/>
                        <w:szCs w:val="24"/>
                      </w:rPr>
                      <w:t>49</w:t>
                    </w:r>
                    <w:r>
                      <w:rPr>
                        <w:rStyle w:val="a5"/>
                        <w:iCs/>
                        <w:color w:val="0096B2"/>
                        <w:sz w:val="24"/>
                        <w:szCs w:val="24"/>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715584" behindDoc="0" locked="0" layoutInCell="1" allowOverlap="1" wp14:anchorId="3066B0B7" wp14:editId="6E961C04">
              <wp:simplePos x="0" y="0"/>
              <wp:positionH relativeFrom="column">
                <wp:posOffset>-17775</wp:posOffset>
              </wp:positionH>
              <wp:positionV relativeFrom="paragraph">
                <wp:posOffset>-32388</wp:posOffset>
              </wp:positionV>
              <wp:extent cx="5436236" cy="0"/>
              <wp:effectExtent l="0" t="0" r="0" b="0"/>
              <wp:wrapNone/>
              <wp:docPr id="44" name="直線接點 85"/>
              <wp:cNvGraphicFramePr/>
              <a:graphic xmlns:a="http://schemas.openxmlformats.org/drawingml/2006/main">
                <a:graphicData uri="http://schemas.microsoft.com/office/word/2010/wordprocessingShape">
                  <wps:wsp>
                    <wps:cNvSpPr/>
                    <wps:spPr>
                      <a:xfrm>
                        <a:off x="0" y="0"/>
                        <a:ext cx="543623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74B04F7" id="直線接點 85" o:spid="_x0000_s1026" style="position:absolute;margin-left:-1.4pt;margin-top:-2.55pt;width:428.05pt;height:0;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54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" path="m,l5436236,1e" filled="f" strokecolor="#0096b2" strokeweight=".26467mm">
              <v:path arrowok="t" o:connecttype="custom" o:connectlocs="2718118,0;5436236,1;2718118,1;0,1;0,0;5436236,1" o:connectangles="270,0,90,180,90,270" textboxrect="0,0,5436236,0"/>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43BF" w14:textId="77777777" w:rsidR="00187886" w:rsidRDefault="00000000">
    <w:r>
      <w:rPr>
        <w:noProof/>
      </w:rPr>
      <mc:AlternateContent>
        <mc:Choice Requires="wps">
          <w:drawing>
            <wp:anchor distT="0" distB="0" distL="114300" distR="114300" simplePos="0" relativeHeight="251730944" behindDoc="0" locked="0" layoutInCell="1" allowOverlap="1" wp14:anchorId="48795F03" wp14:editId="733EC716">
              <wp:simplePos x="0" y="0"/>
              <wp:positionH relativeFrom="margin">
                <wp:align>center</wp:align>
              </wp:positionH>
              <wp:positionV relativeFrom="paragraph">
                <wp:posOffset>548</wp:posOffset>
              </wp:positionV>
              <wp:extent cx="0" cy="0"/>
              <wp:effectExtent l="0" t="0" r="0" b="0"/>
              <wp:wrapSquare wrapText="bothSides"/>
              <wp:docPr id="59" name="文字方塊 59"/>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721C29CA" w14:textId="77777777" w:rsidR="00187886" w:rsidRDefault="00000000">
                          <w:pPr>
                            <w:pStyle w:val="a4"/>
                          </w:pPr>
                          <w:r>
                            <w:rPr>
                              <w:rStyle w:val="a5"/>
                              <w:iCs/>
                              <w:color w:val="0096B2"/>
                              <w:sz w:val="24"/>
                              <w:szCs w:val="24"/>
                            </w:rPr>
                            <w:fldChar w:fldCharType="begin"/>
                          </w:r>
                          <w:r>
                            <w:rPr>
                              <w:rStyle w:val="a5"/>
                              <w:iCs/>
                              <w:color w:val="0096B2"/>
                              <w:sz w:val="24"/>
                              <w:szCs w:val="24"/>
                            </w:rPr>
                            <w:instrText xml:space="preserve"> PAGE </w:instrText>
                          </w:r>
                          <w:r>
                            <w:rPr>
                              <w:rStyle w:val="a5"/>
                              <w:iCs/>
                              <w:color w:val="0096B2"/>
                              <w:sz w:val="24"/>
                              <w:szCs w:val="24"/>
                            </w:rPr>
                            <w:fldChar w:fldCharType="separate"/>
                          </w:r>
                          <w:r>
                            <w:rPr>
                              <w:rStyle w:val="a5"/>
                              <w:iCs/>
                              <w:color w:val="0096B2"/>
                              <w:sz w:val="24"/>
                              <w:szCs w:val="24"/>
                            </w:rPr>
                            <w:t>98</w:t>
                          </w:r>
                          <w:r>
                            <w:rPr>
                              <w:rStyle w:val="a5"/>
                              <w:iCs/>
                              <w:color w:val="0096B2"/>
                              <w:sz w:val="24"/>
                              <w:szCs w:val="24"/>
                            </w:rPr>
                            <w:fldChar w:fldCharType="end"/>
                          </w:r>
                        </w:p>
                      </w:txbxContent>
                    </wps:txbx>
                    <wps:bodyPr wrap="none" lIns="0" tIns="0" rIns="0" bIns="0">
                      <a:spAutoFit/>
                    </wps:bodyPr>
                  </wps:wsp>
                </a:graphicData>
              </a:graphic>
            </wp:anchor>
          </w:drawing>
        </mc:Choice>
        <mc:Fallback>
          <w:pict>
            <v:shapetype w14:anchorId="48795F03" id="_x0000_t202" coordsize="21600,21600" o:spt="202" path="m,l,21600r21600,l21600,xe">
              <v:stroke joinstyle="miter"/>
              <v:path gradientshapeok="t" o:connecttype="rect"/>
            </v:shapetype>
            <v:shape id="文字方塊 59" o:spid="_x0000_s1135" type="#_x0000_t202" style="position:absolute;margin-left:0;margin-top:.05pt;width:0;height:0;z-index:251730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" filled="f" stroked="f">
              <v:textbox style="mso-fit-shape-to-text:t" inset="0,0,0,0">
                <w:txbxContent>
                  <w:p w14:paraId="721C29CA" w14:textId="77777777" w:rsidR="00187886" w:rsidRDefault="00000000">
                    <w:pPr>
                      <w:pStyle w:val="a4"/>
                    </w:pPr>
                    <w:r>
                      <w:rPr>
                        <w:rStyle w:val="a5"/>
                        <w:iCs/>
                        <w:color w:val="0096B2"/>
                        <w:sz w:val="24"/>
                        <w:szCs w:val="24"/>
                      </w:rPr>
                      <w:fldChar w:fldCharType="begin"/>
                    </w:r>
                    <w:r>
                      <w:rPr>
                        <w:rStyle w:val="a5"/>
                        <w:iCs/>
                        <w:color w:val="0096B2"/>
                        <w:sz w:val="24"/>
                        <w:szCs w:val="24"/>
                      </w:rPr>
                      <w:instrText xml:space="preserve"> PAGE </w:instrText>
                    </w:r>
                    <w:r>
                      <w:rPr>
                        <w:rStyle w:val="a5"/>
                        <w:iCs/>
                        <w:color w:val="0096B2"/>
                        <w:sz w:val="24"/>
                        <w:szCs w:val="24"/>
                      </w:rPr>
                      <w:fldChar w:fldCharType="separate"/>
                    </w:r>
                    <w:r>
                      <w:rPr>
                        <w:rStyle w:val="a5"/>
                        <w:iCs/>
                        <w:color w:val="0096B2"/>
                        <w:sz w:val="24"/>
                        <w:szCs w:val="24"/>
                      </w:rPr>
                      <w:t>98</w:t>
                    </w:r>
                    <w:r>
                      <w:rPr>
                        <w:rStyle w:val="a5"/>
                        <w:iCs/>
                        <w:color w:val="0096B2"/>
                        <w:sz w:val="24"/>
                        <w:szCs w:val="24"/>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731968" behindDoc="0" locked="0" layoutInCell="1" allowOverlap="1" wp14:anchorId="4A687E65" wp14:editId="25C5B5A5">
              <wp:simplePos x="0" y="0"/>
              <wp:positionH relativeFrom="column">
                <wp:posOffset>-17775</wp:posOffset>
              </wp:positionH>
              <wp:positionV relativeFrom="paragraph">
                <wp:posOffset>-32388</wp:posOffset>
              </wp:positionV>
              <wp:extent cx="5436236" cy="0"/>
              <wp:effectExtent l="0" t="0" r="0" b="0"/>
              <wp:wrapNone/>
              <wp:docPr id="60" name="直線接點 17490"/>
              <wp:cNvGraphicFramePr/>
              <a:graphic xmlns:a="http://schemas.openxmlformats.org/drawingml/2006/main">
                <a:graphicData uri="http://schemas.microsoft.com/office/word/2010/wordprocessingShape">
                  <wps:wsp>
                    <wps:cNvSpPr/>
                    <wps:spPr>
                      <a:xfrm>
                        <a:off x="0" y="0"/>
                        <a:ext cx="543623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18C1320D" id="直線接點 17490" o:spid="_x0000_s1026" style="position:absolute;margin-left:-1.4pt;margin-top:-2.55pt;width:428.05pt;height:0;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54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" path="m,l5436236,1e" filled="f" strokecolor="#0096b2" strokeweight=".26467mm">
              <v:path arrowok="t" o:connecttype="custom" o:connectlocs="2718118,0;5436236,1;2718118,1;0,1;0,0;5436236,1" o:connectangles="270,0,90,180,90,270" textboxrect="0,0,5436236,0"/>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BBAA" w14:textId="77777777" w:rsidR="00187886" w:rsidRDefault="00000000">
    <w:pPr>
      <w:pStyle w:val="a4"/>
      <w:jc w:val="center"/>
    </w:pPr>
    <w:r>
      <w:rPr>
        <w:noProof/>
      </w:rPr>
      <mc:AlternateContent>
        <mc:Choice Requires="wps">
          <w:drawing>
            <wp:anchor distT="0" distB="0" distL="114300" distR="114300" simplePos="0" relativeHeight="251734016" behindDoc="0" locked="0" layoutInCell="1" allowOverlap="1" wp14:anchorId="2CD64353" wp14:editId="32E18C76">
              <wp:simplePos x="0" y="0"/>
              <wp:positionH relativeFrom="margin">
                <wp:align>center</wp:align>
              </wp:positionH>
              <wp:positionV relativeFrom="paragraph">
                <wp:posOffset>548</wp:posOffset>
              </wp:positionV>
              <wp:extent cx="0" cy="0"/>
              <wp:effectExtent l="0" t="0" r="0" b="0"/>
              <wp:wrapSquare wrapText="bothSides"/>
              <wp:docPr id="57" name="文字方塊 57"/>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5C1C3509" w14:textId="77777777" w:rsidR="00187886" w:rsidRDefault="00000000">
                          <w:pPr>
                            <w:pStyle w:val="a4"/>
                          </w:pPr>
                          <w:r>
                            <w:rPr>
                              <w:rStyle w:val="a5"/>
                              <w:iCs/>
                              <w:color w:val="0096B2"/>
                              <w:sz w:val="24"/>
                              <w:szCs w:val="26"/>
                            </w:rPr>
                            <w:fldChar w:fldCharType="begin"/>
                          </w:r>
                          <w:r>
                            <w:rPr>
                              <w:rStyle w:val="a5"/>
                              <w:iCs/>
                              <w:color w:val="0096B2"/>
                              <w:sz w:val="24"/>
                              <w:szCs w:val="26"/>
                            </w:rPr>
                            <w:instrText xml:space="preserve"> PAGE </w:instrText>
                          </w:r>
                          <w:r>
                            <w:rPr>
                              <w:rStyle w:val="a5"/>
                              <w:iCs/>
                              <w:color w:val="0096B2"/>
                              <w:sz w:val="24"/>
                              <w:szCs w:val="26"/>
                            </w:rPr>
                            <w:fldChar w:fldCharType="separate"/>
                          </w:r>
                          <w:r>
                            <w:rPr>
                              <w:rStyle w:val="a5"/>
                              <w:iCs/>
                              <w:color w:val="0096B2"/>
                              <w:sz w:val="24"/>
                              <w:szCs w:val="26"/>
                            </w:rPr>
                            <w:t>97</w:t>
                          </w:r>
                          <w:r>
                            <w:rPr>
                              <w:rStyle w:val="a5"/>
                              <w:iCs/>
                              <w:color w:val="0096B2"/>
                              <w:sz w:val="24"/>
                              <w:szCs w:val="26"/>
                            </w:rPr>
                            <w:fldChar w:fldCharType="end"/>
                          </w:r>
                        </w:p>
                      </w:txbxContent>
                    </wps:txbx>
                    <wps:bodyPr wrap="none" lIns="0" tIns="0" rIns="0" bIns="0">
                      <a:spAutoFit/>
                    </wps:bodyPr>
                  </wps:wsp>
                </a:graphicData>
              </a:graphic>
            </wp:anchor>
          </w:drawing>
        </mc:Choice>
        <mc:Fallback>
          <w:pict>
            <v:shapetype w14:anchorId="2CD64353" id="_x0000_t202" coordsize="21600,21600" o:spt="202" path="m,l,21600r21600,l21600,xe">
              <v:stroke joinstyle="miter"/>
              <v:path gradientshapeok="t" o:connecttype="rect"/>
            </v:shapetype>
            <v:shape id="文字方塊 57" o:spid="_x0000_s1136" type="#_x0000_t202" style="position:absolute;left:0;text-align:left;margin-left:0;margin-top:.05pt;width:0;height:0;z-index:251734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" filled="f" stroked="f">
              <v:textbox style="mso-fit-shape-to-text:t" inset="0,0,0,0">
                <w:txbxContent>
                  <w:p w14:paraId="5C1C3509" w14:textId="77777777" w:rsidR="00187886" w:rsidRDefault="00000000">
                    <w:pPr>
                      <w:pStyle w:val="a4"/>
                    </w:pPr>
                    <w:r>
                      <w:rPr>
                        <w:rStyle w:val="a5"/>
                        <w:iCs/>
                        <w:color w:val="0096B2"/>
                        <w:sz w:val="24"/>
                        <w:szCs w:val="26"/>
                      </w:rPr>
                      <w:fldChar w:fldCharType="begin"/>
                    </w:r>
                    <w:r>
                      <w:rPr>
                        <w:rStyle w:val="a5"/>
                        <w:iCs/>
                        <w:color w:val="0096B2"/>
                        <w:sz w:val="24"/>
                        <w:szCs w:val="26"/>
                      </w:rPr>
                      <w:instrText xml:space="preserve"> PAGE </w:instrText>
                    </w:r>
                    <w:r>
                      <w:rPr>
                        <w:rStyle w:val="a5"/>
                        <w:iCs/>
                        <w:color w:val="0096B2"/>
                        <w:sz w:val="24"/>
                        <w:szCs w:val="26"/>
                      </w:rPr>
                      <w:fldChar w:fldCharType="separate"/>
                    </w:r>
                    <w:r>
                      <w:rPr>
                        <w:rStyle w:val="a5"/>
                        <w:iCs/>
                        <w:color w:val="0096B2"/>
                        <w:sz w:val="24"/>
                        <w:szCs w:val="26"/>
                      </w:rPr>
                      <w:t>97</w:t>
                    </w:r>
                    <w:r>
                      <w:rPr>
                        <w:rStyle w:val="a5"/>
                        <w:iCs/>
                        <w:color w:val="0096B2"/>
                        <w:sz w:val="24"/>
                        <w:szCs w:val="26"/>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735040" behindDoc="0" locked="0" layoutInCell="1" allowOverlap="1" wp14:anchorId="11D66562" wp14:editId="68FC2442">
              <wp:simplePos x="0" y="0"/>
              <wp:positionH relativeFrom="column">
                <wp:posOffset>-17775</wp:posOffset>
              </wp:positionH>
              <wp:positionV relativeFrom="paragraph">
                <wp:posOffset>-32388</wp:posOffset>
              </wp:positionV>
              <wp:extent cx="5436236" cy="0"/>
              <wp:effectExtent l="0" t="0" r="0" b="0"/>
              <wp:wrapNone/>
              <wp:docPr id="58" name="直線接點 17489"/>
              <wp:cNvGraphicFramePr/>
              <a:graphic xmlns:a="http://schemas.openxmlformats.org/drawingml/2006/main">
                <a:graphicData uri="http://schemas.microsoft.com/office/word/2010/wordprocessingShape">
                  <wps:wsp>
                    <wps:cNvSpPr/>
                    <wps:spPr>
                      <a:xfrm>
                        <a:off x="0" y="0"/>
                        <a:ext cx="543623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01E8E2A" id="直線接點 17489" o:spid="_x0000_s1026" style="position:absolute;margin-left:-1.4pt;margin-top:-2.55pt;width:428.05pt;height:0;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54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" path="m,l5436236,1e" filled="f" strokecolor="#0096b2" strokeweight=".26467mm">
              <v:path arrowok="t" o:connecttype="custom" o:connectlocs="2718118,0;5436236,1;2718118,1;0,1;0,0;5436236,1" o:connectangles="270,0,90,180,90,270" textboxrect="0,0,5436236,0"/>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0186C" w14:textId="77777777" w:rsidR="00187886" w:rsidRDefault="00000000">
    <w:r>
      <w:rPr>
        <w:noProof/>
      </w:rPr>
      <mc:AlternateContent>
        <mc:Choice Requires="wps">
          <w:drawing>
            <wp:anchor distT="0" distB="0" distL="114300" distR="114300" simplePos="0" relativeHeight="251748352" behindDoc="0" locked="0" layoutInCell="1" allowOverlap="1" wp14:anchorId="327E719E" wp14:editId="37D98122">
              <wp:simplePos x="0" y="0"/>
              <wp:positionH relativeFrom="margin">
                <wp:align>center</wp:align>
              </wp:positionH>
              <wp:positionV relativeFrom="paragraph">
                <wp:posOffset>548</wp:posOffset>
              </wp:positionV>
              <wp:extent cx="0" cy="0"/>
              <wp:effectExtent l="0" t="0" r="0" b="0"/>
              <wp:wrapSquare wrapText="bothSides"/>
              <wp:docPr id="72" name="文字方塊 72"/>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0BFA10F0" w14:textId="77777777" w:rsidR="00187886" w:rsidRDefault="00000000">
                          <w:pPr>
                            <w:pStyle w:val="a4"/>
                          </w:pPr>
                          <w:r>
                            <w:rPr>
                              <w:rStyle w:val="a5"/>
                              <w:iCs/>
                              <w:color w:val="0096B2"/>
                              <w:sz w:val="24"/>
                              <w:szCs w:val="26"/>
                            </w:rPr>
                            <w:fldChar w:fldCharType="begin"/>
                          </w:r>
                          <w:r>
                            <w:rPr>
                              <w:rStyle w:val="a5"/>
                              <w:iCs/>
                              <w:color w:val="0096B2"/>
                              <w:sz w:val="24"/>
                              <w:szCs w:val="26"/>
                            </w:rPr>
                            <w:instrText xml:space="preserve"> PAGE </w:instrText>
                          </w:r>
                          <w:r>
                            <w:rPr>
                              <w:rStyle w:val="a5"/>
                              <w:iCs/>
                              <w:color w:val="0096B2"/>
                              <w:sz w:val="24"/>
                              <w:szCs w:val="26"/>
                            </w:rPr>
                            <w:fldChar w:fldCharType="separate"/>
                          </w:r>
                          <w:r>
                            <w:rPr>
                              <w:rStyle w:val="a5"/>
                              <w:iCs/>
                              <w:color w:val="0096B2"/>
                              <w:sz w:val="24"/>
                              <w:szCs w:val="26"/>
                            </w:rPr>
                            <w:t>102</w:t>
                          </w:r>
                          <w:r>
                            <w:rPr>
                              <w:rStyle w:val="a5"/>
                              <w:iCs/>
                              <w:color w:val="0096B2"/>
                              <w:sz w:val="24"/>
                              <w:szCs w:val="26"/>
                            </w:rPr>
                            <w:fldChar w:fldCharType="end"/>
                          </w:r>
                        </w:p>
                      </w:txbxContent>
                    </wps:txbx>
                    <wps:bodyPr wrap="none" lIns="0" tIns="0" rIns="0" bIns="0">
                      <a:spAutoFit/>
                    </wps:bodyPr>
                  </wps:wsp>
                </a:graphicData>
              </a:graphic>
            </wp:anchor>
          </w:drawing>
        </mc:Choice>
        <mc:Fallback>
          <w:pict>
            <v:shapetype w14:anchorId="327E719E" id="_x0000_t202" coordsize="21600,21600" o:spt="202" path="m,l,21600r21600,l21600,xe">
              <v:stroke joinstyle="miter"/>
              <v:path gradientshapeok="t" o:connecttype="rect"/>
            </v:shapetype>
            <v:shape id="文字方塊 72" o:spid="_x0000_s1139" type="#_x0000_t202" style="position:absolute;margin-left:0;margin-top:.05pt;width:0;height:0;z-index:2517483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" filled="f" stroked="f">
              <v:textbox style="mso-fit-shape-to-text:t" inset="0,0,0,0">
                <w:txbxContent>
                  <w:p w14:paraId="0BFA10F0" w14:textId="77777777" w:rsidR="00187886" w:rsidRDefault="00000000">
                    <w:pPr>
                      <w:pStyle w:val="a4"/>
                    </w:pPr>
                    <w:r>
                      <w:rPr>
                        <w:rStyle w:val="a5"/>
                        <w:iCs/>
                        <w:color w:val="0096B2"/>
                        <w:sz w:val="24"/>
                        <w:szCs w:val="26"/>
                      </w:rPr>
                      <w:fldChar w:fldCharType="begin"/>
                    </w:r>
                    <w:r>
                      <w:rPr>
                        <w:rStyle w:val="a5"/>
                        <w:iCs/>
                        <w:color w:val="0096B2"/>
                        <w:sz w:val="24"/>
                        <w:szCs w:val="26"/>
                      </w:rPr>
                      <w:instrText xml:space="preserve"> PAGE </w:instrText>
                    </w:r>
                    <w:r>
                      <w:rPr>
                        <w:rStyle w:val="a5"/>
                        <w:iCs/>
                        <w:color w:val="0096B2"/>
                        <w:sz w:val="24"/>
                        <w:szCs w:val="26"/>
                      </w:rPr>
                      <w:fldChar w:fldCharType="separate"/>
                    </w:r>
                    <w:r>
                      <w:rPr>
                        <w:rStyle w:val="a5"/>
                        <w:iCs/>
                        <w:color w:val="0096B2"/>
                        <w:sz w:val="24"/>
                        <w:szCs w:val="26"/>
                      </w:rPr>
                      <w:t>102</w:t>
                    </w:r>
                    <w:r>
                      <w:rPr>
                        <w:rStyle w:val="a5"/>
                        <w:iCs/>
                        <w:color w:val="0096B2"/>
                        <w:sz w:val="24"/>
                        <w:szCs w:val="26"/>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749376" behindDoc="0" locked="0" layoutInCell="1" allowOverlap="1" wp14:anchorId="2E3BBAD0" wp14:editId="447A7FA6">
              <wp:simplePos x="0" y="0"/>
              <wp:positionH relativeFrom="column">
                <wp:posOffset>-13331</wp:posOffset>
              </wp:positionH>
              <wp:positionV relativeFrom="paragraph">
                <wp:posOffset>-19687</wp:posOffset>
              </wp:positionV>
              <wp:extent cx="5436236" cy="0"/>
              <wp:effectExtent l="0" t="0" r="0" b="0"/>
              <wp:wrapNone/>
              <wp:docPr id="73" name="直線接點 43050"/>
              <wp:cNvGraphicFramePr/>
              <a:graphic xmlns:a="http://schemas.openxmlformats.org/drawingml/2006/main">
                <a:graphicData uri="http://schemas.microsoft.com/office/word/2010/wordprocessingShape">
                  <wps:wsp>
                    <wps:cNvSpPr/>
                    <wps:spPr>
                      <a:xfrm>
                        <a:off x="0" y="0"/>
                        <a:ext cx="543623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28FDEE9C" id="直線接點 43050" o:spid="_x0000_s1026" style="position:absolute;margin-left:-1.05pt;margin-top:-1.55pt;width:428.05pt;height:0;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54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" path="m,l5436236,1e" filled="f" strokecolor="#0096b2" strokeweight=".26467mm">
              <v:path arrowok="t" o:connecttype="custom" o:connectlocs="2718118,0;5436236,1;2718118,1;0,1;0,0;5436236,1" o:connectangles="270,0,90,180,90,270" textboxrect="0,0,5436236,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49D5C" w14:textId="77777777" w:rsidR="00926811" w:rsidRDefault="00926811">
      <w:r>
        <w:rPr>
          <w:color w:val="000000"/>
        </w:rPr>
        <w:separator/>
      </w:r>
    </w:p>
  </w:footnote>
  <w:footnote w:type="continuationSeparator" w:id="0">
    <w:p w14:paraId="365FD974" w14:textId="77777777" w:rsidR="00926811" w:rsidRDefault="00926811">
      <w:r>
        <w:continuationSeparator/>
      </w:r>
    </w:p>
  </w:footnote>
  <w:footnote w:id="1">
    <w:p w14:paraId="326AEA2B" w14:textId="77777777" w:rsidR="00052596" w:rsidRDefault="00000000">
      <w:pPr>
        <w:pStyle w:val="aff6"/>
        <w:overflowPunct w:val="0"/>
        <w:autoSpaceDE w:val="0"/>
        <w:ind w:left="262" w:hanging="120"/>
      </w:pPr>
      <w:r>
        <w:rPr>
          <w:rStyle w:val="aff8"/>
        </w:rPr>
        <w:footnoteRef/>
      </w:r>
      <w:r>
        <w:rPr>
          <w:rFonts w:ascii="Times New Roman" w:eastAsia="標楷體" w:hAnsi="Times New Roman"/>
          <w:sz w:val="12"/>
          <w:szCs w:val="12"/>
        </w:rPr>
        <w:t xml:space="preserve"> </w:t>
      </w:r>
      <w:r>
        <w:rPr>
          <w:rFonts w:ascii="Times New Roman" w:eastAsia="標楷體" w:hAnsi="Times New Roman"/>
        </w:rPr>
        <w:t>消費階層</w:t>
      </w:r>
      <w:r>
        <w:rPr>
          <w:rFonts w:ascii="標楷體" w:eastAsia="標楷體" w:hAnsi="標楷體"/>
        </w:rPr>
        <w:t>(</w:t>
      </w:r>
      <w:r>
        <w:rPr>
          <w:rFonts w:ascii="Times New Roman" w:eastAsia="標楷體" w:hAnsi="Times New Roman"/>
        </w:rPr>
        <w:t>consuming classes</w:t>
      </w:r>
      <w:r>
        <w:rPr>
          <w:rFonts w:ascii="標楷體" w:eastAsia="標楷體" w:hAnsi="標楷體"/>
        </w:rPr>
        <w:t>)</w:t>
      </w:r>
      <w:r>
        <w:rPr>
          <w:rFonts w:ascii="Times New Roman" w:eastAsia="標楷體" w:hAnsi="Times New Roman"/>
        </w:rPr>
        <w:t>係指以</w:t>
      </w:r>
      <w:r>
        <w:rPr>
          <w:rFonts w:ascii="Times New Roman" w:eastAsia="標楷體" w:hAnsi="Times New Roman"/>
        </w:rPr>
        <w:t>2005</w:t>
      </w:r>
      <w:r>
        <w:rPr>
          <w:rFonts w:ascii="Times New Roman" w:eastAsia="標楷體" w:hAnsi="Times New Roman"/>
        </w:rPr>
        <w:t>年購買力平價之年所得超過</w:t>
      </w:r>
      <w:r>
        <w:rPr>
          <w:rFonts w:ascii="Times New Roman" w:eastAsia="標楷體" w:hAnsi="Times New Roman"/>
        </w:rPr>
        <w:t>3,600</w:t>
      </w:r>
      <w:r>
        <w:rPr>
          <w:rFonts w:ascii="Times New Roman" w:eastAsia="標楷體" w:hAnsi="Times New Roman"/>
        </w:rPr>
        <w:t>美元者，其包括年所得介於</w:t>
      </w:r>
      <w:r>
        <w:rPr>
          <w:rFonts w:ascii="Times New Roman" w:eastAsia="標楷體" w:hAnsi="Times New Roman"/>
        </w:rPr>
        <w:t>3,600</w:t>
      </w:r>
      <w:r>
        <w:rPr>
          <w:rFonts w:ascii="Times New Roman" w:eastAsia="標楷體" w:hAnsi="Times New Roman"/>
        </w:rPr>
        <w:t>美元</w:t>
      </w:r>
      <w:r>
        <w:rPr>
          <w:rFonts w:ascii="Times New Roman" w:eastAsia="標楷體" w:hAnsi="Times New Roman"/>
        </w:rPr>
        <w:t>~70,000</w:t>
      </w:r>
      <w:r>
        <w:rPr>
          <w:rFonts w:ascii="Times New Roman" w:eastAsia="標楷體" w:hAnsi="Times New Roman"/>
        </w:rPr>
        <w:t>美元的中所得階層</w:t>
      </w:r>
      <w:r>
        <w:rPr>
          <w:rFonts w:ascii="標楷體" w:eastAsia="標楷體" w:hAnsi="標楷體"/>
        </w:rPr>
        <w:t>(</w:t>
      </w:r>
      <w:r>
        <w:rPr>
          <w:rFonts w:ascii="Times New Roman" w:eastAsia="標楷體" w:hAnsi="Times New Roman"/>
        </w:rPr>
        <w:t>middle-income segments</w:t>
      </w:r>
      <w:r>
        <w:rPr>
          <w:rFonts w:ascii="標楷體" w:eastAsia="標楷體" w:hAnsi="標楷體"/>
        </w:rPr>
        <w:t>)</w:t>
      </w:r>
      <w:r>
        <w:rPr>
          <w:rFonts w:ascii="Times New Roman" w:eastAsia="標楷體" w:hAnsi="Times New Roman"/>
        </w:rPr>
        <w:t>，以及超過</w:t>
      </w:r>
      <w:r>
        <w:rPr>
          <w:rFonts w:ascii="Times New Roman" w:eastAsia="標楷體" w:hAnsi="Times New Roman"/>
        </w:rPr>
        <w:t>70,000</w:t>
      </w:r>
      <w:r>
        <w:rPr>
          <w:rFonts w:ascii="Times New Roman" w:eastAsia="標楷體" w:hAnsi="Times New Roman"/>
        </w:rPr>
        <w:t>美元的高所得家戶</w:t>
      </w:r>
      <w:r>
        <w:rPr>
          <w:rFonts w:ascii="標楷體" w:eastAsia="標楷體" w:hAnsi="標楷體"/>
        </w:rPr>
        <w:t>(</w:t>
      </w:r>
      <w:r>
        <w:rPr>
          <w:rFonts w:ascii="Times New Roman" w:eastAsia="標楷體" w:hAnsi="Times New Roman"/>
        </w:rPr>
        <w:t>high-income households</w:t>
      </w:r>
      <w:r>
        <w:rPr>
          <w:rFonts w:ascii="標楷體" w:eastAsia="標楷體" w:hAnsi="標楷體"/>
        </w:rPr>
        <w:t>)</w:t>
      </w:r>
      <w:r>
        <w:rPr>
          <w:rFonts w:ascii="Times New Roman" w:eastAsia="標楷體" w:hAnsi="Times New Roman"/>
        </w:rPr>
        <w:t>。</w:t>
      </w:r>
    </w:p>
  </w:footnote>
  <w:footnote w:id="2">
    <w:p w14:paraId="4AA65028" w14:textId="77777777" w:rsidR="00052596" w:rsidRDefault="00000000">
      <w:pPr>
        <w:pStyle w:val="aff6"/>
        <w:overflowPunct w:val="0"/>
        <w:autoSpaceDE w:val="0"/>
        <w:ind w:left="262" w:hanging="120"/>
      </w:pPr>
      <w:r>
        <w:rPr>
          <w:rStyle w:val="aff8"/>
        </w:rPr>
        <w:footnoteRef/>
      </w:r>
      <w:r>
        <w:rPr>
          <w:rFonts w:ascii="Times New Roman" w:eastAsia="標楷體" w:hAnsi="Times New Roman"/>
          <w:sz w:val="12"/>
          <w:szCs w:val="12"/>
        </w:rPr>
        <w:t xml:space="preserve"> </w:t>
      </w:r>
      <w:r>
        <w:rPr>
          <w:rFonts w:ascii="Times New Roman" w:eastAsia="標楷體" w:hAnsi="Times New Roman"/>
        </w:rPr>
        <w:t>係指以實質匯率</w:t>
      </w:r>
      <w:r>
        <w:rPr>
          <w:rFonts w:ascii="標楷體" w:eastAsia="標楷體" w:hAnsi="標楷體"/>
        </w:rPr>
        <w:t>(</w:t>
      </w:r>
      <w:r>
        <w:rPr>
          <w:rFonts w:ascii="Times New Roman" w:eastAsia="標楷體" w:hAnsi="Times New Roman"/>
        </w:rPr>
        <w:t>Real exchange rate</w:t>
      </w:r>
      <w:r>
        <w:rPr>
          <w:rFonts w:ascii="標楷體" w:eastAsia="標楷體" w:hAnsi="標楷體"/>
        </w:rPr>
        <w:t>)</w:t>
      </w:r>
      <w:r>
        <w:rPr>
          <w:rFonts w:ascii="Times New Roman" w:eastAsia="標楷體" w:hAnsi="Times New Roman"/>
        </w:rPr>
        <w:t>計價的</w:t>
      </w:r>
      <w:r>
        <w:rPr>
          <w:rFonts w:ascii="Times New Roman" w:eastAsia="標楷體" w:hAnsi="Times New Roman"/>
        </w:rPr>
        <w:t>GDP</w:t>
      </w:r>
      <w:r>
        <w:rPr>
          <w:rFonts w:ascii="Times New Roman" w:eastAsia="標楷體" w:hAnsi="Times New Roman"/>
        </w:rPr>
        <w:t>。</w:t>
      </w:r>
    </w:p>
  </w:footnote>
  <w:footnote w:id="3">
    <w:p w14:paraId="695DF4E2" w14:textId="77777777" w:rsidR="00052596" w:rsidRDefault="00000000">
      <w:pPr>
        <w:pStyle w:val="aff6"/>
        <w:overflowPunct w:val="0"/>
        <w:autoSpaceDE w:val="0"/>
        <w:ind w:left="262" w:hanging="120"/>
      </w:pPr>
      <w:r>
        <w:rPr>
          <w:rStyle w:val="aff8"/>
        </w:rPr>
        <w:footnoteRef/>
      </w:r>
      <w:r>
        <w:rPr>
          <w:rFonts w:ascii="Times New Roman" w:eastAsia="標楷體" w:hAnsi="Times New Roman"/>
          <w:sz w:val="12"/>
          <w:szCs w:val="12"/>
        </w:rPr>
        <w:t xml:space="preserve"> </w:t>
      </w:r>
      <w:r>
        <w:rPr>
          <w:rFonts w:ascii="Times New Roman" w:eastAsia="標楷體" w:hAnsi="Times New Roman"/>
        </w:rPr>
        <w:t>係指占</w:t>
      </w:r>
      <w:r>
        <w:rPr>
          <w:rFonts w:ascii="Times New Roman" w:eastAsia="標楷體" w:hAnsi="Times New Roman"/>
        </w:rPr>
        <w:t>2010</w:t>
      </w:r>
      <w:r>
        <w:rPr>
          <w:rFonts w:ascii="Times New Roman" w:eastAsia="標楷體" w:hAnsi="Times New Roman"/>
        </w:rPr>
        <w:t>至</w:t>
      </w:r>
      <w:r>
        <w:rPr>
          <w:rFonts w:ascii="Times New Roman" w:eastAsia="標楷體" w:hAnsi="Times New Roman"/>
        </w:rPr>
        <w:t>2025</w:t>
      </w:r>
      <w:r>
        <w:rPr>
          <w:rFonts w:ascii="Times New Roman" w:eastAsia="標楷體" w:hAnsi="Times New Roman"/>
        </w:rPr>
        <w:t>年</w:t>
      </w:r>
      <w:r>
        <w:rPr>
          <w:rFonts w:ascii="Times New Roman" w:eastAsia="標楷體" w:hAnsi="Times New Roman"/>
        </w:rPr>
        <w:t>GDP</w:t>
      </w:r>
      <w:r>
        <w:rPr>
          <w:rFonts w:ascii="Times New Roman" w:eastAsia="標楷體" w:hAnsi="Times New Roman"/>
        </w:rPr>
        <w:t>增量比重最高之前</w:t>
      </w:r>
      <w:r>
        <w:rPr>
          <w:rFonts w:ascii="Times New Roman" w:eastAsia="標楷體" w:hAnsi="Times New Roman"/>
        </w:rPr>
        <w:t>600</w:t>
      </w:r>
      <w:r>
        <w:rPr>
          <w:rFonts w:ascii="Times New Roman" w:eastAsia="標楷體" w:hAnsi="Times New Roman"/>
        </w:rPr>
        <w:t>大城市。</w:t>
      </w:r>
    </w:p>
  </w:footnote>
  <w:footnote w:id="4">
    <w:p w14:paraId="54886096" w14:textId="77777777" w:rsidR="00052596" w:rsidRDefault="00000000">
      <w:pPr>
        <w:pStyle w:val="aff6"/>
        <w:overflowPunct w:val="0"/>
        <w:autoSpaceDE w:val="0"/>
        <w:ind w:left="262" w:hanging="120"/>
      </w:pPr>
      <w:r>
        <w:rPr>
          <w:rStyle w:val="aff8"/>
        </w:rPr>
        <w:footnoteRef/>
      </w:r>
      <w:r>
        <w:rPr>
          <w:rFonts w:ascii="Times New Roman" w:eastAsia="標楷體" w:hAnsi="Times New Roman"/>
          <w:sz w:val="12"/>
          <w:szCs w:val="12"/>
        </w:rPr>
        <w:t xml:space="preserve"> </w:t>
      </w:r>
      <w:r>
        <w:rPr>
          <w:rFonts w:ascii="Times New Roman" w:eastAsia="標楷體" w:hAnsi="Times New Roman"/>
        </w:rPr>
        <w:t>參見註解</w:t>
      </w:r>
      <w:r>
        <w:rPr>
          <w:rFonts w:ascii="Times New Roman" w:eastAsia="標楷體" w:hAnsi="Times New Roman"/>
        </w:rPr>
        <w:t>1</w:t>
      </w:r>
      <w:r>
        <w:rPr>
          <w:rFonts w:ascii="Times New Roman" w:eastAsia="標楷體" w:hAnsi="Times New Roman"/>
        </w:rPr>
        <w:t>。</w:t>
      </w:r>
    </w:p>
  </w:footnote>
  <w:footnote w:id="5">
    <w:p w14:paraId="0EEE3635" w14:textId="77777777" w:rsidR="00052596" w:rsidRDefault="00000000">
      <w:pPr>
        <w:pStyle w:val="aff6"/>
        <w:overflowPunct w:val="0"/>
        <w:autoSpaceDE w:val="0"/>
        <w:ind w:left="262" w:hanging="120"/>
      </w:pPr>
      <w:r>
        <w:rPr>
          <w:rStyle w:val="aff8"/>
        </w:rPr>
        <w:footnoteRef/>
      </w:r>
      <w:r>
        <w:rPr>
          <w:rFonts w:ascii="Times New Roman" w:eastAsia="標楷體" w:hAnsi="Times New Roman"/>
          <w:sz w:val="12"/>
          <w:szCs w:val="12"/>
        </w:rPr>
        <w:t xml:space="preserve"> </w:t>
      </w:r>
      <w:r>
        <w:rPr>
          <w:rFonts w:ascii="Times New Roman" w:eastAsia="標楷體" w:hAnsi="Times New Roman"/>
        </w:rPr>
        <w:t>係指歐美地區人口超過</w:t>
      </w:r>
      <w:r>
        <w:rPr>
          <w:rFonts w:ascii="Times New Roman" w:eastAsia="標楷體" w:hAnsi="Times New Roman"/>
        </w:rPr>
        <w:t>15</w:t>
      </w:r>
      <w:r>
        <w:rPr>
          <w:rFonts w:ascii="Times New Roman" w:eastAsia="標楷體" w:hAnsi="Times New Roman"/>
        </w:rPr>
        <w:t>萬的城市，以及中國大陸、印度、拉丁美洲等人口超過</w:t>
      </w:r>
      <w:r>
        <w:rPr>
          <w:rFonts w:ascii="Times New Roman" w:eastAsia="標楷體" w:hAnsi="Times New Roman"/>
        </w:rPr>
        <w:t>20</w:t>
      </w:r>
      <w:r>
        <w:rPr>
          <w:rFonts w:ascii="Times New Roman" w:eastAsia="標楷體" w:hAnsi="Times New Roman"/>
        </w:rPr>
        <w:t>萬的城市。</w:t>
      </w:r>
    </w:p>
  </w:footnote>
  <w:footnote w:id="6">
    <w:p w14:paraId="63A24F51" w14:textId="77777777" w:rsidR="00052596" w:rsidRDefault="00000000">
      <w:pPr>
        <w:pStyle w:val="aff6"/>
        <w:overflowPunct w:val="0"/>
        <w:autoSpaceDE w:val="0"/>
        <w:ind w:left="262" w:hanging="120"/>
      </w:pPr>
      <w:r>
        <w:rPr>
          <w:rStyle w:val="aff8"/>
        </w:rPr>
        <w:footnoteRef/>
      </w:r>
      <w:r>
        <w:rPr>
          <w:rFonts w:ascii="Times New Roman" w:eastAsia="標楷體" w:hAnsi="Times New Roman"/>
          <w:sz w:val="12"/>
          <w:szCs w:val="12"/>
        </w:rPr>
        <w:t xml:space="preserve"> </w:t>
      </w:r>
      <w:r>
        <w:rPr>
          <w:rFonts w:ascii="Times New Roman" w:eastAsia="標楷體" w:hAnsi="Times New Roman"/>
        </w:rPr>
        <w:t>係僅包括法國、德國、義大利、荷蘭、比利時、盧森堡，丹麥、愛爾蘭、英國、希臘、西班牙、葡萄牙、奧地利、芬蘭、瑞典等</w:t>
      </w:r>
      <w:r>
        <w:rPr>
          <w:rFonts w:ascii="Times New Roman" w:eastAsia="標楷體" w:hAnsi="Times New Roman"/>
        </w:rPr>
        <w:t>15</w:t>
      </w:r>
      <w:r>
        <w:rPr>
          <w:rFonts w:ascii="Times New Roman" w:eastAsia="標楷體" w:hAnsi="Times New Roman"/>
        </w:rPr>
        <w:t>國。</w:t>
      </w:r>
    </w:p>
  </w:footnote>
  <w:footnote w:id="7">
    <w:p w14:paraId="64C9BBE0" w14:textId="77777777" w:rsidR="00052596" w:rsidRDefault="00000000">
      <w:pPr>
        <w:pStyle w:val="aff6"/>
        <w:overflowPunct w:val="0"/>
        <w:autoSpaceDE w:val="0"/>
        <w:ind w:left="262" w:hanging="120"/>
      </w:pPr>
      <w:r>
        <w:rPr>
          <w:rStyle w:val="aff8"/>
        </w:rPr>
        <w:footnoteRef/>
      </w:r>
      <w:r>
        <w:rPr>
          <w:sz w:val="12"/>
          <w:szCs w:val="12"/>
        </w:rPr>
        <w:t xml:space="preserve"> </w:t>
      </w:r>
      <w:r>
        <w:rPr>
          <w:rFonts w:ascii="標楷體" w:eastAsia="標楷體" w:hAnsi="標楷體"/>
        </w:rPr>
        <w:t>扶幼比指</w:t>
      </w:r>
      <w:r>
        <w:rPr>
          <w:rFonts w:ascii="Times New Roman" w:eastAsia="標楷體" w:hAnsi="Times New Roman"/>
        </w:rPr>
        <w:t>14</w:t>
      </w:r>
      <w:r>
        <w:rPr>
          <w:rFonts w:ascii="Times New Roman" w:eastAsia="標楷體" w:hAnsi="Times New Roman"/>
        </w:rPr>
        <w:t>歲以下</w:t>
      </w:r>
      <w:r>
        <w:rPr>
          <w:rFonts w:ascii="標楷體" w:eastAsia="標楷體" w:hAnsi="標楷體"/>
        </w:rPr>
        <w:t>幼年人口佔</w:t>
      </w:r>
      <w:r>
        <w:rPr>
          <w:rFonts w:ascii="Times New Roman" w:eastAsia="標楷體" w:hAnsi="Times New Roman"/>
        </w:rPr>
        <w:t>15-64</w:t>
      </w:r>
      <w:r>
        <w:rPr>
          <w:rFonts w:ascii="Times New Roman" w:eastAsia="標楷體" w:hAnsi="Times New Roman"/>
        </w:rPr>
        <w:t>歲勞動人口之比重。</w:t>
      </w:r>
    </w:p>
  </w:footnote>
  <w:footnote w:id="8">
    <w:p w14:paraId="2A397E55" w14:textId="77777777" w:rsidR="00052596" w:rsidRDefault="00000000">
      <w:pPr>
        <w:pStyle w:val="aff6"/>
        <w:overflowPunct w:val="0"/>
        <w:autoSpaceDE w:val="0"/>
        <w:ind w:left="262" w:hanging="120"/>
      </w:pPr>
      <w:r>
        <w:rPr>
          <w:rStyle w:val="aff8"/>
        </w:rPr>
        <w:footnoteRef/>
      </w:r>
      <w:r>
        <w:rPr>
          <w:rFonts w:ascii="Times New Roman" w:eastAsia="標楷體" w:hAnsi="Times New Roman"/>
          <w:sz w:val="12"/>
          <w:szCs w:val="12"/>
        </w:rPr>
        <w:t xml:space="preserve"> </w:t>
      </w:r>
      <w:r>
        <w:rPr>
          <w:rFonts w:ascii="Times New Roman" w:eastAsia="標楷體" w:hAnsi="Times New Roman"/>
        </w:rPr>
        <w:t>隨收隨付制指當期收入用於當期給付，即年輕世代所提撥資金，並未存起來用於自身</w:t>
      </w:r>
      <w:r>
        <w:rPr>
          <w:rFonts w:ascii="Times New Roman" w:eastAsia="標楷體" w:hAnsi="Times New Roman"/>
          <w:bCs/>
        </w:rPr>
        <w:t>未來</w:t>
      </w:r>
      <w:r>
        <w:rPr>
          <w:rFonts w:ascii="Times New Roman" w:eastAsia="標楷體" w:hAnsi="Times New Roman"/>
        </w:rPr>
        <w:t>退休，而是立即支付給</w:t>
      </w:r>
      <w:r>
        <w:rPr>
          <w:rFonts w:ascii="Times New Roman" w:eastAsia="標楷體" w:hAnsi="Times New Roman"/>
          <w:bCs/>
        </w:rPr>
        <w:t>目前</w:t>
      </w:r>
      <w:r>
        <w:rPr>
          <w:rFonts w:ascii="Times New Roman" w:eastAsia="標楷體" w:hAnsi="Times New Roman"/>
        </w:rPr>
        <w:t>已退休的高齡者。</w:t>
      </w:r>
    </w:p>
  </w:footnote>
  <w:footnote w:id="9">
    <w:p w14:paraId="7AB04350" w14:textId="77777777" w:rsidR="00052596" w:rsidRDefault="00000000">
      <w:pPr>
        <w:pStyle w:val="aff6"/>
        <w:overflowPunct w:val="0"/>
        <w:autoSpaceDE w:val="0"/>
        <w:ind w:left="262" w:hanging="120"/>
      </w:pPr>
      <w:r>
        <w:rPr>
          <w:rStyle w:val="aff8"/>
        </w:rPr>
        <w:footnoteRef/>
      </w:r>
      <w:r>
        <w:rPr>
          <w:rFonts w:ascii="Times New Roman" w:eastAsia="標楷體" w:hAnsi="Times New Roman"/>
          <w:sz w:val="12"/>
          <w:szCs w:val="12"/>
        </w:rPr>
        <w:t xml:space="preserve"> </w:t>
      </w:r>
      <w:r>
        <w:rPr>
          <w:rFonts w:ascii="Times New Roman" w:eastAsia="標楷體" w:hAnsi="Times New Roman"/>
        </w:rPr>
        <w:t>確定提撥制指雇主與員工按期提撥資金，交付受託人保管運用，員工退休時，將提撥資金及孳息支付給該員工。</w:t>
      </w:r>
    </w:p>
  </w:footnote>
  <w:footnote w:id="10">
    <w:p w14:paraId="57135C5B" w14:textId="77777777" w:rsidR="00052596" w:rsidRDefault="00000000">
      <w:pPr>
        <w:pStyle w:val="aff6"/>
        <w:overflowPunct w:val="0"/>
        <w:autoSpaceDE w:val="0"/>
        <w:ind w:left="342" w:hanging="200"/>
      </w:pPr>
      <w:r>
        <w:rPr>
          <w:rStyle w:val="aff8"/>
        </w:rPr>
        <w:footnoteRef/>
      </w:r>
      <w:r>
        <w:rPr>
          <w:rFonts w:ascii="Times New Roman" w:eastAsia="標楷體" w:hAnsi="Times New Roman"/>
          <w:sz w:val="12"/>
          <w:szCs w:val="12"/>
        </w:rPr>
        <w:t xml:space="preserve"> </w:t>
      </w:r>
      <w:r>
        <w:rPr>
          <w:rFonts w:ascii="Times New Roman" w:eastAsia="標楷體" w:hAnsi="Times New Roman"/>
        </w:rPr>
        <w:t>美國海洋及大氣總署</w:t>
      </w:r>
      <w:r>
        <w:rPr>
          <w:rFonts w:ascii="標楷體" w:eastAsia="標楷體" w:hAnsi="標楷體"/>
        </w:rPr>
        <w:t>(</w:t>
      </w:r>
      <w:r>
        <w:rPr>
          <w:rFonts w:ascii="Times New Roman" w:eastAsia="標楷體" w:hAnsi="Times New Roman"/>
        </w:rPr>
        <w:t>NOAA</w:t>
      </w:r>
      <w:r>
        <w:rPr>
          <w:rFonts w:ascii="標楷體" w:eastAsia="標楷體" w:hAnsi="標楷體"/>
        </w:rPr>
        <w:t>)</w:t>
      </w:r>
      <w:r>
        <w:rPr>
          <w:rFonts w:ascii="Times New Roman" w:eastAsia="標楷體" w:hAnsi="Times New Roman"/>
        </w:rPr>
        <w:t>於</w:t>
      </w:r>
      <w:r>
        <w:rPr>
          <w:rFonts w:ascii="Times New Roman" w:eastAsia="標楷體" w:hAnsi="Times New Roman"/>
        </w:rPr>
        <w:t>2012</w:t>
      </w:r>
      <w:r>
        <w:rPr>
          <w:rFonts w:ascii="Times New Roman" w:eastAsia="標楷體" w:hAnsi="Times New Roman"/>
        </w:rPr>
        <w:t>年</w:t>
      </w:r>
      <w:r>
        <w:rPr>
          <w:rFonts w:ascii="Times New Roman" w:eastAsia="標楷體" w:hAnsi="Times New Roman"/>
        </w:rPr>
        <w:t>8</w:t>
      </w:r>
      <w:r>
        <w:rPr>
          <w:rFonts w:ascii="Times New Roman" w:eastAsia="標楷體" w:hAnsi="Times New Roman"/>
        </w:rPr>
        <w:t>月公布大氣中溫室氣體濃度變化，由</w:t>
      </w:r>
      <w:r>
        <w:rPr>
          <w:rFonts w:ascii="Times New Roman" w:eastAsia="標楷體" w:hAnsi="Times New Roman"/>
        </w:rPr>
        <w:t>1979</w:t>
      </w:r>
      <w:r>
        <w:rPr>
          <w:rFonts w:ascii="Times New Roman" w:eastAsia="標楷體" w:hAnsi="Times New Roman"/>
        </w:rPr>
        <w:t>年的</w:t>
      </w:r>
      <w:r>
        <w:rPr>
          <w:rFonts w:ascii="Times New Roman" w:eastAsia="標楷體" w:hAnsi="Times New Roman"/>
        </w:rPr>
        <w:t>383ppm</w:t>
      </w:r>
      <w:r>
        <w:rPr>
          <w:rFonts w:ascii="Times New Roman" w:eastAsia="標楷體" w:hAnsi="Times New Roman"/>
        </w:rPr>
        <w:t>增加至</w:t>
      </w:r>
      <w:r>
        <w:rPr>
          <w:rFonts w:ascii="Times New Roman" w:eastAsia="標楷體" w:hAnsi="Times New Roman"/>
        </w:rPr>
        <w:t>2011</w:t>
      </w:r>
      <w:r>
        <w:rPr>
          <w:rFonts w:ascii="Times New Roman" w:eastAsia="標楷體" w:hAnsi="Times New Roman"/>
        </w:rPr>
        <w:t>年的</w:t>
      </w:r>
      <w:r>
        <w:rPr>
          <w:rFonts w:ascii="Times New Roman" w:eastAsia="標楷體" w:hAnsi="Times New Roman"/>
        </w:rPr>
        <w:t>473ppm</w:t>
      </w:r>
      <w:r>
        <w:rPr>
          <w:rFonts w:ascii="Times New Roman" w:eastAsia="標楷體" w:hAnsi="Times New Roman"/>
        </w:rPr>
        <w:t>。</w:t>
      </w:r>
    </w:p>
  </w:footnote>
  <w:footnote w:id="11">
    <w:p w14:paraId="1CCAF87C" w14:textId="77777777" w:rsidR="00052596" w:rsidRDefault="00000000">
      <w:pPr>
        <w:pStyle w:val="aff6"/>
        <w:overflowPunct w:val="0"/>
        <w:autoSpaceDE w:val="0"/>
        <w:spacing w:line="240" w:lineRule="exact"/>
        <w:ind w:left="342" w:hanging="200"/>
      </w:pPr>
      <w:r>
        <w:rPr>
          <w:rStyle w:val="aff8"/>
        </w:rPr>
        <w:footnoteRef/>
      </w:r>
      <w:r>
        <w:rPr>
          <w:rFonts w:ascii="Times New Roman" w:eastAsia="標楷體" w:hAnsi="Times New Roman"/>
          <w:sz w:val="12"/>
          <w:szCs w:val="12"/>
        </w:rPr>
        <w:t xml:space="preserve"> </w:t>
      </w:r>
      <w:r>
        <w:rPr>
          <w:rFonts w:ascii="Times New Roman" w:eastAsia="標楷體" w:hAnsi="Times New Roman"/>
        </w:rPr>
        <w:t>整合性產品政策：將產品回收處理責任轉由生產者負責，促使生產者以產品生命週期思考產品的提供方式，以降低產品生產、使用及回收過程對環境所造成的破壞。</w:t>
      </w:r>
    </w:p>
  </w:footnote>
  <w:footnote w:id="12">
    <w:p w14:paraId="31AB7654" w14:textId="77777777" w:rsidR="00052596" w:rsidRDefault="00000000">
      <w:pPr>
        <w:pStyle w:val="aff6"/>
        <w:overflowPunct w:val="0"/>
        <w:autoSpaceDE w:val="0"/>
        <w:spacing w:line="240" w:lineRule="exact"/>
        <w:ind w:left="342" w:hanging="200"/>
      </w:pPr>
      <w:r>
        <w:rPr>
          <w:rStyle w:val="aff8"/>
        </w:rPr>
        <w:footnoteRef/>
      </w:r>
      <w:r>
        <w:rPr>
          <w:rFonts w:ascii="Times New Roman" w:eastAsia="標楷體" w:hAnsi="Times New Roman"/>
          <w:sz w:val="12"/>
          <w:szCs w:val="12"/>
        </w:rPr>
        <w:t xml:space="preserve"> </w:t>
      </w:r>
      <w:r>
        <w:rPr>
          <w:rFonts w:ascii="Times New Roman" w:eastAsia="標楷體" w:hAnsi="Times New Roman"/>
        </w:rPr>
        <w:t>2009</w:t>
      </w:r>
      <w:r>
        <w:rPr>
          <w:rFonts w:ascii="Times New Roman" w:eastAsia="標楷體" w:hAnsi="Times New Roman"/>
        </w:rPr>
        <w:t>年，氣候變化綱要公約第</w:t>
      </w:r>
      <w:r>
        <w:rPr>
          <w:rFonts w:ascii="Times New Roman" w:eastAsia="標楷體" w:hAnsi="Times New Roman"/>
        </w:rPr>
        <w:t>15</w:t>
      </w:r>
      <w:r>
        <w:rPr>
          <w:rFonts w:ascii="Times New Roman" w:eastAsia="標楷體" w:hAnsi="Times New Roman"/>
        </w:rPr>
        <w:t>次會議暨京都議定書第</w:t>
      </w:r>
      <w:r>
        <w:rPr>
          <w:rFonts w:ascii="Times New Roman" w:eastAsia="標楷體" w:hAnsi="Times New Roman"/>
        </w:rPr>
        <w:t>5</w:t>
      </w:r>
      <w:r>
        <w:rPr>
          <w:rFonts w:ascii="Times New Roman" w:eastAsia="標楷體" w:hAnsi="Times New Roman"/>
        </w:rPr>
        <w:t>次締約國會議</w:t>
      </w:r>
      <w:r>
        <w:rPr>
          <w:rFonts w:ascii="標楷體" w:eastAsia="標楷體" w:hAnsi="標楷體"/>
        </w:rPr>
        <w:t>(</w:t>
      </w:r>
      <w:r>
        <w:rPr>
          <w:rFonts w:ascii="Times New Roman" w:eastAsia="標楷體" w:hAnsi="Times New Roman"/>
        </w:rPr>
        <w:t>COP15/CMP5</w:t>
      </w:r>
      <w:r>
        <w:rPr>
          <w:rFonts w:ascii="標楷體" w:eastAsia="標楷體" w:hAnsi="標楷體"/>
        </w:rPr>
        <w:t>)</w:t>
      </w:r>
      <w:r>
        <w:rPr>
          <w:rFonts w:ascii="Times New Roman" w:eastAsia="標楷體" w:hAnsi="Times New Roman"/>
        </w:rPr>
        <w:t>通過「哥本哈根協議」</w:t>
      </w:r>
      <w:r>
        <w:rPr>
          <w:rFonts w:ascii="標楷體" w:eastAsia="標楷體" w:hAnsi="標楷體"/>
        </w:rPr>
        <w:t>(</w:t>
      </w:r>
      <w:r>
        <w:rPr>
          <w:rFonts w:ascii="Times New Roman" w:eastAsia="標楷體" w:hAnsi="Times New Roman"/>
        </w:rPr>
        <w:t>Copenhagen Accord</w:t>
      </w:r>
      <w:r>
        <w:rPr>
          <w:rFonts w:ascii="標楷體" w:eastAsia="標楷體" w:hAnsi="標楷體"/>
        </w:rPr>
        <w:t>)</w:t>
      </w:r>
      <w:r>
        <w:rPr>
          <w:rFonts w:ascii="Times New Roman" w:eastAsia="標楷體" w:hAnsi="Times New Roman"/>
        </w:rPr>
        <w:t>，設定大氣中溫室氣體濃度低於</w:t>
      </w:r>
      <w:r>
        <w:rPr>
          <w:rFonts w:ascii="Times New Roman" w:eastAsia="標楷體" w:hAnsi="Times New Roman"/>
        </w:rPr>
        <w:t>450ppm</w:t>
      </w:r>
      <w:r>
        <w:rPr>
          <w:rFonts w:ascii="Times New Roman" w:eastAsia="標楷體" w:hAnsi="Times New Roman"/>
        </w:rPr>
        <w:t>、地球溫度上升不超過</w:t>
      </w:r>
      <w:r>
        <w:rPr>
          <w:rFonts w:ascii="Times New Roman" w:eastAsia="標楷體" w:hAnsi="Times New Roman"/>
        </w:rPr>
        <w:t>2</w:t>
      </w:r>
      <w:r>
        <w:rPr>
          <w:rFonts w:ascii="新細明體" w:hAnsi="新細明體" w:cs="新細明體"/>
        </w:rPr>
        <w:t>℃</w:t>
      </w:r>
      <w:r>
        <w:rPr>
          <w:rFonts w:ascii="Times New Roman" w:eastAsia="標楷體" w:hAnsi="Times New Roman"/>
        </w:rPr>
        <w:t>的目標。</w:t>
      </w:r>
    </w:p>
  </w:footnote>
  <w:footnote w:id="13">
    <w:p w14:paraId="19E740B8" w14:textId="77777777" w:rsidR="00052596" w:rsidRDefault="00000000">
      <w:pPr>
        <w:pStyle w:val="aff6"/>
        <w:spacing w:line="280" w:lineRule="exact"/>
        <w:ind w:left="160" w:hanging="160"/>
      </w:pPr>
      <w:r>
        <w:rPr>
          <w:rStyle w:val="aff8"/>
        </w:rPr>
        <w:t>13</w:t>
      </w:r>
      <w:r>
        <w:rPr>
          <w:sz w:val="12"/>
          <w:szCs w:val="12"/>
        </w:rPr>
        <w:t xml:space="preserve"> </w:t>
      </w:r>
      <w:r>
        <w:rPr>
          <w:rFonts w:eastAsia="標楷體"/>
        </w:rPr>
        <w:t>配合行政院主計總處定義，本節有關產業結構比重之計算與說明，均以</w:t>
      </w:r>
      <w:r>
        <w:rPr>
          <w:rFonts w:eastAsia="標楷體"/>
        </w:rPr>
        <w:t>GDP</w:t>
      </w:r>
      <w:r>
        <w:rPr>
          <w:rFonts w:ascii="標楷體" w:hAnsi="標楷體"/>
        </w:rPr>
        <w:t>(</w:t>
      </w:r>
      <w:r>
        <w:rPr>
          <w:rFonts w:eastAsia="標楷體"/>
        </w:rPr>
        <w:t>生產面</w:t>
      </w:r>
      <w:r>
        <w:rPr>
          <w:rFonts w:ascii="標楷體" w:eastAsia="標楷體" w:hAnsi="標楷體"/>
        </w:rPr>
        <w:t>)</w:t>
      </w:r>
      <w:r>
        <w:rPr>
          <w:rFonts w:eastAsia="標楷體"/>
        </w:rPr>
        <w:t>資料為基準</w:t>
      </w:r>
      <w:r>
        <w:rPr>
          <w:rFonts w:ascii="標楷體" w:eastAsia="標楷體" w:hAnsi="標楷體"/>
        </w:rPr>
        <w:t>[</w:t>
      </w:r>
      <w:r>
        <w:rPr>
          <w:rFonts w:eastAsia="標楷體"/>
        </w:rPr>
        <w:t>即扣除支出面</w:t>
      </w:r>
      <w:r>
        <w:rPr>
          <w:rFonts w:eastAsia="標楷體"/>
        </w:rPr>
        <w:t>GDP</w:t>
      </w:r>
      <w:r>
        <w:rPr>
          <w:rFonts w:eastAsia="標楷體"/>
        </w:rPr>
        <w:t>中之統計差異</w:t>
      </w:r>
      <w:r>
        <w:rPr>
          <w:rFonts w:ascii="標楷體" w:eastAsia="標楷體" w:hAnsi="標楷體"/>
        </w:rPr>
        <w:t>]</w:t>
      </w:r>
      <w:r>
        <w:rPr>
          <w:rFonts w:eastAsia="標楷體"/>
        </w:rPr>
        <w:t>。</w:t>
      </w:r>
    </w:p>
  </w:footnote>
  <w:footnote w:id="14">
    <w:p w14:paraId="57AAA244" w14:textId="77777777" w:rsidR="00052596" w:rsidRDefault="00000000">
      <w:pPr>
        <w:pStyle w:val="aff6"/>
        <w:overflowPunct w:val="0"/>
        <w:autoSpaceDE w:val="0"/>
        <w:spacing w:line="260" w:lineRule="exact"/>
        <w:ind w:left="100" w:hanging="100"/>
      </w:pPr>
      <w:r>
        <w:rPr>
          <w:rStyle w:val="aff8"/>
        </w:rPr>
        <w:t>14</w:t>
      </w:r>
      <w:r>
        <w:rPr>
          <w:sz w:val="12"/>
          <w:szCs w:val="12"/>
        </w:rPr>
        <w:t xml:space="preserve"> </w:t>
      </w:r>
      <w:r>
        <w:rPr>
          <w:rFonts w:eastAsia="標楷體"/>
        </w:rPr>
        <w:t>陳添枝</w:t>
      </w:r>
      <w:r>
        <w:rPr>
          <w:rFonts w:ascii="標楷體" w:eastAsia="標楷體" w:hAnsi="標楷體"/>
        </w:rPr>
        <w:t>(</w:t>
      </w:r>
      <w:r>
        <w:rPr>
          <w:rFonts w:eastAsia="標楷體"/>
        </w:rPr>
        <w:t>101.7.14</w:t>
      </w:r>
      <w:r>
        <w:rPr>
          <w:rFonts w:ascii="標楷體" w:eastAsia="標楷體" w:hAnsi="標楷體"/>
        </w:rPr>
        <w:t>)</w:t>
      </w:r>
      <w:r>
        <w:rPr>
          <w:rFonts w:eastAsia="標楷體"/>
        </w:rPr>
        <w:t>，服務業發展問題與展望。</w:t>
      </w:r>
    </w:p>
  </w:footnote>
  <w:footnote w:id="15">
    <w:p w14:paraId="481FF939" w14:textId="77777777" w:rsidR="00052596" w:rsidRDefault="00000000">
      <w:pPr>
        <w:pStyle w:val="aff6"/>
        <w:overflowPunct w:val="0"/>
        <w:spacing w:line="210" w:lineRule="exact"/>
        <w:ind w:left="180" w:hanging="180"/>
        <w:jc w:val="both"/>
      </w:pPr>
      <w:r>
        <w:rPr>
          <w:rStyle w:val="aff8"/>
        </w:rPr>
        <w:t>15</w:t>
      </w:r>
      <w:r>
        <w:rPr>
          <w:rFonts w:ascii="Times New Roman" w:eastAsia="標楷體" w:hAnsi="Times New Roman"/>
          <w:color w:val="000000"/>
          <w:sz w:val="12"/>
          <w:szCs w:val="12"/>
        </w:rPr>
        <w:t xml:space="preserve"> </w:t>
      </w:r>
      <w:r>
        <w:rPr>
          <w:rFonts w:ascii="Times New Roman" w:eastAsia="標楷體" w:hAnsi="Times New Roman"/>
          <w:color w:val="000000"/>
        </w:rPr>
        <w:t>貝弗里奇曲線為描述勞動市場之空缺率與失業率呈反向變動關係的曲線。</w:t>
      </w:r>
      <w:r>
        <w:rPr>
          <w:rFonts w:ascii="Times New Roman" w:eastAsia="標楷體" w:hAnsi="Times New Roman"/>
          <w:color w:val="000000"/>
        </w:rPr>
        <w:t>OECD</w:t>
      </w:r>
      <w:r>
        <w:rPr>
          <w:rFonts w:ascii="Times New Roman" w:eastAsia="標楷體" w:hAnsi="Times New Roman"/>
          <w:color w:val="000000"/>
        </w:rPr>
        <w:t>的跨國實證顯示，各國在景氣波動過程中大致顯現「景氣繁榮時，失業率愈低，空缺率愈高；經濟不景氣時，失業率愈高，空缺率愈低」的變動關係。另勞動市場的媒合效率</w:t>
      </w:r>
      <w:r>
        <w:rPr>
          <w:rFonts w:ascii="標楷體" w:eastAsia="標楷體" w:hAnsi="標楷體"/>
          <w:color w:val="000000"/>
        </w:rPr>
        <w:t>(</w:t>
      </w:r>
      <w:r>
        <w:rPr>
          <w:rFonts w:ascii="Times New Roman" w:eastAsia="標楷體" w:hAnsi="Times New Roman"/>
          <w:color w:val="000000"/>
        </w:rPr>
        <w:t>matching efficiency</w:t>
      </w:r>
      <w:r>
        <w:rPr>
          <w:rFonts w:ascii="標楷體" w:eastAsia="標楷體" w:hAnsi="標楷體"/>
          <w:color w:val="000000"/>
        </w:rPr>
        <w:t>)</w:t>
      </w:r>
      <w:r>
        <w:rPr>
          <w:rFonts w:ascii="Times New Roman" w:eastAsia="標楷體" w:hAnsi="Times New Roman"/>
          <w:color w:val="000000"/>
        </w:rPr>
        <w:t>或結構性失業變化，則會導致貝弗里奇曲線產生位移現象。</w:t>
      </w:r>
    </w:p>
  </w:footnote>
  <w:footnote w:id="16">
    <w:p w14:paraId="0DA8D67A" w14:textId="77777777" w:rsidR="00052596" w:rsidRDefault="00000000">
      <w:pPr>
        <w:pStyle w:val="aff6"/>
        <w:overflowPunct w:val="0"/>
        <w:autoSpaceDE w:val="0"/>
        <w:ind w:left="180" w:hanging="180"/>
      </w:pPr>
      <w:r>
        <w:rPr>
          <w:rStyle w:val="aff8"/>
        </w:rPr>
        <w:t>16</w:t>
      </w:r>
      <w:r>
        <w:rPr>
          <w:rFonts w:ascii="Times New Roman" w:eastAsia="標楷體" w:hAnsi="Times New Roman"/>
          <w:color w:val="000000"/>
          <w:sz w:val="12"/>
          <w:szCs w:val="12"/>
        </w:rPr>
        <w:t xml:space="preserve"> </w:t>
      </w:r>
      <w:r>
        <w:rPr>
          <w:rFonts w:ascii="Times New Roman" w:eastAsia="標楷體" w:hAnsi="Times New Roman"/>
          <w:color w:val="000000"/>
        </w:rPr>
        <w:t>離散指數</w:t>
      </w:r>
      <w:r>
        <w:rPr>
          <w:rFonts w:ascii="Times New Roman" w:eastAsia="標楷體" w:hAnsi="Times New Roman"/>
          <w:color w:val="000000"/>
        </w:rPr>
        <w:t>=[</w:t>
      </w:r>
      <w:r>
        <w:rPr>
          <w:rFonts w:ascii="Times New Roman" w:eastAsia="標楷體" w:hAnsi="Times New Roman"/>
          <w:color w:val="000000"/>
          <w:spacing w:val="-2"/>
        </w:rPr>
        <w:t>(</w:t>
      </w:r>
      <w:r>
        <w:rPr>
          <w:rFonts w:ascii="Times New Roman" w:eastAsia="標楷體" w:hAnsi="Times New Roman"/>
          <w:color w:val="000000"/>
          <w:spacing w:val="-2"/>
        </w:rPr>
        <w:t>第</w:t>
      </w:r>
      <w:r>
        <w:rPr>
          <w:rFonts w:ascii="Times New Roman" w:eastAsia="標楷體" w:hAnsi="Times New Roman"/>
          <w:color w:val="000000"/>
          <w:spacing w:val="-2"/>
        </w:rPr>
        <w:t>3</w:t>
      </w:r>
      <w:r>
        <w:rPr>
          <w:rFonts w:ascii="Times New Roman" w:eastAsia="標楷體" w:hAnsi="Times New Roman"/>
          <w:color w:val="000000"/>
          <w:spacing w:val="-2"/>
        </w:rPr>
        <w:t>四分位數</w:t>
      </w:r>
      <w:r>
        <w:rPr>
          <w:rFonts w:ascii="Times New Roman" w:eastAsia="標楷體" w:hAnsi="Times New Roman"/>
          <w:color w:val="000000"/>
          <w:spacing w:val="-2"/>
        </w:rPr>
        <w:t>-</w:t>
      </w:r>
      <w:r>
        <w:rPr>
          <w:rFonts w:ascii="Times New Roman" w:eastAsia="標楷體" w:hAnsi="Times New Roman"/>
          <w:color w:val="000000"/>
          <w:spacing w:val="-2"/>
        </w:rPr>
        <w:t>第</w:t>
      </w:r>
      <w:r>
        <w:rPr>
          <w:rFonts w:ascii="Times New Roman" w:eastAsia="標楷體" w:hAnsi="Times New Roman"/>
          <w:color w:val="000000"/>
          <w:spacing w:val="-2"/>
        </w:rPr>
        <w:t>1</w:t>
      </w:r>
      <w:r>
        <w:rPr>
          <w:rFonts w:ascii="Times New Roman" w:eastAsia="標楷體" w:hAnsi="Times New Roman"/>
          <w:color w:val="000000"/>
          <w:spacing w:val="-2"/>
        </w:rPr>
        <w:t>四分位數</w:t>
      </w:r>
      <w:r>
        <w:rPr>
          <w:rFonts w:ascii="Times New Roman" w:eastAsia="標楷體" w:hAnsi="Times New Roman"/>
          <w:color w:val="000000"/>
          <w:spacing w:val="-2"/>
        </w:rPr>
        <w:t>)</w:t>
      </w:r>
      <w:r>
        <w:rPr>
          <w:rFonts w:ascii="Times New Roman" w:eastAsia="標楷體" w:hAnsi="Times New Roman"/>
          <w:color w:val="000000"/>
          <w:spacing w:val="-2"/>
        </w:rPr>
        <w:t>／中位數</w:t>
      </w:r>
      <w:r>
        <w:rPr>
          <w:rFonts w:ascii="Times New Roman" w:eastAsia="標楷體" w:hAnsi="Times New Roman"/>
          <w:color w:val="000000"/>
        </w:rPr>
        <w:t>)</w:t>
      </w:r>
      <w:r>
        <w:rPr>
          <w:rFonts w:ascii="Wingdings 2" w:eastAsia="Wingdings 2" w:hAnsi="Wingdings 2" w:cs="Wingdings 2"/>
          <w:color w:val="000000"/>
        </w:rPr>
        <w:t></w:t>
      </w:r>
      <w:r>
        <w:rPr>
          <w:rFonts w:ascii="Times New Roman" w:eastAsia="標楷體" w:hAnsi="Times New Roman"/>
          <w:color w:val="000000"/>
        </w:rPr>
        <w:t>100]</w:t>
      </w:r>
      <w:r>
        <w:rPr>
          <w:rFonts w:ascii="Times New Roman" w:eastAsia="標楷體" w:hAnsi="Times New Roman"/>
          <w:color w:val="000000"/>
        </w:rPr>
        <w:t>，即中間</w:t>
      </w:r>
      <w:r>
        <w:rPr>
          <w:rFonts w:ascii="Times New Roman" w:eastAsia="標楷體" w:hAnsi="Times New Roman"/>
          <w:color w:val="000000"/>
        </w:rPr>
        <w:t>50%</w:t>
      </w:r>
      <w:r>
        <w:rPr>
          <w:rFonts w:ascii="Times New Roman" w:eastAsia="標楷體" w:hAnsi="Times New Roman"/>
          <w:color w:val="000000"/>
        </w:rPr>
        <w:t>員工薪資差距與中位數薪資之比率，用以觀察受僱員工薪資分布情形。數值愈大，表示國內薪資分配愈分散。</w:t>
      </w:r>
    </w:p>
  </w:footnote>
  <w:footnote w:id="17">
    <w:p w14:paraId="2138C6D6" w14:textId="77777777" w:rsidR="00052596" w:rsidRDefault="00000000">
      <w:pPr>
        <w:pStyle w:val="aff6"/>
      </w:pPr>
      <w:r>
        <w:rPr>
          <w:rStyle w:val="aff8"/>
        </w:rPr>
        <w:t>17</w:t>
      </w:r>
      <w:r>
        <w:rPr>
          <w:sz w:val="12"/>
          <w:szCs w:val="12"/>
        </w:rPr>
        <w:t xml:space="preserve"> </w:t>
      </w:r>
      <w:r>
        <w:rPr>
          <w:rFonts w:ascii="Times New Roman" w:eastAsia="標楷體" w:hAnsi="Times New Roman"/>
        </w:rPr>
        <w:t>依據行政院主計總處定義，整體</w:t>
      </w:r>
      <w:r>
        <w:rPr>
          <w:rFonts w:ascii="Times New Roman" w:eastAsia="標楷體" w:hAnsi="Times New Roman"/>
        </w:rPr>
        <w:t>GDP</w:t>
      </w:r>
      <w:r>
        <w:rPr>
          <w:rFonts w:ascii="標楷體" w:eastAsia="標楷體" w:hAnsi="標楷體"/>
        </w:rPr>
        <w:t>(</w:t>
      </w:r>
      <w:r>
        <w:rPr>
          <w:rFonts w:ascii="Times New Roman" w:eastAsia="標楷體" w:hAnsi="Times New Roman"/>
        </w:rPr>
        <w:t>生產面</w:t>
      </w:r>
      <w:r>
        <w:rPr>
          <w:rFonts w:ascii="標楷體" w:eastAsia="標楷體" w:hAnsi="標楷體"/>
        </w:rPr>
        <w:t>)</w:t>
      </w:r>
      <w:r>
        <w:rPr>
          <w:rFonts w:ascii="Times New Roman" w:eastAsia="標楷體" w:hAnsi="Times New Roman"/>
        </w:rPr>
        <w:t>資料是不含統計差異項。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EFD5" w14:textId="77777777" w:rsidR="00187886" w:rsidRDefault="00000000">
    <w:pPr>
      <w:pStyle w:val="a6"/>
      <w:overflowPunct w:val="0"/>
      <w:autoSpaceDE w:val="0"/>
      <w:spacing w:before="240" w:line="360" w:lineRule="exact"/>
      <w:ind w:left="-264" w:firstLine="560"/>
      <w:jc w:val="both"/>
      <w:textAlignment w:val="center"/>
    </w:pPr>
    <w:r>
      <w:rPr>
        <w:noProof/>
      </w:rPr>
      <w:drawing>
        <wp:anchor distT="0" distB="0" distL="114300" distR="114300" simplePos="0" relativeHeight="251665408" behindDoc="1" locked="0" layoutInCell="1" allowOverlap="1" wp14:anchorId="492318EC" wp14:editId="627FEF32">
          <wp:simplePos x="0" y="0"/>
          <wp:positionH relativeFrom="column">
            <wp:posOffset>4505962</wp:posOffset>
          </wp:positionH>
          <wp:positionV relativeFrom="paragraph">
            <wp:posOffset>29205</wp:posOffset>
          </wp:positionV>
          <wp:extent cx="1144271" cy="804543"/>
          <wp:effectExtent l="0" t="0" r="0" b="0"/>
          <wp:wrapNone/>
          <wp:docPr id="7" name="圖片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44271" cy="80454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4384" behindDoc="0" locked="0" layoutInCell="1" allowOverlap="1" wp14:anchorId="61084CB8" wp14:editId="16741CD7">
              <wp:simplePos x="0" y="0"/>
              <wp:positionH relativeFrom="column">
                <wp:posOffset>4498976</wp:posOffset>
              </wp:positionH>
              <wp:positionV relativeFrom="paragraph">
                <wp:posOffset>295278</wp:posOffset>
              </wp:positionV>
              <wp:extent cx="0" cy="179707"/>
              <wp:effectExtent l="0" t="0" r="38100" b="10793"/>
              <wp:wrapNone/>
              <wp:docPr id="8" name="直線接點 58"/>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179367B1" id="直線接點 58" o:spid="_x0000_s1026" style="position:absolute;margin-left:354.25pt;margin-top:23.25pt;width:0;height:14.15pt;flip:y;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663360" behindDoc="0" locked="0" layoutInCell="1" allowOverlap="1" wp14:anchorId="7F833074" wp14:editId="66E6D5DD">
              <wp:simplePos x="0" y="0"/>
              <wp:positionH relativeFrom="column">
                <wp:posOffset>-269235</wp:posOffset>
              </wp:positionH>
              <wp:positionV relativeFrom="paragraph">
                <wp:posOffset>238128</wp:posOffset>
              </wp:positionV>
              <wp:extent cx="609603" cy="381003"/>
              <wp:effectExtent l="0" t="0" r="0" b="0"/>
              <wp:wrapNone/>
              <wp:docPr id="9" name="圓角矩形 59"/>
              <wp:cNvGraphicFramePr/>
              <a:graphic xmlns:a="http://schemas.openxmlformats.org/drawingml/2006/main">
                <a:graphicData uri="http://schemas.microsoft.com/office/word/2010/wordprocessingShape">
                  <wps:wsp>
                    <wps:cNvSpPr/>
                    <wps:spPr>
                      <a:xfrm>
                        <a:off x="0" y="0"/>
                        <a:ext cx="609603" cy="381003"/>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a:noFill/>
                        <a:prstDash val="solid"/>
                      </a:ln>
                    </wps:spPr>
                    <wps:txbx>
                      <w:txbxContent>
                        <w:p w14:paraId="71434820" w14:textId="77777777" w:rsidR="00187886" w:rsidRDefault="00000000">
                          <w:pPr>
                            <w:spacing w:line="200" w:lineRule="exact"/>
                            <w:rPr>
                              <w:rFonts w:eastAsia="標楷體"/>
                              <w:color w:val="FFFFFF"/>
                              <w:spacing w:val="32"/>
                              <w:sz w:val="20"/>
                            </w:rPr>
                          </w:pPr>
                          <w:r>
                            <w:rPr>
                              <w:rFonts w:eastAsia="標楷體"/>
                              <w:color w:val="FFFFFF"/>
                              <w:spacing w:val="32"/>
                              <w:sz w:val="20"/>
                            </w:rPr>
                            <w:t>目錄</w:t>
                          </w:r>
                        </w:p>
                      </w:txbxContent>
                    </wps:txbx>
                    <wps:bodyPr wrap="square" lIns="91440" tIns="45720" rIns="91440" bIns="45720" anchor="t">
                      <a:noAutofit/>
                    </wps:bodyPr>
                  </wps:wsp>
                </a:graphicData>
              </a:graphic>
            </wp:anchor>
          </w:drawing>
        </mc:Choice>
        <mc:Fallback>
          <w:pict>
            <v:shape w14:anchorId="7F833074" id="圓角矩形 59" o:spid="_x0000_s1115" style="position:absolute;left:0;text-align:left;margin-left:-21.2pt;margin-top:18.75pt;width:48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609603,381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" adj="-11796480,,5400" path="m63501,at,,127002,127002,63501,,,63501l,317503at,254002,127002,381004,,317503,63501,381004l546103,381003at482602,254001,609604,381003,546103,381003,609604,317502l609603,63501at482601,,609603,127002,609603,63501,546102,l63501,xe" filled="f" stroked="f">
              <v:stroke joinstyle="miter"/>
              <v:formulas/>
              <v:path arrowok="t" o:connecttype="custom" o:connectlocs="304802,0;609603,190502;304802,381003;0,190502" o:connectangles="270,0,90,180" textboxrect="18599,18599,591004,362404"/>
              <v:textbox>
                <w:txbxContent>
                  <w:p w14:paraId="71434820" w14:textId="77777777" w:rsidR="00187886" w:rsidRDefault="00000000">
                    <w:pPr>
                      <w:spacing w:line="200" w:lineRule="exact"/>
                      <w:rPr>
                        <w:rFonts w:eastAsia="標楷體"/>
                        <w:color w:val="FFFFFF"/>
                        <w:spacing w:val="32"/>
                        <w:sz w:val="20"/>
                      </w:rPr>
                    </w:pPr>
                    <w:r>
                      <w:rPr>
                        <w:rFonts w:eastAsia="標楷體"/>
                        <w:color w:val="FFFFFF"/>
                        <w:spacing w:val="32"/>
                        <w:sz w:val="20"/>
                      </w:rPr>
                      <w:t>目錄</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0A765B6" wp14:editId="70F5DC91">
              <wp:simplePos x="0" y="0"/>
              <wp:positionH relativeFrom="column">
                <wp:posOffset>226698</wp:posOffset>
              </wp:positionH>
              <wp:positionV relativeFrom="paragraph">
                <wp:posOffset>208912</wp:posOffset>
              </wp:positionV>
              <wp:extent cx="1939927" cy="305437"/>
              <wp:effectExtent l="0" t="0" r="0" b="0"/>
              <wp:wrapNone/>
              <wp:docPr id="10" name="文字方塊 60"/>
              <wp:cNvGraphicFramePr/>
              <a:graphic xmlns:a="http://schemas.openxmlformats.org/drawingml/2006/main">
                <a:graphicData uri="http://schemas.microsoft.com/office/word/2010/wordprocessingShape">
                  <wps:wsp>
                    <wps:cNvSpPr txBox="1"/>
                    <wps:spPr>
                      <a:xfrm>
                        <a:off x="0" y="0"/>
                        <a:ext cx="1939927" cy="305437"/>
                      </a:xfrm>
                      <a:prstGeom prst="rect">
                        <a:avLst/>
                      </a:prstGeom>
                      <a:noFill/>
                      <a:ln>
                        <a:noFill/>
                        <a:prstDash/>
                      </a:ln>
                    </wps:spPr>
                    <wps:txbx>
                      <w:txbxContent>
                        <w:p w14:paraId="64A755DF" w14:textId="77777777" w:rsidR="00187886" w:rsidRDefault="00000000">
                          <w:pPr>
                            <w:overflowPunct w:val="0"/>
                            <w:autoSpaceDE w:val="0"/>
                          </w:pPr>
                          <w:r>
                            <w:rPr>
                              <w:rFonts w:eastAsia="標楷體"/>
                              <w:color w:val="0096B2"/>
                              <w:spacing w:val="2"/>
                              <w:sz w:val="22"/>
                              <w:szCs w:val="22"/>
                            </w:rPr>
                            <w:t>國家發展計畫</w:t>
                          </w:r>
                          <w:r>
                            <w:rPr>
                              <w:rFonts w:ascii="標楷體" w:eastAsia="標楷體" w:hAnsi="標楷體"/>
                              <w:color w:val="0096B2"/>
                              <w:spacing w:val="2"/>
                              <w:sz w:val="22"/>
                              <w:szCs w:val="22"/>
                            </w:rPr>
                            <w:t>(</w:t>
                          </w:r>
                          <w:r>
                            <w:rPr>
                              <w:rFonts w:eastAsia="標楷體"/>
                              <w:color w:val="0096B2"/>
                              <w:spacing w:val="2"/>
                              <w:sz w:val="22"/>
                              <w:szCs w:val="22"/>
                            </w:rPr>
                            <w:t>102</w:t>
                          </w:r>
                          <w:r>
                            <w:rPr>
                              <w:rFonts w:eastAsia="標楷體"/>
                              <w:color w:val="0096B2"/>
                              <w:spacing w:val="2"/>
                              <w:sz w:val="22"/>
                              <w:szCs w:val="22"/>
                            </w:rPr>
                            <w:t>至</w:t>
                          </w:r>
                          <w:r>
                            <w:rPr>
                              <w:rFonts w:eastAsia="標楷體"/>
                              <w:color w:val="0096B2"/>
                              <w:spacing w:val="2"/>
                              <w:sz w:val="22"/>
                              <w:szCs w:val="22"/>
                            </w:rPr>
                            <w:t>105</w:t>
                          </w:r>
                          <w:r>
                            <w:rPr>
                              <w:rFonts w:eastAsia="標楷體"/>
                              <w:color w:val="0096B2"/>
                              <w:spacing w:val="2"/>
                              <w:sz w:val="22"/>
                              <w:szCs w:val="22"/>
                            </w:rPr>
                            <w:t>年</w:t>
                          </w:r>
                          <w:r>
                            <w:rPr>
                              <w:rFonts w:ascii="標楷體" w:eastAsia="標楷體" w:hAnsi="標楷體"/>
                              <w:color w:val="0096B2"/>
                              <w:spacing w:val="2"/>
                              <w:sz w:val="22"/>
                              <w:szCs w:val="22"/>
                            </w:rPr>
                            <w:t>)</w:t>
                          </w:r>
                        </w:p>
                      </w:txbxContent>
                    </wps:txbx>
                    <wps:bodyPr wrap="square" lIns="91440" tIns="45720" rIns="91440" bIns="45720" anchor="t">
                      <a:noAutofit/>
                    </wps:bodyPr>
                  </wps:wsp>
                </a:graphicData>
              </a:graphic>
            </wp:anchor>
          </w:drawing>
        </mc:Choice>
        <mc:Fallback>
          <w:pict>
            <v:shapetype w14:anchorId="40A765B6" id="_x0000_t202" coordsize="21600,21600" o:spt="202" path="m,l,21600r21600,l21600,xe">
              <v:stroke joinstyle="miter"/>
              <v:path gradientshapeok="t" o:connecttype="rect"/>
            </v:shapetype>
            <v:shape id="文字方塊 60" o:spid="_x0000_s1116" type="#_x0000_t202" style="position:absolute;left:0;text-align:left;margin-left:17.85pt;margin-top:16.45pt;width:152.75pt;height:24.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" filled="f" stroked="f">
              <v:textbox>
                <w:txbxContent>
                  <w:p w14:paraId="64A755DF" w14:textId="77777777" w:rsidR="00187886" w:rsidRDefault="00000000">
                    <w:pPr>
                      <w:overflowPunct w:val="0"/>
                      <w:autoSpaceDE w:val="0"/>
                    </w:pPr>
                    <w:r>
                      <w:rPr>
                        <w:rFonts w:eastAsia="標楷體"/>
                        <w:color w:val="0096B2"/>
                        <w:spacing w:val="2"/>
                        <w:sz w:val="22"/>
                        <w:szCs w:val="22"/>
                      </w:rPr>
                      <w:t>國家發展計畫</w:t>
                    </w:r>
                    <w:r>
                      <w:rPr>
                        <w:rFonts w:ascii="標楷體" w:eastAsia="標楷體" w:hAnsi="標楷體"/>
                        <w:color w:val="0096B2"/>
                        <w:spacing w:val="2"/>
                        <w:sz w:val="22"/>
                        <w:szCs w:val="22"/>
                      </w:rPr>
                      <w:t>(</w:t>
                    </w:r>
                    <w:r>
                      <w:rPr>
                        <w:rFonts w:eastAsia="標楷體"/>
                        <w:color w:val="0096B2"/>
                        <w:spacing w:val="2"/>
                        <w:sz w:val="22"/>
                        <w:szCs w:val="22"/>
                      </w:rPr>
                      <w:t>102</w:t>
                    </w:r>
                    <w:r>
                      <w:rPr>
                        <w:rFonts w:eastAsia="標楷體"/>
                        <w:color w:val="0096B2"/>
                        <w:spacing w:val="2"/>
                        <w:sz w:val="22"/>
                        <w:szCs w:val="22"/>
                      </w:rPr>
                      <w:t>至</w:t>
                    </w:r>
                    <w:r>
                      <w:rPr>
                        <w:rFonts w:eastAsia="標楷體"/>
                        <w:color w:val="0096B2"/>
                        <w:spacing w:val="2"/>
                        <w:sz w:val="22"/>
                        <w:szCs w:val="22"/>
                      </w:rPr>
                      <w:t>105</w:t>
                    </w:r>
                    <w:r>
                      <w:rPr>
                        <w:rFonts w:eastAsia="標楷體"/>
                        <w:color w:val="0096B2"/>
                        <w:spacing w:val="2"/>
                        <w:sz w:val="22"/>
                        <w:szCs w:val="22"/>
                      </w:rPr>
                      <w:t>年</w:t>
                    </w:r>
                    <w:r>
                      <w:rPr>
                        <w:rFonts w:ascii="標楷體" w:eastAsia="標楷體" w:hAnsi="標楷體"/>
                        <w:color w:val="0096B2"/>
                        <w:spacing w:val="2"/>
                        <w:sz w:val="22"/>
                        <w:szCs w:val="22"/>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31BA4A2" wp14:editId="76879B5D">
              <wp:simplePos x="0" y="0"/>
              <wp:positionH relativeFrom="column">
                <wp:posOffset>-266703</wp:posOffset>
              </wp:positionH>
              <wp:positionV relativeFrom="paragraph">
                <wp:posOffset>289563</wp:posOffset>
              </wp:positionV>
              <wp:extent cx="504191" cy="161921"/>
              <wp:effectExtent l="0" t="0" r="0" b="0"/>
              <wp:wrapNone/>
              <wp:docPr id="11" name="圓角矩形 61"/>
              <wp:cNvGraphicFramePr/>
              <a:graphic xmlns:a="http://schemas.openxmlformats.org/drawingml/2006/main">
                <a:graphicData uri="http://schemas.microsoft.com/office/word/2010/wordprocessingShape">
                  <wps:wsp>
                    <wps:cNvSpPr/>
                    <wps:spPr>
                      <a:xfrm>
                        <a:off x="0" y="0"/>
                        <a:ext cx="504191" cy="161921"/>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0096B2"/>
                      </a:solidFill>
                      <a:ln>
                        <a:noFill/>
                        <a:prstDash val="solid"/>
                      </a:ln>
                    </wps:spPr>
                    <wps:txbx>
                      <w:txbxContent>
                        <w:p w14:paraId="55A708D3" w14:textId="77777777" w:rsidR="00187886" w:rsidRDefault="00000000"/>
                      </w:txbxContent>
                    </wps:txbx>
                    <wps:bodyPr wrap="square" lIns="91440" tIns="45720" rIns="91440" bIns="45720" anchor="t">
                      <a:noAutofit/>
                    </wps:bodyPr>
                  </wps:wsp>
                </a:graphicData>
              </a:graphic>
            </wp:anchor>
          </w:drawing>
        </mc:Choice>
        <mc:Fallback>
          <w:pict>
            <v:shape w14:anchorId="231BA4A2" id="圓角矩形 61" o:spid="_x0000_s1117" style="position:absolute;left:0;text-align:left;margin-left:-21pt;margin-top:22.8pt;width:39.7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504191,161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" adj="-11796480,,5400" path="m26987,at,,53974,53974,26987,,,26987l,134934at,107947,53974,161921,,134934,26987,161921l477204,161921at450217,107947,504191,161921,477204,161921,504191,134934l504191,26987at450217,,504191,53974,504191,26987,477204,l26987,xe" fillcolor="#0096b2" stroked="f">
              <v:stroke joinstyle="miter"/>
              <v:formulas/>
              <v:path arrowok="t" o:connecttype="custom" o:connectlocs="252096,0;504191,80961;252096,161921;0,80961" o:connectangles="270,0,90,180" textboxrect="7904,7904,496287,154017"/>
              <v:textbox>
                <w:txbxContent>
                  <w:p w14:paraId="55A708D3" w14:textId="77777777" w:rsidR="00187886" w:rsidRDefault="00000000"/>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B6027AF" wp14:editId="42DF49CD">
              <wp:simplePos x="0" y="0"/>
              <wp:positionH relativeFrom="column">
                <wp:posOffset>2115821</wp:posOffset>
              </wp:positionH>
              <wp:positionV relativeFrom="paragraph">
                <wp:posOffset>295278</wp:posOffset>
              </wp:positionV>
              <wp:extent cx="0" cy="179707"/>
              <wp:effectExtent l="0" t="0" r="38100" b="10793"/>
              <wp:wrapNone/>
              <wp:docPr id="12" name="直線接點 62"/>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6105A372" id="直線接點 62" o:spid="_x0000_s1026" style="position:absolute;margin-left:166.6pt;margin-top:23.25pt;width:0;height:14.15pt;flip:y;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659264" behindDoc="0" locked="0" layoutInCell="1" allowOverlap="1" wp14:anchorId="0B1F2687" wp14:editId="4515AF7B">
              <wp:simplePos x="0" y="0"/>
              <wp:positionH relativeFrom="column">
                <wp:posOffset>2122166</wp:posOffset>
              </wp:positionH>
              <wp:positionV relativeFrom="paragraph">
                <wp:posOffset>388620</wp:posOffset>
              </wp:positionV>
              <wp:extent cx="2376168" cy="0"/>
              <wp:effectExtent l="0" t="0" r="0" b="0"/>
              <wp:wrapNone/>
              <wp:docPr id="13" name="直線接點 63"/>
              <wp:cNvGraphicFramePr/>
              <a:graphic xmlns:a="http://schemas.openxmlformats.org/drawingml/2006/main">
                <a:graphicData uri="http://schemas.microsoft.com/office/word/2010/wordprocessingShape">
                  <wps:wsp>
                    <wps:cNvSpPr/>
                    <wps:spPr>
                      <a:xfrm>
                        <a:off x="0" y="0"/>
                        <a:ext cx="2376168"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562BE6EC" id="直線接點 63" o:spid="_x0000_s1026" style="position:absolute;margin-left:167.1pt;margin-top:30.6pt;width:187.1pt;height:0;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376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" path="m,l2376168,1e" filled="f" strokecolor="#0096b2" strokeweight=".26467mm">
              <v:path arrowok="t" o:connecttype="custom" o:connectlocs="1188084,0;2376168,1;1188084,1;0,1;0,0;2376168,1" o:connectangles="270,0,90,180,90,270" textboxrect="0,0,2376168,0"/>
            </v:shape>
          </w:pict>
        </mc:Fallback>
      </mc:AlternateContent>
    </w:r>
  </w:p>
  <w:p w14:paraId="45BFA75A" w14:textId="77777777" w:rsidR="00187886" w:rsidRDefault="00000000">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4A29" w14:textId="77777777" w:rsidR="00187886" w:rsidRDefault="00000000">
    <w:pPr>
      <w:pStyle w:val="a6"/>
      <w:ind w:right="360" w:firstLine="360"/>
    </w:pPr>
    <w:r>
      <w:rPr>
        <w:noProof/>
      </w:rPr>
      <mc:AlternateContent>
        <mc:Choice Requires="wps">
          <w:drawing>
            <wp:anchor distT="0" distB="0" distL="114300" distR="114300" simplePos="0" relativeHeight="251744256" behindDoc="0" locked="0" layoutInCell="1" allowOverlap="1" wp14:anchorId="72EDBA57" wp14:editId="251294EB">
              <wp:simplePos x="0" y="0"/>
              <wp:positionH relativeFrom="column">
                <wp:posOffset>3702689</wp:posOffset>
              </wp:positionH>
              <wp:positionV relativeFrom="paragraph">
                <wp:posOffset>325124</wp:posOffset>
              </wp:positionV>
              <wp:extent cx="0" cy="179707"/>
              <wp:effectExtent l="0" t="0" r="38100" b="10793"/>
              <wp:wrapNone/>
              <wp:docPr id="61" name="直線接點 43054"/>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456FFCA8" id="直線接點 43054" o:spid="_x0000_s1026" style="position:absolute;margin-left:291.55pt;margin-top:25.6pt;width:0;height:14.15pt;flip:y;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45280" behindDoc="0" locked="0" layoutInCell="1" allowOverlap="1" wp14:anchorId="54E7B1D8" wp14:editId="579E8754">
              <wp:simplePos x="0" y="0"/>
              <wp:positionH relativeFrom="column">
                <wp:posOffset>-5715</wp:posOffset>
              </wp:positionH>
              <wp:positionV relativeFrom="paragraph">
                <wp:posOffset>411480</wp:posOffset>
              </wp:positionV>
              <wp:extent cx="3707763" cy="0"/>
              <wp:effectExtent l="0" t="0" r="0" b="0"/>
              <wp:wrapNone/>
              <wp:docPr id="62" name="直線接點 43053"/>
              <wp:cNvGraphicFramePr/>
              <a:graphic xmlns:a="http://schemas.openxmlformats.org/drawingml/2006/main">
                <a:graphicData uri="http://schemas.microsoft.com/office/word/2010/wordprocessingShape">
                  <wps:wsp>
                    <wps:cNvSpPr/>
                    <wps:spPr>
                      <a:xfrm>
                        <a:off x="0" y="0"/>
                        <a:ext cx="3707763"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8732B75" id="直線接點 43053" o:spid="_x0000_s1026" style="position:absolute;margin-left:-.45pt;margin-top:32.4pt;width:291.95pt;height:0;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3707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" path="m,l3707763,1e" filled="f" strokecolor="#0096b2" strokeweight=".26467mm">
              <v:path arrowok="t" o:connecttype="custom" o:connectlocs="1853882,0;3707763,1;1853882,1;0,1;0,0;3707763,1" o:connectangles="270,0,90,180,90,270" textboxrect="0,0,3707763,0"/>
            </v:shape>
          </w:pict>
        </mc:Fallback>
      </mc:AlternateContent>
    </w:r>
    <w:r>
      <w:rPr>
        <w:noProof/>
      </w:rPr>
      <mc:AlternateContent>
        <mc:Choice Requires="wps">
          <w:drawing>
            <wp:anchor distT="0" distB="0" distL="114300" distR="114300" simplePos="0" relativeHeight="251746304" behindDoc="0" locked="0" layoutInCell="1" allowOverlap="1" wp14:anchorId="77BA95E0" wp14:editId="4C14B5F3">
              <wp:simplePos x="0" y="0"/>
              <wp:positionH relativeFrom="column">
                <wp:posOffset>-7616</wp:posOffset>
              </wp:positionH>
              <wp:positionV relativeFrom="paragraph">
                <wp:posOffset>327026</wp:posOffset>
              </wp:positionV>
              <wp:extent cx="0" cy="179707"/>
              <wp:effectExtent l="0" t="0" r="38100" b="10793"/>
              <wp:wrapNone/>
              <wp:docPr id="63" name="直線接點 43052"/>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2F1789FC" id="直線接點 43052" o:spid="_x0000_s1026" style="position:absolute;margin-left:-.6pt;margin-top:25.75pt;width:0;height:14.15pt;flip:y;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43232" behindDoc="0" locked="0" layoutInCell="1" allowOverlap="1" wp14:anchorId="5195039E" wp14:editId="5CB8A428">
              <wp:simplePos x="0" y="0"/>
              <wp:positionH relativeFrom="column">
                <wp:posOffset>3707133</wp:posOffset>
              </wp:positionH>
              <wp:positionV relativeFrom="paragraph">
                <wp:posOffset>278763</wp:posOffset>
              </wp:positionV>
              <wp:extent cx="1805309" cy="304796"/>
              <wp:effectExtent l="0" t="0" r="0" b="4"/>
              <wp:wrapNone/>
              <wp:docPr id="64" name="文字方塊 43051"/>
              <wp:cNvGraphicFramePr/>
              <a:graphic xmlns:a="http://schemas.openxmlformats.org/drawingml/2006/main">
                <a:graphicData uri="http://schemas.microsoft.com/office/word/2010/wordprocessingShape">
                  <wps:wsp>
                    <wps:cNvSpPr txBox="1"/>
                    <wps:spPr>
                      <a:xfrm>
                        <a:off x="0" y="0"/>
                        <a:ext cx="1805309" cy="304796"/>
                      </a:xfrm>
                      <a:prstGeom prst="rect">
                        <a:avLst/>
                      </a:prstGeom>
                      <a:noFill/>
                      <a:ln>
                        <a:noFill/>
                        <a:prstDash/>
                      </a:ln>
                    </wps:spPr>
                    <wps:txbx>
                      <w:txbxContent>
                        <w:p w14:paraId="2F53F94F" w14:textId="77777777" w:rsidR="00187886" w:rsidRDefault="00000000">
                          <w:pPr>
                            <w:overflowPunct w:val="0"/>
                            <w:autoSpaceDE w:val="0"/>
                          </w:pPr>
                          <w:r>
                            <w:rPr>
                              <w:rFonts w:eastAsia="標楷體"/>
                              <w:color w:val="0096B2"/>
                              <w:sz w:val="22"/>
                              <w:szCs w:val="22"/>
                            </w:rPr>
                            <w:t>第三章</w:t>
                          </w:r>
                          <w:r>
                            <w:rPr>
                              <w:rFonts w:eastAsia="標楷體"/>
                              <w:color w:val="0096B2"/>
                              <w:sz w:val="22"/>
                              <w:szCs w:val="22"/>
                            </w:rPr>
                            <w:t xml:space="preserve"> </w:t>
                          </w:r>
                          <w:r>
                            <w:rPr>
                              <w:rFonts w:eastAsia="標楷體"/>
                              <w:color w:val="0096B2"/>
                              <w:sz w:val="22"/>
                              <w:szCs w:val="22"/>
                            </w:rPr>
                            <w:t>國家發展政策主軸</w:t>
                          </w:r>
                        </w:p>
                      </w:txbxContent>
                    </wps:txbx>
                    <wps:bodyPr wrap="square" lIns="91440" tIns="45720" rIns="91440" bIns="45720" anchor="t">
                      <a:noAutofit/>
                    </wps:bodyPr>
                  </wps:wsp>
                </a:graphicData>
              </a:graphic>
            </wp:anchor>
          </w:drawing>
        </mc:Choice>
        <mc:Fallback>
          <w:pict>
            <v:shapetype w14:anchorId="5195039E" id="_x0000_t202" coordsize="21600,21600" o:spt="202" path="m,l,21600r21600,l21600,xe">
              <v:stroke joinstyle="miter"/>
              <v:path gradientshapeok="t" o:connecttype="rect"/>
            </v:shapetype>
            <v:shape id="文字方塊 43051" o:spid="_x0000_s1138" type="#_x0000_t202" style="position:absolute;left:0;text-align:left;margin-left:291.9pt;margin-top:21.95pt;width:142.15pt;height:2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" filled="f" stroked="f">
              <v:textbox>
                <w:txbxContent>
                  <w:p w14:paraId="2F53F94F" w14:textId="77777777" w:rsidR="00187886" w:rsidRDefault="00000000">
                    <w:pPr>
                      <w:overflowPunct w:val="0"/>
                      <w:autoSpaceDE w:val="0"/>
                    </w:pPr>
                    <w:r>
                      <w:rPr>
                        <w:rFonts w:eastAsia="標楷體"/>
                        <w:color w:val="0096B2"/>
                        <w:sz w:val="22"/>
                        <w:szCs w:val="22"/>
                      </w:rPr>
                      <w:t>第三章</w:t>
                    </w:r>
                    <w:r>
                      <w:rPr>
                        <w:rFonts w:eastAsia="標楷體"/>
                        <w:color w:val="0096B2"/>
                        <w:sz w:val="22"/>
                        <w:szCs w:val="22"/>
                      </w:rPr>
                      <w:t xml:space="preserve"> </w:t>
                    </w:r>
                    <w:r>
                      <w:rPr>
                        <w:rFonts w:eastAsia="標楷體"/>
                        <w:color w:val="0096B2"/>
                        <w:sz w:val="22"/>
                        <w:szCs w:val="22"/>
                      </w:rPr>
                      <w:t>國家發展政策主軸</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9D35" w14:textId="77777777" w:rsidR="00187886" w:rsidRDefault="00000000">
    <w:pPr>
      <w:pStyle w:val="a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1EAC" w14:textId="77777777" w:rsidR="00187886" w:rsidRDefault="0000000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D6A1" w14:textId="77777777" w:rsidR="00187886" w:rsidRDefault="00000000">
    <w:pPr>
      <w:pStyle w:val="a6"/>
      <w:overflowPunct w:val="0"/>
      <w:autoSpaceDE w:val="0"/>
      <w:spacing w:before="240" w:line="360" w:lineRule="exact"/>
      <w:ind w:left="-264" w:firstLine="560"/>
      <w:jc w:val="both"/>
      <w:textAlignment w:val="center"/>
    </w:pPr>
    <w:r>
      <w:rPr>
        <w:noProof/>
      </w:rPr>
      <mc:AlternateContent>
        <mc:Choice Requires="wps">
          <w:drawing>
            <wp:anchor distT="0" distB="0" distL="114300" distR="114300" simplePos="0" relativeHeight="251671552" behindDoc="0" locked="0" layoutInCell="1" allowOverlap="1" wp14:anchorId="6BF9E27D" wp14:editId="6C72C952">
              <wp:simplePos x="0" y="0"/>
              <wp:positionH relativeFrom="column">
                <wp:posOffset>5130168</wp:posOffset>
              </wp:positionH>
              <wp:positionV relativeFrom="paragraph">
                <wp:posOffset>273689</wp:posOffset>
              </wp:positionV>
              <wp:extent cx="609603" cy="304166"/>
              <wp:effectExtent l="0" t="0" r="0" b="0"/>
              <wp:wrapNone/>
              <wp:docPr id="1" name="圓角矩形 51"/>
              <wp:cNvGraphicFramePr/>
              <a:graphic xmlns:a="http://schemas.openxmlformats.org/drawingml/2006/main">
                <a:graphicData uri="http://schemas.microsoft.com/office/word/2010/wordprocessingShape">
                  <wps:wsp>
                    <wps:cNvSpPr/>
                    <wps:spPr>
                      <a:xfrm>
                        <a:off x="0" y="0"/>
                        <a:ext cx="609603" cy="304166"/>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a:noFill/>
                        <a:prstDash val="solid"/>
                      </a:ln>
                    </wps:spPr>
                    <wps:txbx>
                      <w:txbxContent>
                        <w:p w14:paraId="1BFC97C5" w14:textId="77777777" w:rsidR="00187886" w:rsidRDefault="00000000">
                          <w:pPr>
                            <w:spacing w:line="200" w:lineRule="exact"/>
                            <w:rPr>
                              <w:rFonts w:eastAsia="標楷體"/>
                              <w:color w:val="FFFFFF"/>
                              <w:spacing w:val="32"/>
                              <w:sz w:val="20"/>
                            </w:rPr>
                          </w:pPr>
                          <w:r>
                            <w:rPr>
                              <w:rFonts w:eastAsia="標楷體"/>
                              <w:color w:val="FFFFFF"/>
                              <w:spacing w:val="32"/>
                              <w:sz w:val="20"/>
                            </w:rPr>
                            <w:t>目錄</w:t>
                          </w:r>
                        </w:p>
                      </w:txbxContent>
                    </wps:txbx>
                    <wps:bodyPr wrap="square" lIns="91440" tIns="45720" rIns="91440" bIns="45720" anchor="t">
                      <a:noAutofit/>
                    </wps:bodyPr>
                  </wps:wsp>
                </a:graphicData>
              </a:graphic>
            </wp:anchor>
          </w:drawing>
        </mc:Choice>
        <mc:Fallback>
          <w:pict>
            <v:shape w14:anchorId="6BF9E27D" id="圓角矩形 51" o:spid="_x0000_s1118" style="position:absolute;left:0;text-align:left;margin-left:403.95pt;margin-top:21.55pt;width:48pt;height:23.9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09603,3041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" adj="-11796480,,5400" path="m50694,at,,101388,101388,50694,,,50694l,253472at,202778,101388,304166,,253472,50694,304166l558909,304166at508215,202778,609603,304166,558909,304166,609603,253472l609603,50694at508215,,609603,101388,609603,50694,558909,l50694,xe" filled="f" stroked="f">
              <v:stroke joinstyle="miter"/>
              <v:formulas/>
              <v:path arrowok="t" o:connecttype="custom" o:connectlocs="304802,0;609603,152083;304802,304166;0,152083" o:connectangles="270,0,90,180" textboxrect="14848,14848,594755,289318"/>
              <v:textbox>
                <w:txbxContent>
                  <w:p w14:paraId="1BFC97C5" w14:textId="77777777" w:rsidR="00187886" w:rsidRDefault="00000000">
                    <w:pPr>
                      <w:spacing w:line="200" w:lineRule="exact"/>
                      <w:rPr>
                        <w:rFonts w:eastAsia="標楷體"/>
                        <w:color w:val="FFFFFF"/>
                        <w:spacing w:val="32"/>
                        <w:sz w:val="20"/>
                      </w:rPr>
                    </w:pPr>
                    <w:r>
                      <w:rPr>
                        <w:rFonts w:eastAsia="標楷體"/>
                        <w:color w:val="FFFFFF"/>
                        <w:spacing w:val="32"/>
                        <w:sz w:val="20"/>
                      </w:rPr>
                      <w:t>目錄</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AA24EFF" wp14:editId="0FBD3806">
              <wp:simplePos x="0" y="0"/>
              <wp:positionH relativeFrom="column">
                <wp:posOffset>-235586</wp:posOffset>
              </wp:positionH>
              <wp:positionV relativeFrom="paragraph">
                <wp:posOffset>323853</wp:posOffset>
              </wp:positionV>
              <wp:extent cx="0" cy="179707"/>
              <wp:effectExtent l="0" t="0" r="38100" b="10793"/>
              <wp:wrapNone/>
              <wp:docPr id="2" name="直線接點 52"/>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36EFECF" id="直線接點 52" o:spid="_x0000_s1026" style="position:absolute;margin-left:-18.55pt;margin-top:25.5pt;width:0;height:14.15pt;flip:y;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668480" behindDoc="0" locked="0" layoutInCell="1" allowOverlap="1" wp14:anchorId="691AF82C" wp14:editId="4AAFA074">
              <wp:simplePos x="0" y="0"/>
              <wp:positionH relativeFrom="column">
                <wp:posOffset>3315330</wp:posOffset>
              </wp:positionH>
              <wp:positionV relativeFrom="paragraph">
                <wp:posOffset>323853</wp:posOffset>
              </wp:positionV>
              <wp:extent cx="0" cy="179707"/>
              <wp:effectExtent l="0" t="0" r="38100" b="10793"/>
              <wp:wrapNone/>
              <wp:docPr id="3" name="直線接點 53"/>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5748C0E4" id="直線接點 53" o:spid="_x0000_s1026" style="position:absolute;margin-left:261.05pt;margin-top:25.5pt;width:0;height:14.15pt;flip:y;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669504" behindDoc="0" locked="0" layoutInCell="1" allowOverlap="1" wp14:anchorId="4EAB4E44" wp14:editId="1CE67586">
              <wp:simplePos x="0" y="0"/>
              <wp:positionH relativeFrom="column">
                <wp:posOffset>3307713</wp:posOffset>
              </wp:positionH>
              <wp:positionV relativeFrom="paragraph">
                <wp:posOffset>241301</wp:posOffset>
              </wp:positionV>
              <wp:extent cx="2203447" cy="348615"/>
              <wp:effectExtent l="0" t="0" r="0" b="0"/>
              <wp:wrapNone/>
              <wp:docPr id="4" name="文字方塊 54"/>
              <wp:cNvGraphicFramePr/>
              <a:graphic xmlns:a="http://schemas.openxmlformats.org/drawingml/2006/main">
                <a:graphicData uri="http://schemas.microsoft.com/office/word/2010/wordprocessingShape">
                  <wps:wsp>
                    <wps:cNvSpPr txBox="1"/>
                    <wps:spPr>
                      <a:xfrm>
                        <a:off x="0" y="0"/>
                        <a:ext cx="2203447" cy="348615"/>
                      </a:xfrm>
                      <a:prstGeom prst="rect">
                        <a:avLst/>
                      </a:prstGeom>
                      <a:noFill/>
                      <a:ln>
                        <a:noFill/>
                        <a:prstDash/>
                      </a:ln>
                    </wps:spPr>
                    <wps:txbx>
                      <w:txbxContent>
                        <w:p w14:paraId="605A459C" w14:textId="77777777" w:rsidR="00187886" w:rsidRDefault="00000000">
                          <w:pPr>
                            <w:overflowPunct w:val="0"/>
                            <w:autoSpaceDE w:val="0"/>
                          </w:pPr>
                          <w:r>
                            <w:rPr>
                              <w:rFonts w:eastAsia="標楷體"/>
                              <w:color w:val="0096B2"/>
                              <w:spacing w:val="2"/>
                              <w:sz w:val="22"/>
                              <w:szCs w:val="22"/>
                            </w:rPr>
                            <w:t>國家發展計畫</w:t>
                          </w:r>
                          <w:r>
                            <w:rPr>
                              <w:rFonts w:ascii="標楷體" w:eastAsia="標楷體" w:hAnsi="標楷體"/>
                              <w:color w:val="0096B2"/>
                              <w:spacing w:val="2"/>
                              <w:sz w:val="22"/>
                              <w:szCs w:val="22"/>
                            </w:rPr>
                            <w:t>(</w:t>
                          </w:r>
                          <w:r>
                            <w:rPr>
                              <w:rFonts w:eastAsia="標楷體"/>
                              <w:color w:val="0096B2"/>
                              <w:spacing w:val="2"/>
                              <w:sz w:val="22"/>
                              <w:szCs w:val="22"/>
                            </w:rPr>
                            <w:t>102</w:t>
                          </w:r>
                          <w:r>
                            <w:rPr>
                              <w:rFonts w:eastAsia="標楷體"/>
                              <w:color w:val="0096B2"/>
                              <w:spacing w:val="2"/>
                              <w:sz w:val="22"/>
                              <w:szCs w:val="22"/>
                            </w:rPr>
                            <w:t>至</w:t>
                          </w:r>
                          <w:r>
                            <w:rPr>
                              <w:rFonts w:eastAsia="標楷體"/>
                              <w:color w:val="0096B2"/>
                              <w:spacing w:val="2"/>
                              <w:sz w:val="22"/>
                              <w:szCs w:val="22"/>
                            </w:rPr>
                            <w:t>105</w:t>
                          </w:r>
                          <w:r>
                            <w:rPr>
                              <w:rFonts w:eastAsia="標楷體"/>
                              <w:color w:val="0096B2"/>
                              <w:spacing w:val="2"/>
                              <w:sz w:val="22"/>
                              <w:szCs w:val="22"/>
                            </w:rPr>
                            <w:t>年</w:t>
                          </w:r>
                          <w:r>
                            <w:rPr>
                              <w:rFonts w:ascii="標楷體" w:eastAsia="標楷體" w:hAnsi="標楷體"/>
                              <w:color w:val="0096B2"/>
                              <w:spacing w:val="2"/>
                              <w:sz w:val="22"/>
                              <w:szCs w:val="22"/>
                            </w:rPr>
                            <w:t>)</w:t>
                          </w:r>
                        </w:p>
                      </w:txbxContent>
                    </wps:txbx>
                    <wps:bodyPr wrap="square" lIns="91440" tIns="45720" rIns="91440" bIns="45720" anchor="t">
                      <a:noAutofit/>
                    </wps:bodyPr>
                  </wps:wsp>
                </a:graphicData>
              </a:graphic>
            </wp:anchor>
          </w:drawing>
        </mc:Choice>
        <mc:Fallback>
          <w:pict>
            <v:shapetype w14:anchorId="4EAB4E44" id="_x0000_t202" coordsize="21600,21600" o:spt="202" path="m,l,21600r21600,l21600,xe">
              <v:stroke joinstyle="miter"/>
              <v:path gradientshapeok="t" o:connecttype="rect"/>
            </v:shapetype>
            <v:shape id="文字方塊 54" o:spid="_x0000_s1119" type="#_x0000_t202" style="position:absolute;left:0;text-align:left;margin-left:260.45pt;margin-top:19pt;width:173.5pt;height:27.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" filled="f" stroked="f">
              <v:textbox>
                <w:txbxContent>
                  <w:p w14:paraId="605A459C" w14:textId="77777777" w:rsidR="00187886" w:rsidRDefault="00000000">
                    <w:pPr>
                      <w:overflowPunct w:val="0"/>
                      <w:autoSpaceDE w:val="0"/>
                    </w:pPr>
                    <w:r>
                      <w:rPr>
                        <w:rFonts w:eastAsia="標楷體"/>
                        <w:color w:val="0096B2"/>
                        <w:spacing w:val="2"/>
                        <w:sz w:val="22"/>
                        <w:szCs w:val="22"/>
                      </w:rPr>
                      <w:t>國家發展計畫</w:t>
                    </w:r>
                    <w:r>
                      <w:rPr>
                        <w:rFonts w:ascii="標楷體" w:eastAsia="標楷體" w:hAnsi="標楷體"/>
                        <w:color w:val="0096B2"/>
                        <w:spacing w:val="2"/>
                        <w:sz w:val="22"/>
                        <w:szCs w:val="22"/>
                      </w:rPr>
                      <w:t>(</w:t>
                    </w:r>
                    <w:r>
                      <w:rPr>
                        <w:rFonts w:eastAsia="標楷體"/>
                        <w:color w:val="0096B2"/>
                        <w:spacing w:val="2"/>
                        <w:sz w:val="22"/>
                        <w:szCs w:val="22"/>
                      </w:rPr>
                      <w:t>102</w:t>
                    </w:r>
                    <w:r>
                      <w:rPr>
                        <w:rFonts w:eastAsia="標楷體"/>
                        <w:color w:val="0096B2"/>
                        <w:spacing w:val="2"/>
                        <w:sz w:val="22"/>
                        <w:szCs w:val="22"/>
                      </w:rPr>
                      <w:t>至</w:t>
                    </w:r>
                    <w:r>
                      <w:rPr>
                        <w:rFonts w:eastAsia="標楷體"/>
                        <w:color w:val="0096B2"/>
                        <w:spacing w:val="2"/>
                        <w:sz w:val="22"/>
                        <w:szCs w:val="22"/>
                      </w:rPr>
                      <w:t>105</w:t>
                    </w:r>
                    <w:r>
                      <w:rPr>
                        <w:rFonts w:eastAsia="標楷體"/>
                        <w:color w:val="0096B2"/>
                        <w:spacing w:val="2"/>
                        <w:sz w:val="22"/>
                        <w:szCs w:val="22"/>
                      </w:rPr>
                      <w:t>年</w:t>
                    </w:r>
                    <w:r>
                      <w:rPr>
                        <w:rFonts w:ascii="標楷體" w:eastAsia="標楷體" w:hAnsi="標楷體"/>
                        <w:color w:val="0096B2"/>
                        <w:spacing w:val="2"/>
                        <w:sz w:val="22"/>
                        <w:szCs w:val="22"/>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03761F5" wp14:editId="77B5CA65">
              <wp:simplePos x="0" y="0"/>
              <wp:positionH relativeFrom="column">
                <wp:posOffset>5127626</wp:posOffset>
              </wp:positionH>
              <wp:positionV relativeFrom="paragraph">
                <wp:posOffset>330839</wp:posOffset>
              </wp:positionV>
              <wp:extent cx="503550" cy="161921"/>
              <wp:effectExtent l="0" t="0" r="0" b="0"/>
              <wp:wrapNone/>
              <wp:docPr id="5" name="圓角矩形 55"/>
              <wp:cNvGraphicFramePr/>
              <a:graphic xmlns:a="http://schemas.openxmlformats.org/drawingml/2006/main">
                <a:graphicData uri="http://schemas.microsoft.com/office/word/2010/wordprocessingShape">
                  <wps:wsp>
                    <wps:cNvSpPr/>
                    <wps:spPr>
                      <a:xfrm>
                        <a:off x="0" y="0"/>
                        <a:ext cx="503550" cy="161921"/>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0096B2"/>
                      </a:solidFill>
                      <a:ln>
                        <a:noFill/>
                        <a:prstDash val="solid"/>
                      </a:ln>
                    </wps:spPr>
                    <wps:txbx>
                      <w:txbxContent>
                        <w:p w14:paraId="1F352C93" w14:textId="77777777" w:rsidR="00187886" w:rsidRDefault="00000000"/>
                      </w:txbxContent>
                    </wps:txbx>
                    <wps:bodyPr wrap="square" lIns="91440" tIns="45720" rIns="91440" bIns="45720" anchor="t">
                      <a:noAutofit/>
                    </wps:bodyPr>
                  </wps:wsp>
                </a:graphicData>
              </a:graphic>
            </wp:anchor>
          </w:drawing>
        </mc:Choice>
        <mc:Fallback>
          <w:pict>
            <v:shape w14:anchorId="503761F5" id="圓角矩形 55" o:spid="_x0000_s1120" style="position:absolute;left:0;text-align:left;margin-left:403.75pt;margin-top:26.05pt;width:39.65pt;height:12.7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503550,161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" adj="-11796480,,5400" path="m26987,at,,53974,53974,26987,,,26987l,134934at,107947,53974,161921,,134934,26987,161921l476563,161921at449576,107947,503550,161921,476563,161921,503550,134934l503550,26987at449576,,503550,53974,503550,26987,476563,l26987,xe" fillcolor="#0096b2" stroked="f">
              <v:stroke joinstyle="miter"/>
              <v:formulas/>
              <v:path arrowok="t" o:connecttype="custom" o:connectlocs="251775,0;503550,80961;251775,161921;0,80961" o:connectangles="270,0,90,180" textboxrect="7904,7904,495646,154017"/>
              <v:textbox>
                <w:txbxContent>
                  <w:p w14:paraId="1F352C93" w14:textId="77777777" w:rsidR="00187886" w:rsidRDefault="00000000"/>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4226F18" wp14:editId="080C9C80">
              <wp:simplePos x="0" y="0"/>
              <wp:positionH relativeFrom="column">
                <wp:posOffset>-235586</wp:posOffset>
              </wp:positionH>
              <wp:positionV relativeFrom="paragraph">
                <wp:posOffset>410208</wp:posOffset>
              </wp:positionV>
              <wp:extent cx="3545842" cy="0"/>
              <wp:effectExtent l="0" t="0" r="0" b="0"/>
              <wp:wrapNone/>
              <wp:docPr id="6" name="直線接點 56"/>
              <wp:cNvGraphicFramePr/>
              <a:graphic xmlns:a="http://schemas.openxmlformats.org/drawingml/2006/main">
                <a:graphicData uri="http://schemas.microsoft.com/office/word/2010/wordprocessingShape">
                  <wps:wsp>
                    <wps:cNvSpPr/>
                    <wps:spPr>
                      <a:xfrm>
                        <a:off x="0" y="0"/>
                        <a:ext cx="3545842"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580FE6E5" id="直線接點 56" o:spid="_x0000_s1026" style="position:absolute;margin-left:-18.55pt;margin-top:32.3pt;width:279.2pt;height:0;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545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" path="m,l3545842,1e" filled="f" strokecolor="#0096b2" strokeweight=".26467mm">
              <v:path arrowok="t" o:connecttype="custom" o:connectlocs="1772921,0;3545842,1;1772921,1;0,1;0,0;3545842,1" o:connectangles="270,0,90,180,90,270" textboxrect="0,0,3545842,0"/>
            </v:shape>
          </w:pict>
        </mc:Fallback>
      </mc:AlternateContent>
    </w:r>
  </w:p>
  <w:p w14:paraId="007CA78C" w14:textId="77777777" w:rsidR="00187886" w:rsidRDefault="0000000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52BF" w14:textId="77777777" w:rsidR="00187886" w:rsidRDefault="00000000">
    <w:pPr>
      <w:pStyle w:val="a6"/>
      <w:overflowPunct w:val="0"/>
      <w:autoSpaceDE w:val="0"/>
      <w:spacing w:before="240" w:line="360" w:lineRule="exact"/>
      <w:jc w:val="both"/>
      <w:textAlignment w:val="center"/>
    </w:pPr>
    <w:r>
      <w:rPr>
        <w:noProof/>
      </w:rPr>
      <mc:AlternateContent>
        <mc:Choice Requires="wps">
          <w:drawing>
            <wp:anchor distT="0" distB="0" distL="114300" distR="114300" simplePos="0" relativeHeight="251684864" behindDoc="0" locked="0" layoutInCell="1" allowOverlap="1" wp14:anchorId="632BC32A" wp14:editId="20EB126D">
              <wp:simplePos x="0" y="0"/>
              <wp:positionH relativeFrom="column">
                <wp:posOffset>-7616</wp:posOffset>
              </wp:positionH>
              <wp:positionV relativeFrom="paragraph">
                <wp:posOffset>238128</wp:posOffset>
              </wp:positionV>
              <wp:extent cx="757552" cy="381003"/>
              <wp:effectExtent l="0" t="0" r="0" b="0"/>
              <wp:wrapNone/>
              <wp:docPr id="23" name="AutoShape 37"/>
              <wp:cNvGraphicFramePr/>
              <a:graphic xmlns:a="http://schemas.openxmlformats.org/drawingml/2006/main">
                <a:graphicData uri="http://schemas.microsoft.com/office/word/2010/wordprocessingShape">
                  <wps:wsp>
                    <wps:cNvSpPr/>
                    <wps:spPr>
                      <a:xfrm>
                        <a:off x="0" y="0"/>
                        <a:ext cx="757552" cy="381003"/>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a:noFill/>
                        <a:prstDash val="solid"/>
                      </a:ln>
                    </wps:spPr>
                    <wps:txbx>
                      <w:txbxContent>
                        <w:p w14:paraId="6ACD8D99" w14:textId="77777777" w:rsidR="00187886" w:rsidRDefault="00000000">
                          <w:pPr>
                            <w:spacing w:line="200" w:lineRule="exact"/>
                            <w:rPr>
                              <w:rFonts w:eastAsia="標楷體"/>
                              <w:color w:val="FFFFFF"/>
                              <w:spacing w:val="32"/>
                              <w:sz w:val="20"/>
                            </w:rPr>
                          </w:pPr>
                          <w:r>
                            <w:rPr>
                              <w:rFonts w:eastAsia="標楷體"/>
                              <w:color w:val="FFFFFF"/>
                              <w:spacing w:val="32"/>
                              <w:sz w:val="20"/>
                            </w:rPr>
                            <w:t>摘要</w:t>
                          </w:r>
                        </w:p>
                      </w:txbxContent>
                    </wps:txbx>
                    <wps:bodyPr wrap="square" lIns="91440" tIns="45720" rIns="91440" bIns="45720" anchor="t">
                      <a:noAutofit/>
                    </wps:bodyPr>
                  </wps:wsp>
                </a:graphicData>
              </a:graphic>
            </wp:anchor>
          </w:drawing>
        </mc:Choice>
        <mc:Fallback>
          <w:pict>
            <v:shape w14:anchorId="632BC32A" id="AutoShape 37" o:spid="_x0000_s1122" style="position:absolute;left:0;text-align:left;margin-left:-.6pt;margin-top:18.75pt;width:59.65pt;height:30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757552,381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" adj="-11796480,,5400" path="m63501,at,,127002,127002,63501,,,63501l,317503at,254002,127002,381004,,317503,63501,381004l694052,381003at630551,254001,757553,381003,694052,381003,757553,317502l757552,63501at630550,,757552,127002,757552,63501,694051,l63501,xe" filled="f" stroked="f">
              <v:stroke joinstyle="miter"/>
              <v:formulas/>
              <v:path arrowok="t" o:connecttype="custom" o:connectlocs="378776,0;757552,190502;378776,381003;0,190502" o:connectangles="270,0,90,180" textboxrect="18599,18599,738953,362404"/>
              <v:textbox>
                <w:txbxContent>
                  <w:p w14:paraId="6ACD8D99" w14:textId="77777777" w:rsidR="00187886" w:rsidRDefault="00000000">
                    <w:pPr>
                      <w:spacing w:line="200" w:lineRule="exact"/>
                      <w:rPr>
                        <w:rFonts w:eastAsia="標楷體"/>
                        <w:color w:val="FFFFFF"/>
                        <w:spacing w:val="32"/>
                        <w:sz w:val="20"/>
                      </w:rPr>
                    </w:pPr>
                    <w:r>
                      <w:rPr>
                        <w:rFonts w:eastAsia="標楷體"/>
                        <w:color w:val="FFFFFF"/>
                        <w:spacing w:val="32"/>
                        <w:sz w:val="20"/>
                      </w:rPr>
                      <w:t>摘要</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52EB636" wp14:editId="1C1134EC">
              <wp:simplePos x="0" y="0"/>
              <wp:positionH relativeFrom="column">
                <wp:posOffset>4312282</wp:posOffset>
              </wp:positionH>
              <wp:positionV relativeFrom="paragraph">
                <wp:posOffset>292095</wp:posOffset>
              </wp:positionV>
              <wp:extent cx="0" cy="179707"/>
              <wp:effectExtent l="0" t="0" r="38100" b="10793"/>
              <wp:wrapNone/>
              <wp:docPr id="24" name="Line 33"/>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3C70B0EF" id="Line 33" o:spid="_x0000_s1026" style="position:absolute;margin-left:339.55pt;margin-top:23pt;width:0;height:14.15pt;flip:y;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680768" behindDoc="0" locked="0" layoutInCell="1" allowOverlap="1" wp14:anchorId="5B280C96" wp14:editId="2A77C1F1">
              <wp:simplePos x="0" y="0"/>
              <wp:positionH relativeFrom="column">
                <wp:posOffset>479429</wp:posOffset>
              </wp:positionH>
              <wp:positionV relativeFrom="paragraph">
                <wp:posOffset>233684</wp:posOffset>
              </wp:positionV>
              <wp:extent cx="1939927" cy="305437"/>
              <wp:effectExtent l="0" t="0" r="0" b="0"/>
              <wp:wrapNone/>
              <wp:docPr id="25" name="Text Box 34"/>
              <wp:cNvGraphicFramePr/>
              <a:graphic xmlns:a="http://schemas.openxmlformats.org/drawingml/2006/main">
                <a:graphicData uri="http://schemas.microsoft.com/office/word/2010/wordprocessingShape">
                  <wps:wsp>
                    <wps:cNvSpPr txBox="1"/>
                    <wps:spPr>
                      <a:xfrm>
                        <a:off x="0" y="0"/>
                        <a:ext cx="1939927" cy="305437"/>
                      </a:xfrm>
                      <a:prstGeom prst="rect">
                        <a:avLst/>
                      </a:prstGeom>
                      <a:noFill/>
                      <a:ln>
                        <a:noFill/>
                        <a:prstDash/>
                      </a:ln>
                    </wps:spPr>
                    <wps:txbx>
                      <w:txbxContent>
                        <w:p w14:paraId="1808CB0E" w14:textId="77777777" w:rsidR="00187886" w:rsidRDefault="00000000">
                          <w:pPr>
                            <w:overflowPunct w:val="0"/>
                            <w:autoSpaceDE w:val="0"/>
                          </w:pPr>
                          <w:r>
                            <w:rPr>
                              <w:rFonts w:eastAsia="標楷體"/>
                              <w:color w:val="0096B2"/>
                              <w:spacing w:val="2"/>
                              <w:sz w:val="22"/>
                              <w:szCs w:val="22"/>
                            </w:rPr>
                            <w:t>國家發展計畫</w:t>
                          </w:r>
                          <w:r>
                            <w:rPr>
                              <w:rFonts w:ascii="標楷體" w:eastAsia="標楷體" w:hAnsi="標楷體"/>
                              <w:color w:val="0096B2"/>
                              <w:spacing w:val="2"/>
                              <w:sz w:val="22"/>
                              <w:szCs w:val="22"/>
                            </w:rPr>
                            <w:t>(</w:t>
                          </w:r>
                          <w:r>
                            <w:rPr>
                              <w:rFonts w:eastAsia="標楷體"/>
                              <w:color w:val="0096B2"/>
                              <w:spacing w:val="2"/>
                              <w:sz w:val="22"/>
                              <w:szCs w:val="22"/>
                            </w:rPr>
                            <w:t>102</w:t>
                          </w:r>
                          <w:r>
                            <w:rPr>
                              <w:rFonts w:eastAsia="標楷體"/>
                              <w:color w:val="0096B2"/>
                              <w:spacing w:val="2"/>
                              <w:sz w:val="22"/>
                              <w:szCs w:val="22"/>
                            </w:rPr>
                            <w:t>至</w:t>
                          </w:r>
                          <w:r>
                            <w:rPr>
                              <w:rFonts w:eastAsia="標楷體"/>
                              <w:color w:val="0096B2"/>
                              <w:spacing w:val="2"/>
                              <w:sz w:val="22"/>
                              <w:szCs w:val="22"/>
                            </w:rPr>
                            <w:t>105</w:t>
                          </w:r>
                          <w:r>
                            <w:rPr>
                              <w:rFonts w:eastAsia="標楷體"/>
                              <w:color w:val="0096B2"/>
                              <w:spacing w:val="2"/>
                              <w:sz w:val="22"/>
                              <w:szCs w:val="22"/>
                            </w:rPr>
                            <w:t>年</w:t>
                          </w:r>
                          <w:r>
                            <w:rPr>
                              <w:rFonts w:ascii="標楷體" w:eastAsia="標楷體" w:hAnsi="標楷體"/>
                              <w:color w:val="0096B2"/>
                              <w:spacing w:val="2"/>
                              <w:sz w:val="22"/>
                              <w:szCs w:val="22"/>
                            </w:rPr>
                            <w:t>)</w:t>
                          </w:r>
                        </w:p>
                      </w:txbxContent>
                    </wps:txbx>
                    <wps:bodyPr wrap="square" lIns="91440" tIns="45720" rIns="91440" bIns="45720" anchor="t">
                      <a:noAutofit/>
                    </wps:bodyPr>
                  </wps:wsp>
                </a:graphicData>
              </a:graphic>
            </wp:anchor>
          </w:drawing>
        </mc:Choice>
        <mc:Fallback>
          <w:pict>
            <v:shapetype w14:anchorId="5B280C96" id="_x0000_t202" coordsize="21600,21600" o:spt="202" path="m,l,21600r21600,l21600,xe">
              <v:stroke joinstyle="miter"/>
              <v:path gradientshapeok="t" o:connecttype="rect"/>
            </v:shapetype>
            <v:shape id="Text Box 34" o:spid="_x0000_s1123" type="#_x0000_t202" style="position:absolute;left:0;text-align:left;margin-left:37.75pt;margin-top:18.4pt;width:152.75pt;height:24.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" filled="f" stroked="f">
              <v:textbox>
                <w:txbxContent>
                  <w:p w14:paraId="1808CB0E" w14:textId="77777777" w:rsidR="00187886" w:rsidRDefault="00000000">
                    <w:pPr>
                      <w:overflowPunct w:val="0"/>
                      <w:autoSpaceDE w:val="0"/>
                    </w:pPr>
                    <w:r>
                      <w:rPr>
                        <w:rFonts w:eastAsia="標楷體"/>
                        <w:color w:val="0096B2"/>
                        <w:spacing w:val="2"/>
                        <w:sz w:val="22"/>
                        <w:szCs w:val="22"/>
                      </w:rPr>
                      <w:t>國家發展計畫</w:t>
                    </w:r>
                    <w:r>
                      <w:rPr>
                        <w:rFonts w:ascii="標楷體" w:eastAsia="標楷體" w:hAnsi="標楷體"/>
                        <w:color w:val="0096B2"/>
                        <w:spacing w:val="2"/>
                        <w:sz w:val="22"/>
                        <w:szCs w:val="22"/>
                      </w:rPr>
                      <w:t>(</w:t>
                    </w:r>
                    <w:r>
                      <w:rPr>
                        <w:rFonts w:eastAsia="標楷體"/>
                        <w:color w:val="0096B2"/>
                        <w:spacing w:val="2"/>
                        <w:sz w:val="22"/>
                        <w:szCs w:val="22"/>
                      </w:rPr>
                      <w:t>102</w:t>
                    </w:r>
                    <w:r>
                      <w:rPr>
                        <w:rFonts w:eastAsia="標楷體"/>
                        <w:color w:val="0096B2"/>
                        <w:spacing w:val="2"/>
                        <w:sz w:val="22"/>
                        <w:szCs w:val="22"/>
                      </w:rPr>
                      <w:t>至</w:t>
                    </w:r>
                    <w:r>
                      <w:rPr>
                        <w:rFonts w:eastAsia="標楷體"/>
                        <w:color w:val="0096B2"/>
                        <w:spacing w:val="2"/>
                        <w:sz w:val="22"/>
                        <w:szCs w:val="22"/>
                      </w:rPr>
                      <w:t>105</w:t>
                    </w:r>
                    <w:r>
                      <w:rPr>
                        <w:rFonts w:eastAsia="標楷體"/>
                        <w:color w:val="0096B2"/>
                        <w:spacing w:val="2"/>
                        <w:sz w:val="22"/>
                        <w:szCs w:val="22"/>
                      </w:rPr>
                      <w:t>年</w:t>
                    </w:r>
                    <w:r>
                      <w:rPr>
                        <w:rFonts w:ascii="標楷體" w:eastAsia="標楷體" w:hAnsi="標楷體"/>
                        <w:color w:val="0096B2"/>
                        <w:spacing w:val="2"/>
                        <w:sz w:val="22"/>
                        <w:szCs w:val="22"/>
                      </w:rPr>
                      <w: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F580029" wp14:editId="7E0AF4EA">
              <wp:simplePos x="0" y="0"/>
              <wp:positionH relativeFrom="column">
                <wp:posOffset>2331720</wp:posOffset>
              </wp:positionH>
              <wp:positionV relativeFrom="paragraph">
                <wp:posOffset>292095</wp:posOffset>
              </wp:positionV>
              <wp:extent cx="0" cy="179707"/>
              <wp:effectExtent l="0" t="0" r="38100" b="10793"/>
              <wp:wrapNone/>
              <wp:docPr id="26" name="Line 33"/>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12CFABEA" id="Line 33" o:spid="_x0000_s1026" style="position:absolute;margin-left:183.6pt;margin-top:23pt;width:0;height:14.15pt;flip:y;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681792" behindDoc="0" locked="0" layoutInCell="1" allowOverlap="1" wp14:anchorId="0562B4EA" wp14:editId="36C32AE2">
              <wp:simplePos x="0" y="0"/>
              <wp:positionH relativeFrom="column">
                <wp:posOffset>2331720</wp:posOffset>
              </wp:positionH>
              <wp:positionV relativeFrom="paragraph">
                <wp:posOffset>387348</wp:posOffset>
              </wp:positionV>
              <wp:extent cx="1979932" cy="0"/>
              <wp:effectExtent l="0" t="0" r="0" b="0"/>
              <wp:wrapNone/>
              <wp:docPr id="27" name="Line 32"/>
              <wp:cNvGraphicFramePr/>
              <a:graphic xmlns:a="http://schemas.openxmlformats.org/drawingml/2006/main">
                <a:graphicData uri="http://schemas.microsoft.com/office/word/2010/wordprocessingShape">
                  <wps:wsp>
                    <wps:cNvSpPr/>
                    <wps:spPr>
                      <a:xfrm>
                        <a:off x="0" y="0"/>
                        <a:ext cx="1979932"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13EF8382" id="Line 32" o:spid="_x0000_s1026" style="position:absolute;margin-left:183.6pt;margin-top:30.5pt;width:155.9pt;height:0;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197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" path="m,l1979932,1e" filled="f" strokecolor="#0096b2" strokeweight=".26467mm">
              <v:path arrowok="t" o:connecttype="custom" o:connectlocs="989966,0;1979932,1;989966,1;0,1;0,0;1979932,1" o:connectangles="270,0,90,180,90,270" textboxrect="0,0,1979932,0"/>
            </v:shape>
          </w:pict>
        </mc:Fallback>
      </mc:AlternateContent>
    </w:r>
    <w:r>
      <w:rPr>
        <w:noProof/>
      </w:rPr>
      <mc:AlternateContent>
        <mc:Choice Requires="wps">
          <w:drawing>
            <wp:anchor distT="0" distB="0" distL="114300" distR="114300" simplePos="0" relativeHeight="251679744" behindDoc="0" locked="0" layoutInCell="1" allowOverlap="1" wp14:anchorId="7850EA94" wp14:editId="53441EBC">
              <wp:simplePos x="0" y="0"/>
              <wp:positionH relativeFrom="column">
                <wp:posOffset>-10799</wp:posOffset>
              </wp:positionH>
              <wp:positionV relativeFrom="paragraph">
                <wp:posOffset>288292</wp:posOffset>
              </wp:positionV>
              <wp:extent cx="504191" cy="161921"/>
              <wp:effectExtent l="0" t="0" r="0" b="0"/>
              <wp:wrapNone/>
              <wp:docPr id="28" name="AutoShape 36"/>
              <wp:cNvGraphicFramePr/>
              <a:graphic xmlns:a="http://schemas.openxmlformats.org/drawingml/2006/main">
                <a:graphicData uri="http://schemas.microsoft.com/office/word/2010/wordprocessingShape">
                  <wps:wsp>
                    <wps:cNvSpPr/>
                    <wps:spPr>
                      <a:xfrm>
                        <a:off x="0" y="0"/>
                        <a:ext cx="504191" cy="161921"/>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0096B2"/>
                      </a:solidFill>
                      <a:ln>
                        <a:noFill/>
                        <a:prstDash val="solid"/>
                      </a:ln>
                    </wps:spPr>
                    <wps:txbx>
                      <w:txbxContent>
                        <w:p w14:paraId="729C8FF9" w14:textId="77777777" w:rsidR="00187886" w:rsidRDefault="00000000"/>
                      </w:txbxContent>
                    </wps:txbx>
                    <wps:bodyPr wrap="square" lIns="91440" tIns="45720" rIns="91440" bIns="45720" anchor="t">
                      <a:noAutofit/>
                    </wps:bodyPr>
                  </wps:wsp>
                </a:graphicData>
              </a:graphic>
            </wp:anchor>
          </w:drawing>
        </mc:Choice>
        <mc:Fallback>
          <w:pict>
            <v:shape w14:anchorId="7850EA94" id="AutoShape 36" o:spid="_x0000_s1124" style="position:absolute;left:0;text-align:left;margin-left:-.85pt;margin-top:22.7pt;width:39.7pt;height:12.7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504191,161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" adj="-11796480,,5400" path="m26987,at,,53974,53974,26987,,,26987l,134934at,107947,53974,161921,,134934,26987,161921l477204,161921at450217,107947,504191,161921,477204,161921,504191,134934l504191,26987at450217,,504191,53974,504191,26987,477204,l26987,xe" fillcolor="#0096b2" stroked="f">
              <v:stroke joinstyle="miter"/>
              <v:formulas/>
              <v:path arrowok="t" o:connecttype="custom" o:connectlocs="252096,0;504191,80961;252096,161921;0,80961" o:connectangles="270,0,90,180" textboxrect="7904,7904,496287,154017"/>
              <v:textbox>
                <w:txbxContent>
                  <w:p w14:paraId="729C8FF9" w14:textId="77777777" w:rsidR="00187886" w:rsidRDefault="00000000"/>
                </w:txbxContent>
              </v:textbox>
            </v:shape>
          </w:pict>
        </mc:Fallback>
      </mc:AlternateContent>
    </w:r>
    <w:r>
      <w:rPr>
        <w:noProof/>
      </w:rPr>
      <w:drawing>
        <wp:anchor distT="0" distB="0" distL="114300" distR="114300" simplePos="0" relativeHeight="251685888" behindDoc="1" locked="0" layoutInCell="1" allowOverlap="1" wp14:anchorId="775BEC95" wp14:editId="1C900B9D">
          <wp:simplePos x="0" y="0"/>
          <wp:positionH relativeFrom="column">
            <wp:posOffset>4342128</wp:posOffset>
          </wp:positionH>
          <wp:positionV relativeFrom="paragraph">
            <wp:posOffset>25402</wp:posOffset>
          </wp:positionV>
          <wp:extent cx="1134112" cy="802642"/>
          <wp:effectExtent l="0" t="0" r="8888" b="0"/>
          <wp:wrapNone/>
          <wp:docPr id="29" name="圖片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34112" cy="802642"/>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AD15" w14:textId="77777777" w:rsidR="00187886" w:rsidRDefault="00000000">
    <w:pPr>
      <w:pStyle w:val="a6"/>
      <w:overflowPunct w:val="0"/>
      <w:autoSpaceDE w:val="0"/>
      <w:spacing w:before="240" w:line="360" w:lineRule="exact"/>
      <w:ind w:left="-264" w:firstLine="560"/>
      <w:jc w:val="both"/>
      <w:textAlignment w:val="center"/>
    </w:pPr>
    <w:r>
      <w:rPr>
        <w:noProof/>
      </w:rPr>
      <mc:AlternateContent>
        <mc:Choice Requires="wps">
          <w:drawing>
            <wp:anchor distT="0" distB="0" distL="114300" distR="114300" simplePos="0" relativeHeight="251689984" behindDoc="0" locked="0" layoutInCell="1" allowOverlap="1" wp14:anchorId="5D1A46B2" wp14:editId="54171180">
              <wp:simplePos x="0" y="0"/>
              <wp:positionH relativeFrom="column">
                <wp:posOffset>3053081</wp:posOffset>
              </wp:positionH>
              <wp:positionV relativeFrom="paragraph">
                <wp:posOffset>275591</wp:posOffset>
              </wp:positionV>
              <wp:extent cx="2203447" cy="348615"/>
              <wp:effectExtent l="0" t="0" r="0" b="0"/>
              <wp:wrapNone/>
              <wp:docPr id="17" name="Text Box 27"/>
              <wp:cNvGraphicFramePr/>
              <a:graphic xmlns:a="http://schemas.openxmlformats.org/drawingml/2006/main">
                <a:graphicData uri="http://schemas.microsoft.com/office/word/2010/wordprocessingShape">
                  <wps:wsp>
                    <wps:cNvSpPr txBox="1"/>
                    <wps:spPr>
                      <a:xfrm>
                        <a:off x="0" y="0"/>
                        <a:ext cx="2203447" cy="348615"/>
                      </a:xfrm>
                      <a:prstGeom prst="rect">
                        <a:avLst/>
                      </a:prstGeom>
                      <a:noFill/>
                      <a:ln>
                        <a:noFill/>
                        <a:prstDash/>
                      </a:ln>
                    </wps:spPr>
                    <wps:txbx>
                      <w:txbxContent>
                        <w:p w14:paraId="387BD42E" w14:textId="77777777" w:rsidR="00187886" w:rsidRDefault="00000000">
                          <w:pPr>
                            <w:overflowPunct w:val="0"/>
                            <w:autoSpaceDE w:val="0"/>
                          </w:pPr>
                          <w:r>
                            <w:rPr>
                              <w:rFonts w:eastAsia="標楷體"/>
                              <w:color w:val="0096B2"/>
                              <w:spacing w:val="2"/>
                              <w:sz w:val="22"/>
                              <w:szCs w:val="22"/>
                            </w:rPr>
                            <w:t>國家發展計畫</w:t>
                          </w:r>
                          <w:r>
                            <w:rPr>
                              <w:rFonts w:ascii="標楷體" w:eastAsia="標楷體" w:hAnsi="標楷體"/>
                              <w:color w:val="0096B2"/>
                              <w:spacing w:val="2"/>
                              <w:sz w:val="22"/>
                              <w:szCs w:val="22"/>
                            </w:rPr>
                            <w:t>(</w:t>
                          </w:r>
                          <w:r>
                            <w:rPr>
                              <w:rFonts w:eastAsia="標楷體"/>
                              <w:color w:val="0096B2"/>
                              <w:spacing w:val="2"/>
                              <w:sz w:val="22"/>
                              <w:szCs w:val="22"/>
                            </w:rPr>
                            <w:t>102</w:t>
                          </w:r>
                          <w:r>
                            <w:rPr>
                              <w:rFonts w:eastAsia="標楷體"/>
                              <w:color w:val="0096B2"/>
                              <w:spacing w:val="2"/>
                              <w:sz w:val="22"/>
                              <w:szCs w:val="22"/>
                            </w:rPr>
                            <w:t>至</w:t>
                          </w:r>
                          <w:r>
                            <w:rPr>
                              <w:rFonts w:eastAsia="標楷體"/>
                              <w:color w:val="0096B2"/>
                              <w:spacing w:val="2"/>
                              <w:sz w:val="22"/>
                              <w:szCs w:val="22"/>
                            </w:rPr>
                            <w:t>105</w:t>
                          </w:r>
                          <w:r>
                            <w:rPr>
                              <w:rFonts w:eastAsia="標楷體"/>
                              <w:color w:val="0096B2"/>
                              <w:spacing w:val="2"/>
                              <w:sz w:val="22"/>
                              <w:szCs w:val="22"/>
                            </w:rPr>
                            <w:t>年</w:t>
                          </w:r>
                          <w:r>
                            <w:rPr>
                              <w:rFonts w:ascii="標楷體" w:eastAsia="標楷體" w:hAnsi="標楷體"/>
                              <w:color w:val="0096B2"/>
                              <w:spacing w:val="2"/>
                              <w:sz w:val="22"/>
                              <w:szCs w:val="22"/>
                            </w:rPr>
                            <w:t>)</w:t>
                          </w:r>
                        </w:p>
                      </w:txbxContent>
                    </wps:txbx>
                    <wps:bodyPr wrap="square" lIns="91440" tIns="45720" rIns="91440" bIns="45720" anchor="t">
                      <a:noAutofit/>
                    </wps:bodyPr>
                  </wps:wsp>
                </a:graphicData>
              </a:graphic>
            </wp:anchor>
          </w:drawing>
        </mc:Choice>
        <mc:Fallback>
          <w:pict>
            <v:shapetype w14:anchorId="5D1A46B2" id="_x0000_t202" coordsize="21600,21600" o:spt="202" path="m,l,21600r21600,l21600,xe">
              <v:stroke joinstyle="miter"/>
              <v:path gradientshapeok="t" o:connecttype="rect"/>
            </v:shapetype>
            <v:shape id="Text Box 27" o:spid="_x0000_s1125" type="#_x0000_t202" style="position:absolute;left:0;text-align:left;margin-left:240.4pt;margin-top:21.7pt;width:173.5pt;height:27.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" filled="f" stroked="f">
              <v:textbox>
                <w:txbxContent>
                  <w:p w14:paraId="387BD42E" w14:textId="77777777" w:rsidR="00187886" w:rsidRDefault="00000000">
                    <w:pPr>
                      <w:overflowPunct w:val="0"/>
                      <w:autoSpaceDE w:val="0"/>
                    </w:pPr>
                    <w:r>
                      <w:rPr>
                        <w:rFonts w:eastAsia="標楷體"/>
                        <w:color w:val="0096B2"/>
                        <w:spacing w:val="2"/>
                        <w:sz w:val="22"/>
                        <w:szCs w:val="22"/>
                      </w:rPr>
                      <w:t>國家發展計畫</w:t>
                    </w:r>
                    <w:r>
                      <w:rPr>
                        <w:rFonts w:ascii="標楷體" w:eastAsia="標楷體" w:hAnsi="標楷體"/>
                        <w:color w:val="0096B2"/>
                        <w:spacing w:val="2"/>
                        <w:sz w:val="22"/>
                        <w:szCs w:val="22"/>
                      </w:rPr>
                      <w:t>(</w:t>
                    </w:r>
                    <w:r>
                      <w:rPr>
                        <w:rFonts w:eastAsia="標楷體"/>
                        <w:color w:val="0096B2"/>
                        <w:spacing w:val="2"/>
                        <w:sz w:val="22"/>
                        <w:szCs w:val="22"/>
                      </w:rPr>
                      <w:t>102</w:t>
                    </w:r>
                    <w:r>
                      <w:rPr>
                        <w:rFonts w:eastAsia="標楷體"/>
                        <w:color w:val="0096B2"/>
                        <w:spacing w:val="2"/>
                        <w:sz w:val="22"/>
                        <w:szCs w:val="22"/>
                      </w:rPr>
                      <w:t>至</w:t>
                    </w:r>
                    <w:r>
                      <w:rPr>
                        <w:rFonts w:eastAsia="標楷體"/>
                        <w:color w:val="0096B2"/>
                        <w:spacing w:val="2"/>
                        <w:sz w:val="22"/>
                        <w:szCs w:val="22"/>
                      </w:rPr>
                      <w:t>105</w:t>
                    </w:r>
                    <w:r>
                      <w:rPr>
                        <w:rFonts w:eastAsia="標楷體"/>
                        <w:color w:val="0096B2"/>
                        <w:spacing w:val="2"/>
                        <w:sz w:val="22"/>
                        <w:szCs w:val="22"/>
                      </w:rPr>
                      <w:t>年</w:t>
                    </w:r>
                    <w:r>
                      <w:rPr>
                        <w:rFonts w:ascii="標楷體" w:eastAsia="標楷體" w:hAnsi="標楷體"/>
                        <w:color w:val="0096B2"/>
                        <w:spacing w:val="2"/>
                        <w:sz w:val="22"/>
                        <w:szCs w:val="22"/>
                      </w:rPr>
                      <w: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407387D" wp14:editId="740ED6D8">
              <wp:simplePos x="0" y="0"/>
              <wp:positionH relativeFrom="column">
                <wp:posOffset>3087371</wp:posOffset>
              </wp:positionH>
              <wp:positionV relativeFrom="paragraph">
                <wp:posOffset>323853</wp:posOffset>
              </wp:positionV>
              <wp:extent cx="0" cy="179707"/>
              <wp:effectExtent l="0" t="0" r="38100" b="10793"/>
              <wp:wrapNone/>
              <wp:docPr id="18" name="Line 26"/>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510283D0" id="Line 26" o:spid="_x0000_s1026" style="position:absolute;margin-left:243.1pt;margin-top:25.5pt;width:0;height:14.15pt;flip:y;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691008" behindDoc="0" locked="0" layoutInCell="1" allowOverlap="1" wp14:anchorId="78550896" wp14:editId="713766E3">
              <wp:simplePos x="0" y="0"/>
              <wp:positionH relativeFrom="column">
                <wp:posOffset>4905371</wp:posOffset>
              </wp:positionH>
              <wp:positionV relativeFrom="paragraph">
                <wp:posOffset>336554</wp:posOffset>
              </wp:positionV>
              <wp:extent cx="503550" cy="161921"/>
              <wp:effectExtent l="0" t="0" r="0" b="0"/>
              <wp:wrapNone/>
              <wp:docPr id="19" name="AutoShape 29"/>
              <wp:cNvGraphicFramePr/>
              <a:graphic xmlns:a="http://schemas.openxmlformats.org/drawingml/2006/main">
                <a:graphicData uri="http://schemas.microsoft.com/office/word/2010/wordprocessingShape">
                  <wps:wsp>
                    <wps:cNvSpPr/>
                    <wps:spPr>
                      <a:xfrm>
                        <a:off x="0" y="0"/>
                        <a:ext cx="503550" cy="161921"/>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0096B2"/>
                      </a:solidFill>
                      <a:ln>
                        <a:noFill/>
                        <a:prstDash val="solid"/>
                      </a:ln>
                    </wps:spPr>
                    <wps:txbx>
                      <w:txbxContent>
                        <w:p w14:paraId="4D039224" w14:textId="77777777" w:rsidR="00187886" w:rsidRDefault="00000000"/>
                      </w:txbxContent>
                    </wps:txbx>
                    <wps:bodyPr wrap="square" lIns="91440" tIns="45720" rIns="91440" bIns="45720" anchor="t">
                      <a:noAutofit/>
                    </wps:bodyPr>
                  </wps:wsp>
                </a:graphicData>
              </a:graphic>
            </wp:anchor>
          </w:drawing>
        </mc:Choice>
        <mc:Fallback>
          <w:pict>
            <v:shape w14:anchorId="78550896" id="AutoShape 29" o:spid="_x0000_s1126" style="position:absolute;left:0;text-align:left;margin-left:386.25pt;margin-top:26.5pt;width:39.65pt;height:12.7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503550,161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" adj="-11796480,,5400" path="m26987,at,,53974,53974,26987,,,26987l,134934at,107947,53974,161921,,134934,26987,161921l476563,161921at449576,107947,503550,161921,476563,161921,503550,134934l503550,26987at449576,,503550,53974,503550,26987,476563,l26987,xe" fillcolor="#0096b2" stroked="f">
              <v:stroke joinstyle="miter"/>
              <v:formulas/>
              <v:path arrowok="t" o:connecttype="custom" o:connectlocs="251775,0;503550,80961;251775,161921;0,80961" o:connectangles="270,0,90,180" textboxrect="7904,7904,495646,154017"/>
              <v:textbox>
                <w:txbxContent>
                  <w:p w14:paraId="4D039224" w14:textId="77777777" w:rsidR="00187886" w:rsidRDefault="00000000"/>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573112A" wp14:editId="5A667E74">
              <wp:simplePos x="0" y="0"/>
              <wp:positionH relativeFrom="column">
                <wp:posOffset>4907283</wp:posOffset>
              </wp:positionH>
              <wp:positionV relativeFrom="paragraph">
                <wp:posOffset>291465</wp:posOffset>
              </wp:positionV>
              <wp:extent cx="609603" cy="304166"/>
              <wp:effectExtent l="0" t="0" r="0" b="0"/>
              <wp:wrapNone/>
              <wp:docPr id="20" name="AutoShape 30"/>
              <wp:cNvGraphicFramePr/>
              <a:graphic xmlns:a="http://schemas.openxmlformats.org/drawingml/2006/main">
                <a:graphicData uri="http://schemas.microsoft.com/office/word/2010/wordprocessingShape">
                  <wps:wsp>
                    <wps:cNvSpPr/>
                    <wps:spPr>
                      <a:xfrm>
                        <a:off x="0" y="0"/>
                        <a:ext cx="609603" cy="304166"/>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a:noFill/>
                        <a:prstDash val="solid"/>
                      </a:ln>
                    </wps:spPr>
                    <wps:txbx>
                      <w:txbxContent>
                        <w:p w14:paraId="2E2F016C" w14:textId="77777777" w:rsidR="00187886" w:rsidRDefault="00000000">
                          <w:pPr>
                            <w:spacing w:line="200" w:lineRule="exact"/>
                            <w:rPr>
                              <w:rFonts w:ascii="標楷體" w:eastAsia="標楷體" w:hAnsi="標楷體"/>
                              <w:color w:val="FFFFFF"/>
                              <w:spacing w:val="32"/>
                              <w:sz w:val="20"/>
                            </w:rPr>
                          </w:pPr>
                          <w:r>
                            <w:rPr>
                              <w:rFonts w:ascii="標楷體" w:eastAsia="標楷體" w:hAnsi="標楷體"/>
                              <w:color w:val="FFFFFF"/>
                              <w:spacing w:val="32"/>
                              <w:sz w:val="20"/>
                            </w:rPr>
                            <w:t>摘要</w:t>
                          </w:r>
                        </w:p>
                      </w:txbxContent>
                    </wps:txbx>
                    <wps:bodyPr wrap="square" lIns="91440" tIns="45720" rIns="91440" bIns="45720" anchor="t">
                      <a:noAutofit/>
                    </wps:bodyPr>
                  </wps:wsp>
                </a:graphicData>
              </a:graphic>
            </wp:anchor>
          </w:drawing>
        </mc:Choice>
        <mc:Fallback>
          <w:pict>
            <v:shape w14:anchorId="7573112A" id="AutoShape 30" o:spid="_x0000_s1127" style="position:absolute;left:0;text-align:left;margin-left:386.4pt;margin-top:22.95pt;width:48pt;height:23.95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609603,3041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" adj="-11796480,,5400" path="m50694,at,,101388,101388,50694,,,50694l,253472at,202778,101388,304166,,253472,50694,304166l558909,304166at508215,202778,609603,304166,558909,304166,609603,253472l609603,50694at508215,,609603,101388,609603,50694,558909,l50694,xe" filled="f" stroked="f">
              <v:stroke joinstyle="miter"/>
              <v:formulas/>
              <v:path arrowok="t" o:connecttype="custom" o:connectlocs="304802,0;609603,152083;304802,304166;0,152083" o:connectangles="270,0,90,180" textboxrect="14848,14848,594755,289318"/>
              <v:textbox>
                <w:txbxContent>
                  <w:p w14:paraId="2E2F016C" w14:textId="77777777" w:rsidR="00187886" w:rsidRDefault="00000000">
                    <w:pPr>
                      <w:spacing w:line="200" w:lineRule="exact"/>
                      <w:rPr>
                        <w:rFonts w:ascii="標楷體" w:eastAsia="標楷體" w:hAnsi="標楷體"/>
                        <w:color w:val="FFFFFF"/>
                        <w:spacing w:val="32"/>
                        <w:sz w:val="20"/>
                      </w:rPr>
                    </w:pPr>
                    <w:r>
                      <w:rPr>
                        <w:rFonts w:ascii="標楷體" w:eastAsia="標楷體" w:hAnsi="標楷體"/>
                        <w:color w:val="FFFFFF"/>
                        <w:spacing w:val="32"/>
                        <w:sz w:val="20"/>
                      </w:rPr>
                      <w:t>摘要</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90E0E45" wp14:editId="1B4636A6">
              <wp:simplePos x="0" y="0"/>
              <wp:positionH relativeFrom="column">
                <wp:posOffset>-5084</wp:posOffset>
              </wp:positionH>
              <wp:positionV relativeFrom="paragraph">
                <wp:posOffset>410849</wp:posOffset>
              </wp:positionV>
              <wp:extent cx="3096258" cy="0"/>
              <wp:effectExtent l="0" t="0" r="0" b="0"/>
              <wp:wrapNone/>
              <wp:docPr id="21" name="Line 25"/>
              <wp:cNvGraphicFramePr/>
              <a:graphic xmlns:a="http://schemas.openxmlformats.org/drawingml/2006/main">
                <a:graphicData uri="http://schemas.microsoft.com/office/word/2010/wordprocessingShape">
                  <wps:wsp>
                    <wps:cNvSpPr/>
                    <wps:spPr>
                      <a:xfrm>
                        <a:off x="0" y="0"/>
                        <a:ext cx="3096258"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924D537" id="Line 25" o:spid="_x0000_s1026" style="position:absolute;margin-left:-.4pt;margin-top:32.35pt;width:243.8pt;height:0;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3096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" path="m,l3096258,1e" filled="f" strokecolor="#0096b2" strokeweight=".26467mm">
              <v:path arrowok="t" o:connecttype="custom" o:connectlocs="1548129,0;3096258,1;1548129,1;0,1;0,0;3096258,1" o:connectangles="270,0,90,180,90,270" textboxrect="0,0,3096258,0"/>
            </v:shape>
          </w:pict>
        </mc:Fallback>
      </mc:AlternateContent>
    </w:r>
    <w:r>
      <w:rPr>
        <w:noProof/>
      </w:rPr>
      <mc:AlternateContent>
        <mc:Choice Requires="wps">
          <w:drawing>
            <wp:anchor distT="0" distB="0" distL="114300" distR="114300" simplePos="0" relativeHeight="251693056" behindDoc="0" locked="0" layoutInCell="1" allowOverlap="1" wp14:anchorId="6FAB4004" wp14:editId="17C3BEC2">
              <wp:simplePos x="0" y="0"/>
              <wp:positionH relativeFrom="column">
                <wp:posOffset>-5715</wp:posOffset>
              </wp:positionH>
              <wp:positionV relativeFrom="paragraph">
                <wp:posOffset>323853</wp:posOffset>
              </wp:positionV>
              <wp:extent cx="0" cy="179707"/>
              <wp:effectExtent l="0" t="0" r="38100" b="10793"/>
              <wp:wrapNone/>
              <wp:docPr id="22" name="Line 26"/>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6AA33ACB" id="Line 26" o:spid="_x0000_s1026" style="position:absolute;margin-left:-.45pt;margin-top:25.5pt;width:0;height:14.15pt;flip:y;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" path="m,l1,179707e" filled="f" strokecolor="#0096b2" strokeweight=".26467mm">
              <v:path arrowok="t" o:connecttype="custom" o:connectlocs="1,0;1,89854;1,179707;0,89854;0,0;1,179707" o:connectangles="270,0,90,180,90,270" textboxrect="0,0,0,179707"/>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99E3C" w14:textId="77777777" w:rsidR="00187886" w:rsidRDefault="00000000">
    <w:pPr>
      <w:jc w:val="center"/>
    </w:pPr>
    <w:r>
      <w:rPr>
        <w:noProof/>
      </w:rPr>
      <w:drawing>
        <wp:anchor distT="0" distB="0" distL="114300" distR="114300" simplePos="0" relativeHeight="251700224" behindDoc="1" locked="0" layoutInCell="1" allowOverlap="1" wp14:anchorId="363060CB" wp14:editId="78FE25BB">
          <wp:simplePos x="0" y="0"/>
          <wp:positionH relativeFrom="column">
            <wp:posOffset>4340857</wp:posOffset>
          </wp:positionH>
          <wp:positionV relativeFrom="paragraph">
            <wp:posOffset>25402</wp:posOffset>
          </wp:positionV>
          <wp:extent cx="1136654" cy="801371"/>
          <wp:effectExtent l="0" t="0" r="6346" b="0"/>
          <wp:wrapNone/>
          <wp:docPr id="38" name="圖片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36654" cy="801371"/>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04320" behindDoc="0" locked="0" layoutInCell="1" allowOverlap="1" wp14:anchorId="48FA7CE8" wp14:editId="4C96A16E">
              <wp:simplePos x="0" y="0"/>
              <wp:positionH relativeFrom="column">
                <wp:posOffset>4287521</wp:posOffset>
              </wp:positionH>
              <wp:positionV relativeFrom="paragraph">
                <wp:posOffset>294637</wp:posOffset>
              </wp:positionV>
              <wp:extent cx="0" cy="179707"/>
              <wp:effectExtent l="0" t="0" r="38100" b="10793"/>
              <wp:wrapNone/>
              <wp:docPr id="39" name="直線接點 7618"/>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3AB4D572" id="直線接點 7618" o:spid="_x0000_s1026" style="position:absolute;margin-left:337.6pt;margin-top:23.2pt;width:0;height:14.15pt;flip:y;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02272" behindDoc="0" locked="0" layoutInCell="1" allowOverlap="1" wp14:anchorId="49BBC7EF" wp14:editId="43F206E6">
              <wp:simplePos x="0" y="0"/>
              <wp:positionH relativeFrom="column">
                <wp:posOffset>1677667</wp:posOffset>
              </wp:positionH>
              <wp:positionV relativeFrom="paragraph">
                <wp:posOffset>387348</wp:posOffset>
              </wp:positionV>
              <wp:extent cx="2609853" cy="0"/>
              <wp:effectExtent l="0" t="0" r="0" b="0"/>
              <wp:wrapNone/>
              <wp:docPr id="40" name="直線接點 7617"/>
              <wp:cNvGraphicFramePr/>
              <a:graphic xmlns:a="http://schemas.openxmlformats.org/drawingml/2006/main">
                <a:graphicData uri="http://schemas.microsoft.com/office/word/2010/wordprocessingShape">
                  <wps:wsp>
                    <wps:cNvSpPr/>
                    <wps:spPr>
                      <a:xfrm>
                        <a:off x="0" y="0"/>
                        <a:ext cx="2609853"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5F8E292F" id="直線接點 7617" o:spid="_x0000_s1026" style="position:absolute;margin-left:132.1pt;margin-top:30.5pt;width:205.5pt;height:0;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2609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" path="m,l2609853,1e" filled="f" strokecolor="#0096b2" strokeweight=".26467mm">
              <v:path arrowok="t" o:connecttype="custom" o:connectlocs="1304927,0;2609853,1;1304927,1;0,1;0,0;2609853,1" o:connectangles="270,0,90,180,90,270" textboxrect="0,0,2609853,0"/>
            </v:shape>
          </w:pict>
        </mc:Fallback>
      </mc:AlternateContent>
    </w:r>
    <w:r>
      <w:rPr>
        <w:noProof/>
      </w:rPr>
      <mc:AlternateContent>
        <mc:Choice Requires="wps">
          <w:drawing>
            <wp:anchor distT="0" distB="0" distL="114300" distR="114300" simplePos="0" relativeHeight="251703296" behindDoc="0" locked="0" layoutInCell="1" allowOverlap="1" wp14:anchorId="36FF6EB0" wp14:editId="00461435">
              <wp:simplePos x="0" y="0"/>
              <wp:positionH relativeFrom="column">
                <wp:posOffset>1677667</wp:posOffset>
              </wp:positionH>
              <wp:positionV relativeFrom="paragraph">
                <wp:posOffset>295908</wp:posOffset>
              </wp:positionV>
              <wp:extent cx="0" cy="179707"/>
              <wp:effectExtent l="0" t="0" r="38100" b="10793"/>
              <wp:wrapNone/>
              <wp:docPr id="41" name="直線接點 92"/>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716CDAAE" id="直線接點 92" o:spid="_x0000_s1026" style="position:absolute;margin-left:132.1pt;margin-top:23.3pt;width:0;height:14.15pt;flip:y;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01248" behindDoc="0" locked="0" layoutInCell="1" allowOverlap="1" wp14:anchorId="1B81E68F" wp14:editId="6176C35B">
              <wp:simplePos x="0" y="0"/>
              <wp:positionH relativeFrom="column">
                <wp:posOffset>-133346</wp:posOffset>
              </wp:positionH>
              <wp:positionV relativeFrom="paragraph">
                <wp:posOffset>234945</wp:posOffset>
              </wp:positionV>
              <wp:extent cx="1908179" cy="306067"/>
              <wp:effectExtent l="0" t="0" r="0" b="0"/>
              <wp:wrapNone/>
              <wp:docPr id="42" name="文字方塊 7619"/>
              <wp:cNvGraphicFramePr/>
              <a:graphic xmlns:a="http://schemas.openxmlformats.org/drawingml/2006/main">
                <a:graphicData uri="http://schemas.microsoft.com/office/word/2010/wordprocessingShape">
                  <wps:wsp>
                    <wps:cNvSpPr txBox="1"/>
                    <wps:spPr>
                      <a:xfrm>
                        <a:off x="0" y="0"/>
                        <a:ext cx="1908179" cy="306067"/>
                      </a:xfrm>
                      <a:prstGeom prst="rect">
                        <a:avLst/>
                      </a:prstGeom>
                      <a:noFill/>
                      <a:ln>
                        <a:noFill/>
                        <a:prstDash/>
                      </a:ln>
                    </wps:spPr>
                    <wps:txbx>
                      <w:txbxContent>
                        <w:p w14:paraId="3F1AD3BA" w14:textId="77777777" w:rsidR="00187886" w:rsidRDefault="00000000">
                          <w:pPr>
                            <w:overflowPunct w:val="0"/>
                            <w:autoSpaceDE w:val="0"/>
                          </w:pPr>
                          <w:r>
                            <w:rPr>
                              <w:rFonts w:eastAsia="標楷體"/>
                              <w:color w:val="0096B2"/>
                              <w:sz w:val="22"/>
                              <w:szCs w:val="22"/>
                            </w:rPr>
                            <w:t>國家發展計畫</w:t>
                          </w:r>
                          <w:r>
                            <w:rPr>
                              <w:rFonts w:ascii="標楷體" w:eastAsia="標楷體" w:hAnsi="標楷體"/>
                              <w:color w:val="0096B2"/>
                              <w:position w:val="2"/>
                              <w:sz w:val="22"/>
                              <w:szCs w:val="22"/>
                            </w:rPr>
                            <w:t>(</w:t>
                          </w:r>
                          <w:r>
                            <w:rPr>
                              <w:rFonts w:eastAsia="標楷體"/>
                              <w:color w:val="0096B2"/>
                              <w:sz w:val="22"/>
                              <w:szCs w:val="22"/>
                            </w:rPr>
                            <w:t>102</w:t>
                          </w:r>
                          <w:r>
                            <w:rPr>
                              <w:rFonts w:eastAsia="標楷體"/>
                              <w:color w:val="0096B2"/>
                              <w:sz w:val="22"/>
                              <w:szCs w:val="22"/>
                            </w:rPr>
                            <w:t>至</w:t>
                          </w:r>
                          <w:r>
                            <w:rPr>
                              <w:rFonts w:eastAsia="標楷體"/>
                              <w:color w:val="0096B2"/>
                              <w:sz w:val="22"/>
                              <w:szCs w:val="22"/>
                            </w:rPr>
                            <w:t>105</w:t>
                          </w:r>
                          <w:r>
                            <w:rPr>
                              <w:rFonts w:eastAsia="標楷體"/>
                              <w:color w:val="0096B2"/>
                              <w:sz w:val="22"/>
                              <w:szCs w:val="22"/>
                            </w:rPr>
                            <w:t>年</w:t>
                          </w:r>
                          <w:r>
                            <w:rPr>
                              <w:rFonts w:ascii="標楷體" w:eastAsia="標楷體" w:hAnsi="標楷體"/>
                              <w:color w:val="0096B2"/>
                              <w:position w:val="2"/>
                              <w:sz w:val="22"/>
                              <w:szCs w:val="22"/>
                            </w:rPr>
                            <w:t>)</w:t>
                          </w:r>
                        </w:p>
                      </w:txbxContent>
                    </wps:txbx>
                    <wps:bodyPr wrap="square" lIns="91440" tIns="45720" rIns="91440" bIns="45720" anchor="t">
                      <a:noAutofit/>
                    </wps:bodyPr>
                  </wps:wsp>
                </a:graphicData>
              </a:graphic>
            </wp:anchor>
          </w:drawing>
        </mc:Choice>
        <mc:Fallback>
          <w:pict>
            <v:shapetype w14:anchorId="1B81E68F" id="_x0000_t202" coordsize="21600,21600" o:spt="202" path="m,l,21600r21600,l21600,xe">
              <v:stroke joinstyle="miter"/>
              <v:path gradientshapeok="t" o:connecttype="rect"/>
            </v:shapetype>
            <v:shape id="文字方塊 7619" o:spid="_x0000_s1129" type="#_x0000_t202" style="position:absolute;left:0;text-align:left;margin-left:-10.5pt;margin-top:18.5pt;width:150.25pt;height:24.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" filled="f" stroked="f">
              <v:textbox>
                <w:txbxContent>
                  <w:p w14:paraId="3F1AD3BA" w14:textId="77777777" w:rsidR="00187886" w:rsidRDefault="00000000">
                    <w:pPr>
                      <w:overflowPunct w:val="0"/>
                      <w:autoSpaceDE w:val="0"/>
                    </w:pPr>
                    <w:r>
                      <w:rPr>
                        <w:rFonts w:eastAsia="標楷體"/>
                        <w:color w:val="0096B2"/>
                        <w:sz w:val="22"/>
                        <w:szCs w:val="22"/>
                      </w:rPr>
                      <w:t>國家發展計畫</w:t>
                    </w:r>
                    <w:r>
                      <w:rPr>
                        <w:rFonts w:ascii="標楷體" w:eastAsia="標楷體" w:hAnsi="標楷體"/>
                        <w:color w:val="0096B2"/>
                        <w:position w:val="2"/>
                        <w:sz w:val="22"/>
                        <w:szCs w:val="22"/>
                      </w:rPr>
                      <w:t>(</w:t>
                    </w:r>
                    <w:r>
                      <w:rPr>
                        <w:rFonts w:eastAsia="標楷體"/>
                        <w:color w:val="0096B2"/>
                        <w:sz w:val="22"/>
                        <w:szCs w:val="22"/>
                      </w:rPr>
                      <w:t>102</w:t>
                    </w:r>
                    <w:r>
                      <w:rPr>
                        <w:rFonts w:eastAsia="標楷體"/>
                        <w:color w:val="0096B2"/>
                        <w:sz w:val="22"/>
                        <w:szCs w:val="22"/>
                      </w:rPr>
                      <w:t>至</w:t>
                    </w:r>
                    <w:r>
                      <w:rPr>
                        <w:rFonts w:eastAsia="標楷體"/>
                        <w:color w:val="0096B2"/>
                        <w:sz w:val="22"/>
                        <w:szCs w:val="22"/>
                      </w:rPr>
                      <w:t>105</w:t>
                    </w:r>
                    <w:r>
                      <w:rPr>
                        <w:rFonts w:eastAsia="標楷體"/>
                        <w:color w:val="0096B2"/>
                        <w:sz w:val="22"/>
                        <w:szCs w:val="22"/>
                      </w:rPr>
                      <w:t>年</w:t>
                    </w:r>
                    <w:r>
                      <w:rPr>
                        <w:rFonts w:ascii="標楷體" w:eastAsia="標楷體" w:hAnsi="標楷體"/>
                        <w:color w:val="0096B2"/>
                        <w:position w:val="2"/>
                        <w:sz w:val="22"/>
                        <w:szCs w:val="22"/>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2DF2" w14:textId="77777777" w:rsidR="00187886" w:rsidRDefault="00000000">
    <w:pPr>
      <w:pStyle w:val="a6"/>
      <w:ind w:right="357" w:firstLine="357"/>
    </w:pPr>
    <w:r>
      <w:rPr>
        <w:noProof/>
      </w:rPr>
      <mc:AlternateContent>
        <mc:Choice Requires="wps">
          <w:drawing>
            <wp:anchor distT="0" distB="0" distL="114300" distR="114300" simplePos="0" relativeHeight="251709440" behindDoc="0" locked="0" layoutInCell="1" allowOverlap="1" wp14:anchorId="24316642" wp14:editId="162CB08B">
              <wp:simplePos x="0" y="0"/>
              <wp:positionH relativeFrom="column">
                <wp:posOffset>3856353</wp:posOffset>
              </wp:positionH>
              <wp:positionV relativeFrom="paragraph">
                <wp:posOffset>325124</wp:posOffset>
              </wp:positionV>
              <wp:extent cx="0" cy="179707"/>
              <wp:effectExtent l="0" t="0" r="38100" b="10793"/>
              <wp:wrapNone/>
              <wp:docPr id="33" name="直線接點 91"/>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0202512" id="直線接點 91" o:spid="_x0000_s1026" style="position:absolute;margin-left:303.65pt;margin-top:25.6pt;width:0;height:14.15pt;flip:y;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08416" behindDoc="0" locked="0" layoutInCell="1" allowOverlap="1" wp14:anchorId="4B7D91AC" wp14:editId="2B4A50C6">
              <wp:simplePos x="0" y="0"/>
              <wp:positionH relativeFrom="column">
                <wp:posOffset>-8257</wp:posOffset>
              </wp:positionH>
              <wp:positionV relativeFrom="paragraph">
                <wp:posOffset>327026</wp:posOffset>
              </wp:positionV>
              <wp:extent cx="0" cy="179707"/>
              <wp:effectExtent l="0" t="0" r="38100" b="10793"/>
              <wp:wrapNone/>
              <wp:docPr id="34" name="直線接點 90"/>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23BA9419" id="直線接點 90" o:spid="_x0000_s1026" style="position:absolute;margin-left:-.65pt;margin-top:25.75pt;width:0;height:14.15pt;flip:y;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06368" behindDoc="0" locked="0" layoutInCell="1" allowOverlap="1" wp14:anchorId="5D0974E0" wp14:editId="4ED59103">
              <wp:simplePos x="0" y="0"/>
              <wp:positionH relativeFrom="column">
                <wp:posOffset>3850008</wp:posOffset>
              </wp:positionH>
              <wp:positionV relativeFrom="paragraph">
                <wp:posOffset>276221</wp:posOffset>
              </wp:positionV>
              <wp:extent cx="1807211" cy="306067"/>
              <wp:effectExtent l="0" t="0" r="0" b="0"/>
              <wp:wrapNone/>
              <wp:docPr id="35" name="文字方塊 89"/>
              <wp:cNvGraphicFramePr/>
              <a:graphic xmlns:a="http://schemas.openxmlformats.org/drawingml/2006/main">
                <a:graphicData uri="http://schemas.microsoft.com/office/word/2010/wordprocessingShape">
                  <wps:wsp>
                    <wps:cNvSpPr txBox="1"/>
                    <wps:spPr>
                      <a:xfrm>
                        <a:off x="0" y="0"/>
                        <a:ext cx="1807211" cy="306067"/>
                      </a:xfrm>
                      <a:prstGeom prst="rect">
                        <a:avLst/>
                      </a:prstGeom>
                      <a:noFill/>
                      <a:ln>
                        <a:noFill/>
                        <a:prstDash/>
                      </a:ln>
                    </wps:spPr>
                    <wps:txbx>
                      <w:txbxContent>
                        <w:p w14:paraId="4868AE05" w14:textId="77777777" w:rsidR="00187886" w:rsidRDefault="00000000">
                          <w:pPr>
                            <w:overflowPunct w:val="0"/>
                            <w:autoSpaceDE w:val="0"/>
                            <w:rPr>
                              <w:rFonts w:eastAsia="標楷體"/>
                              <w:color w:val="0096B2"/>
                              <w:sz w:val="22"/>
                              <w:szCs w:val="22"/>
                            </w:rPr>
                          </w:pPr>
                          <w:r>
                            <w:rPr>
                              <w:rFonts w:eastAsia="標楷體"/>
                              <w:color w:val="0096B2"/>
                              <w:sz w:val="22"/>
                              <w:szCs w:val="22"/>
                            </w:rPr>
                            <w:t>第一章</w:t>
                          </w:r>
                          <w:r>
                            <w:rPr>
                              <w:rFonts w:eastAsia="標楷體"/>
                              <w:color w:val="0096B2"/>
                              <w:sz w:val="22"/>
                              <w:szCs w:val="22"/>
                            </w:rPr>
                            <w:t xml:space="preserve"> </w:t>
                          </w:r>
                          <w:r>
                            <w:rPr>
                              <w:rFonts w:eastAsia="標楷體"/>
                              <w:color w:val="0096B2"/>
                              <w:sz w:val="22"/>
                              <w:szCs w:val="22"/>
                            </w:rPr>
                            <w:t>主客觀情勢分析</w:t>
                          </w:r>
                        </w:p>
                      </w:txbxContent>
                    </wps:txbx>
                    <wps:bodyPr wrap="square" lIns="91440" tIns="45720" rIns="91440" bIns="45720" anchor="t">
                      <a:noAutofit/>
                    </wps:bodyPr>
                  </wps:wsp>
                </a:graphicData>
              </a:graphic>
            </wp:anchor>
          </w:drawing>
        </mc:Choice>
        <mc:Fallback>
          <w:pict>
            <v:shapetype w14:anchorId="5D0974E0" id="_x0000_t202" coordsize="21600,21600" o:spt="202" path="m,l,21600r21600,l21600,xe">
              <v:stroke joinstyle="miter"/>
              <v:path gradientshapeok="t" o:connecttype="rect"/>
            </v:shapetype>
            <v:shape id="文字方塊 89" o:spid="_x0000_s1130" type="#_x0000_t202" style="position:absolute;left:0;text-align:left;margin-left:303.15pt;margin-top:21.75pt;width:142.3pt;height:24.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" filled="f" stroked="f">
              <v:textbox>
                <w:txbxContent>
                  <w:p w14:paraId="4868AE05" w14:textId="77777777" w:rsidR="00187886" w:rsidRDefault="00000000">
                    <w:pPr>
                      <w:overflowPunct w:val="0"/>
                      <w:autoSpaceDE w:val="0"/>
                      <w:rPr>
                        <w:rFonts w:eastAsia="標楷體"/>
                        <w:color w:val="0096B2"/>
                        <w:sz w:val="22"/>
                        <w:szCs w:val="22"/>
                      </w:rPr>
                    </w:pPr>
                    <w:r>
                      <w:rPr>
                        <w:rFonts w:eastAsia="標楷體"/>
                        <w:color w:val="0096B2"/>
                        <w:sz w:val="22"/>
                        <w:szCs w:val="22"/>
                      </w:rPr>
                      <w:t>第一章</w:t>
                    </w:r>
                    <w:r>
                      <w:rPr>
                        <w:rFonts w:eastAsia="標楷體"/>
                        <w:color w:val="0096B2"/>
                        <w:sz w:val="22"/>
                        <w:szCs w:val="22"/>
                      </w:rPr>
                      <w:t xml:space="preserve"> </w:t>
                    </w:r>
                    <w:r>
                      <w:rPr>
                        <w:rFonts w:eastAsia="標楷體"/>
                        <w:color w:val="0096B2"/>
                        <w:sz w:val="22"/>
                        <w:szCs w:val="22"/>
                      </w:rPr>
                      <w:t>主客觀情勢分析</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228FF8C" wp14:editId="29E0876F">
              <wp:simplePos x="0" y="0"/>
              <wp:positionH relativeFrom="column">
                <wp:posOffset>-5715</wp:posOffset>
              </wp:positionH>
              <wp:positionV relativeFrom="paragraph">
                <wp:posOffset>411480</wp:posOffset>
              </wp:positionV>
              <wp:extent cx="3858896" cy="0"/>
              <wp:effectExtent l="0" t="0" r="0" b="0"/>
              <wp:wrapNone/>
              <wp:docPr id="36" name="直線接點 88"/>
              <wp:cNvGraphicFramePr/>
              <a:graphic xmlns:a="http://schemas.openxmlformats.org/drawingml/2006/main">
                <a:graphicData uri="http://schemas.microsoft.com/office/word/2010/wordprocessingShape">
                  <wps:wsp>
                    <wps:cNvSpPr/>
                    <wps:spPr>
                      <a:xfrm>
                        <a:off x="0" y="0"/>
                        <a:ext cx="385889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0DB4D94" id="直線接點 88" o:spid="_x0000_s1026" style="position:absolute;margin-left:-.45pt;margin-top:32.4pt;width:303.85pt;height:0;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3858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" path="m,l3858896,1e" filled="f" strokecolor="#0096b2" strokeweight=".26467mm">
              <v:path arrowok="t" o:connecttype="custom" o:connectlocs="1929448,0;3858896,1;1929448,1;0,1;0,0;3858896,1" o:connectangles="270,0,90,180,90,270" textboxrect="0,0,3858896,0"/>
            </v:shape>
          </w:pict>
        </mc:Fallback>
      </mc:AlternateContent>
    </w:r>
    <w:r>
      <w:rPr>
        <w:noProof/>
      </w:rPr>
      <mc:AlternateContent>
        <mc:Choice Requires="wps">
          <w:drawing>
            <wp:anchor distT="0" distB="0" distL="114300" distR="114300" simplePos="0" relativeHeight="251707392" behindDoc="0" locked="0" layoutInCell="1" allowOverlap="1" wp14:anchorId="25B8849E" wp14:editId="32C46C54">
              <wp:simplePos x="0" y="0"/>
              <wp:positionH relativeFrom="column">
                <wp:posOffset>-5715</wp:posOffset>
              </wp:positionH>
              <wp:positionV relativeFrom="paragraph">
                <wp:posOffset>411480</wp:posOffset>
              </wp:positionV>
              <wp:extent cx="3707763" cy="0"/>
              <wp:effectExtent l="0" t="0" r="0" b="0"/>
              <wp:wrapNone/>
              <wp:docPr id="37" name="直線接點 87"/>
              <wp:cNvGraphicFramePr/>
              <a:graphic xmlns:a="http://schemas.openxmlformats.org/drawingml/2006/main">
                <a:graphicData uri="http://schemas.microsoft.com/office/word/2010/wordprocessingShape">
                  <wps:wsp>
                    <wps:cNvSpPr/>
                    <wps:spPr>
                      <a:xfrm>
                        <a:off x="0" y="0"/>
                        <a:ext cx="3707763"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5F1E0242" id="直線接點 87" o:spid="_x0000_s1026" style="position:absolute;margin-left:-.45pt;margin-top:32.4pt;width:291.95pt;height:0;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3707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" path="m,l3707763,1e" filled="f" strokecolor="#0096b2" strokeweight=".26467mm">
              <v:path arrowok="t" o:connecttype="custom" o:connectlocs="1853882,0;3707763,1;1853882,1;0,1;0,0;3707763,1" o:connectangles="270,0,90,180,90,270" textboxrect="0,0,3707763,0"/>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B73B1" w14:textId="77777777" w:rsidR="00187886" w:rsidRDefault="00000000">
    <w:pPr>
      <w:jc w:val="center"/>
    </w:pPr>
    <w:r>
      <w:rPr>
        <w:noProof/>
      </w:rPr>
      <w:drawing>
        <wp:anchor distT="0" distB="0" distL="114300" distR="114300" simplePos="0" relativeHeight="251718656" behindDoc="1" locked="0" layoutInCell="1" allowOverlap="1" wp14:anchorId="0FBDC6DC" wp14:editId="7E828DB5">
          <wp:simplePos x="0" y="0"/>
          <wp:positionH relativeFrom="column">
            <wp:posOffset>4342128</wp:posOffset>
          </wp:positionH>
          <wp:positionV relativeFrom="paragraph">
            <wp:posOffset>31117</wp:posOffset>
          </wp:positionV>
          <wp:extent cx="1140457" cy="801371"/>
          <wp:effectExtent l="0" t="0" r="2543" b="0"/>
          <wp:wrapNone/>
          <wp:docPr id="52"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40457" cy="801371"/>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22752" behindDoc="0" locked="0" layoutInCell="1" allowOverlap="1" wp14:anchorId="718343E6" wp14:editId="53D0C52A">
              <wp:simplePos x="0" y="0"/>
              <wp:positionH relativeFrom="column">
                <wp:posOffset>4296408</wp:posOffset>
              </wp:positionH>
              <wp:positionV relativeFrom="paragraph">
                <wp:posOffset>294637</wp:posOffset>
              </wp:positionV>
              <wp:extent cx="0" cy="179707"/>
              <wp:effectExtent l="0" t="0" r="38100" b="10793"/>
              <wp:wrapNone/>
              <wp:docPr id="53" name="直線接點 39"/>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730D8BA2" id="直線接點 39" o:spid="_x0000_s1026" style="position:absolute;margin-left:338.3pt;margin-top:23.2pt;width:0;height:14.15pt;flip:y;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20704" behindDoc="0" locked="0" layoutInCell="1" allowOverlap="1" wp14:anchorId="0B28CAC8" wp14:editId="36F80B10">
              <wp:simplePos x="0" y="0"/>
              <wp:positionH relativeFrom="column">
                <wp:posOffset>1677667</wp:posOffset>
              </wp:positionH>
              <wp:positionV relativeFrom="paragraph">
                <wp:posOffset>387348</wp:posOffset>
              </wp:positionV>
              <wp:extent cx="2609853" cy="0"/>
              <wp:effectExtent l="0" t="0" r="0" b="0"/>
              <wp:wrapNone/>
              <wp:docPr id="54" name="直線接點 38"/>
              <wp:cNvGraphicFramePr/>
              <a:graphic xmlns:a="http://schemas.openxmlformats.org/drawingml/2006/main">
                <a:graphicData uri="http://schemas.microsoft.com/office/word/2010/wordprocessingShape">
                  <wps:wsp>
                    <wps:cNvSpPr/>
                    <wps:spPr>
                      <a:xfrm>
                        <a:off x="0" y="0"/>
                        <a:ext cx="2609853"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C5EB6F0" id="直線接點 38" o:spid="_x0000_s1026" style="position:absolute;margin-left:132.1pt;margin-top:30.5pt;width:205.5pt;height:0;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2609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" path="m,l2609853,1e" filled="f" strokecolor="#0096b2" strokeweight=".26467mm">
              <v:path arrowok="t" o:connecttype="custom" o:connectlocs="1304927,0;2609853,1;1304927,1;0,1;0,0;2609853,1" o:connectangles="270,0,90,180,90,270" textboxrect="0,0,2609853,0"/>
            </v:shape>
          </w:pict>
        </mc:Fallback>
      </mc:AlternateContent>
    </w:r>
    <w:r>
      <w:rPr>
        <w:noProof/>
      </w:rPr>
      <mc:AlternateContent>
        <mc:Choice Requires="wps">
          <w:drawing>
            <wp:anchor distT="0" distB="0" distL="114300" distR="114300" simplePos="0" relativeHeight="251721728" behindDoc="0" locked="0" layoutInCell="1" allowOverlap="1" wp14:anchorId="64CD2553" wp14:editId="2D1DCA0E">
              <wp:simplePos x="0" y="0"/>
              <wp:positionH relativeFrom="column">
                <wp:posOffset>1677667</wp:posOffset>
              </wp:positionH>
              <wp:positionV relativeFrom="paragraph">
                <wp:posOffset>295908</wp:posOffset>
              </wp:positionV>
              <wp:extent cx="0" cy="179707"/>
              <wp:effectExtent l="0" t="0" r="38100" b="10793"/>
              <wp:wrapNone/>
              <wp:docPr id="55" name="直線接點 37"/>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4BBB022E" id="直線接點 37" o:spid="_x0000_s1026" style="position:absolute;margin-left:132.1pt;margin-top:23.3pt;width:0;height:14.15pt;flip:y;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19680" behindDoc="0" locked="0" layoutInCell="1" allowOverlap="1" wp14:anchorId="6ADD39F3" wp14:editId="44050854">
              <wp:simplePos x="0" y="0"/>
              <wp:positionH relativeFrom="column">
                <wp:posOffset>-133346</wp:posOffset>
              </wp:positionH>
              <wp:positionV relativeFrom="paragraph">
                <wp:posOffset>234945</wp:posOffset>
              </wp:positionV>
              <wp:extent cx="1908179" cy="306067"/>
              <wp:effectExtent l="0" t="0" r="0" b="0"/>
              <wp:wrapNone/>
              <wp:docPr id="56" name="文字方塊 36"/>
              <wp:cNvGraphicFramePr/>
              <a:graphic xmlns:a="http://schemas.openxmlformats.org/drawingml/2006/main">
                <a:graphicData uri="http://schemas.microsoft.com/office/word/2010/wordprocessingShape">
                  <wps:wsp>
                    <wps:cNvSpPr txBox="1"/>
                    <wps:spPr>
                      <a:xfrm>
                        <a:off x="0" y="0"/>
                        <a:ext cx="1908179" cy="306067"/>
                      </a:xfrm>
                      <a:prstGeom prst="rect">
                        <a:avLst/>
                      </a:prstGeom>
                      <a:noFill/>
                      <a:ln>
                        <a:noFill/>
                        <a:prstDash/>
                      </a:ln>
                    </wps:spPr>
                    <wps:txbx>
                      <w:txbxContent>
                        <w:p w14:paraId="4F2148DB" w14:textId="77777777" w:rsidR="00187886" w:rsidRDefault="00000000">
                          <w:pPr>
                            <w:overflowPunct w:val="0"/>
                            <w:autoSpaceDE w:val="0"/>
                          </w:pPr>
                          <w:r>
                            <w:rPr>
                              <w:rFonts w:eastAsia="標楷體"/>
                              <w:color w:val="0096B2"/>
                              <w:sz w:val="22"/>
                              <w:szCs w:val="22"/>
                            </w:rPr>
                            <w:t>國家發展計畫</w:t>
                          </w:r>
                          <w:r>
                            <w:rPr>
                              <w:rFonts w:ascii="標楷體" w:eastAsia="標楷體" w:hAnsi="標楷體"/>
                              <w:color w:val="0096B2"/>
                              <w:position w:val="2"/>
                              <w:sz w:val="22"/>
                              <w:szCs w:val="22"/>
                            </w:rPr>
                            <w:t>(</w:t>
                          </w:r>
                          <w:r>
                            <w:rPr>
                              <w:rFonts w:eastAsia="標楷體"/>
                              <w:color w:val="0096B2"/>
                              <w:sz w:val="22"/>
                              <w:szCs w:val="22"/>
                            </w:rPr>
                            <w:t>102</w:t>
                          </w:r>
                          <w:r>
                            <w:rPr>
                              <w:rFonts w:eastAsia="標楷體"/>
                              <w:color w:val="0096B2"/>
                              <w:sz w:val="22"/>
                              <w:szCs w:val="22"/>
                            </w:rPr>
                            <w:t>至</w:t>
                          </w:r>
                          <w:r>
                            <w:rPr>
                              <w:rFonts w:eastAsia="標楷體"/>
                              <w:color w:val="0096B2"/>
                              <w:sz w:val="22"/>
                              <w:szCs w:val="22"/>
                            </w:rPr>
                            <w:t>105</w:t>
                          </w:r>
                          <w:r>
                            <w:rPr>
                              <w:rFonts w:eastAsia="標楷體"/>
                              <w:color w:val="0096B2"/>
                              <w:sz w:val="22"/>
                              <w:szCs w:val="22"/>
                            </w:rPr>
                            <w:t>年</w:t>
                          </w:r>
                          <w:r>
                            <w:rPr>
                              <w:rFonts w:ascii="標楷體" w:eastAsia="標楷體" w:hAnsi="標楷體"/>
                              <w:color w:val="0096B2"/>
                              <w:position w:val="2"/>
                              <w:sz w:val="22"/>
                              <w:szCs w:val="22"/>
                            </w:rPr>
                            <w:t>)</w:t>
                          </w:r>
                        </w:p>
                      </w:txbxContent>
                    </wps:txbx>
                    <wps:bodyPr wrap="square" lIns="91440" tIns="45720" rIns="91440" bIns="45720" anchor="t">
                      <a:noAutofit/>
                    </wps:bodyPr>
                  </wps:wsp>
                </a:graphicData>
              </a:graphic>
            </wp:anchor>
          </w:drawing>
        </mc:Choice>
        <mc:Fallback>
          <w:pict>
            <v:shapetype w14:anchorId="6ADD39F3" id="_x0000_t202" coordsize="21600,21600" o:spt="202" path="m,l,21600r21600,l21600,xe">
              <v:stroke joinstyle="miter"/>
              <v:path gradientshapeok="t" o:connecttype="rect"/>
            </v:shapetype>
            <v:shape id="文字方塊 36" o:spid="_x0000_s1133" type="#_x0000_t202" style="position:absolute;left:0;text-align:left;margin-left:-10.5pt;margin-top:18.5pt;width:150.25pt;height:24.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" filled="f" stroked="f">
              <v:textbox>
                <w:txbxContent>
                  <w:p w14:paraId="4F2148DB" w14:textId="77777777" w:rsidR="00187886" w:rsidRDefault="00000000">
                    <w:pPr>
                      <w:overflowPunct w:val="0"/>
                      <w:autoSpaceDE w:val="0"/>
                    </w:pPr>
                    <w:r>
                      <w:rPr>
                        <w:rFonts w:eastAsia="標楷體"/>
                        <w:color w:val="0096B2"/>
                        <w:sz w:val="22"/>
                        <w:szCs w:val="22"/>
                      </w:rPr>
                      <w:t>國家發展計畫</w:t>
                    </w:r>
                    <w:r>
                      <w:rPr>
                        <w:rFonts w:ascii="標楷體" w:eastAsia="標楷體" w:hAnsi="標楷體"/>
                        <w:color w:val="0096B2"/>
                        <w:position w:val="2"/>
                        <w:sz w:val="22"/>
                        <w:szCs w:val="22"/>
                      </w:rPr>
                      <w:t>(</w:t>
                    </w:r>
                    <w:r>
                      <w:rPr>
                        <w:rFonts w:eastAsia="標楷體"/>
                        <w:color w:val="0096B2"/>
                        <w:sz w:val="22"/>
                        <w:szCs w:val="22"/>
                      </w:rPr>
                      <w:t>102</w:t>
                    </w:r>
                    <w:r>
                      <w:rPr>
                        <w:rFonts w:eastAsia="標楷體"/>
                        <w:color w:val="0096B2"/>
                        <w:sz w:val="22"/>
                        <w:szCs w:val="22"/>
                      </w:rPr>
                      <w:t>至</w:t>
                    </w:r>
                    <w:r>
                      <w:rPr>
                        <w:rFonts w:eastAsia="標楷體"/>
                        <w:color w:val="0096B2"/>
                        <w:sz w:val="22"/>
                        <w:szCs w:val="22"/>
                      </w:rPr>
                      <w:t>105</w:t>
                    </w:r>
                    <w:r>
                      <w:rPr>
                        <w:rFonts w:eastAsia="標楷體"/>
                        <w:color w:val="0096B2"/>
                        <w:sz w:val="22"/>
                        <w:szCs w:val="22"/>
                      </w:rPr>
                      <w:t>年</w:t>
                    </w:r>
                    <w:r>
                      <w:rPr>
                        <w:rFonts w:ascii="標楷體" w:eastAsia="標楷體" w:hAnsi="標楷體"/>
                        <w:color w:val="0096B2"/>
                        <w:position w:val="2"/>
                        <w:sz w:val="22"/>
                        <w:szCs w:val="22"/>
                      </w:rPr>
                      <w:t>)</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891F" w14:textId="77777777" w:rsidR="00187886" w:rsidRDefault="00000000">
    <w:pPr>
      <w:pStyle w:val="a6"/>
      <w:ind w:right="360" w:firstLine="360"/>
    </w:pPr>
    <w:r>
      <w:rPr>
        <w:noProof/>
      </w:rPr>
      <mc:AlternateContent>
        <mc:Choice Requires="wps">
          <w:drawing>
            <wp:anchor distT="0" distB="0" distL="114300" distR="114300" simplePos="0" relativeHeight="251724800" behindDoc="0" locked="0" layoutInCell="1" allowOverlap="1" wp14:anchorId="101D4B78" wp14:editId="4EE502F9">
              <wp:simplePos x="0" y="0"/>
              <wp:positionH relativeFrom="column">
                <wp:posOffset>3582033</wp:posOffset>
              </wp:positionH>
              <wp:positionV relativeFrom="paragraph">
                <wp:posOffset>290193</wp:posOffset>
              </wp:positionV>
              <wp:extent cx="1964688" cy="304796"/>
              <wp:effectExtent l="0" t="0" r="0" b="4"/>
              <wp:wrapNone/>
              <wp:docPr id="47" name="文字方塊 35"/>
              <wp:cNvGraphicFramePr/>
              <a:graphic xmlns:a="http://schemas.openxmlformats.org/drawingml/2006/main">
                <a:graphicData uri="http://schemas.microsoft.com/office/word/2010/wordprocessingShape">
                  <wps:wsp>
                    <wps:cNvSpPr txBox="1"/>
                    <wps:spPr>
                      <a:xfrm>
                        <a:off x="0" y="0"/>
                        <a:ext cx="1964688" cy="304796"/>
                      </a:xfrm>
                      <a:prstGeom prst="rect">
                        <a:avLst/>
                      </a:prstGeom>
                      <a:noFill/>
                      <a:ln>
                        <a:noFill/>
                        <a:prstDash/>
                      </a:ln>
                    </wps:spPr>
                    <wps:txbx>
                      <w:txbxContent>
                        <w:p w14:paraId="2EFCAF1B" w14:textId="77777777" w:rsidR="00187886" w:rsidRDefault="00000000">
                          <w:pPr>
                            <w:overflowPunct w:val="0"/>
                            <w:autoSpaceDE w:val="0"/>
                            <w:rPr>
                              <w:rFonts w:eastAsia="標楷體"/>
                              <w:color w:val="0096B2"/>
                              <w:sz w:val="22"/>
                              <w:szCs w:val="22"/>
                            </w:rPr>
                          </w:pPr>
                          <w:r>
                            <w:rPr>
                              <w:rFonts w:eastAsia="標楷體"/>
                              <w:color w:val="0096B2"/>
                              <w:sz w:val="22"/>
                              <w:szCs w:val="22"/>
                            </w:rPr>
                            <w:t>第二章</w:t>
                          </w:r>
                          <w:r>
                            <w:rPr>
                              <w:rFonts w:eastAsia="標楷體"/>
                              <w:color w:val="0096B2"/>
                              <w:sz w:val="22"/>
                              <w:szCs w:val="22"/>
                            </w:rPr>
                            <w:t xml:space="preserve"> </w:t>
                          </w:r>
                          <w:r>
                            <w:rPr>
                              <w:rFonts w:eastAsia="標楷體"/>
                              <w:color w:val="0096B2"/>
                              <w:sz w:val="22"/>
                              <w:szCs w:val="22"/>
                            </w:rPr>
                            <w:t>國家發展願景與目標</w:t>
                          </w:r>
                        </w:p>
                      </w:txbxContent>
                    </wps:txbx>
                    <wps:bodyPr wrap="square" lIns="91440" tIns="45720" rIns="91440" bIns="45720" anchor="t">
                      <a:noAutofit/>
                    </wps:bodyPr>
                  </wps:wsp>
                </a:graphicData>
              </a:graphic>
            </wp:anchor>
          </w:drawing>
        </mc:Choice>
        <mc:Fallback>
          <w:pict>
            <v:shapetype w14:anchorId="101D4B78" id="_x0000_t202" coordsize="21600,21600" o:spt="202" path="m,l,21600r21600,l21600,xe">
              <v:stroke joinstyle="miter"/>
              <v:path gradientshapeok="t" o:connecttype="rect"/>
            </v:shapetype>
            <v:shape id="文字方塊 35" o:spid="_x0000_s1134" type="#_x0000_t202" style="position:absolute;left:0;text-align:left;margin-left:282.05pt;margin-top:22.85pt;width:154.7pt;height:2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" filled="f" stroked="f">
              <v:textbox>
                <w:txbxContent>
                  <w:p w14:paraId="2EFCAF1B" w14:textId="77777777" w:rsidR="00187886" w:rsidRDefault="00000000">
                    <w:pPr>
                      <w:overflowPunct w:val="0"/>
                      <w:autoSpaceDE w:val="0"/>
                      <w:rPr>
                        <w:rFonts w:eastAsia="標楷體"/>
                        <w:color w:val="0096B2"/>
                        <w:sz w:val="22"/>
                        <w:szCs w:val="22"/>
                      </w:rPr>
                    </w:pPr>
                    <w:r>
                      <w:rPr>
                        <w:rFonts w:eastAsia="標楷體"/>
                        <w:color w:val="0096B2"/>
                        <w:sz w:val="22"/>
                        <w:szCs w:val="22"/>
                      </w:rPr>
                      <w:t>第二章</w:t>
                    </w:r>
                    <w:r>
                      <w:rPr>
                        <w:rFonts w:eastAsia="標楷體"/>
                        <w:color w:val="0096B2"/>
                        <w:sz w:val="22"/>
                        <w:szCs w:val="22"/>
                      </w:rPr>
                      <w:t xml:space="preserve"> </w:t>
                    </w:r>
                    <w:r>
                      <w:rPr>
                        <w:rFonts w:eastAsia="標楷體"/>
                        <w:color w:val="0096B2"/>
                        <w:sz w:val="22"/>
                        <w:szCs w:val="22"/>
                      </w:rPr>
                      <w:t>國家發展願景與目標</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2AFF621" wp14:editId="73822A80">
              <wp:simplePos x="0" y="0"/>
              <wp:positionH relativeFrom="column">
                <wp:posOffset>3597277</wp:posOffset>
              </wp:positionH>
              <wp:positionV relativeFrom="paragraph">
                <wp:posOffset>325124</wp:posOffset>
              </wp:positionV>
              <wp:extent cx="0" cy="179707"/>
              <wp:effectExtent l="0" t="0" r="38100" b="10793"/>
              <wp:wrapNone/>
              <wp:docPr id="48" name="直線接點 34"/>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603720CF" id="直線接點 34" o:spid="_x0000_s1026" style="position:absolute;margin-left:283.25pt;margin-top:25.6pt;width:0;height:14.15pt;flip:y;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26848" behindDoc="0" locked="0" layoutInCell="1" allowOverlap="1" wp14:anchorId="63A55A86" wp14:editId="598EA16B">
              <wp:simplePos x="0" y="0"/>
              <wp:positionH relativeFrom="column">
                <wp:posOffset>-8257</wp:posOffset>
              </wp:positionH>
              <wp:positionV relativeFrom="paragraph">
                <wp:posOffset>327026</wp:posOffset>
              </wp:positionV>
              <wp:extent cx="0" cy="179707"/>
              <wp:effectExtent l="0" t="0" r="38100" b="10793"/>
              <wp:wrapNone/>
              <wp:docPr id="49" name="直線接點 33"/>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7B56E020" id="直線接點 33" o:spid="_x0000_s1026" style="position:absolute;margin-left:-.65pt;margin-top:25.75pt;width:0;height:14.15pt;flip:y;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28896" behindDoc="0" locked="0" layoutInCell="1" allowOverlap="1" wp14:anchorId="4FD35E70" wp14:editId="7ADABCFC">
              <wp:simplePos x="0" y="0"/>
              <wp:positionH relativeFrom="column">
                <wp:posOffset>-5715</wp:posOffset>
              </wp:positionH>
              <wp:positionV relativeFrom="paragraph">
                <wp:posOffset>411480</wp:posOffset>
              </wp:positionV>
              <wp:extent cx="3528056" cy="0"/>
              <wp:effectExtent l="0" t="0" r="0" b="0"/>
              <wp:wrapNone/>
              <wp:docPr id="50" name="直線接點 32"/>
              <wp:cNvGraphicFramePr/>
              <a:graphic xmlns:a="http://schemas.openxmlformats.org/drawingml/2006/main">
                <a:graphicData uri="http://schemas.microsoft.com/office/word/2010/wordprocessingShape">
                  <wps:wsp>
                    <wps:cNvSpPr/>
                    <wps:spPr>
                      <a:xfrm>
                        <a:off x="0" y="0"/>
                        <a:ext cx="3528056"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09CD019E" id="直線接點 32" o:spid="_x0000_s1026" style="position:absolute;margin-left:-.45pt;margin-top:32.4pt;width:277.8pt;height:0;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352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" path="m,l3528056,1e" filled="f" strokecolor="#0096b2" strokeweight=".26467mm">
              <v:path arrowok="t" o:connecttype="custom" o:connectlocs="1764028,0;3528056,1;1764028,1;0,1;0,0;3528056,1" o:connectangles="270,0,90,180,90,270" textboxrect="0,0,3528056,0"/>
            </v:shape>
          </w:pict>
        </mc:Fallback>
      </mc:AlternateContent>
    </w:r>
    <w:r>
      <w:rPr>
        <w:noProof/>
      </w:rPr>
      <mc:AlternateContent>
        <mc:Choice Requires="wps">
          <w:drawing>
            <wp:anchor distT="0" distB="0" distL="114300" distR="114300" simplePos="0" relativeHeight="251725824" behindDoc="0" locked="0" layoutInCell="1" allowOverlap="1" wp14:anchorId="349108A2" wp14:editId="3B04F6B5">
              <wp:simplePos x="0" y="0"/>
              <wp:positionH relativeFrom="column">
                <wp:posOffset>-5715</wp:posOffset>
              </wp:positionH>
              <wp:positionV relativeFrom="paragraph">
                <wp:posOffset>411480</wp:posOffset>
              </wp:positionV>
              <wp:extent cx="3599819" cy="0"/>
              <wp:effectExtent l="0" t="0" r="0" b="0"/>
              <wp:wrapNone/>
              <wp:docPr id="51" name="直線接點 17491"/>
              <wp:cNvGraphicFramePr/>
              <a:graphic xmlns:a="http://schemas.openxmlformats.org/drawingml/2006/main">
                <a:graphicData uri="http://schemas.microsoft.com/office/word/2010/wordprocessingShape">
                  <wps:wsp>
                    <wps:cNvSpPr/>
                    <wps:spPr>
                      <a:xfrm>
                        <a:off x="0" y="0"/>
                        <a:ext cx="3599819"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1221F898" id="直線接點 17491" o:spid="_x0000_s1026" style="position:absolute;margin-left:-.45pt;margin-top:32.4pt;width:283.45pt;height:0;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3599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" path="m,l3599819,1e" filled="f" strokecolor="#0096b2" strokeweight=".26467mm">
              <v:path arrowok="t" o:connecttype="custom" o:connectlocs="1799910,0;3599819,1;1799910,1;0,1;0,0;3599819,1" o:connectangles="270,0,90,180,90,270" textboxrect="0,0,3599819,0"/>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FEBF" w14:textId="77777777" w:rsidR="00187886" w:rsidRDefault="00000000">
    <w:pPr>
      <w:jc w:val="center"/>
    </w:pPr>
    <w:r>
      <w:rPr>
        <w:noProof/>
      </w:rPr>
      <mc:AlternateContent>
        <mc:Choice Requires="wps">
          <w:drawing>
            <wp:anchor distT="0" distB="0" distL="114300" distR="114300" simplePos="0" relativeHeight="251741184" behindDoc="0" locked="0" layoutInCell="1" allowOverlap="1" wp14:anchorId="2C07F901" wp14:editId="48E86CF6">
              <wp:simplePos x="0" y="0"/>
              <wp:positionH relativeFrom="column">
                <wp:posOffset>4288151</wp:posOffset>
              </wp:positionH>
              <wp:positionV relativeFrom="paragraph">
                <wp:posOffset>294637</wp:posOffset>
              </wp:positionV>
              <wp:extent cx="0" cy="179707"/>
              <wp:effectExtent l="0" t="0" r="38100" b="10793"/>
              <wp:wrapNone/>
              <wp:docPr id="65" name="直線接點 43058"/>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13A8A6FF" id="直線接點 43058" o:spid="_x0000_s1026" style="position:absolute;margin-left:337.65pt;margin-top:23.2pt;width:0;height:14.15pt;flip:y;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40160" behindDoc="0" locked="0" layoutInCell="1" allowOverlap="1" wp14:anchorId="17A8EBCB" wp14:editId="466A76BB">
              <wp:simplePos x="0" y="0"/>
              <wp:positionH relativeFrom="column">
                <wp:posOffset>1677667</wp:posOffset>
              </wp:positionH>
              <wp:positionV relativeFrom="paragraph">
                <wp:posOffset>295908</wp:posOffset>
              </wp:positionV>
              <wp:extent cx="0" cy="179707"/>
              <wp:effectExtent l="0" t="0" r="38100" b="10793"/>
              <wp:wrapNone/>
              <wp:docPr id="66" name="直線接點 43057"/>
              <wp:cNvGraphicFramePr/>
              <a:graphic xmlns:a="http://schemas.openxmlformats.org/drawingml/2006/main">
                <a:graphicData uri="http://schemas.microsoft.com/office/word/2010/wordprocessingShape">
                  <wps:wsp>
                    <wps:cNvSpPr/>
                    <wps:spPr>
                      <a:xfrm flipV="1">
                        <a:off x="0" y="0"/>
                        <a:ext cx="0" cy="179707"/>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46D8FDFC" id="直線接點 43057" o:spid="_x0000_s1026" style="position:absolute;margin-left:132.1pt;margin-top:23.3pt;width:0;height:14.15pt;flip:y;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0,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" path="m,l1,179707e" filled="f" strokecolor="#0096b2" strokeweight=".26467mm">
              <v:path arrowok="t" o:connecttype="custom" o:connectlocs="1,0;1,89854;1,179707;0,89854;0,0;1,179707" o:connectangles="270,0,90,180,90,270" textboxrect="0,0,0,179707"/>
            </v:shape>
          </w:pict>
        </mc:Fallback>
      </mc:AlternateContent>
    </w:r>
    <w:r>
      <w:rPr>
        <w:noProof/>
      </w:rPr>
      <mc:AlternateContent>
        <mc:Choice Requires="wps">
          <w:drawing>
            <wp:anchor distT="0" distB="0" distL="114300" distR="114300" simplePos="0" relativeHeight="251739136" behindDoc="0" locked="0" layoutInCell="1" allowOverlap="1" wp14:anchorId="7D59AF4F" wp14:editId="74A75F8F">
              <wp:simplePos x="0" y="0"/>
              <wp:positionH relativeFrom="column">
                <wp:posOffset>1675766</wp:posOffset>
              </wp:positionH>
              <wp:positionV relativeFrom="paragraph">
                <wp:posOffset>387348</wp:posOffset>
              </wp:positionV>
              <wp:extent cx="2609853" cy="0"/>
              <wp:effectExtent l="0" t="0" r="0" b="0"/>
              <wp:wrapNone/>
              <wp:docPr id="67" name="直線接點 43056"/>
              <wp:cNvGraphicFramePr/>
              <a:graphic xmlns:a="http://schemas.openxmlformats.org/drawingml/2006/main">
                <a:graphicData uri="http://schemas.microsoft.com/office/word/2010/wordprocessingShape">
                  <wps:wsp>
                    <wps:cNvSpPr/>
                    <wps:spPr>
                      <a:xfrm>
                        <a:off x="0" y="0"/>
                        <a:ext cx="2609853" cy="0"/>
                      </a:xfrm>
                      <a:custGeom>
                        <a:avLst/>
                        <a:gdLst>
                          <a:gd name="f0" fmla="val 10800000"/>
                          <a:gd name="f1" fmla="val 5400000"/>
                          <a:gd name="f2" fmla="val 180"/>
                          <a:gd name="f3" fmla="val w"/>
                          <a:gd name="f4" fmla="val h"/>
                          <a:gd name="f5" fmla="val ss"/>
                          <a:gd name="f6" fmla="val 0"/>
                          <a:gd name="f7" fmla="+- 0 0 -180"/>
                          <a:gd name="f8" fmla="+- 0 0 -360"/>
                          <a:gd name="f9" fmla="abs f3"/>
                          <a:gd name="f10" fmla="abs f4"/>
                          <a:gd name="f11" fmla="abs f5"/>
                          <a:gd name="f12" fmla="val f6"/>
                          <a:gd name="f13" fmla="*/ f7 f0 1"/>
                          <a:gd name="f14" fmla="*/ f8 f0 1"/>
                          <a:gd name="f15" fmla="?: f9 f3 1"/>
                          <a:gd name="f16" fmla="?: f10 f4 1"/>
                          <a:gd name="f17" fmla="?: f11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27 f26 1"/>
                          <a:gd name="f33" fmla="*/ f28 f26 1"/>
                          <a:gd name="f34" fmla="*/ f12 f26 1"/>
                          <a:gd name="f35" fmla="*/ f29 f26 1"/>
                          <a:gd name="f36" fmla="*/ f30 f26 1"/>
                        </a:gdLst>
                        <a:ahLst/>
                        <a:cxnLst>
                          <a:cxn ang="3cd4">
                            <a:pos x="hc" y="t"/>
                          </a:cxn>
                          <a:cxn ang="0">
                            <a:pos x="r" y="vc"/>
                          </a:cxn>
                          <a:cxn ang="cd4">
                            <a:pos x="hc" y="b"/>
                          </a:cxn>
                          <a:cxn ang="cd2">
                            <a:pos x="l" y="vc"/>
                          </a:cxn>
                          <a:cxn ang="f24">
                            <a:pos x="f34" y="f34"/>
                          </a:cxn>
                          <a:cxn ang="f25">
                            <a:pos x="f35" y="f36"/>
                          </a:cxn>
                        </a:cxnLst>
                        <a:rect l="f31" t="f31" r="f32" b="f33"/>
                        <a:pathLst>
                          <a:path>
                            <a:moveTo>
                              <a:pt x="f34" y="f34"/>
                            </a:moveTo>
                            <a:lnTo>
                              <a:pt x="f35" y="f36"/>
                            </a:lnTo>
                          </a:path>
                        </a:pathLst>
                      </a:custGeom>
                      <a:noFill/>
                      <a:ln w="9528">
                        <a:solidFill>
                          <a:srgbClr val="0096B2"/>
                        </a:solidFill>
                        <a:prstDash val="solid"/>
                        <a:round/>
                      </a:ln>
                    </wps:spPr>
                    <wps:bodyPr lIns="0" tIns="0" rIns="0" bIns="0"/>
                  </wps:wsp>
                </a:graphicData>
              </a:graphic>
            </wp:anchor>
          </w:drawing>
        </mc:Choice>
        <mc:Fallback>
          <w:pict>
            <v:shape w14:anchorId="35533ABF" id="直線接點 43056" o:spid="_x0000_s1026" style="position:absolute;margin-left:131.95pt;margin-top:30.5pt;width:205.5pt;height:0;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2609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" path="m,l2609853,1e" filled="f" strokecolor="#0096b2" strokeweight=".26467mm">
              <v:path arrowok="t" o:connecttype="custom" o:connectlocs="1304927,0;2609853,1;1304927,1;0,1;0,0;2609853,1" o:connectangles="270,0,90,180,90,270" textboxrect="0,0,2609853,0"/>
            </v:shape>
          </w:pict>
        </mc:Fallback>
      </mc:AlternateContent>
    </w:r>
    <w:r>
      <w:rPr>
        <w:noProof/>
      </w:rPr>
      <mc:AlternateContent>
        <mc:Choice Requires="wps">
          <w:drawing>
            <wp:anchor distT="0" distB="0" distL="114300" distR="114300" simplePos="0" relativeHeight="251738112" behindDoc="0" locked="0" layoutInCell="1" allowOverlap="1" wp14:anchorId="5409E683" wp14:editId="1ADD0948">
              <wp:simplePos x="0" y="0"/>
              <wp:positionH relativeFrom="column">
                <wp:posOffset>-133346</wp:posOffset>
              </wp:positionH>
              <wp:positionV relativeFrom="paragraph">
                <wp:posOffset>234314</wp:posOffset>
              </wp:positionV>
              <wp:extent cx="1940557" cy="306067"/>
              <wp:effectExtent l="0" t="0" r="0" b="0"/>
              <wp:wrapNone/>
              <wp:docPr id="68" name="文字方塊 43055"/>
              <wp:cNvGraphicFramePr/>
              <a:graphic xmlns:a="http://schemas.openxmlformats.org/drawingml/2006/main">
                <a:graphicData uri="http://schemas.microsoft.com/office/word/2010/wordprocessingShape">
                  <wps:wsp>
                    <wps:cNvSpPr txBox="1"/>
                    <wps:spPr>
                      <a:xfrm>
                        <a:off x="0" y="0"/>
                        <a:ext cx="1940557" cy="306067"/>
                      </a:xfrm>
                      <a:prstGeom prst="rect">
                        <a:avLst/>
                      </a:prstGeom>
                      <a:noFill/>
                      <a:ln>
                        <a:noFill/>
                        <a:prstDash/>
                      </a:ln>
                    </wps:spPr>
                    <wps:txbx>
                      <w:txbxContent>
                        <w:p w14:paraId="3D59AD97" w14:textId="77777777" w:rsidR="00187886" w:rsidRDefault="00000000">
                          <w:pPr>
                            <w:overflowPunct w:val="0"/>
                            <w:autoSpaceDE w:val="0"/>
                          </w:pPr>
                          <w:r>
                            <w:rPr>
                              <w:rFonts w:eastAsia="標楷體"/>
                              <w:color w:val="0096B2"/>
                              <w:sz w:val="22"/>
                              <w:szCs w:val="22"/>
                            </w:rPr>
                            <w:t>國家發展計畫</w:t>
                          </w:r>
                          <w:r>
                            <w:rPr>
                              <w:rFonts w:ascii="標楷體" w:eastAsia="標楷體" w:hAnsi="標楷體"/>
                              <w:color w:val="0096B2"/>
                              <w:position w:val="2"/>
                              <w:sz w:val="22"/>
                              <w:szCs w:val="22"/>
                            </w:rPr>
                            <w:t>(</w:t>
                          </w:r>
                          <w:r>
                            <w:rPr>
                              <w:rFonts w:eastAsia="標楷體"/>
                              <w:color w:val="0096B2"/>
                              <w:sz w:val="22"/>
                              <w:szCs w:val="22"/>
                            </w:rPr>
                            <w:t>102</w:t>
                          </w:r>
                          <w:r>
                            <w:rPr>
                              <w:rFonts w:eastAsia="標楷體"/>
                              <w:color w:val="0096B2"/>
                              <w:sz w:val="22"/>
                              <w:szCs w:val="22"/>
                            </w:rPr>
                            <w:t>至</w:t>
                          </w:r>
                          <w:r>
                            <w:rPr>
                              <w:rFonts w:eastAsia="標楷體"/>
                              <w:color w:val="0096B2"/>
                              <w:sz w:val="22"/>
                              <w:szCs w:val="22"/>
                            </w:rPr>
                            <w:t>105</w:t>
                          </w:r>
                          <w:r>
                            <w:rPr>
                              <w:rFonts w:eastAsia="標楷體"/>
                              <w:color w:val="0096B2"/>
                              <w:sz w:val="22"/>
                              <w:szCs w:val="22"/>
                            </w:rPr>
                            <w:t>年</w:t>
                          </w:r>
                          <w:r>
                            <w:rPr>
                              <w:rFonts w:ascii="標楷體" w:eastAsia="標楷體" w:hAnsi="標楷體"/>
                              <w:color w:val="0096B2"/>
                              <w:position w:val="2"/>
                              <w:sz w:val="22"/>
                              <w:szCs w:val="22"/>
                            </w:rPr>
                            <w:t>)</w:t>
                          </w:r>
                        </w:p>
                      </w:txbxContent>
                    </wps:txbx>
                    <wps:bodyPr wrap="square" lIns="91440" tIns="45720" rIns="91440" bIns="45720" anchor="t">
                      <a:noAutofit/>
                    </wps:bodyPr>
                  </wps:wsp>
                </a:graphicData>
              </a:graphic>
            </wp:anchor>
          </w:drawing>
        </mc:Choice>
        <mc:Fallback>
          <w:pict>
            <v:shapetype w14:anchorId="5409E683" id="_x0000_t202" coordsize="21600,21600" o:spt="202" path="m,l,21600r21600,l21600,xe">
              <v:stroke joinstyle="miter"/>
              <v:path gradientshapeok="t" o:connecttype="rect"/>
            </v:shapetype>
            <v:shape id="文字方塊 43055" o:spid="_x0000_s1137" type="#_x0000_t202" style="position:absolute;left:0;text-align:left;margin-left:-10.5pt;margin-top:18.45pt;width:152.8pt;height:24.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" filled="f" stroked="f">
              <v:textbox>
                <w:txbxContent>
                  <w:p w14:paraId="3D59AD97" w14:textId="77777777" w:rsidR="00187886" w:rsidRDefault="00000000">
                    <w:pPr>
                      <w:overflowPunct w:val="0"/>
                      <w:autoSpaceDE w:val="0"/>
                    </w:pPr>
                    <w:r>
                      <w:rPr>
                        <w:rFonts w:eastAsia="標楷體"/>
                        <w:color w:val="0096B2"/>
                        <w:sz w:val="22"/>
                        <w:szCs w:val="22"/>
                      </w:rPr>
                      <w:t>國家發展計畫</w:t>
                    </w:r>
                    <w:r>
                      <w:rPr>
                        <w:rFonts w:ascii="標楷體" w:eastAsia="標楷體" w:hAnsi="標楷體"/>
                        <w:color w:val="0096B2"/>
                        <w:position w:val="2"/>
                        <w:sz w:val="22"/>
                        <w:szCs w:val="22"/>
                      </w:rPr>
                      <w:t>(</w:t>
                    </w:r>
                    <w:r>
                      <w:rPr>
                        <w:rFonts w:eastAsia="標楷體"/>
                        <w:color w:val="0096B2"/>
                        <w:sz w:val="22"/>
                        <w:szCs w:val="22"/>
                      </w:rPr>
                      <w:t>102</w:t>
                    </w:r>
                    <w:r>
                      <w:rPr>
                        <w:rFonts w:eastAsia="標楷體"/>
                        <w:color w:val="0096B2"/>
                        <w:sz w:val="22"/>
                        <w:szCs w:val="22"/>
                      </w:rPr>
                      <w:t>至</w:t>
                    </w:r>
                    <w:r>
                      <w:rPr>
                        <w:rFonts w:eastAsia="標楷體"/>
                        <w:color w:val="0096B2"/>
                        <w:sz w:val="22"/>
                        <w:szCs w:val="22"/>
                      </w:rPr>
                      <w:t>105</w:t>
                    </w:r>
                    <w:r>
                      <w:rPr>
                        <w:rFonts w:eastAsia="標楷體"/>
                        <w:color w:val="0096B2"/>
                        <w:sz w:val="22"/>
                        <w:szCs w:val="22"/>
                      </w:rPr>
                      <w:t>年</w:t>
                    </w:r>
                    <w:r>
                      <w:rPr>
                        <w:rFonts w:ascii="標楷體" w:eastAsia="標楷體" w:hAnsi="標楷體"/>
                        <w:color w:val="0096B2"/>
                        <w:position w:val="2"/>
                        <w:sz w:val="22"/>
                        <w:szCs w:val="22"/>
                      </w:rPr>
                      <w:t>)</w:t>
                    </w:r>
                  </w:p>
                </w:txbxContent>
              </v:textbox>
            </v:shape>
          </w:pict>
        </mc:Fallback>
      </mc:AlternateContent>
    </w:r>
    <w:r>
      <w:rPr>
        <w:noProof/>
      </w:rPr>
      <w:drawing>
        <wp:anchor distT="0" distB="0" distL="114300" distR="114300" simplePos="0" relativeHeight="251737088" behindDoc="1" locked="0" layoutInCell="1" allowOverlap="1" wp14:anchorId="2CB9D2E5" wp14:editId="6FDC5675">
          <wp:simplePos x="0" y="0"/>
          <wp:positionH relativeFrom="column">
            <wp:posOffset>4340857</wp:posOffset>
          </wp:positionH>
          <wp:positionV relativeFrom="paragraph">
            <wp:posOffset>25402</wp:posOffset>
          </wp:positionV>
          <wp:extent cx="1136654" cy="801371"/>
          <wp:effectExtent l="0" t="0" r="6346" b="0"/>
          <wp:wrapNone/>
          <wp:docPr id="69" name="圖片 430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36654" cy="801371"/>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9.75pt" o:bullet="t">
        <v:imagedata r:id="rId1" o:title=""/>
      </v:shape>
    </w:pict>
  </w:numPicBullet>
  <w:abstractNum w:abstractNumId="0" w15:restartNumberingAfterBreak="0">
    <w:nsid w:val="3BFE3D1E"/>
    <w:multiLevelType w:val="multilevel"/>
    <w:tmpl w:val="C3288BB4"/>
    <w:lvl w:ilvl="0">
      <w:numFmt w:val="bullet"/>
      <w:lvlText w:val=""/>
      <w:lvlJc w:val="left"/>
      <w:pPr>
        <w:ind w:left="480" w:hanging="480"/>
      </w:pPr>
      <w:rPr>
        <w:rFonts w:ascii="Wingdings" w:hAnsi="Wingdings"/>
        <w:sz w:val="14"/>
        <w:szCs w:val="14"/>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 w15:restartNumberingAfterBreak="0">
    <w:nsid w:val="5F435CBF"/>
    <w:multiLevelType w:val="multilevel"/>
    <w:tmpl w:val="CC103D20"/>
    <w:lvl w:ilvl="0">
      <w:numFmt w:val="bullet"/>
      <w:lvlText w:val=""/>
      <w:lvlJc w:val="left"/>
      <w:pPr>
        <w:ind w:left="480" w:hanging="480"/>
      </w:pPr>
      <w:rPr>
        <w:rFonts w:hAnsi="Symbol" w:hint="default"/>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16cid:durableId="90131431">
    <w:abstractNumId w:val="0"/>
  </w:num>
  <w:num w:numId="2" w16cid:durableId="84500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48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052596"/>
    <w:rsid w:val="00052596"/>
    <w:rsid w:val="00174A56"/>
    <w:rsid w:val="009268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92ACD"/>
  <w15:docId w15:val="{F355752D-7ACE-43CC-B78C-8B3E08EF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kern w:val="3"/>
      <w:sz w:val="24"/>
    </w:rPr>
  </w:style>
  <w:style w:type="paragraph" w:styleId="1">
    <w:name w:val="heading 1"/>
    <w:basedOn w:val="a"/>
    <w:next w:val="a"/>
    <w:uiPriority w:val="9"/>
    <w:qFormat/>
    <w:pPr>
      <w:keepNext/>
      <w:widowControl/>
      <w:spacing w:before="240" w:after="60"/>
      <w:outlineLvl w:val="0"/>
    </w:pPr>
    <w:rPr>
      <w:rFonts w:ascii="Cambria" w:hAnsi="Cambria"/>
      <w:b/>
      <w:bCs/>
      <w:sz w:val="32"/>
      <w:szCs w:val="32"/>
    </w:rPr>
  </w:style>
  <w:style w:type="paragraph" w:styleId="2">
    <w:name w:val="heading 2"/>
    <w:basedOn w:val="a"/>
    <w:next w:val="a"/>
    <w:uiPriority w:val="9"/>
    <w:semiHidden/>
    <w:unhideWhenUsed/>
    <w:qFormat/>
    <w:pPr>
      <w:keepNext/>
      <w:widowControl/>
      <w:spacing w:before="240" w:after="60"/>
      <w:outlineLvl w:val="1"/>
    </w:pPr>
    <w:rPr>
      <w:rFonts w:ascii="Cambria" w:hAnsi="Cambria"/>
      <w:b/>
      <w:bCs/>
      <w:i/>
      <w:iCs/>
      <w:kern w:val="0"/>
      <w:sz w:val="28"/>
      <w:szCs w:val="28"/>
    </w:rPr>
  </w:style>
  <w:style w:type="paragraph" w:styleId="3">
    <w:name w:val="heading 3"/>
    <w:basedOn w:val="a"/>
    <w:next w:val="a"/>
    <w:uiPriority w:val="9"/>
    <w:semiHidden/>
    <w:unhideWhenUsed/>
    <w:qFormat/>
    <w:pPr>
      <w:keepNext/>
      <w:widowControl/>
      <w:spacing w:before="240" w:after="60"/>
      <w:outlineLvl w:val="2"/>
    </w:pPr>
    <w:rPr>
      <w:rFonts w:ascii="Cambria" w:hAnsi="Cambria"/>
      <w:b/>
      <w:bCs/>
      <w:kern w:val="0"/>
      <w:sz w:val="26"/>
      <w:szCs w:val="26"/>
    </w:rPr>
  </w:style>
  <w:style w:type="paragraph" w:styleId="4">
    <w:name w:val="heading 4"/>
    <w:basedOn w:val="a"/>
    <w:next w:val="a"/>
    <w:uiPriority w:val="9"/>
    <w:semiHidden/>
    <w:unhideWhenUsed/>
    <w:qFormat/>
    <w:pPr>
      <w:keepNext/>
      <w:widowControl/>
      <w:spacing w:before="240" w:after="60"/>
      <w:outlineLvl w:val="3"/>
    </w:pPr>
    <w:rPr>
      <w:rFonts w:ascii="Calibri" w:hAnsi="Calibri"/>
      <w:b/>
      <w:bCs/>
      <w:kern w:val="0"/>
      <w:sz w:val="28"/>
      <w:szCs w:val="28"/>
    </w:rPr>
  </w:style>
  <w:style w:type="paragraph" w:styleId="5">
    <w:name w:val="heading 5"/>
    <w:basedOn w:val="a"/>
    <w:next w:val="a"/>
    <w:uiPriority w:val="9"/>
    <w:semiHidden/>
    <w:unhideWhenUsed/>
    <w:qFormat/>
    <w:pPr>
      <w:widowControl/>
      <w:spacing w:before="240" w:after="60"/>
      <w:outlineLvl w:val="4"/>
    </w:pPr>
    <w:rPr>
      <w:rFonts w:ascii="Calibri" w:hAnsi="Calibri"/>
      <w:b/>
      <w:bCs/>
      <w:i/>
      <w:iCs/>
      <w:kern w:val="0"/>
      <w:sz w:val="26"/>
      <w:szCs w:val="26"/>
    </w:rPr>
  </w:style>
  <w:style w:type="paragraph" w:styleId="6">
    <w:name w:val="heading 6"/>
    <w:basedOn w:val="a"/>
    <w:next w:val="a"/>
    <w:uiPriority w:val="9"/>
    <w:semiHidden/>
    <w:unhideWhenUsed/>
    <w:qFormat/>
    <w:pPr>
      <w:widowControl/>
      <w:spacing w:before="240" w:after="60"/>
      <w:outlineLvl w:val="5"/>
    </w:pPr>
    <w:rPr>
      <w:rFonts w:ascii="Calibri" w:hAnsi="Calibri"/>
      <w:b/>
      <w:bCs/>
      <w:kern w:val="0"/>
      <w:sz w:val="22"/>
      <w:szCs w:val="22"/>
    </w:rPr>
  </w:style>
  <w:style w:type="paragraph" w:styleId="7">
    <w:name w:val="heading 7"/>
    <w:basedOn w:val="a"/>
    <w:next w:val="a"/>
    <w:pPr>
      <w:widowControl/>
      <w:spacing w:before="240" w:after="60"/>
      <w:outlineLvl w:val="6"/>
    </w:pPr>
    <w:rPr>
      <w:rFonts w:ascii="Calibri" w:hAnsi="Calibri"/>
      <w:kern w:val="0"/>
      <w:szCs w:val="24"/>
    </w:rPr>
  </w:style>
  <w:style w:type="paragraph" w:styleId="8">
    <w:name w:val="heading 8"/>
    <w:basedOn w:val="a"/>
    <w:next w:val="a"/>
    <w:pPr>
      <w:widowControl/>
      <w:spacing w:before="240" w:after="60"/>
      <w:outlineLvl w:val="7"/>
    </w:pPr>
    <w:rPr>
      <w:rFonts w:ascii="Calibri" w:hAnsi="Calibri"/>
      <w:i/>
      <w:iCs/>
      <w:kern w:val="0"/>
      <w:szCs w:val="24"/>
    </w:rPr>
  </w:style>
  <w:style w:type="paragraph" w:styleId="9">
    <w:name w:val="heading 9"/>
    <w:basedOn w:val="a"/>
    <w:next w:val="a"/>
    <w:pPr>
      <w:widowControl/>
      <w:spacing w:before="240" w:after="60"/>
      <w:outlineLvl w:val="8"/>
    </w:pPr>
    <w:rPr>
      <w:rFonts w:ascii="Cambria" w:hAnsi="Cambria"/>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字元"/>
    <w:basedOn w:val="a"/>
    <w:pPr>
      <w:widowControl/>
      <w:spacing w:after="160" w:line="240" w:lineRule="exact"/>
    </w:pPr>
    <w:rPr>
      <w:rFonts w:ascii="Verdana" w:eastAsia="Times New Roman" w:hAnsi="Verdana" w:cs="Mangal"/>
      <w:sz w:val="20"/>
      <w:szCs w:val="24"/>
      <w:lang w:eastAsia="en-US" w:bidi="hi-IN"/>
    </w:rPr>
  </w:style>
  <w:style w:type="paragraph" w:styleId="a4">
    <w:name w:val="footer"/>
    <w:basedOn w:val="a"/>
    <w:pPr>
      <w:tabs>
        <w:tab w:val="center" w:pos="4153"/>
        <w:tab w:val="right" w:pos="8306"/>
      </w:tabs>
      <w:snapToGrid w:val="0"/>
    </w:pPr>
    <w:rPr>
      <w:sz w:val="20"/>
    </w:rPr>
  </w:style>
  <w:style w:type="character" w:styleId="a5">
    <w:name w:val="page number"/>
    <w:basedOn w:val="a0"/>
  </w:style>
  <w:style w:type="paragraph" w:styleId="a6">
    <w:name w:val="header"/>
    <w:basedOn w:val="a"/>
    <w:pPr>
      <w:tabs>
        <w:tab w:val="center" w:pos="4153"/>
        <w:tab w:val="right" w:pos="8306"/>
      </w:tabs>
      <w:snapToGrid w:val="0"/>
    </w:pPr>
    <w:rPr>
      <w:sz w:val="20"/>
    </w:rPr>
  </w:style>
  <w:style w:type="paragraph" w:customStyle="1" w:styleId="k02">
    <w:name w:val="k02"/>
    <w:pPr>
      <w:widowControl w:val="0"/>
      <w:tabs>
        <w:tab w:val="left" w:pos="960"/>
        <w:tab w:val="left" w:pos="1920"/>
        <w:tab w:val="left" w:pos="2880"/>
        <w:tab w:val="left" w:pos="3840"/>
        <w:tab w:val="left" w:pos="4800"/>
        <w:tab w:val="left" w:pos="5760"/>
      </w:tabs>
      <w:suppressAutoHyphens/>
      <w:overflowPunct w:val="0"/>
      <w:autoSpaceDE w:val="0"/>
      <w:snapToGrid w:val="0"/>
      <w:spacing w:line="420" w:lineRule="exact"/>
      <w:ind w:firstLine="200"/>
      <w:jc w:val="both"/>
      <w:textAlignment w:val="center"/>
    </w:pPr>
    <w:rPr>
      <w:rFonts w:ascii="細明體" w:eastAsia="華康仿宋體W6" w:hAnsi="細明體"/>
      <w:spacing w:val="4"/>
      <w:sz w:val="28"/>
      <w:szCs w:val="26"/>
    </w:rPr>
  </w:style>
  <w:style w:type="character" w:customStyle="1" w:styleId="k020">
    <w:name w:val="k02 字元"/>
    <w:rPr>
      <w:rFonts w:ascii="細明體" w:eastAsia="華康仿宋體W6" w:hAnsi="細明體"/>
      <w:spacing w:val="4"/>
      <w:sz w:val="28"/>
      <w:szCs w:val="26"/>
    </w:rPr>
  </w:style>
  <w:style w:type="paragraph" w:customStyle="1" w:styleId="k2a">
    <w:name w:val="k2a"/>
    <w:pPr>
      <w:widowControl w:val="0"/>
      <w:tabs>
        <w:tab w:val="left" w:pos="960"/>
        <w:tab w:val="left" w:pos="1920"/>
        <w:tab w:val="left" w:pos="2880"/>
        <w:tab w:val="left" w:pos="3840"/>
        <w:tab w:val="left" w:pos="4800"/>
        <w:tab w:val="left" w:pos="5760"/>
      </w:tabs>
      <w:suppressAutoHyphens/>
      <w:overflowPunct w:val="0"/>
      <w:autoSpaceDE w:val="0"/>
      <w:spacing w:line="420" w:lineRule="exact"/>
      <w:ind w:left="300" w:hanging="200"/>
      <w:jc w:val="both"/>
      <w:textAlignment w:val="center"/>
      <w:outlineLvl w:val="5"/>
    </w:pPr>
    <w:rPr>
      <w:rFonts w:ascii="細明體" w:eastAsia="華康仿宋體W6" w:hAnsi="細明體"/>
      <w:b/>
      <w:color w:val="660066"/>
      <w:spacing w:val="4"/>
      <w:sz w:val="28"/>
    </w:rPr>
  </w:style>
  <w:style w:type="character" w:customStyle="1" w:styleId="k2a0">
    <w:name w:val="k2a 字元"/>
    <w:rPr>
      <w:rFonts w:ascii="細明體" w:eastAsia="華康仿宋體W6" w:hAnsi="細明體"/>
      <w:b/>
      <w:color w:val="660066"/>
      <w:spacing w:val="4"/>
      <w:sz w:val="28"/>
    </w:rPr>
  </w:style>
  <w:style w:type="paragraph" w:customStyle="1" w:styleId="k3a">
    <w:name w:val="k3a"/>
    <w:pPr>
      <w:widowControl w:val="0"/>
      <w:tabs>
        <w:tab w:val="left" w:pos="960"/>
        <w:tab w:val="left" w:pos="1920"/>
        <w:tab w:val="left" w:pos="2880"/>
        <w:tab w:val="left" w:pos="3840"/>
        <w:tab w:val="left" w:pos="4800"/>
        <w:tab w:val="left" w:pos="5760"/>
      </w:tabs>
      <w:suppressAutoHyphens/>
      <w:overflowPunct w:val="0"/>
      <w:autoSpaceDE w:val="0"/>
      <w:spacing w:line="400" w:lineRule="exact"/>
      <w:ind w:left="350" w:hanging="79"/>
      <w:jc w:val="both"/>
      <w:textAlignment w:val="center"/>
      <w:outlineLvl w:val="6"/>
    </w:pPr>
    <w:rPr>
      <w:rFonts w:ascii="細明體" w:eastAsia="華康仿宋體W6" w:hAnsi="細明體"/>
      <w:spacing w:val="4"/>
      <w:sz w:val="28"/>
      <w:szCs w:val="26"/>
    </w:rPr>
  </w:style>
  <w:style w:type="character" w:customStyle="1" w:styleId="k3a0">
    <w:name w:val="k3a 字元"/>
    <w:rPr>
      <w:rFonts w:ascii="細明體" w:eastAsia="華康仿宋體W6" w:hAnsi="細明體"/>
      <w:spacing w:val="4"/>
      <w:sz w:val="28"/>
      <w:szCs w:val="26"/>
    </w:rPr>
  </w:style>
  <w:style w:type="paragraph" w:customStyle="1" w:styleId="k4a">
    <w:name w:val="k4a"/>
    <w:pPr>
      <w:widowControl w:val="0"/>
      <w:tabs>
        <w:tab w:val="left" w:pos="960"/>
        <w:tab w:val="left" w:pos="1920"/>
        <w:tab w:val="left" w:pos="2880"/>
        <w:tab w:val="left" w:pos="3840"/>
        <w:tab w:val="left" w:pos="4800"/>
        <w:tab w:val="left" w:pos="5760"/>
      </w:tabs>
      <w:suppressAutoHyphens/>
      <w:overflowPunct w:val="0"/>
      <w:autoSpaceDE w:val="0"/>
      <w:spacing w:line="420" w:lineRule="exact"/>
      <w:ind w:left="560" w:hanging="100"/>
      <w:jc w:val="both"/>
      <w:textAlignment w:val="center"/>
      <w:outlineLvl w:val="7"/>
    </w:pPr>
    <w:rPr>
      <w:rFonts w:ascii="細明體" w:eastAsia="華康仿宋體W6" w:hAnsi="細明體"/>
      <w:spacing w:val="4"/>
      <w:sz w:val="28"/>
    </w:rPr>
  </w:style>
  <w:style w:type="character" w:customStyle="1" w:styleId="k4a0">
    <w:name w:val="k4a 字元"/>
    <w:rPr>
      <w:rFonts w:ascii="細明體" w:eastAsia="華康仿宋體W6" w:hAnsi="細明體"/>
      <w:spacing w:val="4"/>
      <w:sz w:val="28"/>
    </w:rPr>
  </w:style>
  <w:style w:type="paragraph" w:customStyle="1" w:styleId="line">
    <w:name w:val="line"/>
    <w:pPr>
      <w:widowControl w:val="0"/>
      <w:tabs>
        <w:tab w:val="left" w:pos="960"/>
        <w:tab w:val="left" w:pos="1920"/>
        <w:tab w:val="left" w:pos="2880"/>
        <w:tab w:val="left" w:pos="3840"/>
        <w:tab w:val="left" w:pos="4800"/>
        <w:tab w:val="left" w:pos="5760"/>
      </w:tabs>
      <w:suppressAutoHyphens/>
      <w:overflowPunct w:val="0"/>
      <w:autoSpaceDE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suppressAutoHyphens/>
      <w:overflowPunct w:val="0"/>
      <w:autoSpaceDE w:val="0"/>
      <w:spacing w:line="420" w:lineRule="exact"/>
      <w:jc w:val="center"/>
      <w:textAlignment w:val="center"/>
      <w:outlineLvl w:val="2"/>
    </w:pPr>
    <w:rPr>
      <w:rFonts w:ascii="細明體" w:eastAsia="華康仿宋體W6" w:hAnsi="細明體"/>
      <w:b/>
      <w:color w:val="0000FF"/>
      <w:sz w:val="32"/>
    </w:rPr>
  </w:style>
  <w:style w:type="paragraph" w:customStyle="1" w:styleId="k00t15">
    <w:name w:val="k00t15"/>
    <w:pPr>
      <w:widowControl w:val="0"/>
      <w:tabs>
        <w:tab w:val="left" w:pos="960"/>
        <w:tab w:val="left" w:pos="1920"/>
        <w:tab w:val="left" w:pos="2880"/>
        <w:tab w:val="left" w:pos="3840"/>
        <w:tab w:val="left" w:pos="4800"/>
        <w:tab w:val="left" w:pos="5760"/>
      </w:tabs>
      <w:suppressAutoHyphens/>
      <w:overflowPunct w:val="0"/>
      <w:autoSpaceDE w:val="0"/>
      <w:spacing w:line="400" w:lineRule="exact"/>
      <w:jc w:val="center"/>
      <w:textAlignment w:val="center"/>
      <w:outlineLvl w:val="2"/>
    </w:pPr>
    <w:rPr>
      <w:rFonts w:eastAsia="標楷體"/>
      <w:b/>
      <w:spacing w:val="10"/>
      <w:sz w:val="30"/>
      <w:szCs w:val="28"/>
    </w:rPr>
  </w:style>
  <w:style w:type="paragraph" w:customStyle="1" w:styleId="k22">
    <w:name w:val="k22"/>
    <w:pPr>
      <w:widowControl w:val="0"/>
      <w:suppressAutoHyphens/>
      <w:overflowPunct w:val="0"/>
      <w:autoSpaceDE w:val="0"/>
      <w:spacing w:line="420" w:lineRule="exact"/>
      <w:ind w:left="350" w:firstLine="200"/>
      <w:jc w:val="both"/>
      <w:textAlignment w:val="center"/>
    </w:pPr>
    <w:rPr>
      <w:rFonts w:ascii="細明體" w:eastAsia="華康仿宋體W6" w:hAnsi="細明體"/>
      <w:sz w:val="28"/>
      <w:szCs w:val="26"/>
    </w:rPr>
  </w:style>
  <w:style w:type="paragraph" w:customStyle="1" w:styleId="k32">
    <w:name w:val="k32"/>
    <w:basedOn w:val="k22"/>
    <w:pPr>
      <w:ind w:left="460"/>
    </w:pPr>
  </w:style>
  <w:style w:type="paragraph" w:customStyle="1" w:styleId="k42">
    <w:name w:val="k42"/>
    <w:basedOn w:val="k32"/>
    <w:pPr>
      <w:ind w:left="610"/>
    </w:pPr>
  </w:style>
  <w:style w:type="paragraph" w:customStyle="1" w:styleId="k12">
    <w:name w:val="k12"/>
    <w:basedOn w:val="k02"/>
    <w:pPr>
      <w:ind w:left="100"/>
    </w:pPr>
  </w:style>
  <w:style w:type="paragraph" w:customStyle="1" w:styleId="k5a">
    <w:name w:val="k5a"/>
    <w:pPr>
      <w:widowControl w:val="0"/>
      <w:suppressAutoHyphens/>
      <w:overflowPunct w:val="0"/>
      <w:autoSpaceDE w:val="0"/>
      <w:spacing w:line="400" w:lineRule="exact"/>
      <w:ind w:left="715" w:hanging="100"/>
      <w:jc w:val="both"/>
      <w:textAlignment w:val="center"/>
      <w:outlineLvl w:val="5"/>
    </w:pPr>
    <w:rPr>
      <w:rFonts w:ascii="細明體" w:eastAsia="華康仿宋體W6" w:hAnsi="細明體"/>
      <w:spacing w:val="4"/>
      <w:sz w:val="28"/>
      <w:szCs w:val="28"/>
    </w:rPr>
  </w:style>
  <w:style w:type="paragraph" w:customStyle="1" w:styleId="k1a">
    <w:name w:val="k1a"/>
    <w:pPr>
      <w:widowControl w:val="0"/>
      <w:tabs>
        <w:tab w:val="left" w:pos="960"/>
        <w:tab w:val="left" w:pos="1920"/>
        <w:tab w:val="left" w:pos="2880"/>
        <w:tab w:val="left" w:pos="3840"/>
        <w:tab w:val="left" w:pos="4800"/>
        <w:tab w:val="left" w:pos="5760"/>
      </w:tabs>
      <w:suppressAutoHyphens/>
      <w:overflowPunct w:val="0"/>
      <w:autoSpaceDE w:val="0"/>
      <w:spacing w:before="120" w:after="120" w:line="400" w:lineRule="exact"/>
      <w:ind w:left="100" w:hanging="100"/>
      <w:jc w:val="both"/>
      <w:textAlignment w:val="center"/>
      <w:outlineLvl w:val="2"/>
    </w:pPr>
    <w:rPr>
      <w:rFonts w:ascii="細明體" w:eastAsia="華康細圓體" w:hAnsi="細明體"/>
      <w:b/>
      <w:color w:val="0000FF"/>
      <w:spacing w:val="4"/>
      <w:kern w:val="3"/>
      <w:sz w:val="28"/>
      <w:szCs w:val="27"/>
    </w:rPr>
  </w:style>
  <w:style w:type="character" w:customStyle="1" w:styleId="k1a0">
    <w:name w:val="k1a 字元"/>
    <w:rPr>
      <w:rFonts w:ascii="細明體" w:eastAsia="華康細圓體" w:hAnsi="細明體"/>
      <w:b/>
      <w:color w:val="0000FF"/>
      <w:spacing w:val="4"/>
      <w:kern w:val="3"/>
      <w:sz w:val="28"/>
      <w:szCs w:val="27"/>
    </w:rPr>
  </w:style>
  <w:style w:type="paragraph" w:customStyle="1" w:styleId="K00T23">
    <w:name w:val="K00T23"/>
    <w:pPr>
      <w:tabs>
        <w:tab w:val="left" w:pos="960"/>
        <w:tab w:val="left" w:pos="1920"/>
        <w:tab w:val="left" w:pos="2880"/>
        <w:tab w:val="left" w:pos="3840"/>
        <w:tab w:val="left" w:pos="4800"/>
        <w:tab w:val="left" w:pos="5760"/>
      </w:tabs>
      <w:suppressAutoHyphens/>
      <w:spacing w:line="480" w:lineRule="exact"/>
      <w:jc w:val="center"/>
      <w:outlineLvl w:val="0"/>
    </w:pPr>
    <w:rPr>
      <w:rFonts w:ascii="細明體" w:eastAsia="華康隸書體W5" w:hAnsi="細明體"/>
      <w:b/>
      <w:sz w:val="46"/>
      <w:szCs w:val="40"/>
    </w:rPr>
  </w:style>
  <w:style w:type="paragraph" w:customStyle="1" w:styleId="k120">
    <w:name w:val="k12分項"/>
    <w:basedOn w:val="k02"/>
    <w:pPr>
      <w:ind w:left="200" w:hanging="100"/>
    </w:pPr>
  </w:style>
  <w:style w:type="character" w:customStyle="1" w:styleId="k121">
    <w:name w:val="k12 字元"/>
    <w:rPr>
      <w:rFonts w:ascii="細明體" w:eastAsia="華康仿宋體W6" w:hAnsi="細明體"/>
      <w:spacing w:val="4"/>
      <w:sz w:val="28"/>
      <w:szCs w:val="26"/>
    </w:rPr>
  </w:style>
  <w:style w:type="paragraph" w:customStyle="1" w:styleId="12">
    <w:name w:val="字元 字元1 字元 字元 字元2"/>
    <w:basedOn w:val="a"/>
    <w:pPr>
      <w:widowControl/>
      <w:spacing w:after="160" w:line="240" w:lineRule="exact"/>
    </w:pPr>
    <w:rPr>
      <w:rFonts w:ascii="Verdana" w:eastAsia="Times New Roman" w:hAnsi="Verdana" w:cs="Mangal"/>
      <w:spacing w:val="4"/>
      <w:sz w:val="20"/>
      <w:szCs w:val="24"/>
      <w:lang w:eastAsia="en-US" w:bidi="hi-IN"/>
    </w:rPr>
  </w:style>
  <w:style w:type="paragraph" w:customStyle="1" w:styleId="k00t14">
    <w:name w:val="k00t14"/>
    <w:pPr>
      <w:widowControl w:val="0"/>
      <w:suppressAutoHyphens/>
      <w:overflowPunct w:val="0"/>
      <w:autoSpaceDE w:val="0"/>
      <w:spacing w:line="400" w:lineRule="exact"/>
      <w:jc w:val="center"/>
      <w:textAlignment w:val="center"/>
      <w:outlineLvl w:val="3"/>
    </w:pPr>
    <w:rPr>
      <w:rFonts w:eastAsia="標楷體"/>
      <w:b/>
      <w:sz w:val="28"/>
      <w:szCs w:val="28"/>
    </w:rPr>
  </w:style>
  <w:style w:type="paragraph" w:customStyle="1" w:styleId="k00t17">
    <w:name w:val="k00t17"/>
    <w:pPr>
      <w:widowControl w:val="0"/>
      <w:tabs>
        <w:tab w:val="left" w:pos="960"/>
        <w:tab w:val="left" w:pos="1920"/>
        <w:tab w:val="left" w:pos="2880"/>
        <w:tab w:val="left" w:pos="3840"/>
        <w:tab w:val="left" w:pos="4800"/>
        <w:tab w:val="left" w:pos="5760"/>
      </w:tabs>
      <w:suppressAutoHyphens/>
      <w:overflowPunct w:val="0"/>
      <w:autoSpaceDE w:val="0"/>
      <w:spacing w:line="400" w:lineRule="exact"/>
      <w:jc w:val="center"/>
      <w:textAlignment w:val="center"/>
      <w:outlineLvl w:val="1"/>
    </w:pPr>
    <w:rPr>
      <w:rFonts w:eastAsia="標楷體"/>
      <w:b/>
      <w:spacing w:val="10"/>
      <w:sz w:val="34"/>
      <w:szCs w:val="36"/>
    </w:rPr>
  </w:style>
  <w:style w:type="character" w:styleId="a7">
    <w:name w:val="Strong"/>
    <w:rPr>
      <w:b/>
      <w:bCs/>
    </w:rPr>
  </w:style>
  <w:style w:type="paragraph" w:customStyle="1" w:styleId="10">
    <w:name w:val="字元 字元1"/>
    <w:basedOn w:val="a"/>
    <w:pPr>
      <w:widowControl/>
      <w:spacing w:after="160" w:line="240" w:lineRule="exact"/>
    </w:pPr>
    <w:rPr>
      <w:rFonts w:ascii="Verdana" w:eastAsia="Times New Roman" w:hAnsi="Verdana" w:cs="Mangal"/>
      <w:spacing w:val="4"/>
      <w:sz w:val="20"/>
      <w:szCs w:val="24"/>
      <w:lang w:eastAsia="en-US" w:bidi="hi-IN"/>
    </w:rPr>
  </w:style>
  <w:style w:type="paragraph" w:customStyle="1" w:styleId="k50">
    <w:name w:val="k50"/>
    <w:pPr>
      <w:widowControl w:val="0"/>
      <w:suppressAutoHyphens/>
      <w:overflowPunct w:val="0"/>
      <w:autoSpaceDE w:val="0"/>
      <w:spacing w:line="420" w:lineRule="exact"/>
      <w:ind w:left="610"/>
      <w:jc w:val="both"/>
      <w:textAlignment w:val="center"/>
    </w:pPr>
    <w:rPr>
      <w:rFonts w:eastAsia="標楷體"/>
      <w:spacing w:val="4"/>
      <w:sz w:val="28"/>
    </w:rPr>
  </w:style>
  <w:style w:type="paragraph" w:customStyle="1" w:styleId="11">
    <w:name w:val="字元 字元1 字元 字元 字元"/>
    <w:basedOn w:val="a"/>
    <w:pPr>
      <w:widowControl/>
      <w:spacing w:after="160" w:line="240" w:lineRule="exact"/>
    </w:pPr>
    <w:rPr>
      <w:rFonts w:ascii="Verdana" w:eastAsia="Times New Roman" w:hAnsi="Verdana" w:cs="Mangal"/>
      <w:spacing w:val="4"/>
      <w:sz w:val="20"/>
      <w:szCs w:val="24"/>
      <w:lang w:eastAsia="en-US" w:bidi="hi-IN"/>
    </w:rPr>
  </w:style>
  <w:style w:type="paragraph" w:customStyle="1" w:styleId="a8">
    <w:name w:val="圖表名稱"/>
    <w:pPr>
      <w:widowControl w:val="0"/>
      <w:suppressAutoHyphens/>
      <w:overflowPunct w:val="0"/>
      <w:autoSpaceDE w:val="0"/>
      <w:snapToGrid w:val="0"/>
      <w:spacing w:before="50" w:after="50" w:line="280" w:lineRule="exact"/>
      <w:jc w:val="center"/>
      <w:textAlignment w:val="center"/>
    </w:pPr>
    <w:rPr>
      <w:rFonts w:eastAsia="標楷體"/>
      <w:b/>
      <w:sz w:val="26"/>
    </w:rPr>
  </w:style>
  <w:style w:type="paragraph" w:customStyle="1" w:styleId="a9">
    <w:name w:val="字元 字元"/>
    <w:basedOn w:val="a"/>
    <w:pPr>
      <w:widowControl/>
      <w:spacing w:after="160" w:line="240" w:lineRule="exact"/>
    </w:pPr>
    <w:rPr>
      <w:rFonts w:ascii="Verdana" w:eastAsia="Times New Roman" w:hAnsi="Verdana" w:cs="Mangal"/>
      <w:sz w:val="20"/>
      <w:szCs w:val="24"/>
      <w:lang w:eastAsia="en-US" w:bidi="hi-IN"/>
    </w:rPr>
  </w:style>
  <w:style w:type="paragraph" w:customStyle="1" w:styleId="aa">
    <w:name w:val="字元 字元"/>
    <w:basedOn w:val="a"/>
    <w:pPr>
      <w:widowControl/>
      <w:spacing w:after="160" w:line="240" w:lineRule="exact"/>
    </w:pPr>
    <w:rPr>
      <w:rFonts w:ascii="Verdana" w:eastAsia="Times New Roman" w:hAnsi="Verdana" w:cs="Mangal"/>
      <w:sz w:val="20"/>
      <w:szCs w:val="24"/>
      <w:lang w:eastAsia="en-US" w:bidi="hi-IN"/>
    </w:rPr>
  </w:style>
  <w:style w:type="paragraph" w:styleId="ab">
    <w:name w:val="Balloon Text"/>
    <w:basedOn w:val="a"/>
    <w:rPr>
      <w:rFonts w:ascii="Cambria" w:hAnsi="Cambria"/>
      <w:sz w:val="18"/>
      <w:szCs w:val="18"/>
    </w:rPr>
  </w:style>
  <w:style w:type="character" w:customStyle="1" w:styleId="ac">
    <w:name w:val="註解方塊文字 字元"/>
    <w:rPr>
      <w:rFonts w:ascii="Cambria" w:eastAsia="新細明體" w:hAnsi="Cambria" w:cs="Times New Roman"/>
      <w:kern w:val="3"/>
      <w:sz w:val="18"/>
      <w:szCs w:val="18"/>
    </w:rPr>
  </w:style>
  <w:style w:type="paragraph" w:customStyle="1" w:styleId="ad">
    <w:name w:val="字元 字元"/>
    <w:basedOn w:val="a"/>
    <w:pPr>
      <w:widowControl/>
      <w:spacing w:after="160" w:line="240" w:lineRule="exact"/>
    </w:pPr>
    <w:rPr>
      <w:rFonts w:ascii="Verdana" w:eastAsia="Times New Roman" w:hAnsi="Verdana" w:cs="Mangal"/>
      <w:sz w:val="20"/>
      <w:szCs w:val="24"/>
      <w:lang w:eastAsia="en-US" w:bidi="hi-IN"/>
    </w:rPr>
  </w:style>
  <w:style w:type="character" w:customStyle="1" w:styleId="k220">
    <w:name w:val="k22 字元"/>
    <w:rPr>
      <w:rFonts w:ascii="細明體" w:eastAsia="華康仿宋體W6" w:hAnsi="細明體"/>
      <w:sz w:val="28"/>
      <w:szCs w:val="26"/>
    </w:rPr>
  </w:style>
  <w:style w:type="paragraph" w:customStyle="1" w:styleId="ae">
    <w:name w:val="字元 字元"/>
    <w:basedOn w:val="a"/>
    <w:pPr>
      <w:widowControl/>
      <w:spacing w:after="160" w:line="240" w:lineRule="exact"/>
    </w:pPr>
    <w:rPr>
      <w:rFonts w:ascii="Verdana" w:eastAsia="Times New Roman" w:hAnsi="Verdana" w:cs="Mangal"/>
      <w:sz w:val="20"/>
      <w:szCs w:val="24"/>
      <w:lang w:eastAsia="en-US" w:bidi="hi-IN"/>
    </w:rPr>
  </w:style>
  <w:style w:type="paragraph" w:customStyle="1" w:styleId="af">
    <w:name w:val="字元 字元"/>
    <w:basedOn w:val="a"/>
    <w:pPr>
      <w:widowControl/>
      <w:spacing w:after="160" w:line="240" w:lineRule="exact"/>
    </w:pPr>
    <w:rPr>
      <w:rFonts w:ascii="Verdana" w:eastAsia="Times New Roman" w:hAnsi="Verdana" w:cs="Mangal"/>
      <w:sz w:val="20"/>
      <w:szCs w:val="24"/>
      <w:lang w:eastAsia="en-US" w:bidi="hi-IN"/>
    </w:rPr>
  </w:style>
  <w:style w:type="paragraph" w:customStyle="1" w:styleId="af0">
    <w:name w:val="字元 字元"/>
    <w:basedOn w:val="a"/>
    <w:pPr>
      <w:widowControl/>
      <w:spacing w:after="160" w:line="240" w:lineRule="exact"/>
    </w:pPr>
    <w:rPr>
      <w:rFonts w:ascii="Verdana" w:eastAsia="Times New Roman" w:hAnsi="Verdana" w:cs="Mangal"/>
      <w:sz w:val="20"/>
      <w:szCs w:val="24"/>
      <w:lang w:eastAsia="en-US" w:bidi="hi-IN"/>
    </w:rPr>
  </w:style>
  <w:style w:type="character" w:customStyle="1" w:styleId="13">
    <w:name w:val="標題 1 字元"/>
    <w:rPr>
      <w:rFonts w:ascii="Cambria" w:hAnsi="Cambria"/>
      <w:b/>
      <w:bCs/>
      <w:kern w:val="3"/>
      <w:sz w:val="32"/>
      <w:szCs w:val="32"/>
    </w:rPr>
  </w:style>
  <w:style w:type="character" w:customStyle="1" w:styleId="20">
    <w:name w:val="標題 2 字元"/>
    <w:rPr>
      <w:rFonts w:ascii="Cambria" w:hAnsi="Cambria"/>
      <w:b/>
      <w:bCs/>
      <w:i/>
      <w:iCs/>
      <w:sz w:val="28"/>
      <w:szCs w:val="28"/>
    </w:rPr>
  </w:style>
  <w:style w:type="character" w:customStyle="1" w:styleId="30">
    <w:name w:val="標題 3 字元"/>
    <w:rPr>
      <w:rFonts w:ascii="Cambria" w:hAnsi="Cambria"/>
      <w:b/>
      <w:bCs/>
      <w:sz w:val="26"/>
      <w:szCs w:val="26"/>
    </w:rPr>
  </w:style>
  <w:style w:type="character" w:customStyle="1" w:styleId="40">
    <w:name w:val="標題 4 字元"/>
    <w:rPr>
      <w:rFonts w:ascii="Calibri" w:hAnsi="Calibri"/>
      <w:b/>
      <w:bCs/>
      <w:sz w:val="28"/>
      <w:szCs w:val="28"/>
    </w:rPr>
  </w:style>
  <w:style w:type="character" w:customStyle="1" w:styleId="50">
    <w:name w:val="標題 5 字元"/>
    <w:rPr>
      <w:rFonts w:ascii="Calibri" w:hAnsi="Calibri"/>
      <w:b/>
      <w:bCs/>
      <w:i/>
      <w:iCs/>
      <w:sz w:val="26"/>
      <w:szCs w:val="26"/>
    </w:rPr>
  </w:style>
  <w:style w:type="character" w:customStyle="1" w:styleId="60">
    <w:name w:val="標題 6 字元"/>
    <w:rPr>
      <w:rFonts w:ascii="Calibri" w:hAnsi="Calibri"/>
      <w:b/>
      <w:bCs/>
      <w:sz w:val="22"/>
      <w:szCs w:val="22"/>
    </w:rPr>
  </w:style>
  <w:style w:type="character" w:customStyle="1" w:styleId="70">
    <w:name w:val="標題 7 字元"/>
    <w:rPr>
      <w:rFonts w:ascii="Calibri" w:hAnsi="Calibri"/>
      <w:sz w:val="24"/>
      <w:szCs w:val="24"/>
    </w:rPr>
  </w:style>
  <w:style w:type="character" w:customStyle="1" w:styleId="80">
    <w:name w:val="標題 8 字元"/>
    <w:rPr>
      <w:rFonts w:ascii="Calibri" w:hAnsi="Calibri"/>
      <w:i/>
      <w:iCs/>
      <w:sz w:val="24"/>
      <w:szCs w:val="24"/>
    </w:rPr>
  </w:style>
  <w:style w:type="character" w:customStyle="1" w:styleId="90">
    <w:name w:val="標題 9 字元"/>
    <w:rPr>
      <w:rFonts w:ascii="Cambria" w:hAnsi="Cambria"/>
      <w:sz w:val="22"/>
      <w:szCs w:val="22"/>
    </w:rPr>
  </w:style>
  <w:style w:type="paragraph" w:customStyle="1" w:styleId="k40">
    <w:name w:val="k40"/>
    <w:pPr>
      <w:widowControl w:val="0"/>
      <w:suppressAutoHyphens/>
      <w:overflowPunct w:val="0"/>
      <w:autoSpaceDE w:val="0"/>
      <w:spacing w:line="420" w:lineRule="exact"/>
      <w:ind w:left="520"/>
      <w:jc w:val="both"/>
      <w:textAlignment w:val="center"/>
    </w:pPr>
    <w:rPr>
      <w:rFonts w:ascii="Calibri" w:eastAsia="標楷體" w:hAnsi="Calibri"/>
      <w:spacing w:val="4"/>
      <w:sz w:val="28"/>
      <w:szCs w:val="22"/>
    </w:rPr>
  </w:style>
  <w:style w:type="paragraph" w:customStyle="1" w:styleId="k52">
    <w:name w:val="k52"/>
    <w:pPr>
      <w:widowControl w:val="0"/>
      <w:suppressAutoHyphens/>
      <w:overflowPunct w:val="0"/>
      <w:autoSpaceDE w:val="0"/>
      <w:spacing w:line="420" w:lineRule="exact"/>
      <w:ind w:left="580" w:firstLine="200"/>
      <w:jc w:val="both"/>
      <w:textAlignment w:val="center"/>
    </w:pPr>
    <w:rPr>
      <w:rFonts w:ascii="Calibri" w:eastAsia="標楷體" w:hAnsi="Calibri"/>
      <w:iCs/>
      <w:spacing w:val="4"/>
      <w:sz w:val="28"/>
      <w:szCs w:val="22"/>
    </w:rPr>
  </w:style>
  <w:style w:type="character" w:customStyle="1" w:styleId="k400">
    <w:name w:val="k40 字元"/>
    <w:rPr>
      <w:rFonts w:ascii="Calibri" w:eastAsia="標楷體" w:hAnsi="Calibri"/>
      <w:spacing w:val="4"/>
      <w:sz w:val="28"/>
      <w:szCs w:val="22"/>
    </w:rPr>
  </w:style>
  <w:style w:type="paragraph" w:customStyle="1" w:styleId="k00">
    <w:name w:val="k00"/>
    <w:pPr>
      <w:widowControl w:val="0"/>
      <w:suppressAutoHyphens/>
      <w:overflowPunct w:val="0"/>
      <w:autoSpaceDE w:val="0"/>
      <w:spacing w:line="420" w:lineRule="exact"/>
      <w:jc w:val="both"/>
      <w:textAlignment w:val="center"/>
    </w:pPr>
    <w:rPr>
      <w:rFonts w:ascii="Calibri" w:eastAsia="標楷體" w:hAnsi="Calibri"/>
      <w:spacing w:val="4"/>
      <w:sz w:val="28"/>
      <w:szCs w:val="22"/>
    </w:rPr>
  </w:style>
  <w:style w:type="paragraph" w:customStyle="1" w:styleId="k10">
    <w:name w:val="k10"/>
    <w:pPr>
      <w:widowControl w:val="0"/>
      <w:suppressAutoHyphens/>
      <w:overflowPunct w:val="0"/>
      <w:autoSpaceDE w:val="0"/>
      <w:spacing w:line="420" w:lineRule="exact"/>
      <w:ind w:left="100" w:right="100"/>
      <w:jc w:val="both"/>
      <w:textAlignment w:val="center"/>
    </w:pPr>
    <w:rPr>
      <w:rFonts w:eastAsia="標楷體"/>
      <w:spacing w:val="4"/>
      <w:sz w:val="28"/>
      <w:szCs w:val="26"/>
    </w:rPr>
  </w:style>
  <w:style w:type="paragraph" w:customStyle="1" w:styleId="k20">
    <w:name w:val="k20"/>
    <w:pPr>
      <w:widowControl w:val="0"/>
      <w:suppressAutoHyphens/>
      <w:overflowPunct w:val="0"/>
      <w:autoSpaceDE w:val="0"/>
      <w:spacing w:line="420" w:lineRule="exact"/>
      <w:ind w:left="280"/>
      <w:jc w:val="both"/>
      <w:textAlignment w:val="center"/>
    </w:pPr>
    <w:rPr>
      <w:rFonts w:ascii="Calibri" w:eastAsia="標楷體" w:hAnsi="Calibri"/>
      <w:spacing w:val="4"/>
      <w:sz w:val="28"/>
      <w:szCs w:val="22"/>
    </w:rPr>
  </w:style>
  <w:style w:type="paragraph" w:customStyle="1" w:styleId="k30">
    <w:name w:val="k30"/>
    <w:pPr>
      <w:widowControl w:val="0"/>
      <w:suppressAutoHyphens/>
      <w:overflowPunct w:val="0"/>
      <w:autoSpaceDE w:val="0"/>
      <w:spacing w:line="420" w:lineRule="exact"/>
      <w:ind w:left="420"/>
      <w:jc w:val="both"/>
      <w:textAlignment w:val="center"/>
    </w:pPr>
    <w:rPr>
      <w:rFonts w:ascii="Calibri" w:eastAsia="標楷體" w:hAnsi="Calibri"/>
      <w:spacing w:val="4"/>
      <w:sz w:val="28"/>
      <w:szCs w:val="22"/>
    </w:rPr>
  </w:style>
  <w:style w:type="paragraph" w:customStyle="1" w:styleId="t12">
    <w:name w:val="t12新細明"/>
    <w:pPr>
      <w:widowControl w:val="0"/>
      <w:suppressAutoHyphens/>
      <w:overflowPunct w:val="0"/>
      <w:autoSpaceDE w:val="0"/>
      <w:spacing w:line="360" w:lineRule="exact"/>
      <w:jc w:val="center"/>
      <w:textAlignment w:val="center"/>
    </w:pPr>
    <w:rPr>
      <w:rFonts w:ascii="新細明體" w:hAnsi="新細明體"/>
      <w:b/>
      <w:spacing w:val="14"/>
      <w:sz w:val="24"/>
      <w:szCs w:val="24"/>
    </w:rPr>
  </w:style>
  <w:style w:type="paragraph" w:customStyle="1" w:styleId="t11">
    <w:name w:val="t11新細明"/>
    <w:pPr>
      <w:widowControl w:val="0"/>
      <w:suppressAutoHyphens/>
      <w:overflowPunct w:val="0"/>
      <w:autoSpaceDE w:val="0"/>
      <w:spacing w:line="400" w:lineRule="exact"/>
      <w:ind w:left="30" w:right="30" w:firstLine="200"/>
      <w:jc w:val="both"/>
      <w:textAlignment w:val="center"/>
    </w:pPr>
    <w:rPr>
      <w:rFonts w:ascii="新細明體" w:hAnsi="新細明體"/>
      <w:bCs/>
      <w:spacing w:val="8"/>
      <w:sz w:val="22"/>
      <w:szCs w:val="22"/>
    </w:rPr>
  </w:style>
  <w:style w:type="paragraph" w:customStyle="1" w:styleId="af1">
    <w:name w:val="框內圖表資料來源"/>
    <w:pPr>
      <w:widowControl w:val="0"/>
      <w:suppressAutoHyphens/>
      <w:overflowPunct w:val="0"/>
      <w:autoSpaceDE w:val="0"/>
      <w:spacing w:line="400" w:lineRule="atLeast"/>
      <w:ind w:left="500" w:hanging="500"/>
      <w:jc w:val="both"/>
      <w:textAlignment w:val="center"/>
    </w:pPr>
    <w:rPr>
      <w:rFonts w:ascii="新細明體" w:hAnsi="新細明體"/>
      <w:color w:val="000000"/>
      <w:spacing w:val="-2"/>
      <w:sz w:val="22"/>
      <w:szCs w:val="22"/>
    </w:rPr>
  </w:style>
  <w:style w:type="paragraph" w:customStyle="1" w:styleId="af2">
    <w:name w:val="表格註"/>
    <w:pPr>
      <w:widowControl w:val="0"/>
      <w:suppressAutoHyphens/>
      <w:overflowPunct w:val="0"/>
      <w:autoSpaceDE w:val="0"/>
      <w:spacing w:line="240" w:lineRule="exact"/>
      <w:ind w:left="490" w:hanging="200"/>
      <w:jc w:val="both"/>
      <w:textAlignment w:val="center"/>
    </w:pPr>
    <w:rPr>
      <w:rFonts w:ascii="Calibri" w:eastAsia="華康楷書體W5" w:hAnsi="Calibri"/>
      <w:sz w:val="22"/>
      <w:szCs w:val="22"/>
    </w:rPr>
  </w:style>
  <w:style w:type="paragraph" w:customStyle="1" w:styleId="af3">
    <w:name w:val="表格資料來源"/>
    <w:pPr>
      <w:widowControl w:val="0"/>
      <w:suppressAutoHyphens/>
      <w:overflowPunct w:val="0"/>
      <w:autoSpaceDE w:val="0"/>
      <w:spacing w:line="280" w:lineRule="exact"/>
      <w:ind w:left="520" w:hanging="500"/>
      <w:jc w:val="both"/>
      <w:textAlignment w:val="center"/>
    </w:pPr>
    <w:rPr>
      <w:rFonts w:ascii="Calibri" w:eastAsia="華康楷書體W5" w:hAnsi="Calibri"/>
      <w:spacing w:val="-2"/>
      <w:sz w:val="22"/>
      <w:szCs w:val="22"/>
    </w:rPr>
  </w:style>
  <w:style w:type="paragraph" w:customStyle="1" w:styleId="af4">
    <w:name w:val="圖表資料來源"/>
    <w:pPr>
      <w:widowControl w:val="0"/>
      <w:suppressAutoHyphens/>
      <w:overflowPunct w:val="0"/>
      <w:autoSpaceDE w:val="0"/>
      <w:spacing w:after="120" w:line="280" w:lineRule="exact"/>
      <w:ind w:left="700" w:hanging="500"/>
      <w:jc w:val="both"/>
      <w:textAlignment w:val="center"/>
    </w:pPr>
    <w:rPr>
      <w:rFonts w:ascii="Calibri" w:eastAsia="華康楷書體W5" w:hAnsi="Calibri"/>
      <w:sz w:val="22"/>
      <w:szCs w:val="22"/>
    </w:rPr>
  </w:style>
  <w:style w:type="paragraph" w:customStyle="1" w:styleId="k1a0cm10505">
    <w:name w:val="樣式 k1a + 左:  0 cm 凸出:  1 字元 套用前:  0.5 列 套用後:  0.5 列"/>
    <w:basedOn w:val="k1a"/>
    <w:pPr>
      <w:spacing w:line="420" w:lineRule="exact"/>
      <w:ind w:left="260" w:hanging="260"/>
      <w:outlineLvl w:val="4"/>
    </w:pPr>
    <w:rPr>
      <w:rFonts w:ascii="Times New Roman" w:eastAsia="標楷體" w:hAnsi="Times New Roman" w:cs="新細明體"/>
      <w:bCs/>
      <w:spacing w:val="0"/>
      <w:kern w:val="0"/>
      <w:szCs w:val="22"/>
    </w:rPr>
  </w:style>
  <w:style w:type="paragraph" w:styleId="af5">
    <w:name w:val="Title"/>
    <w:basedOn w:val="a"/>
    <w:next w:val="a"/>
    <w:uiPriority w:val="10"/>
    <w:qFormat/>
    <w:pPr>
      <w:widowControl/>
      <w:spacing w:before="240" w:after="60"/>
      <w:jc w:val="center"/>
      <w:outlineLvl w:val="0"/>
    </w:pPr>
    <w:rPr>
      <w:rFonts w:ascii="Cambria" w:hAnsi="Cambria"/>
      <w:b/>
      <w:bCs/>
      <w:sz w:val="32"/>
      <w:szCs w:val="32"/>
    </w:rPr>
  </w:style>
  <w:style w:type="character" w:customStyle="1" w:styleId="af6">
    <w:name w:val="標題 字元"/>
    <w:rPr>
      <w:rFonts w:ascii="Cambria" w:hAnsi="Cambria"/>
      <w:b/>
      <w:bCs/>
      <w:kern w:val="3"/>
      <w:sz w:val="32"/>
      <w:szCs w:val="32"/>
    </w:rPr>
  </w:style>
  <w:style w:type="paragraph" w:styleId="af7">
    <w:name w:val="Subtitle"/>
    <w:basedOn w:val="a"/>
    <w:next w:val="a"/>
    <w:uiPriority w:val="11"/>
    <w:qFormat/>
    <w:pPr>
      <w:widowControl/>
      <w:spacing w:after="60"/>
      <w:jc w:val="center"/>
      <w:outlineLvl w:val="1"/>
    </w:pPr>
    <w:rPr>
      <w:rFonts w:ascii="Cambria" w:hAnsi="Cambria"/>
      <w:kern w:val="0"/>
      <w:szCs w:val="24"/>
    </w:rPr>
  </w:style>
  <w:style w:type="character" w:customStyle="1" w:styleId="af8">
    <w:name w:val="副標題 字元"/>
    <w:rPr>
      <w:rFonts w:ascii="Cambria" w:hAnsi="Cambria"/>
      <w:sz w:val="24"/>
      <w:szCs w:val="24"/>
    </w:rPr>
  </w:style>
  <w:style w:type="character" w:styleId="af9">
    <w:name w:val="Emphasis"/>
    <w:rPr>
      <w:rFonts w:ascii="Calibri" w:hAnsi="Calibri"/>
      <w:b/>
      <w:i/>
      <w:iCs/>
    </w:rPr>
  </w:style>
  <w:style w:type="paragraph" w:styleId="afa">
    <w:name w:val="No Spacing"/>
    <w:basedOn w:val="a"/>
    <w:pPr>
      <w:widowControl/>
    </w:pPr>
    <w:rPr>
      <w:rFonts w:ascii="Calibri" w:hAnsi="Calibri"/>
      <w:kern w:val="0"/>
      <w:szCs w:val="32"/>
    </w:rPr>
  </w:style>
  <w:style w:type="paragraph" w:styleId="afb">
    <w:name w:val="List Paragraph"/>
    <w:basedOn w:val="a"/>
    <w:pPr>
      <w:widowControl/>
      <w:ind w:left="720"/>
    </w:pPr>
    <w:rPr>
      <w:rFonts w:ascii="Calibri" w:hAnsi="Calibri"/>
      <w:kern w:val="0"/>
      <w:szCs w:val="24"/>
    </w:rPr>
  </w:style>
  <w:style w:type="paragraph" w:styleId="afc">
    <w:name w:val="Quote"/>
    <w:basedOn w:val="a"/>
    <w:next w:val="a"/>
    <w:pPr>
      <w:widowControl/>
    </w:pPr>
    <w:rPr>
      <w:rFonts w:ascii="Calibri" w:hAnsi="Calibri"/>
      <w:i/>
      <w:kern w:val="0"/>
      <w:szCs w:val="24"/>
    </w:rPr>
  </w:style>
  <w:style w:type="character" w:customStyle="1" w:styleId="afd">
    <w:name w:val="引文 字元"/>
    <w:rPr>
      <w:rFonts w:ascii="Calibri" w:hAnsi="Calibri"/>
      <w:i/>
      <w:sz w:val="24"/>
      <w:szCs w:val="24"/>
    </w:rPr>
  </w:style>
  <w:style w:type="paragraph" w:styleId="afe">
    <w:name w:val="Intense Quote"/>
    <w:basedOn w:val="a"/>
    <w:next w:val="a"/>
    <w:pPr>
      <w:widowControl/>
      <w:ind w:left="720" w:right="720"/>
    </w:pPr>
    <w:rPr>
      <w:rFonts w:ascii="Calibri" w:hAnsi="Calibri"/>
      <w:b/>
      <w:i/>
      <w:kern w:val="0"/>
      <w:szCs w:val="22"/>
    </w:rPr>
  </w:style>
  <w:style w:type="character" w:customStyle="1" w:styleId="aff">
    <w:name w:val="鮮明引文 字元"/>
    <w:rPr>
      <w:rFonts w:ascii="Calibri" w:hAnsi="Calibri"/>
      <w:b/>
      <w:i/>
      <w:sz w:val="24"/>
      <w:szCs w:val="22"/>
    </w:rPr>
  </w:style>
  <w:style w:type="character" w:styleId="aff0">
    <w:name w:val="Subtle Emphasis"/>
    <w:rPr>
      <w:i/>
      <w:color w:val="5A5A5A"/>
    </w:rPr>
  </w:style>
  <w:style w:type="character" w:styleId="aff1">
    <w:name w:val="Intense Emphasis"/>
    <w:rPr>
      <w:b/>
      <w:i/>
      <w:sz w:val="24"/>
      <w:szCs w:val="24"/>
      <w:u w:val="single"/>
    </w:rPr>
  </w:style>
  <w:style w:type="character" w:styleId="aff2">
    <w:name w:val="Subtle Reference"/>
    <w:rPr>
      <w:sz w:val="24"/>
      <w:szCs w:val="24"/>
      <w:u w:val="single"/>
    </w:rPr>
  </w:style>
  <w:style w:type="character" w:styleId="aff3">
    <w:name w:val="Intense Reference"/>
    <w:rPr>
      <w:b/>
      <w:sz w:val="24"/>
      <w:u w:val="single"/>
    </w:rPr>
  </w:style>
  <w:style w:type="character" w:styleId="aff4">
    <w:name w:val="Book Title"/>
    <w:rPr>
      <w:rFonts w:ascii="Cambria" w:eastAsia="新細明體" w:hAnsi="Cambria"/>
      <w:b/>
      <w:i/>
      <w:sz w:val="24"/>
      <w:szCs w:val="24"/>
    </w:rPr>
  </w:style>
  <w:style w:type="paragraph" w:styleId="aff5">
    <w:name w:val="TOC Heading"/>
    <w:basedOn w:val="1"/>
    <w:next w:val="a"/>
  </w:style>
  <w:style w:type="paragraph" w:styleId="aff6">
    <w:name w:val="footnote text"/>
    <w:basedOn w:val="a"/>
    <w:pPr>
      <w:widowControl/>
      <w:snapToGrid w:val="0"/>
    </w:pPr>
    <w:rPr>
      <w:rFonts w:ascii="Calibri" w:hAnsi="Calibri"/>
      <w:kern w:val="0"/>
      <w:sz w:val="20"/>
    </w:rPr>
  </w:style>
  <w:style w:type="character" w:customStyle="1" w:styleId="aff7">
    <w:name w:val="註腳文字 字元"/>
    <w:rPr>
      <w:rFonts w:ascii="Calibri" w:hAnsi="Calibri"/>
    </w:rPr>
  </w:style>
  <w:style w:type="character" w:styleId="aff8">
    <w:name w:val="footnote reference"/>
    <w:rPr>
      <w:position w:val="0"/>
      <w:vertAlign w:val="superscript"/>
    </w:rPr>
  </w:style>
  <w:style w:type="paragraph" w:customStyle="1" w:styleId="k3a-">
    <w:name w:val="k3a-"/>
    <w:basedOn w:val="k3a"/>
    <w:pPr>
      <w:ind w:left="425" w:hanging="100"/>
    </w:pPr>
    <w:rPr>
      <w:rFonts w:ascii="Times New Roman" w:eastAsia="標楷體" w:hAnsi="Times New Roman"/>
    </w:rPr>
  </w:style>
  <w:style w:type="paragraph" w:customStyle="1" w:styleId="k2a-">
    <w:name w:val="k2a-"/>
    <w:basedOn w:val="k2a"/>
    <w:pPr>
      <w:ind w:left="200" w:hanging="100"/>
    </w:pPr>
    <w:rPr>
      <w:rFonts w:ascii="Times New Roman" w:eastAsia="標楷體" w:hAnsi="Times New Roman"/>
      <w:b w:val="0"/>
      <w:color w:val="auto"/>
      <w:spacing w:val="0"/>
    </w:rPr>
  </w:style>
  <w:style w:type="paragraph" w:customStyle="1" w:styleId="t125">
    <w:name w:val="t12.5新細明"/>
    <w:pPr>
      <w:widowControl w:val="0"/>
      <w:suppressAutoHyphens/>
      <w:overflowPunct w:val="0"/>
      <w:autoSpaceDE w:val="0"/>
      <w:spacing w:line="360" w:lineRule="exact"/>
      <w:jc w:val="center"/>
      <w:textAlignment w:val="center"/>
    </w:pPr>
    <w:rPr>
      <w:rFonts w:ascii="新細明體" w:hAnsi="新細明體"/>
      <w:b/>
      <w:spacing w:val="14"/>
      <w:sz w:val="25"/>
      <w:szCs w:val="24"/>
    </w:rPr>
  </w:style>
  <w:style w:type="paragraph" w:customStyle="1" w:styleId="t115">
    <w:name w:val="t11.5新細明"/>
    <w:pPr>
      <w:widowControl w:val="0"/>
      <w:suppressAutoHyphens/>
      <w:overflowPunct w:val="0"/>
      <w:autoSpaceDE w:val="0"/>
      <w:spacing w:line="400" w:lineRule="exact"/>
      <w:ind w:left="30" w:right="30" w:firstLine="200"/>
      <w:jc w:val="both"/>
      <w:textAlignment w:val="center"/>
    </w:pPr>
    <w:rPr>
      <w:rFonts w:ascii="新細明體" w:hAnsi="新細明體"/>
      <w:bCs/>
      <w:spacing w:val="8"/>
      <w:sz w:val="23"/>
    </w:rPr>
  </w:style>
  <w:style w:type="character" w:customStyle="1" w:styleId="k3a-0">
    <w:name w:val="k3a- 字元"/>
    <w:rPr>
      <w:rFonts w:eastAsia="標楷體"/>
      <w:spacing w:val="4"/>
      <w:sz w:val="28"/>
      <w:szCs w:val="26"/>
    </w:rPr>
  </w:style>
  <w:style w:type="character" w:styleId="aff9">
    <w:name w:val="Hyperlink"/>
    <w:rPr>
      <w:color w:val="0000FF"/>
      <w:u w:val="single"/>
    </w:rPr>
  </w:style>
  <w:style w:type="character" w:styleId="affa">
    <w:name w:val="FollowedHyperlink"/>
    <w:rPr>
      <w:color w:val="800080"/>
      <w:u w:val="single"/>
    </w:rPr>
  </w:style>
  <w:style w:type="character" w:customStyle="1" w:styleId="affb">
    <w:name w:val="圖表名稱 字元"/>
    <w:rPr>
      <w:rFonts w:eastAsia="標楷體"/>
      <w:b/>
      <w:sz w:val="26"/>
    </w:rPr>
  </w:style>
  <w:style w:type="paragraph" w:customStyle="1" w:styleId="line05">
    <w:name w:val="line05"/>
    <w:basedOn w:val="line"/>
    <w:pPr>
      <w:overflowPunct/>
      <w:spacing w:line="0" w:lineRule="atLeast"/>
      <w:textAlignment w:val="baseline"/>
    </w:pPr>
    <w:rPr>
      <w:rFonts w:ascii="華康楷書體W4" w:eastAsia="華康楷書體W4" w:hAnsi="華康楷書體W4"/>
      <w:sz w:val="32"/>
      <w:szCs w:val="20"/>
    </w:rPr>
  </w:style>
  <w:style w:type="paragraph" w:styleId="Web">
    <w:name w:val="Normal (Web)"/>
    <w:basedOn w:val="a"/>
    <w:rPr>
      <w:szCs w:val="24"/>
    </w:rPr>
  </w:style>
  <w:style w:type="paragraph" w:customStyle="1" w:styleId="Web1">
    <w:name w:val="內文 (Web)1"/>
    <w:basedOn w:val="a"/>
    <w:pPr>
      <w:widowControl/>
      <w:spacing w:before="300" w:after="100" w:line="432" w:lineRule="auto"/>
    </w:pPr>
    <w:rPr>
      <w:rFonts w:ascii="新細明體" w:hAnsi="新細明體" w:cs="新細明體"/>
      <w:kern w:val="0"/>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4.png"/><Relationship Id="rId68" Type="http://schemas.openxmlformats.org/officeDocument/2006/relationships/header" Target="header7.xml"/><Relationship Id="rId16" Type="http://schemas.openxmlformats.org/officeDocument/2006/relationships/image" Target="media/image4.png"/><Relationship Id="rId11"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wmf"/><Relationship Id="rId58" Type="http://schemas.openxmlformats.org/officeDocument/2006/relationships/oleObject" Target="embeddings/Microsoft_Excel_Chart1.xls"/><Relationship Id="rId74" Type="http://schemas.openxmlformats.org/officeDocument/2006/relationships/footer" Target="footer9.xml"/><Relationship Id="rId79"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image" Target="media/image42.png"/><Relationship Id="rId19" Type="http://schemas.openxmlformats.org/officeDocument/2006/relationships/oleObject" Target="embeddings/Microsoft_Excel_Chart.xls"/><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oleObject" Target="embeddings/oleObject4.bin"/><Relationship Id="rId64" Type="http://schemas.openxmlformats.org/officeDocument/2006/relationships/header" Target="header5.xml"/><Relationship Id="rId69" Type="http://schemas.openxmlformats.org/officeDocument/2006/relationships/header" Target="header8.xml"/><Relationship Id="rId77" Type="http://schemas.openxmlformats.org/officeDocument/2006/relationships/header" Target="header12.xml"/><Relationship Id="rId8" Type="http://schemas.openxmlformats.org/officeDocument/2006/relationships/header" Target="header2.xml"/><Relationship Id="rId51" Type="http://schemas.openxmlformats.org/officeDocument/2006/relationships/image" Target="media/image37.png"/><Relationship Id="rId72" Type="http://schemas.openxmlformats.org/officeDocument/2006/relationships/header" Target="header9.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oleObject" Target="embeddings/oleObject2.bin"/><Relationship Id="rId62" Type="http://schemas.openxmlformats.org/officeDocument/2006/relationships/image" Target="media/image43.png"/><Relationship Id="rId70" Type="http://schemas.openxmlformats.org/officeDocument/2006/relationships/footer" Target="footer7.xml"/><Relationship Id="rId75"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oleObject" Target="embeddings/Microsoft_Excel_Chart2.xls"/><Relationship Id="rId65" Type="http://schemas.openxmlformats.org/officeDocument/2006/relationships/header" Target="header6.xml"/><Relationship Id="rId73" Type="http://schemas.openxmlformats.org/officeDocument/2006/relationships/header" Target="header10.xml"/><Relationship Id="rId78" Type="http://schemas.openxmlformats.org/officeDocument/2006/relationships/footer" Target="footer1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oleObject" Target="embeddings/oleObject3.bin"/><Relationship Id="rId76" Type="http://schemas.openxmlformats.org/officeDocument/2006/relationships/header" Target="header11.xml"/><Relationship Id="rId7" Type="http://schemas.openxmlformats.org/officeDocument/2006/relationships/header" Target="header1.xml"/><Relationship Id="rId71" Type="http://schemas.openxmlformats.org/officeDocument/2006/relationships/footer" Target="footer8.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25912</Words>
  <Characters>147705</Characters>
  <Application>Microsoft Office Word</Application>
  <DocSecurity>0</DocSecurity>
  <Lines>1230</Lines>
  <Paragraphs>346</Paragraphs>
  <ScaleCrop>false</ScaleCrop>
  <Company/>
  <LinksUpToDate>false</LinksUpToDate>
  <CharactersWithSpaces>173271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下篇　部門計畫重要政策措施執行檢討(k00t17)</dc:title>
  <dc:subject/>
  <dc:creator>ymtseng</dc:creator>
  <cp:lastModifiedBy>吳庭儀</cp:lastModifiedBy>
  <cp:revision>3</cp:revision>
  <cp:lastPrinted>2013-01-07T11:47:00Z</cp:lastPrinted>
  <dcterms:created xsi:type="dcterms:W3CDTF">2022-08-01T02:09:00Z</dcterms:created>
  <dcterms:modified xsi:type="dcterms:W3CDTF">2022-08-01T02:09:00Z</dcterms:modified>
</cp:coreProperties>
</file>