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12D" w:rsidRPr="005072CB" w:rsidRDefault="005C612D" w:rsidP="00C0044D">
      <w:pPr>
        <w:pStyle w:val="k00t17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第</w:t>
      </w:r>
      <w:r w:rsidR="00F53FC2" w:rsidRPr="005072CB">
        <w:rPr>
          <w:rFonts w:hint="eastAsia"/>
          <w:color w:val="000000" w:themeColor="text1"/>
        </w:rPr>
        <w:t>一</w:t>
      </w:r>
      <w:r w:rsidRPr="005072CB">
        <w:rPr>
          <w:rFonts w:hint="eastAsia"/>
          <w:color w:val="000000" w:themeColor="text1"/>
        </w:rPr>
        <w:t xml:space="preserve">章　</w:t>
      </w:r>
      <w:r w:rsidR="00F53FC2" w:rsidRPr="005072CB">
        <w:rPr>
          <w:rFonts w:hint="eastAsia"/>
          <w:color w:val="000000" w:themeColor="text1"/>
        </w:rPr>
        <w:t>國際經濟情勢</w:t>
      </w:r>
      <w:r w:rsidR="00901C25" w:rsidRPr="005072CB">
        <w:rPr>
          <w:rFonts w:hint="eastAsia"/>
          <w:color w:val="000000" w:themeColor="text1"/>
        </w:rPr>
        <w:t>與課題</w:t>
      </w:r>
    </w:p>
    <w:p w:rsidR="005C612D" w:rsidRPr="005072CB" w:rsidRDefault="005C612D" w:rsidP="00C0044D">
      <w:pPr>
        <w:pStyle w:val="line"/>
        <w:rPr>
          <w:color w:val="000000" w:themeColor="text1"/>
        </w:rPr>
      </w:pPr>
    </w:p>
    <w:p w:rsidR="00795A36" w:rsidRPr="005072CB" w:rsidRDefault="00795A36" w:rsidP="00C0044D">
      <w:pPr>
        <w:pStyle w:val="k02"/>
        <w:spacing w:line="400" w:lineRule="exact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年全球景氣持續復甦，惟成長</w:t>
      </w:r>
      <w:proofErr w:type="gramStart"/>
      <w:r w:rsidRPr="005072CB">
        <w:rPr>
          <w:rFonts w:hint="eastAsia"/>
          <w:color w:val="000000" w:themeColor="text1"/>
        </w:rPr>
        <w:t>力道弱於</w:t>
      </w:r>
      <w:proofErr w:type="gramEnd"/>
      <w:r w:rsidRPr="005072CB">
        <w:rPr>
          <w:rFonts w:hint="eastAsia"/>
          <w:color w:val="000000" w:themeColor="text1"/>
        </w:rPr>
        <w:t>預期，且各經濟體成長動能不均。依據環球透視機構</w:t>
      </w:r>
      <w:r w:rsidRPr="005072CB">
        <w:rPr>
          <w:rFonts w:ascii="標楷體" w:hAnsi="標楷體" w:hint="eastAsia"/>
          <w:color w:val="000000" w:themeColor="text1"/>
        </w:rPr>
        <w:t>(</w:t>
      </w:r>
      <w:r w:rsidR="00850696" w:rsidRPr="005072CB">
        <w:rPr>
          <w:rFonts w:hint="eastAsia"/>
          <w:color w:val="000000" w:themeColor="text1"/>
        </w:rPr>
        <w:t xml:space="preserve">Global Insight Inc., </w:t>
      </w:r>
      <w:r w:rsidRPr="005072CB">
        <w:rPr>
          <w:rFonts w:hint="eastAsia"/>
          <w:color w:val="000000" w:themeColor="text1"/>
        </w:rPr>
        <w:t>GI</w:t>
      </w:r>
      <w:r w:rsidRPr="005072CB">
        <w:rPr>
          <w:rFonts w:ascii="標楷體" w:hAnsi="標楷體" w:hint="eastAsia"/>
          <w:color w:val="000000" w:themeColor="text1"/>
        </w:rPr>
        <w:t>)</w:t>
      </w:r>
      <w:r w:rsidR="003951F6" w:rsidRPr="005072CB">
        <w:rPr>
          <w:rFonts w:ascii="標楷體" w:hAnsi="標楷體" w:hint="eastAsia"/>
          <w:color w:val="000000" w:themeColor="text1"/>
        </w:rPr>
        <w:t>資料</w:t>
      </w:r>
      <w:r w:rsidRPr="005072CB">
        <w:rPr>
          <w:rFonts w:hint="eastAsia"/>
          <w:color w:val="000000" w:themeColor="text1"/>
        </w:rPr>
        <w:t>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年全球經濟成長率</w:t>
      </w:r>
      <w:r w:rsidR="003842EF" w:rsidRPr="005072CB">
        <w:rPr>
          <w:rFonts w:hint="eastAsia"/>
          <w:color w:val="000000" w:themeColor="text1"/>
        </w:rPr>
        <w:t>2.7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，僅較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2.6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，微升</w:t>
      </w:r>
      <w:r w:rsidRPr="005072CB">
        <w:rPr>
          <w:rFonts w:hint="eastAsia"/>
          <w:color w:val="000000" w:themeColor="text1"/>
        </w:rPr>
        <w:t>0.1</w:t>
      </w:r>
      <w:r w:rsidRPr="005072CB">
        <w:rPr>
          <w:rFonts w:hint="eastAsia"/>
          <w:color w:val="000000" w:themeColor="text1"/>
        </w:rPr>
        <w:t>個百分點。</w:t>
      </w:r>
      <w:r w:rsidR="004E1FC9" w:rsidRPr="005072CB">
        <w:rPr>
          <w:rFonts w:hint="eastAsia"/>
          <w:color w:val="000000" w:themeColor="text1"/>
        </w:rPr>
        <w:t>國際貨幣基金</w:t>
      </w:r>
      <w:r w:rsidR="004E1FC9" w:rsidRPr="005072CB">
        <w:rPr>
          <w:rFonts w:ascii="標楷體" w:hAnsi="標楷體" w:hint="eastAsia"/>
          <w:color w:val="000000" w:themeColor="text1"/>
        </w:rPr>
        <w:t>(</w:t>
      </w:r>
      <w:r w:rsidR="004E1FC9" w:rsidRPr="005072CB">
        <w:rPr>
          <w:rFonts w:hint="eastAsia"/>
          <w:color w:val="000000" w:themeColor="text1"/>
        </w:rPr>
        <w:t>IMF</w:t>
      </w:r>
      <w:r w:rsidR="004E1FC9" w:rsidRPr="005072CB">
        <w:rPr>
          <w:rFonts w:ascii="標楷體" w:hAnsi="標楷體" w:hint="eastAsia"/>
          <w:color w:val="000000" w:themeColor="text1"/>
        </w:rPr>
        <w:t>)</w:t>
      </w:r>
      <w:r w:rsidR="004E1FC9" w:rsidRPr="005072CB">
        <w:rPr>
          <w:rFonts w:hint="eastAsia"/>
          <w:color w:val="000000" w:themeColor="text1"/>
        </w:rPr>
        <w:t>指出，全球經濟復甦力道疲弱，可能陷入長期成長低於平均水準的「新平庸」時期。</w:t>
      </w:r>
      <w:proofErr w:type="gramStart"/>
      <w:r w:rsidR="004E1FC9" w:rsidRPr="005072CB">
        <w:rPr>
          <w:rFonts w:hint="eastAsia"/>
          <w:color w:val="000000" w:themeColor="text1"/>
        </w:rPr>
        <w:t>此外，</w:t>
      </w:r>
      <w:proofErr w:type="gramEnd"/>
      <w:r w:rsidR="00D61B78" w:rsidRPr="005072CB">
        <w:rPr>
          <w:rFonts w:hint="eastAsia"/>
          <w:color w:val="000000" w:themeColor="text1"/>
        </w:rPr>
        <w:t>國際</w:t>
      </w:r>
      <w:r w:rsidR="004E1FC9" w:rsidRPr="005072CB">
        <w:rPr>
          <w:rFonts w:hint="eastAsia"/>
          <w:color w:val="000000" w:themeColor="text1"/>
        </w:rPr>
        <w:t>金融市場波動加劇、</w:t>
      </w:r>
      <w:r w:rsidR="00D61B78" w:rsidRPr="005072CB">
        <w:rPr>
          <w:rFonts w:hint="eastAsia"/>
          <w:color w:val="000000" w:themeColor="text1"/>
        </w:rPr>
        <w:t>原油</w:t>
      </w:r>
      <w:r w:rsidR="00B33A5F" w:rsidRPr="005072CB">
        <w:rPr>
          <w:rFonts w:hint="eastAsia"/>
          <w:color w:val="000000" w:themeColor="text1"/>
        </w:rPr>
        <w:t>及糧食</w:t>
      </w:r>
      <w:r w:rsidR="00D61B78" w:rsidRPr="005072CB">
        <w:rPr>
          <w:rFonts w:hint="eastAsia"/>
          <w:color w:val="000000" w:themeColor="text1"/>
        </w:rPr>
        <w:t>價格下跌</w:t>
      </w:r>
      <w:r w:rsidR="004E1FC9" w:rsidRPr="005072CB">
        <w:rPr>
          <w:rFonts w:hint="eastAsia"/>
          <w:color w:val="000000" w:themeColor="text1"/>
        </w:rPr>
        <w:t>、經貿整合加速進行、</w:t>
      </w:r>
      <w:r w:rsidR="00850696" w:rsidRPr="005072CB">
        <w:rPr>
          <w:rFonts w:hint="eastAsia"/>
          <w:color w:val="000000" w:themeColor="text1"/>
        </w:rPr>
        <w:t>氣候變遷威脅加劇</w:t>
      </w:r>
      <w:r w:rsidR="004E1FC9" w:rsidRPr="005072CB">
        <w:rPr>
          <w:rFonts w:hint="eastAsia"/>
          <w:color w:val="000000" w:themeColor="text1"/>
        </w:rPr>
        <w:t>等</w:t>
      </w:r>
      <w:r w:rsidR="00850696" w:rsidRPr="005072CB">
        <w:rPr>
          <w:rFonts w:hint="eastAsia"/>
          <w:color w:val="000000" w:themeColor="text1"/>
        </w:rPr>
        <w:t>，</w:t>
      </w:r>
      <w:proofErr w:type="gramStart"/>
      <w:r w:rsidR="004E1FC9" w:rsidRPr="005072CB">
        <w:rPr>
          <w:rFonts w:hint="eastAsia"/>
          <w:color w:val="000000" w:themeColor="text1"/>
        </w:rPr>
        <w:t>均為影響</w:t>
      </w:r>
      <w:proofErr w:type="gramEnd"/>
      <w:r w:rsidR="004E1FC9" w:rsidRPr="005072CB">
        <w:rPr>
          <w:rFonts w:hint="eastAsia"/>
          <w:color w:val="000000" w:themeColor="text1"/>
        </w:rPr>
        <w:t>世界經貿發展的重要議題</w:t>
      </w:r>
      <w:r w:rsidR="00850696" w:rsidRPr="005072CB">
        <w:rPr>
          <w:rFonts w:hint="eastAsia"/>
          <w:color w:val="000000" w:themeColor="text1"/>
        </w:rPr>
        <w:t>。</w:t>
      </w:r>
    </w:p>
    <w:p w:rsidR="00795A36" w:rsidRPr="005072CB" w:rsidRDefault="00795A36" w:rsidP="00C0044D">
      <w:pPr>
        <w:pStyle w:val="k00"/>
        <w:spacing w:line="400" w:lineRule="exact"/>
        <w:ind w:left="288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850696" w:rsidRPr="005072CB">
        <w:rPr>
          <w:rFonts w:hint="eastAsia"/>
          <w:color w:val="000000" w:themeColor="text1"/>
        </w:rPr>
        <w:t>先進經濟體因美國經濟明顯改善，帶動整體景氣穩健復甦，</w:t>
      </w:r>
      <w:r w:rsidR="00850696" w:rsidRPr="005072CB">
        <w:rPr>
          <w:rFonts w:hint="eastAsia"/>
          <w:color w:val="000000" w:themeColor="text1"/>
        </w:rPr>
        <w:t>2014</w:t>
      </w:r>
      <w:r w:rsidR="00850696" w:rsidRPr="005072CB">
        <w:rPr>
          <w:rFonts w:hint="eastAsia"/>
          <w:color w:val="000000" w:themeColor="text1"/>
        </w:rPr>
        <w:t>年經濟成長率由</w:t>
      </w:r>
      <w:r w:rsidR="00850696" w:rsidRPr="005072CB">
        <w:rPr>
          <w:rFonts w:hint="eastAsia"/>
          <w:color w:val="000000" w:themeColor="text1"/>
        </w:rPr>
        <w:t>2013</w:t>
      </w:r>
      <w:r w:rsidR="00850696"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1.4</w:t>
      </w:r>
      <w:r w:rsidR="00850696" w:rsidRPr="005072CB">
        <w:rPr>
          <w:rFonts w:hint="eastAsia"/>
          <w:color w:val="000000" w:themeColor="text1"/>
        </w:rPr>
        <w:t>%</w:t>
      </w:r>
      <w:r w:rsidR="00850696" w:rsidRPr="005072CB">
        <w:rPr>
          <w:rFonts w:hint="eastAsia"/>
          <w:color w:val="000000" w:themeColor="text1"/>
        </w:rPr>
        <w:t>續升至</w:t>
      </w:r>
      <w:r w:rsidR="00850696" w:rsidRPr="005072CB">
        <w:rPr>
          <w:rFonts w:hint="eastAsia"/>
          <w:color w:val="000000" w:themeColor="text1"/>
        </w:rPr>
        <w:t>1.8%</w:t>
      </w:r>
      <w:r w:rsidR="00850696" w:rsidRPr="005072CB">
        <w:rPr>
          <w:rFonts w:hint="eastAsia"/>
          <w:color w:val="000000" w:themeColor="text1"/>
        </w:rPr>
        <w:t>。其中，美國政府財政改善、民間消費能力提升、房地產市場</w:t>
      </w:r>
      <w:proofErr w:type="gramStart"/>
      <w:r w:rsidR="00850696" w:rsidRPr="005072CB">
        <w:rPr>
          <w:rFonts w:hint="eastAsia"/>
          <w:color w:val="000000" w:themeColor="text1"/>
        </w:rPr>
        <w:t>景氣漸佳</w:t>
      </w:r>
      <w:proofErr w:type="gramEnd"/>
      <w:r w:rsidR="00850696" w:rsidRPr="005072CB">
        <w:rPr>
          <w:rFonts w:hint="eastAsia"/>
          <w:color w:val="000000" w:themeColor="text1"/>
        </w:rPr>
        <w:t>，經濟溫和擴張</w:t>
      </w:r>
      <w:r w:rsidR="00850696" w:rsidRPr="005072CB">
        <w:rPr>
          <w:rFonts w:hint="eastAsia"/>
          <w:color w:val="000000" w:themeColor="text1"/>
        </w:rPr>
        <w:t>2.4%</w:t>
      </w:r>
      <w:r w:rsidR="00850696" w:rsidRPr="005072CB">
        <w:rPr>
          <w:rFonts w:hint="eastAsia"/>
          <w:color w:val="000000" w:themeColor="text1"/>
        </w:rPr>
        <w:t>；歐元區整體經濟雖已擺脫衰退陰霾，惟通貨緊縮壓力未解，復甦動能疲弱，僅微幅成長</w:t>
      </w:r>
      <w:r w:rsidR="00850696" w:rsidRPr="005072CB">
        <w:rPr>
          <w:rFonts w:hint="eastAsia"/>
          <w:color w:val="000000" w:themeColor="text1"/>
        </w:rPr>
        <w:t>0.9%</w:t>
      </w:r>
      <w:r w:rsidR="00850696" w:rsidRPr="005072CB">
        <w:rPr>
          <w:rFonts w:hint="eastAsia"/>
          <w:color w:val="000000" w:themeColor="text1"/>
        </w:rPr>
        <w:t>；日本則受</w:t>
      </w:r>
      <w:r w:rsidR="00850696" w:rsidRPr="005072CB">
        <w:rPr>
          <w:rFonts w:hint="eastAsia"/>
          <w:color w:val="000000" w:themeColor="text1"/>
        </w:rPr>
        <w:t>2014</w:t>
      </w:r>
      <w:r w:rsidR="00850696" w:rsidRPr="005072CB">
        <w:rPr>
          <w:rFonts w:hint="eastAsia"/>
          <w:color w:val="000000" w:themeColor="text1"/>
        </w:rPr>
        <w:t>年</w:t>
      </w:r>
      <w:r w:rsidR="00850696" w:rsidRPr="005072CB">
        <w:rPr>
          <w:rFonts w:hint="eastAsia"/>
          <w:color w:val="000000" w:themeColor="text1"/>
        </w:rPr>
        <w:t>4</w:t>
      </w:r>
      <w:r w:rsidR="00850696" w:rsidRPr="005072CB">
        <w:rPr>
          <w:rFonts w:hint="eastAsia"/>
          <w:color w:val="000000" w:themeColor="text1"/>
        </w:rPr>
        <w:t>月調升消費稅影響，民間消費支出低迷，加以工業生產疲弱，經濟負成長</w:t>
      </w:r>
      <w:r w:rsidR="00850696" w:rsidRPr="005072CB">
        <w:rPr>
          <w:rFonts w:hint="eastAsia"/>
          <w:color w:val="000000" w:themeColor="text1"/>
        </w:rPr>
        <w:t>0.1%</w:t>
      </w:r>
      <w:r w:rsidR="00850696" w:rsidRPr="005072CB">
        <w:rPr>
          <w:rFonts w:hint="eastAsia"/>
          <w:color w:val="000000" w:themeColor="text1"/>
        </w:rPr>
        <w:t>。</w:t>
      </w:r>
    </w:p>
    <w:p w:rsidR="00795A36" w:rsidRPr="005072CB" w:rsidRDefault="00795A36" w:rsidP="00C0044D">
      <w:pPr>
        <w:pStyle w:val="k00"/>
        <w:spacing w:line="400" w:lineRule="exact"/>
        <w:ind w:left="288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EC2050" w:rsidRPr="005072CB">
        <w:rPr>
          <w:rFonts w:hint="eastAsia"/>
          <w:color w:val="000000" w:themeColor="text1"/>
        </w:rPr>
        <w:t>新興經濟體主要受中國大陸面臨房市泡沫化壓力、巴西經濟活動持續趨緩、俄羅斯因歐美經濟制裁及油價崩跌而景氣重挫等影響，整體成長動能趨緩，</w:t>
      </w:r>
      <w:r w:rsidR="00EC2050" w:rsidRPr="005072CB">
        <w:rPr>
          <w:rFonts w:hint="eastAsia"/>
          <w:color w:val="000000" w:themeColor="text1"/>
        </w:rPr>
        <w:t>2014</w:t>
      </w:r>
      <w:r w:rsidR="00EC2050" w:rsidRPr="005072CB">
        <w:rPr>
          <w:rFonts w:hint="eastAsia"/>
          <w:color w:val="000000" w:themeColor="text1"/>
        </w:rPr>
        <w:t>年經濟成長率</w:t>
      </w:r>
      <w:r w:rsidR="00EC2050" w:rsidRPr="005072CB">
        <w:rPr>
          <w:rFonts w:hint="eastAsia"/>
          <w:color w:val="000000" w:themeColor="text1"/>
        </w:rPr>
        <w:t>4.4%</w:t>
      </w:r>
      <w:r w:rsidR="00EC2050" w:rsidRPr="005072CB">
        <w:rPr>
          <w:rFonts w:hint="eastAsia"/>
          <w:color w:val="000000" w:themeColor="text1"/>
        </w:rPr>
        <w:t>，較</w:t>
      </w:r>
      <w:r w:rsidR="00EC2050" w:rsidRPr="005072CB">
        <w:rPr>
          <w:rFonts w:hint="eastAsia"/>
          <w:color w:val="000000" w:themeColor="text1"/>
        </w:rPr>
        <w:t>2013</w:t>
      </w:r>
      <w:r w:rsidR="00EC2050" w:rsidRPr="005072CB">
        <w:rPr>
          <w:rFonts w:hint="eastAsia"/>
          <w:color w:val="000000" w:themeColor="text1"/>
        </w:rPr>
        <w:t>年的</w:t>
      </w:r>
      <w:r w:rsidR="00EC2050" w:rsidRPr="005072CB">
        <w:rPr>
          <w:rFonts w:hint="eastAsia"/>
          <w:color w:val="000000" w:themeColor="text1"/>
        </w:rPr>
        <w:t>4.9%</w:t>
      </w:r>
      <w:r w:rsidR="00EC2050" w:rsidRPr="005072CB">
        <w:rPr>
          <w:rFonts w:hint="eastAsia"/>
          <w:color w:val="000000" w:themeColor="text1"/>
        </w:rPr>
        <w:t>，下降</w:t>
      </w:r>
      <w:r w:rsidR="00EC2050" w:rsidRPr="005072CB">
        <w:rPr>
          <w:rFonts w:hint="eastAsia"/>
          <w:color w:val="000000" w:themeColor="text1"/>
        </w:rPr>
        <w:t>0.5</w:t>
      </w:r>
      <w:r w:rsidR="00EC2050" w:rsidRPr="005072CB">
        <w:rPr>
          <w:rFonts w:hint="eastAsia"/>
          <w:color w:val="000000" w:themeColor="text1"/>
        </w:rPr>
        <w:t>個百分點。</w:t>
      </w:r>
      <w:r w:rsidR="00850696" w:rsidRPr="005072CB">
        <w:rPr>
          <w:rFonts w:hint="eastAsia"/>
          <w:color w:val="000000" w:themeColor="text1"/>
        </w:rPr>
        <w:t>其中，中國大陸正處於經濟結構調整與政治改革的過渡時期，</w:t>
      </w:r>
      <w:r w:rsidR="00850696" w:rsidRPr="005072CB">
        <w:rPr>
          <w:rFonts w:hint="eastAsia"/>
          <w:color w:val="000000" w:themeColor="text1"/>
        </w:rPr>
        <w:t>2014</w:t>
      </w:r>
      <w:r w:rsidR="00850696" w:rsidRPr="005072CB">
        <w:rPr>
          <w:rFonts w:hint="eastAsia"/>
          <w:color w:val="000000" w:themeColor="text1"/>
        </w:rPr>
        <w:t>年經濟成長率為</w:t>
      </w:r>
      <w:r w:rsidR="00850696" w:rsidRPr="005072CB">
        <w:rPr>
          <w:rFonts w:hint="eastAsia"/>
          <w:color w:val="000000" w:themeColor="text1"/>
        </w:rPr>
        <w:t>7.4%</w:t>
      </w:r>
      <w:r w:rsidR="00850696" w:rsidRPr="005072CB">
        <w:rPr>
          <w:rFonts w:hint="eastAsia"/>
          <w:color w:val="000000" w:themeColor="text1"/>
        </w:rPr>
        <w:t>，為</w:t>
      </w:r>
      <w:r w:rsidR="00850696" w:rsidRPr="005072CB">
        <w:rPr>
          <w:rFonts w:hint="eastAsia"/>
          <w:color w:val="000000" w:themeColor="text1"/>
        </w:rPr>
        <w:t>1990</w:t>
      </w:r>
      <w:r w:rsidR="00850696" w:rsidRPr="005072CB">
        <w:rPr>
          <w:rFonts w:hint="eastAsia"/>
          <w:color w:val="000000" w:themeColor="text1"/>
        </w:rPr>
        <w:t>年以來最低水準，成長模式已進入「</w:t>
      </w:r>
      <w:proofErr w:type="gramStart"/>
      <w:r w:rsidR="00850696" w:rsidRPr="005072CB">
        <w:rPr>
          <w:rFonts w:hint="eastAsia"/>
          <w:color w:val="000000" w:themeColor="text1"/>
        </w:rPr>
        <w:t>提質減速</w:t>
      </w:r>
      <w:proofErr w:type="gramEnd"/>
      <w:r w:rsidR="00850696" w:rsidRPr="005072CB">
        <w:rPr>
          <w:rFonts w:hint="eastAsia"/>
          <w:color w:val="000000" w:themeColor="text1"/>
        </w:rPr>
        <w:t>」的「新常態」。</w:t>
      </w:r>
    </w:p>
    <w:p w:rsidR="00C51780" w:rsidRPr="005072CB" w:rsidRDefault="00795A36" w:rsidP="00C0044D">
      <w:pPr>
        <w:pStyle w:val="k00"/>
        <w:spacing w:line="400" w:lineRule="exact"/>
        <w:ind w:left="288" w:hangingChars="100" w:hanging="288"/>
        <w:rPr>
          <w:b/>
          <w:color w:val="000000" w:themeColor="text1"/>
          <w:spacing w:val="10"/>
          <w:sz w:val="30"/>
        </w:rPr>
      </w:pPr>
      <w:r w:rsidRPr="005072CB">
        <w:rPr>
          <w:rFonts w:hint="eastAsia"/>
          <w:color w:val="000000" w:themeColor="text1"/>
        </w:rPr>
        <w:t>－</w:t>
      </w:r>
      <w:r w:rsidR="00321EE3" w:rsidRPr="005072CB">
        <w:rPr>
          <w:rFonts w:hint="eastAsia"/>
          <w:color w:val="000000" w:themeColor="text1"/>
        </w:rPr>
        <w:t>2014</w:t>
      </w:r>
      <w:r w:rsidR="00321EE3" w:rsidRPr="005072CB">
        <w:rPr>
          <w:rFonts w:hint="eastAsia"/>
          <w:color w:val="000000" w:themeColor="text1"/>
        </w:rPr>
        <w:t>年，</w:t>
      </w:r>
      <w:r w:rsidR="008E6598" w:rsidRPr="005072CB">
        <w:rPr>
          <w:rFonts w:hint="eastAsia"/>
          <w:color w:val="000000" w:themeColor="text1"/>
        </w:rPr>
        <w:t>由於歐、美、日等先進經濟體</w:t>
      </w:r>
      <w:r w:rsidR="00321EE3" w:rsidRPr="005072CB">
        <w:rPr>
          <w:rFonts w:hint="eastAsia"/>
          <w:color w:val="000000" w:themeColor="text1"/>
        </w:rPr>
        <w:t>經濟成長態勢不一致，致貨幣政策</w:t>
      </w:r>
      <w:proofErr w:type="gramStart"/>
      <w:r w:rsidR="00321EE3" w:rsidRPr="005072CB">
        <w:rPr>
          <w:rFonts w:hint="eastAsia"/>
          <w:color w:val="000000" w:themeColor="text1"/>
        </w:rPr>
        <w:t>不</w:t>
      </w:r>
      <w:proofErr w:type="gramEnd"/>
      <w:r w:rsidR="00321EE3" w:rsidRPr="005072CB">
        <w:rPr>
          <w:rFonts w:hint="eastAsia"/>
          <w:color w:val="000000" w:themeColor="text1"/>
        </w:rPr>
        <w:t>同調，造成全球金融市場波動加劇，主要國家股市多呈上漲，</w:t>
      </w:r>
      <w:proofErr w:type="gramStart"/>
      <w:r w:rsidR="00321EE3" w:rsidRPr="005072CB">
        <w:rPr>
          <w:rFonts w:hint="eastAsia"/>
          <w:color w:val="000000" w:themeColor="text1"/>
        </w:rPr>
        <w:t>匯</w:t>
      </w:r>
      <w:proofErr w:type="gramEnd"/>
      <w:r w:rsidR="00321EE3" w:rsidRPr="005072CB">
        <w:rPr>
          <w:rFonts w:hint="eastAsia"/>
          <w:color w:val="000000" w:themeColor="text1"/>
        </w:rPr>
        <w:t>市則呈現美元走升態勢。商品原物料方面，國際油價下半年開始大幅度下滑，糧</w:t>
      </w:r>
      <w:r w:rsidR="00B33A5F" w:rsidRPr="005072CB">
        <w:rPr>
          <w:rFonts w:hint="eastAsia"/>
          <w:color w:val="000000" w:themeColor="text1"/>
        </w:rPr>
        <w:t>食</w:t>
      </w:r>
      <w:r w:rsidR="00321EE3" w:rsidRPr="005072CB">
        <w:rPr>
          <w:rFonts w:hint="eastAsia"/>
          <w:color w:val="000000" w:themeColor="text1"/>
        </w:rPr>
        <w:t>價</w:t>
      </w:r>
      <w:r w:rsidR="00B33A5F" w:rsidRPr="005072CB">
        <w:rPr>
          <w:rFonts w:hint="eastAsia"/>
          <w:color w:val="000000" w:themeColor="text1"/>
        </w:rPr>
        <w:t>格</w:t>
      </w:r>
      <w:r w:rsidR="00321EE3" w:rsidRPr="005072CB">
        <w:rPr>
          <w:rFonts w:hint="eastAsia"/>
          <w:color w:val="000000" w:themeColor="text1"/>
        </w:rPr>
        <w:t>則延續</w:t>
      </w:r>
      <w:r w:rsidR="00321EE3" w:rsidRPr="005072CB">
        <w:rPr>
          <w:rFonts w:hint="eastAsia"/>
          <w:color w:val="000000" w:themeColor="text1"/>
        </w:rPr>
        <w:t>2013</w:t>
      </w:r>
      <w:r w:rsidR="00321EE3" w:rsidRPr="005072CB">
        <w:rPr>
          <w:rFonts w:hint="eastAsia"/>
          <w:color w:val="000000" w:themeColor="text1"/>
        </w:rPr>
        <w:t>年跌勢。在區域整合方面，全球經貿整合在美國及中國大陸雙角力之較勁下加速進行</w:t>
      </w:r>
      <w:r w:rsidR="0048343F" w:rsidRPr="005072CB">
        <w:rPr>
          <w:rFonts w:hint="eastAsia"/>
          <w:color w:val="000000" w:themeColor="text1"/>
        </w:rPr>
        <w:t>，美國持續推動「跨太平洋夥伴協定</w:t>
      </w:r>
      <w:r w:rsidR="00BC29A6" w:rsidRPr="005072CB">
        <w:rPr>
          <w:rFonts w:hint="eastAsia"/>
          <w:color w:val="000000" w:themeColor="text1"/>
        </w:rPr>
        <w:t>」</w:t>
      </w:r>
      <w:r w:rsidR="0048343F" w:rsidRPr="005072CB">
        <w:rPr>
          <w:rFonts w:ascii="標楷體" w:hAnsi="標楷體" w:hint="eastAsia"/>
          <w:color w:val="000000" w:themeColor="text1"/>
        </w:rPr>
        <w:t>(</w:t>
      </w:r>
      <w:r w:rsidR="0048343F" w:rsidRPr="005072CB">
        <w:rPr>
          <w:rFonts w:hint="eastAsia"/>
          <w:color w:val="000000" w:themeColor="text1"/>
        </w:rPr>
        <w:t>TPP</w:t>
      </w:r>
      <w:r w:rsidR="0048343F" w:rsidRPr="005072CB">
        <w:rPr>
          <w:rFonts w:ascii="標楷體" w:hAnsi="標楷體" w:hint="eastAsia"/>
          <w:color w:val="000000" w:themeColor="text1"/>
        </w:rPr>
        <w:t>)</w:t>
      </w:r>
      <w:r w:rsidR="0048343F" w:rsidRPr="005072CB">
        <w:rPr>
          <w:rFonts w:hint="eastAsia"/>
          <w:color w:val="000000" w:themeColor="text1"/>
        </w:rPr>
        <w:t>及「跨大西洋貿易及投資夥伴協</w:t>
      </w:r>
      <w:r w:rsidR="00B33A5F" w:rsidRPr="005072CB">
        <w:rPr>
          <w:rFonts w:hint="eastAsia"/>
          <w:color w:val="000000" w:themeColor="text1"/>
        </w:rPr>
        <w:t>議</w:t>
      </w:r>
      <w:r w:rsidR="00BC29A6" w:rsidRPr="005072CB">
        <w:rPr>
          <w:rFonts w:ascii="標楷體" w:hAnsi="標楷體" w:hint="eastAsia"/>
          <w:color w:val="000000" w:themeColor="text1"/>
        </w:rPr>
        <w:t>」</w:t>
      </w:r>
      <w:r w:rsidR="0048343F" w:rsidRPr="005072CB">
        <w:rPr>
          <w:rFonts w:ascii="標楷體" w:hAnsi="標楷體" w:hint="eastAsia"/>
          <w:color w:val="000000" w:themeColor="text1"/>
        </w:rPr>
        <w:t>(</w:t>
      </w:r>
      <w:r w:rsidR="0048343F" w:rsidRPr="005072CB">
        <w:rPr>
          <w:rFonts w:hint="eastAsia"/>
          <w:color w:val="000000" w:themeColor="text1"/>
        </w:rPr>
        <w:t>TTIP</w:t>
      </w:r>
      <w:r w:rsidR="0048343F" w:rsidRPr="005072CB">
        <w:rPr>
          <w:rFonts w:ascii="標楷體" w:hAnsi="標楷體" w:hint="eastAsia"/>
          <w:color w:val="000000" w:themeColor="text1"/>
        </w:rPr>
        <w:t>)</w:t>
      </w:r>
      <w:r w:rsidR="00E114A8" w:rsidRPr="005072CB">
        <w:rPr>
          <w:rFonts w:hint="eastAsia"/>
          <w:color w:val="000000" w:themeColor="text1"/>
        </w:rPr>
        <w:t>等</w:t>
      </w:r>
      <w:r w:rsidR="0048343F" w:rsidRPr="005072CB">
        <w:rPr>
          <w:rFonts w:hint="eastAsia"/>
          <w:color w:val="000000" w:themeColor="text1"/>
        </w:rPr>
        <w:t>，中國大陸</w:t>
      </w:r>
      <w:r w:rsidR="00B33A5F" w:rsidRPr="005072CB">
        <w:rPr>
          <w:rFonts w:hint="eastAsia"/>
          <w:color w:val="000000" w:themeColor="text1"/>
        </w:rPr>
        <w:t>則積極主導東亞經濟整合及新興市場區域合作，持續</w:t>
      </w:r>
      <w:r w:rsidR="00C06551" w:rsidRPr="005072CB">
        <w:rPr>
          <w:rFonts w:hint="eastAsia"/>
          <w:color w:val="000000" w:themeColor="text1"/>
        </w:rPr>
        <w:t>進行</w:t>
      </w:r>
      <w:r w:rsidR="0048343F" w:rsidRPr="005072CB">
        <w:rPr>
          <w:rFonts w:hint="eastAsia"/>
          <w:color w:val="000000" w:themeColor="text1"/>
        </w:rPr>
        <w:t>「區域全面經濟夥伴協定</w:t>
      </w:r>
      <w:r w:rsidR="00BC29A6" w:rsidRPr="005072CB">
        <w:rPr>
          <w:rFonts w:hint="eastAsia"/>
          <w:color w:val="000000" w:themeColor="text1"/>
        </w:rPr>
        <w:t>」</w:t>
      </w:r>
      <w:r w:rsidR="0048343F" w:rsidRPr="005072CB">
        <w:rPr>
          <w:rFonts w:ascii="標楷體" w:hAnsi="標楷體" w:hint="eastAsia"/>
          <w:color w:val="000000" w:themeColor="text1"/>
        </w:rPr>
        <w:t>(</w:t>
      </w:r>
      <w:r w:rsidR="0048343F" w:rsidRPr="005072CB">
        <w:rPr>
          <w:rFonts w:hint="eastAsia"/>
          <w:color w:val="000000" w:themeColor="text1"/>
        </w:rPr>
        <w:t>RCEP</w:t>
      </w:r>
      <w:r w:rsidR="0048343F" w:rsidRPr="005072CB">
        <w:rPr>
          <w:rFonts w:ascii="標楷體" w:hAnsi="標楷體" w:hint="eastAsia"/>
          <w:color w:val="000000" w:themeColor="text1"/>
        </w:rPr>
        <w:t>)</w:t>
      </w:r>
      <w:r w:rsidR="0048343F" w:rsidRPr="005072CB">
        <w:rPr>
          <w:rFonts w:hint="eastAsia"/>
          <w:color w:val="000000" w:themeColor="text1"/>
        </w:rPr>
        <w:t>談判，並推動「一帶一路」經濟戰略</w:t>
      </w:r>
      <w:r w:rsidR="00B33A5F" w:rsidRPr="005072CB">
        <w:rPr>
          <w:rFonts w:hint="eastAsia"/>
          <w:color w:val="000000" w:themeColor="text1"/>
        </w:rPr>
        <w:t>，同時搭配成立「亞</w:t>
      </w:r>
      <w:bookmarkStart w:id="0" w:name="_GoBack"/>
      <w:bookmarkEnd w:id="0"/>
      <w:r w:rsidR="00B33A5F" w:rsidRPr="005072CB">
        <w:rPr>
          <w:rFonts w:hint="eastAsia"/>
          <w:color w:val="000000" w:themeColor="text1"/>
        </w:rPr>
        <w:t>洲基礎設施投資銀行</w:t>
      </w:r>
      <w:r w:rsidR="00BC29A6" w:rsidRPr="005072CB">
        <w:rPr>
          <w:rFonts w:hint="eastAsia"/>
          <w:color w:val="000000" w:themeColor="text1"/>
        </w:rPr>
        <w:t>」</w:t>
      </w:r>
      <w:r w:rsidR="00B33A5F" w:rsidRPr="005072CB">
        <w:rPr>
          <w:rFonts w:ascii="標楷體" w:hAnsi="標楷體" w:hint="eastAsia"/>
          <w:color w:val="000000" w:themeColor="text1"/>
        </w:rPr>
        <w:t>(</w:t>
      </w:r>
      <w:r w:rsidR="00B33A5F" w:rsidRPr="005072CB">
        <w:rPr>
          <w:rFonts w:hint="eastAsia"/>
          <w:color w:val="000000" w:themeColor="text1"/>
        </w:rPr>
        <w:t>AIIB</w:t>
      </w:r>
      <w:r w:rsidR="00B33A5F" w:rsidRPr="005072CB">
        <w:rPr>
          <w:rFonts w:ascii="標楷體" w:hAnsi="標楷體" w:hint="eastAsia"/>
          <w:color w:val="000000" w:themeColor="text1"/>
        </w:rPr>
        <w:t>)等</w:t>
      </w:r>
      <w:r w:rsidR="0048343F" w:rsidRPr="005072CB">
        <w:rPr>
          <w:rFonts w:hint="eastAsia"/>
          <w:color w:val="000000" w:themeColor="text1"/>
        </w:rPr>
        <w:t>。</w:t>
      </w:r>
      <w:r w:rsidR="00321EE3" w:rsidRPr="005072CB">
        <w:rPr>
          <w:rFonts w:hint="eastAsia"/>
          <w:color w:val="000000" w:themeColor="text1"/>
        </w:rPr>
        <w:t>另由於氣候變遷威脅加劇，</w:t>
      </w:r>
      <w:proofErr w:type="gramStart"/>
      <w:r w:rsidR="00321EE3" w:rsidRPr="005072CB">
        <w:rPr>
          <w:rFonts w:hint="eastAsia"/>
          <w:color w:val="000000" w:themeColor="text1"/>
        </w:rPr>
        <w:t>節能減碳與</w:t>
      </w:r>
      <w:proofErr w:type="gramEnd"/>
      <w:r w:rsidR="00321EE3" w:rsidRPr="005072CB">
        <w:rPr>
          <w:rFonts w:hint="eastAsia"/>
          <w:color w:val="000000" w:themeColor="text1"/>
        </w:rPr>
        <w:t>調適續為國際組織及各國政府關注議題。</w:t>
      </w:r>
      <w:r w:rsidR="00C51780" w:rsidRPr="005072CB">
        <w:rPr>
          <w:color w:val="000000" w:themeColor="text1"/>
        </w:rPr>
        <w:br w:type="page"/>
      </w:r>
    </w:p>
    <w:p w:rsidR="005C612D" w:rsidRPr="005072CB" w:rsidRDefault="005C612D" w:rsidP="00C0044D">
      <w:pPr>
        <w:pStyle w:val="k00t15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lastRenderedPageBreak/>
        <w:t xml:space="preserve">第一節　</w:t>
      </w:r>
      <w:r w:rsidR="00901C25" w:rsidRPr="005072CB">
        <w:rPr>
          <w:rFonts w:hint="eastAsia"/>
          <w:color w:val="000000" w:themeColor="text1"/>
        </w:rPr>
        <w:t>國際</w:t>
      </w:r>
      <w:r w:rsidR="00F53FC2" w:rsidRPr="005072CB">
        <w:rPr>
          <w:rFonts w:hint="eastAsia"/>
          <w:color w:val="000000" w:themeColor="text1"/>
        </w:rPr>
        <w:t>經濟情勢</w:t>
      </w:r>
    </w:p>
    <w:p w:rsidR="005C612D" w:rsidRPr="005072CB" w:rsidRDefault="005C612D" w:rsidP="00C0044D">
      <w:pPr>
        <w:pStyle w:val="line"/>
        <w:rPr>
          <w:color w:val="000000" w:themeColor="text1"/>
        </w:rPr>
      </w:pPr>
    </w:p>
    <w:p w:rsidR="009F62BC" w:rsidRPr="005072CB" w:rsidRDefault="00685906" w:rsidP="00C0044D">
      <w:pPr>
        <w:pStyle w:val="k02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年全球景氣持續復甦，惟成長</w:t>
      </w:r>
      <w:proofErr w:type="gramStart"/>
      <w:r w:rsidRPr="005072CB">
        <w:rPr>
          <w:rFonts w:hint="eastAsia"/>
          <w:color w:val="000000" w:themeColor="text1"/>
        </w:rPr>
        <w:t>力道弱於</w:t>
      </w:r>
      <w:proofErr w:type="gramEnd"/>
      <w:r w:rsidRPr="005072CB">
        <w:rPr>
          <w:rFonts w:hint="eastAsia"/>
          <w:color w:val="000000" w:themeColor="text1"/>
        </w:rPr>
        <w:t>預期，且各經濟體成長動能不均。其中，美國經濟復甦最為強勁，歐元區及日本景氣疲弱，以中國大陸為首的新興經濟體則成長趨緩。依</w:t>
      </w:r>
      <w:r w:rsidR="00367AE9" w:rsidRPr="005072CB">
        <w:rPr>
          <w:rFonts w:hint="eastAsia"/>
          <w:color w:val="000000" w:themeColor="text1"/>
        </w:rPr>
        <w:t>據環球透視機構</w:t>
      </w:r>
      <w:r w:rsidR="00367AE9"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GI</w:t>
      </w:r>
      <w:r w:rsidR="00367AE9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2015</w:t>
      </w:r>
      <w:r w:rsidRPr="005072CB">
        <w:rPr>
          <w:rFonts w:hint="eastAsia"/>
          <w:color w:val="000000" w:themeColor="text1"/>
        </w:rPr>
        <w:t>年</w:t>
      </w:r>
      <w:r w:rsidR="003842EF" w:rsidRPr="005072CB">
        <w:rPr>
          <w:rFonts w:hint="eastAsia"/>
          <w:color w:val="000000" w:themeColor="text1"/>
        </w:rPr>
        <w:t>6</w:t>
      </w:r>
      <w:r w:rsidRPr="005072CB">
        <w:rPr>
          <w:rFonts w:hint="eastAsia"/>
          <w:color w:val="000000" w:themeColor="text1"/>
        </w:rPr>
        <w:t>月</w:t>
      </w:r>
      <w:r w:rsidR="003951F6" w:rsidRPr="005072CB">
        <w:rPr>
          <w:rFonts w:hint="eastAsia"/>
          <w:color w:val="000000" w:themeColor="text1"/>
        </w:rPr>
        <w:t>資料</w:t>
      </w:r>
      <w:r w:rsidRPr="005072CB">
        <w:rPr>
          <w:rFonts w:hint="eastAsia"/>
          <w:color w:val="000000" w:themeColor="text1"/>
        </w:rPr>
        <w:t>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年全球經濟成長率</w:t>
      </w:r>
      <w:r w:rsidR="003842EF" w:rsidRPr="005072CB">
        <w:rPr>
          <w:rFonts w:hint="eastAsia"/>
          <w:color w:val="000000" w:themeColor="text1"/>
        </w:rPr>
        <w:t>2.7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，僅較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2.6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，微升</w:t>
      </w:r>
      <w:r w:rsidRPr="005072CB">
        <w:rPr>
          <w:rFonts w:hint="eastAsia"/>
          <w:color w:val="000000" w:themeColor="text1"/>
        </w:rPr>
        <w:t>0.1</w:t>
      </w:r>
      <w:r w:rsidRPr="005072CB">
        <w:rPr>
          <w:rFonts w:hint="eastAsia"/>
          <w:color w:val="000000" w:themeColor="text1"/>
        </w:rPr>
        <w:t>個百分點。另國際貨幣基金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IMF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指出，由於部分先進經濟體面臨低投資、低通膨、高債務及高失業率等結構性問題，加以新興及開發中經濟體成長減速，全球經濟復甦力道疲弱，可能陷入長期成長低於平均水準的「新平庸」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New Mediocre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時期。</w:t>
      </w:r>
    </w:p>
    <w:p w:rsidR="00EB75D7" w:rsidRPr="005072CB" w:rsidRDefault="00EB75D7" w:rsidP="00C0044D">
      <w:pPr>
        <w:pStyle w:val="k1a"/>
        <w:spacing w:before="120" w:after="120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一、</w:t>
      </w:r>
      <w:r w:rsidR="00685906" w:rsidRPr="005072CB">
        <w:rPr>
          <w:rFonts w:hint="eastAsia"/>
          <w:color w:val="000000" w:themeColor="text1"/>
        </w:rPr>
        <w:t>先進經濟體</w:t>
      </w:r>
    </w:p>
    <w:p w:rsidR="009C355D" w:rsidRPr="005072CB" w:rsidRDefault="00685906" w:rsidP="00C0044D">
      <w:pPr>
        <w:pStyle w:val="k12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先進經濟體因美國經濟明顯改善，帶動整體景氣穩健復甦，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年經濟成長率由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1.4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續升至</w:t>
      </w:r>
      <w:r w:rsidRPr="005072CB">
        <w:rPr>
          <w:rFonts w:hint="eastAsia"/>
          <w:color w:val="000000" w:themeColor="text1"/>
        </w:rPr>
        <w:t>1.8%</w:t>
      </w:r>
      <w:r w:rsidRPr="005072CB">
        <w:rPr>
          <w:rFonts w:hint="eastAsia"/>
          <w:color w:val="000000" w:themeColor="text1"/>
        </w:rPr>
        <w:t>。</w:t>
      </w:r>
    </w:p>
    <w:p w:rsidR="00685906" w:rsidRPr="005072CB" w:rsidRDefault="00ED1463" w:rsidP="00C0044D">
      <w:pPr>
        <w:pStyle w:val="k2a"/>
        <w:ind w:left="835" w:hanging="576"/>
        <w:rPr>
          <w:color w:val="000000" w:themeColor="text1"/>
        </w:rPr>
      </w:pPr>
      <w:r w:rsidRPr="005072CB">
        <w:rPr>
          <w:rFonts w:ascii="標楷體" w:hAnsi="標楷體" w:hint="eastAsia"/>
          <w:color w:val="000000" w:themeColor="text1"/>
        </w:rPr>
        <w:t>(</w:t>
      </w:r>
      <w:proofErr w:type="gramStart"/>
      <w:r w:rsidRPr="005072CB">
        <w:rPr>
          <w:rFonts w:ascii="標楷體" w:hAnsi="標楷體" w:hint="eastAsia"/>
          <w:color w:val="000000" w:themeColor="text1"/>
        </w:rPr>
        <w:t>一</w:t>
      </w:r>
      <w:proofErr w:type="gramEnd"/>
      <w:r w:rsidRPr="005072CB">
        <w:rPr>
          <w:rFonts w:ascii="標楷體" w:hAnsi="標楷體" w:hint="eastAsia"/>
          <w:color w:val="000000" w:themeColor="text1"/>
        </w:rPr>
        <w:t>)</w:t>
      </w:r>
      <w:r w:rsidR="00685906" w:rsidRPr="005072CB">
        <w:rPr>
          <w:rFonts w:hint="eastAsia"/>
          <w:color w:val="000000" w:themeColor="text1"/>
        </w:rPr>
        <w:t>美國</w:t>
      </w:r>
    </w:p>
    <w:p w:rsidR="00867366" w:rsidRPr="005072CB" w:rsidRDefault="00685906" w:rsidP="00DB729F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5703A0" w:rsidRPr="005072CB">
        <w:rPr>
          <w:rFonts w:hint="eastAsia"/>
          <w:color w:val="000000" w:themeColor="text1"/>
        </w:rPr>
        <w:t>2014</w:t>
      </w:r>
      <w:r w:rsidR="005703A0"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美國因</w:t>
      </w:r>
      <w:r w:rsidR="00987A42" w:rsidRPr="005072CB">
        <w:rPr>
          <w:rFonts w:hint="eastAsia"/>
          <w:color w:val="000000" w:themeColor="text1"/>
        </w:rPr>
        <w:t>政府財政改善、</w:t>
      </w:r>
      <w:r w:rsidRPr="005072CB">
        <w:rPr>
          <w:rFonts w:hint="eastAsia"/>
          <w:color w:val="000000" w:themeColor="text1"/>
        </w:rPr>
        <w:t>民間消費能力提升、房地產市場</w:t>
      </w:r>
      <w:proofErr w:type="gramStart"/>
      <w:r w:rsidRPr="005072CB">
        <w:rPr>
          <w:rFonts w:hint="eastAsia"/>
          <w:color w:val="000000" w:themeColor="text1"/>
        </w:rPr>
        <w:t>景氣漸佳</w:t>
      </w:r>
      <w:proofErr w:type="gramEnd"/>
      <w:r w:rsidRPr="005072CB">
        <w:rPr>
          <w:rFonts w:hint="eastAsia"/>
          <w:color w:val="000000" w:themeColor="text1"/>
        </w:rPr>
        <w:t>，加以勞動市場持續改善，全年經濟溫和擴張</w:t>
      </w:r>
      <w:r w:rsidRPr="005072CB">
        <w:rPr>
          <w:rFonts w:hint="eastAsia"/>
          <w:color w:val="000000" w:themeColor="text1"/>
        </w:rPr>
        <w:t>2.4%</w:t>
      </w:r>
      <w:r w:rsidRPr="005072CB">
        <w:rPr>
          <w:rFonts w:hint="eastAsia"/>
          <w:color w:val="000000" w:themeColor="text1"/>
        </w:rPr>
        <w:t>。</w:t>
      </w:r>
      <w:r w:rsidR="00867366" w:rsidRPr="005072CB">
        <w:rPr>
          <w:rFonts w:hint="eastAsia"/>
          <w:color w:val="000000" w:themeColor="text1"/>
        </w:rPr>
        <w:t>其中，美國內需成長力道</w:t>
      </w:r>
      <w:r w:rsidR="00E00F65" w:rsidRPr="005072CB">
        <w:rPr>
          <w:rFonts w:hint="eastAsia"/>
          <w:color w:val="000000" w:themeColor="text1"/>
        </w:rPr>
        <w:t>強勁</w:t>
      </w:r>
      <w:r w:rsidR="00867366" w:rsidRPr="005072CB">
        <w:rPr>
          <w:rFonts w:hint="eastAsia"/>
          <w:color w:val="000000" w:themeColor="text1"/>
        </w:rPr>
        <w:t>，</w:t>
      </w:r>
      <w:r w:rsidR="00867366" w:rsidRPr="005072CB">
        <w:rPr>
          <w:rFonts w:hint="eastAsia"/>
          <w:color w:val="000000" w:themeColor="text1"/>
        </w:rPr>
        <w:t>2014</w:t>
      </w:r>
      <w:r w:rsidR="00867366" w:rsidRPr="005072CB">
        <w:rPr>
          <w:rFonts w:hint="eastAsia"/>
          <w:color w:val="000000" w:themeColor="text1"/>
        </w:rPr>
        <w:t>年民間消費、投資成長率分別</w:t>
      </w:r>
      <w:r w:rsidR="00E00F65" w:rsidRPr="005072CB">
        <w:rPr>
          <w:rFonts w:hint="eastAsia"/>
          <w:color w:val="000000" w:themeColor="text1"/>
        </w:rPr>
        <w:t>增加</w:t>
      </w:r>
      <w:r w:rsidR="00867366" w:rsidRPr="005072CB">
        <w:rPr>
          <w:rFonts w:hint="eastAsia"/>
          <w:color w:val="000000" w:themeColor="text1"/>
        </w:rPr>
        <w:t>為</w:t>
      </w:r>
      <w:r w:rsidR="00867366" w:rsidRPr="005072CB">
        <w:rPr>
          <w:rFonts w:hint="eastAsia"/>
          <w:color w:val="000000" w:themeColor="text1"/>
        </w:rPr>
        <w:t>2.5%</w:t>
      </w:r>
      <w:r w:rsidR="00867366" w:rsidRPr="005072CB">
        <w:rPr>
          <w:rFonts w:hint="eastAsia"/>
          <w:color w:val="000000" w:themeColor="text1"/>
        </w:rPr>
        <w:t>、</w:t>
      </w:r>
      <w:r w:rsidR="00867366" w:rsidRPr="005072CB">
        <w:rPr>
          <w:rFonts w:hint="eastAsia"/>
          <w:color w:val="000000" w:themeColor="text1"/>
        </w:rPr>
        <w:t>5.8%</w:t>
      </w:r>
      <w:r w:rsidR="00E00F65" w:rsidRPr="005072CB">
        <w:rPr>
          <w:rFonts w:hint="eastAsia"/>
          <w:color w:val="000000" w:themeColor="text1"/>
        </w:rPr>
        <w:t>；對外貿易亦持續擴張，商品與服務輸出、輸入全年成長率分別上升為</w:t>
      </w:r>
      <w:r w:rsidR="00E00F65" w:rsidRPr="005072CB">
        <w:rPr>
          <w:rFonts w:hint="eastAsia"/>
          <w:color w:val="000000" w:themeColor="text1"/>
        </w:rPr>
        <w:t>3.2%</w:t>
      </w:r>
      <w:r w:rsidR="00E00F65" w:rsidRPr="005072CB">
        <w:rPr>
          <w:rFonts w:hint="eastAsia"/>
          <w:color w:val="000000" w:themeColor="text1"/>
        </w:rPr>
        <w:t>、</w:t>
      </w:r>
      <w:r w:rsidR="00E00F65" w:rsidRPr="005072CB">
        <w:rPr>
          <w:rFonts w:hint="eastAsia"/>
          <w:color w:val="000000" w:themeColor="text1"/>
        </w:rPr>
        <w:t>4.0%</w:t>
      </w:r>
      <w:r w:rsidR="00867366" w:rsidRPr="005072CB">
        <w:rPr>
          <w:rFonts w:hint="eastAsia"/>
          <w:color w:val="000000" w:themeColor="text1"/>
        </w:rPr>
        <w:t>。</w:t>
      </w:r>
    </w:p>
    <w:p w:rsidR="00685906" w:rsidRPr="005072CB" w:rsidRDefault="00867366" w:rsidP="00C0044D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20489C" w:rsidRPr="005072CB">
        <w:rPr>
          <w:rFonts w:hint="eastAsia"/>
          <w:color w:val="000000" w:themeColor="text1"/>
        </w:rPr>
        <w:t>2014</w:t>
      </w:r>
      <w:r w:rsidR="0020489C" w:rsidRPr="005072CB">
        <w:rPr>
          <w:rFonts w:hint="eastAsia"/>
          <w:color w:val="000000" w:themeColor="text1"/>
        </w:rPr>
        <w:t>年美國失業率由</w:t>
      </w:r>
      <w:r w:rsidR="0020489C" w:rsidRPr="005072CB">
        <w:rPr>
          <w:rFonts w:hint="eastAsia"/>
          <w:color w:val="000000" w:themeColor="text1"/>
        </w:rPr>
        <w:t>1</w:t>
      </w:r>
      <w:r w:rsidR="0020489C" w:rsidRPr="005072CB">
        <w:rPr>
          <w:rFonts w:hint="eastAsia"/>
          <w:color w:val="000000" w:themeColor="text1"/>
        </w:rPr>
        <w:t>月的</w:t>
      </w:r>
      <w:r w:rsidR="0020489C" w:rsidRPr="005072CB">
        <w:rPr>
          <w:rFonts w:hint="eastAsia"/>
          <w:color w:val="000000" w:themeColor="text1"/>
        </w:rPr>
        <w:t>6.6%</w:t>
      </w:r>
      <w:r w:rsidR="0020489C" w:rsidRPr="005072CB">
        <w:rPr>
          <w:rFonts w:hint="eastAsia"/>
          <w:color w:val="000000" w:themeColor="text1"/>
        </w:rPr>
        <w:t>，降至</w:t>
      </w:r>
      <w:r w:rsidR="0020489C" w:rsidRPr="005072CB">
        <w:rPr>
          <w:rFonts w:hint="eastAsia"/>
          <w:color w:val="000000" w:themeColor="text1"/>
        </w:rPr>
        <w:t>1</w:t>
      </w:r>
      <w:r w:rsidR="00E37758" w:rsidRPr="005072CB">
        <w:rPr>
          <w:rFonts w:hint="eastAsia"/>
          <w:color w:val="000000" w:themeColor="text1"/>
        </w:rPr>
        <w:t>2</w:t>
      </w:r>
      <w:r w:rsidR="0020489C" w:rsidRPr="005072CB">
        <w:rPr>
          <w:rFonts w:hint="eastAsia"/>
          <w:color w:val="000000" w:themeColor="text1"/>
        </w:rPr>
        <w:t>月的</w:t>
      </w:r>
      <w:r w:rsidR="0020489C" w:rsidRPr="005072CB">
        <w:rPr>
          <w:rFonts w:hint="eastAsia"/>
          <w:color w:val="000000" w:themeColor="text1"/>
        </w:rPr>
        <w:t>5.</w:t>
      </w:r>
      <w:r w:rsidR="00E37758" w:rsidRPr="005072CB">
        <w:rPr>
          <w:rFonts w:hint="eastAsia"/>
          <w:color w:val="000000" w:themeColor="text1"/>
        </w:rPr>
        <w:t>6</w:t>
      </w:r>
      <w:r w:rsidR="0020489C" w:rsidRPr="005072CB">
        <w:rPr>
          <w:rFonts w:hint="eastAsia"/>
          <w:color w:val="000000" w:themeColor="text1"/>
        </w:rPr>
        <w:t>%</w:t>
      </w:r>
      <w:r w:rsidR="0020489C" w:rsidRPr="005072CB">
        <w:rPr>
          <w:rFonts w:hint="eastAsia"/>
          <w:color w:val="000000" w:themeColor="text1"/>
        </w:rPr>
        <w:t>，為</w:t>
      </w:r>
      <w:r w:rsidR="0020489C" w:rsidRPr="005072CB">
        <w:rPr>
          <w:rFonts w:hint="eastAsia"/>
          <w:color w:val="000000" w:themeColor="text1"/>
        </w:rPr>
        <w:t>2008</w:t>
      </w:r>
      <w:r w:rsidR="0020489C" w:rsidRPr="005072CB">
        <w:rPr>
          <w:rFonts w:hint="eastAsia"/>
          <w:color w:val="000000" w:themeColor="text1"/>
        </w:rPr>
        <w:t>年</w:t>
      </w:r>
      <w:r w:rsidR="00E37758" w:rsidRPr="005072CB">
        <w:rPr>
          <w:rFonts w:hint="eastAsia"/>
          <w:color w:val="000000" w:themeColor="text1"/>
        </w:rPr>
        <w:t>6</w:t>
      </w:r>
      <w:r w:rsidR="0020489C" w:rsidRPr="005072CB">
        <w:rPr>
          <w:rFonts w:hint="eastAsia"/>
          <w:color w:val="000000" w:themeColor="text1"/>
        </w:rPr>
        <w:t>月以來新低。全年平均失業率為</w:t>
      </w:r>
      <w:r w:rsidR="0020489C" w:rsidRPr="005072CB">
        <w:rPr>
          <w:rFonts w:hint="eastAsia"/>
          <w:color w:val="000000" w:themeColor="text1"/>
        </w:rPr>
        <w:t>6.2%</w:t>
      </w:r>
      <w:r w:rsidR="0020489C" w:rsidRPr="005072CB">
        <w:rPr>
          <w:rFonts w:hint="eastAsia"/>
          <w:color w:val="000000" w:themeColor="text1"/>
        </w:rPr>
        <w:t>，</w:t>
      </w:r>
      <w:r w:rsidRPr="005072CB">
        <w:rPr>
          <w:rFonts w:hint="eastAsia"/>
          <w:color w:val="000000" w:themeColor="text1"/>
        </w:rPr>
        <w:t>較</w:t>
      </w:r>
      <w:r w:rsidR="0020489C" w:rsidRPr="005072CB">
        <w:rPr>
          <w:rFonts w:hint="eastAsia"/>
          <w:color w:val="000000" w:themeColor="text1"/>
        </w:rPr>
        <w:t>201</w:t>
      </w:r>
      <w:r w:rsidRPr="005072CB">
        <w:rPr>
          <w:rFonts w:hint="eastAsia"/>
          <w:color w:val="000000" w:themeColor="text1"/>
        </w:rPr>
        <w:t>3</w:t>
      </w:r>
      <w:r w:rsidR="0020489C"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的</w:t>
      </w:r>
      <w:r w:rsidRPr="005072CB">
        <w:rPr>
          <w:rFonts w:hint="eastAsia"/>
          <w:color w:val="000000" w:themeColor="text1"/>
        </w:rPr>
        <w:t>7.4%</w:t>
      </w:r>
      <w:r w:rsidR="0020489C" w:rsidRPr="005072CB">
        <w:rPr>
          <w:rFonts w:hint="eastAsia"/>
          <w:color w:val="000000" w:themeColor="text1"/>
        </w:rPr>
        <w:t>續降</w:t>
      </w:r>
      <w:r w:rsidRPr="005072CB">
        <w:rPr>
          <w:rFonts w:hint="eastAsia"/>
          <w:color w:val="000000" w:themeColor="text1"/>
        </w:rPr>
        <w:t>1.2</w:t>
      </w:r>
      <w:r w:rsidR="0020489C" w:rsidRPr="005072CB">
        <w:rPr>
          <w:rFonts w:hint="eastAsia"/>
          <w:color w:val="000000" w:themeColor="text1"/>
        </w:rPr>
        <w:t>個百分點；</w:t>
      </w:r>
      <w:proofErr w:type="gramStart"/>
      <w:r w:rsidR="0020489C" w:rsidRPr="005072CB">
        <w:rPr>
          <w:rFonts w:hint="eastAsia"/>
          <w:color w:val="000000" w:themeColor="text1"/>
        </w:rPr>
        <w:t>惟</w:t>
      </w:r>
      <w:proofErr w:type="gramEnd"/>
      <w:r w:rsidR="0020489C" w:rsidRPr="005072CB">
        <w:rPr>
          <w:rFonts w:hint="eastAsia"/>
          <w:color w:val="000000" w:themeColor="text1"/>
        </w:rPr>
        <w:t>受制於勞動市場調整不易，失業率仍高於金融風暴前</w:t>
      </w:r>
      <w:r w:rsidR="00C21A69" w:rsidRPr="005072CB">
        <w:rPr>
          <w:rFonts w:hint="eastAsia"/>
          <w:color w:val="000000" w:themeColor="text1"/>
        </w:rPr>
        <w:t>2007</w:t>
      </w:r>
      <w:r w:rsidR="00C21A69" w:rsidRPr="005072CB">
        <w:rPr>
          <w:rFonts w:hint="eastAsia"/>
          <w:color w:val="000000" w:themeColor="text1"/>
        </w:rPr>
        <w:t>年</w:t>
      </w:r>
      <w:r w:rsidR="0020489C" w:rsidRPr="005072CB">
        <w:rPr>
          <w:rFonts w:hint="eastAsia"/>
          <w:color w:val="000000" w:themeColor="text1"/>
        </w:rPr>
        <w:t>的</w:t>
      </w:r>
      <w:r w:rsidR="0020489C" w:rsidRPr="005072CB">
        <w:rPr>
          <w:rFonts w:hint="eastAsia"/>
          <w:color w:val="000000" w:themeColor="text1"/>
        </w:rPr>
        <w:t>4.6%</w:t>
      </w:r>
      <w:r w:rsidR="0020489C" w:rsidRPr="005072CB">
        <w:rPr>
          <w:rFonts w:hint="eastAsia"/>
          <w:color w:val="000000" w:themeColor="text1"/>
        </w:rPr>
        <w:t>。</w:t>
      </w:r>
    </w:p>
    <w:p w:rsidR="00E00F65" w:rsidRPr="005072CB" w:rsidRDefault="00685906" w:rsidP="00C0044D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9F741A" w:rsidRPr="005072CB">
        <w:rPr>
          <w:rFonts w:hint="eastAsia"/>
          <w:color w:val="000000" w:themeColor="text1"/>
        </w:rPr>
        <w:t>2014</w:t>
      </w:r>
      <w:r w:rsidR="009F741A" w:rsidRPr="005072CB">
        <w:rPr>
          <w:rFonts w:hint="eastAsia"/>
          <w:color w:val="000000" w:themeColor="text1"/>
        </w:rPr>
        <w:t>年美國</w:t>
      </w:r>
      <w:r w:rsidR="009350CC" w:rsidRPr="005072CB">
        <w:rPr>
          <w:color w:val="000000" w:themeColor="text1"/>
        </w:rPr>
        <w:t>因經濟穩定復甦</w:t>
      </w:r>
      <w:r w:rsidR="009F741A" w:rsidRPr="005072CB">
        <w:rPr>
          <w:rFonts w:hint="eastAsia"/>
          <w:color w:val="000000" w:themeColor="text1"/>
        </w:rPr>
        <w:t>、就業情勢顯著好轉，</w:t>
      </w:r>
      <w:r w:rsidR="009350CC" w:rsidRPr="005072CB">
        <w:rPr>
          <w:rFonts w:hint="eastAsia"/>
          <w:color w:val="000000" w:themeColor="text1"/>
        </w:rPr>
        <w:t>聯</w:t>
      </w:r>
      <w:proofErr w:type="gramStart"/>
      <w:r w:rsidR="009350CC" w:rsidRPr="005072CB">
        <w:rPr>
          <w:rFonts w:hint="eastAsia"/>
          <w:color w:val="000000" w:themeColor="text1"/>
        </w:rPr>
        <w:t>準</w:t>
      </w:r>
      <w:proofErr w:type="gramEnd"/>
      <w:r w:rsidR="009350CC" w:rsidRPr="005072CB">
        <w:rPr>
          <w:rFonts w:hint="eastAsia"/>
          <w:color w:val="000000" w:themeColor="text1"/>
        </w:rPr>
        <w:t>會</w:t>
      </w:r>
      <w:r w:rsidR="009350CC" w:rsidRPr="005072CB">
        <w:rPr>
          <w:rFonts w:ascii="標楷體" w:hAnsi="標楷體"/>
          <w:color w:val="000000" w:themeColor="text1"/>
        </w:rPr>
        <w:t>(</w:t>
      </w:r>
      <w:r w:rsidR="009350CC" w:rsidRPr="005072CB">
        <w:rPr>
          <w:color w:val="000000" w:themeColor="text1"/>
        </w:rPr>
        <w:t>Fed</w:t>
      </w:r>
      <w:r w:rsidR="009350CC" w:rsidRPr="005072CB">
        <w:rPr>
          <w:rFonts w:ascii="標楷體" w:hAnsi="標楷體"/>
          <w:color w:val="000000" w:themeColor="text1"/>
        </w:rPr>
        <w:t>)</w:t>
      </w:r>
      <w:r w:rsidR="009F741A" w:rsidRPr="005072CB">
        <w:rPr>
          <w:rFonts w:hint="eastAsia"/>
          <w:color w:val="000000" w:themeColor="text1"/>
        </w:rPr>
        <w:t>逐步</w:t>
      </w:r>
      <w:r w:rsidR="00C21A69" w:rsidRPr="005072CB">
        <w:rPr>
          <w:rFonts w:hint="eastAsia"/>
          <w:color w:val="000000" w:themeColor="text1"/>
        </w:rPr>
        <w:t>進行</w:t>
      </w:r>
      <w:r w:rsidR="009F741A" w:rsidRPr="005072CB">
        <w:rPr>
          <w:rFonts w:hint="eastAsia"/>
          <w:color w:val="000000" w:themeColor="text1"/>
        </w:rPr>
        <w:t>貨幣政策「正常化」</w:t>
      </w:r>
      <w:r w:rsidR="009F741A" w:rsidRPr="005072CB">
        <w:rPr>
          <w:rFonts w:ascii="標楷體" w:hAnsi="標楷體" w:hint="eastAsia"/>
          <w:color w:val="000000" w:themeColor="text1"/>
        </w:rPr>
        <w:t>(</w:t>
      </w:r>
      <w:r w:rsidR="009F741A" w:rsidRPr="005072CB">
        <w:rPr>
          <w:rFonts w:hint="eastAsia"/>
          <w:color w:val="000000" w:themeColor="text1"/>
        </w:rPr>
        <w:t>normalize</w:t>
      </w:r>
      <w:r w:rsidR="009F741A" w:rsidRPr="005072CB">
        <w:rPr>
          <w:rFonts w:ascii="標楷體" w:hAnsi="標楷體" w:hint="eastAsia"/>
          <w:color w:val="000000" w:themeColor="text1"/>
        </w:rPr>
        <w:t>)</w:t>
      </w:r>
      <w:r w:rsidR="009F741A" w:rsidRPr="005072CB">
        <w:rPr>
          <w:rFonts w:hint="eastAsia"/>
          <w:color w:val="000000" w:themeColor="text1"/>
        </w:rPr>
        <w:t>，量化寬鬆貨幣</w:t>
      </w:r>
      <w:r w:rsidR="009F741A" w:rsidRPr="005072CB">
        <w:rPr>
          <w:rFonts w:ascii="標楷體" w:hAnsi="標楷體" w:hint="eastAsia"/>
          <w:color w:val="000000" w:themeColor="text1"/>
        </w:rPr>
        <w:t>(</w:t>
      </w:r>
      <w:r w:rsidR="009F741A" w:rsidRPr="005072CB">
        <w:rPr>
          <w:rFonts w:hint="eastAsia"/>
          <w:color w:val="000000" w:themeColor="text1"/>
        </w:rPr>
        <w:t>QE</w:t>
      </w:r>
      <w:r w:rsidR="009F741A" w:rsidRPr="005072CB">
        <w:rPr>
          <w:rFonts w:ascii="標楷體" w:hAnsi="標楷體"/>
          <w:color w:val="000000" w:themeColor="text1"/>
        </w:rPr>
        <w:t>)</w:t>
      </w:r>
      <w:r w:rsidR="009F741A" w:rsidRPr="005072CB">
        <w:rPr>
          <w:rFonts w:hint="eastAsia"/>
          <w:color w:val="000000" w:themeColor="text1"/>
        </w:rPr>
        <w:t>政策已於</w:t>
      </w:r>
      <w:r w:rsidR="009F741A" w:rsidRPr="005072CB">
        <w:rPr>
          <w:rFonts w:hint="eastAsia"/>
          <w:color w:val="000000" w:themeColor="text1"/>
        </w:rPr>
        <w:t>10</w:t>
      </w:r>
      <w:r w:rsidR="009F741A" w:rsidRPr="005072CB">
        <w:rPr>
          <w:rFonts w:hint="eastAsia"/>
          <w:color w:val="000000" w:themeColor="text1"/>
        </w:rPr>
        <w:t>月底完全退場，惟仍</w:t>
      </w:r>
      <w:r w:rsidR="009350CC" w:rsidRPr="005072CB">
        <w:rPr>
          <w:color w:val="000000" w:themeColor="text1"/>
        </w:rPr>
        <w:t>維持低利率政策</w:t>
      </w:r>
      <w:r w:rsidR="009F741A" w:rsidRPr="005072CB">
        <w:rPr>
          <w:rFonts w:hint="eastAsia"/>
          <w:color w:val="000000" w:themeColor="text1"/>
        </w:rPr>
        <w:t>。</w:t>
      </w:r>
    </w:p>
    <w:p w:rsidR="00E00F65" w:rsidRPr="005072CB" w:rsidRDefault="00E00F65" w:rsidP="00C0044D">
      <w:pPr>
        <w:pStyle w:val="k2a"/>
        <w:ind w:left="835" w:hanging="576"/>
        <w:rPr>
          <w:color w:val="000000" w:themeColor="text1"/>
        </w:rPr>
      </w:pPr>
      <w:r w:rsidRPr="005072CB">
        <w:rPr>
          <w:rFonts w:ascii="標楷體" w:hAnsi="標楷體" w:hint="eastAsia"/>
          <w:color w:val="000000" w:themeColor="text1"/>
        </w:rPr>
        <w:t>(二)</w:t>
      </w:r>
      <w:r w:rsidRPr="005072CB">
        <w:rPr>
          <w:rFonts w:hint="eastAsia"/>
          <w:color w:val="000000" w:themeColor="text1"/>
        </w:rPr>
        <w:t>歐元區</w:t>
      </w:r>
    </w:p>
    <w:p w:rsidR="00CB6AAF" w:rsidRPr="005072CB" w:rsidRDefault="00E00F65" w:rsidP="00C51780">
      <w:pPr>
        <w:pStyle w:val="k2a"/>
        <w:ind w:leftChars="250" w:left="1008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年歐元區整體經濟雖已擺脫衰退陰霾，惟通貨緊縮壓力</w:t>
      </w:r>
      <w:r w:rsidR="00C51780" w:rsidRPr="005072CB">
        <w:rPr>
          <w:rFonts w:hint="eastAsia"/>
          <w:color w:val="000000" w:themeColor="text1"/>
        </w:rPr>
        <w:t>未解，復甦動能疲弱，加以烏克蘭政治風險、俄羅斯經濟制</w:t>
      </w:r>
    </w:p>
    <w:p w:rsidR="00C51780" w:rsidRPr="005072CB" w:rsidRDefault="00C51780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b/>
          <w:color w:val="000000" w:themeColor="text1"/>
          <w:sz w:val="26"/>
          <w:szCs w:val="26"/>
        </w:rPr>
      </w:pPr>
      <w:r w:rsidRPr="005072CB">
        <w:rPr>
          <w:b/>
          <w:color w:val="000000" w:themeColor="text1"/>
          <w:sz w:val="26"/>
          <w:szCs w:val="26"/>
        </w:rPr>
        <w:br w:type="page"/>
      </w:r>
    </w:p>
    <w:p w:rsidR="00CB6AAF" w:rsidRPr="005072CB" w:rsidRDefault="00CB6AAF" w:rsidP="008738DD">
      <w:pPr>
        <w:pStyle w:val="a7"/>
        <w:spacing w:before="240" w:after="240"/>
        <w:rPr>
          <w:color w:val="000000" w:themeColor="text1"/>
          <w:sz w:val="26"/>
          <w:szCs w:val="26"/>
        </w:rPr>
      </w:pPr>
      <w:r w:rsidRPr="005072CB">
        <w:rPr>
          <w:color w:val="000000" w:themeColor="text1"/>
          <w:sz w:val="26"/>
          <w:szCs w:val="26"/>
        </w:rPr>
        <w:lastRenderedPageBreak/>
        <w:t>表</w:t>
      </w:r>
      <w:r w:rsidRPr="005072CB">
        <w:rPr>
          <w:color w:val="000000" w:themeColor="text1"/>
          <w:sz w:val="26"/>
          <w:szCs w:val="26"/>
        </w:rPr>
        <w:t>1.1.1</w:t>
      </w:r>
      <w:r w:rsidR="00C0044D" w:rsidRPr="005072CB">
        <w:rPr>
          <w:color w:val="000000" w:themeColor="text1"/>
          <w:sz w:val="26"/>
          <w:szCs w:val="26"/>
        </w:rPr>
        <w:t xml:space="preserve">　</w:t>
      </w:r>
      <w:r w:rsidRPr="005072CB">
        <w:rPr>
          <w:color w:val="000000" w:themeColor="text1"/>
          <w:sz w:val="26"/>
          <w:szCs w:val="26"/>
        </w:rPr>
        <w:t>全球主要地區及國家經濟成長率預測</w:t>
      </w:r>
    </w:p>
    <w:p w:rsidR="00CB6AAF" w:rsidRPr="005072CB" w:rsidRDefault="00CB6AAF" w:rsidP="00CB6AAF">
      <w:pPr>
        <w:pStyle w:val="k2a"/>
        <w:tabs>
          <w:tab w:val="clear" w:pos="960"/>
          <w:tab w:val="clear" w:pos="1920"/>
          <w:tab w:val="clear" w:pos="2880"/>
          <w:tab w:val="clear" w:pos="3840"/>
          <w:tab w:val="clear" w:pos="4800"/>
          <w:tab w:val="clear" w:pos="5760"/>
        </w:tabs>
        <w:spacing w:line="240" w:lineRule="auto"/>
        <w:ind w:leftChars="0" w:left="0" w:firstLineChars="0" w:firstLine="0"/>
        <w:jc w:val="right"/>
        <w:rPr>
          <w:color w:val="000000" w:themeColor="text1"/>
          <w:sz w:val="24"/>
          <w:szCs w:val="24"/>
        </w:rPr>
      </w:pPr>
      <w:r w:rsidRPr="005072CB">
        <w:rPr>
          <w:bCs/>
          <w:color w:val="000000" w:themeColor="text1"/>
          <w:sz w:val="24"/>
          <w:szCs w:val="24"/>
        </w:rPr>
        <w:t>單位：</w:t>
      </w:r>
      <w:r w:rsidRPr="005072CB">
        <w:rPr>
          <w:bCs/>
          <w:color w:val="000000" w:themeColor="text1"/>
          <w:sz w:val="24"/>
          <w:szCs w:val="24"/>
        </w:rPr>
        <w:t>%</w:t>
      </w:r>
    </w:p>
    <w:tbl>
      <w:tblPr>
        <w:tblW w:w="8806" w:type="dxa"/>
        <w:jc w:val="center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2278"/>
        <w:gridCol w:w="1087"/>
        <w:gridCol w:w="1088"/>
        <w:gridCol w:w="1088"/>
        <w:gridCol w:w="1087"/>
        <w:gridCol w:w="1087"/>
        <w:gridCol w:w="1091"/>
      </w:tblGrid>
      <w:tr w:rsidR="005072CB" w:rsidRPr="005072CB" w:rsidTr="00AD7FFC">
        <w:trPr>
          <w:cantSplit/>
          <w:trHeight w:hRule="exact" w:val="340"/>
          <w:jc w:val="center"/>
        </w:trPr>
        <w:tc>
          <w:tcPr>
            <w:tcW w:w="2278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地區別</w:t>
            </w:r>
          </w:p>
        </w:tc>
        <w:tc>
          <w:tcPr>
            <w:tcW w:w="3263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G</w:t>
            </w: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I</w:t>
            </w:r>
          </w:p>
        </w:tc>
        <w:tc>
          <w:tcPr>
            <w:tcW w:w="326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color w:val="000000" w:themeColor="text1"/>
                <w:sz w:val="22"/>
                <w:szCs w:val="22"/>
              </w:rPr>
              <w:t>IMF</w:t>
            </w:r>
          </w:p>
        </w:tc>
      </w:tr>
      <w:tr w:rsidR="005072CB" w:rsidRPr="005072CB" w:rsidTr="00AD7FFC">
        <w:trPr>
          <w:cantSplit/>
          <w:trHeight w:hRule="exact" w:val="300"/>
          <w:jc w:val="center"/>
        </w:trPr>
        <w:tc>
          <w:tcPr>
            <w:tcW w:w="227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0" w:type="dxa"/>
              <w:bottom w:w="74" w:type="dxa"/>
              <w:right w:w="0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2013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2014</w:t>
            </w:r>
          </w:p>
        </w:tc>
        <w:tc>
          <w:tcPr>
            <w:tcW w:w="10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2015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2013</w:t>
            </w:r>
          </w:p>
        </w:tc>
        <w:tc>
          <w:tcPr>
            <w:tcW w:w="10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2014</w:t>
            </w:r>
          </w:p>
        </w:tc>
        <w:tc>
          <w:tcPr>
            <w:tcW w:w="1091" w:type="dxa"/>
            <w:vAlign w:val="center"/>
          </w:tcPr>
          <w:p w:rsidR="00CB6AAF" w:rsidRPr="005072CB" w:rsidRDefault="00CB6AAF" w:rsidP="00AD7FFC">
            <w:pPr>
              <w:snapToGrid w:val="0"/>
              <w:spacing w:line="220" w:lineRule="exact"/>
              <w:jc w:val="center"/>
              <w:textAlignment w:val="baseline"/>
              <w:rPr>
                <w:b/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2015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textAlignment w:val="baseline"/>
              <w:rPr>
                <w:b/>
                <w:color w:val="000000" w:themeColor="text1"/>
                <w:sz w:val="22"/>
                <w:szCs w:val="22"/>
              </w:rPr>
            </w:pPr>
            <w:r w:rsidRPr="005072CB">
              <w:rPr>
                <w:b/>
                <w:bCs/>
                <w:color w:val="000000" w:themeColor="text1"/>
                <w:kern w:val="24"/>
                <w:sz w:val="22"/>
                <w:szCs w:val="22"/>
              </w:rPr>
              <w:t>全球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2.6</w:t>
            </w:r>
          </w:p>
        </w:tc>
        <w:tc>
          <w:tcPr>
            <w:tcW w:w="108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2.7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2.6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color w:val="000000" w:themeColor="text1"/>
                <w:kern w:val="24"/>
                <w:sz w:val="22"/>
                <w:szCs w:val="22"/>
              </w:rPr>
              <w:t>3.</w:t>
            </w: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87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color w:val="000000" w:themeColor="text1"/>
                <w:kern w:val="24"/>
                <w:sz w:val="22"/>
                <w:szCs w:val="22"/>
              </w:rPr>
              <w:t>3.</w:t>
            </w: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91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b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/>
                <w:color w:val="000000" w:themeColor="text1"/>
                <w:kern w:val="24"/>
                <w:sz w:val="22"/>
                <w:szCs w:val="22"/>
              </w:rPr>
              <w:t>3.</w:t>
            </w:r>
            <w:r w:rsidRPr="005072CB">
              <w:rPr>
                <w:rFonts w:hint="eastAsia"/>
                <w:b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100" w:firstLine="228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先進經濟體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1.4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1.8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1.4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1.8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2.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美國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2.2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2.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2.1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2.2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2.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3.1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歐元區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-0.3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0.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-0.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0.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9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日本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0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.1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1.0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1.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0.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0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100" w:firstLine="228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新興經濟體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4.9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4.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3.9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5.0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*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4.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*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4.3</w:t>
            </w:r>
            <w:r w:rsidRPr="005072CB">
              <w:rPr>
                <w:color w:val="000000" w:themeColor="text1"/>
                <w:kern w:val="24"/>
                <w:sz w:val="22"/>
                <w:szCs w:val="22"/>
              </w:rPr>
              <w:t>*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color w:val="000000" w:themeColor="text1"/>
                <w:sz w:val="22"/>
                <w:szCs w:val="22"/>
              </w:rPr>
            </w:pPr>
            <w:r w:rsidRPr="005072CB">
              <w:rPr>
                <w:bCs/>
                <w:color w:val="000000" w:themeColor="text1"/>
                <w:kern w:val="24"/>
                <w:sz w:val="22"/>
                <w:szCs w:val="22"/>
              </w:rPr>
              <w:t>中國大陸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7.7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7.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6.5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7.</w:t>
            </w: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8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color w:val="000000" w:themeColor="text1"/>
                <w:kern w:val="24"/>
                <w:sz w:val="22"/>
                <w:szCs w:val="22"/>
              </w:rPr>
              <w:t>7.4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6.8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印度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6.9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7.3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7.6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6.9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7.2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7.5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亞洲四小龍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3.0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3.3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2.8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ascii="標楷體" w:hAnsi="標楷體" w:hint="eastAsia"/>
                <w:color w:val="000000" w:themeColor="text1"/>
                <w:kern w:val="24"/>
                <w:sz w:val="22"/>
                <w:szCs w:val="22"/>
              </w:rPr>
              <w:t>－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ascii="標楷體" w:hAnsi="標楷體" w:hint="eastAsia"/>
                <w:color w:val="000000" w:themeColor="text1"/>
                <w:kern w:val="24"/>
                <w:sz w:val="22"/>
                <w:szCs w:val="22"/>
              </w:rPr>
              <w:t>－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ascii="標楷體" w:hAnsi="標楷體" w:hint="eastAsia"/>
                <w:color w:val="000000" w:themeColor="text1"/>
                <w:kern w:val="24"/>
                <w:sz w:val="22"/>
                <w:szCs w:val="22"/>
              </w:rPr>
              <w:t>－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東協五國</w:t>
            </w: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**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5.1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4.6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4.8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6.1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4.6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5.2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巴西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2.7</w:t>
            </w:r>
          </w:p>
        </w:tc>
        <w:tc>
          <w:tcPr>
            <w:tcW w:w="1088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088" w:type="dxa"/>
            <w:tcBorders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-1.4</w:t>
            </w:r>
          </w:p>
        </w:tc>
        <w:tc>
          <w:tcPr>
            <w:tcW w:w="1087" w:type="dxa"/>
            <w:tcBorders>
              <w:lef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2.7</w:t>
            </w:r>
          </w:p>
        </w:tc>
        <w:tc>
          <w:tcPr>
            <w:tcW w:w="1087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0.1</w:t>
            </w:r>
          </w:p>
        </w:tc>
        <w:tc>
          <w:tcPr>
            <w:tcW w:w="1091" w:type="dxa"/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-1.0</w:t>
            </w:r>
          </w:p>
        </w:tc>
      </w:tr>
      <w:tr w:rsidR="005072CB" w:rsidRPr="005072CB" w:rsidTr="00AD7FFC">
        <w:trPr>
          <w:cantSplit/>
          <w:trHeight w:hRule="exact" w:val="312"/>
          <w:jc w:val="center"/>
        </w:trPr>
        <w:tc>
          <w:tcPr>
            <w:tcW w:w="227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ind w:firstLineChars="200" w:firstLine="456"/>
              <w:textAlignment w:val="baseline"/>
              <w:rPr>
                <w:bCs/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bCs/>
                <w:color w:val="000000" w:themeColor="text1"/>
                <w:kern w:val="24"/>
                <w:sz w:val="22"/>
                <w:szCs w:val="22"/>
              </w:rPr>
              <w:t>俄羅斯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1.3</w:t>
            </w:r>
          </w:p>
        </w:tc>
        <w:tc>
          <w:tcPr>
            <w:tcW w:w="1088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0.6</w:t>
            </w:r>
          </w:p>
        </w:tc>
        <w:tc>
          <w:tcPr>
            <w:tcW w:w="1088" w:type="dxa"/>
            <w:tcBorders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B6AAF" w:rsidRPr="005072CB" w:rsidRDefault="003842E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-4.1</w:t>
            </w:r>
          </w:p>
        </w:tc>
        <w:tc>
          <w:tcPr>
            <w:tcW w:w="1087" w:type="dxa"/>
            <w:tcBorders>
              <w:left w:val="single" w:sz="4" w:space="0" w:color="auto"/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1.3</w:t>
            </w:r>
          </w:p>
        </w:tc>
        <w:tc>
          <w:tcPr>
            <w:tcW w:w="1087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0.6</w:t>
            </w:r>
          </w:p>
        </w:tc>
        <w:tc>
          <w:tcPr>
            <w:tcW w:w="1091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B6AAF" w:rsidRPr="005072CB" w:rsidRDefault="00CB6AAF" w:rsidP="00AD7FFC">
            <w:pPr>
              <w:snapToGrid w:val="0"/>
              <w:spacing w:line="240" w:lineRule="atLeast"/>
              <w:jc w:val="center"/>
              <w:rPr>
                <w:color w:val="000000" w:themeColor="text1"/>
                <w:kern w:val="24"/>
                <w:sz w:val="22"/>
                <w:szCs w:val="22"/>
              </w:rPr>
            </w:pPr>
            <w:r w:rsidRPr="005072CB">
              <w:rPr>
                <w:rFonts w:hint="eastAsia"/>
                <w:color w:val="000000" w:themeColor="text1"/>
                <w:kern w:val="24"/>
                <w:sz w:val="22"/>
                <w:szCs w:val="22"/>
              </w:rPr>
              <w:t>-3.8</w:t>
            </w:r>
          </w:p>
        </w:tc>
      </w:tr>
    </w:tbl>
    <w:p w:rsidR="00CB6AAF" w:rsidRPr="005072CB" w:rsidRDefault="00CB6AAF" w:rsidP="006F5C10">
      <w:pPr>
        <w:tabs>
          <w:tab w:val="left" w:pos="14400"/>
          <w:tab w:val="left" w:pos="14760"/>
          <w:tab w:val="left" w:pos="14850"/>
        </w:tabs>
        <w:snapToGrid w:val="0"/>
        <w:spacing w:beforeLines="30" w:before="72" w:line="240" w:lineRule="auto"/>
        <w:ind w:leftChars="210" w:left="921" w:rightChars="-177" w:right="-510" w:hangingChars="152" w:hanging="316"/>
        <w:rPr>
          <w:bCs/>
          <w:color w:val="000000" w:themeColor="text1"/>
          <w:sz w:val="20"/>
        </w:rPr>
      </w:pPr>
      <w:proofErr w:type="gramStart"/>
      <w:r w:rsidRPr="005072CB">
        <w:rPr>
          <w:bCs/>
          <w:color w:val="000000" w:themeColor="text1"/>
          <w:sz w:val="20"/>
        </w:rPr>
        <w:t>註</w:t>
      </w:r>
      <w:proofErr w:type="gramEnd"/>
      <w:r w:rsidRPr="005072CB">
        <w:rPr>
          <w:bCs/>
          <w:color w:val="000000" w:themeColor="text1"/>
          <w:sz w:val="20"/>
        </w:rPr>
        <w:t>：</w:t>
      </w:r>
      <w:r w:rsidRPr="005072CB">
        <w:rPr>
          <w:bCs/>
          <w:color w:val="000000" w:themeColor="text1"/>
          <w:sz w:val="20"/>
        </w:rPr>
        <w:t>*</w:t>
      </w:r>
      <w:r w:rsidRPr="005072CB">
        <w:rPr>
          <w:bCs/>
          <w:color w:val="000000" w:themeColor="text1"/>
          <w:sz w:val="20"/>
        </w:rPr>
        <w:t>為新興及開發中國家，</w:t>
      </w:r>
      <w:r w:rsidRPr="005072CB">
        <w:rPr>
          <w:bCs/>
          <w:color w:val="000000" w:themeColor="text1"/>
          <w:sz w:val="20"/>
        </w:rPr>
        <w:t>**</w:t>
      </w:r>
      <w:r w:rsidRPr="005072CB">
        <w:rPr>
          <w:bCs/>
          <w:color w:val="000000" w:themeColor="text1"/>
          <w:sz w:val="20"/>
        </w:rPr>
        <w:t>東協五國包含印尼、馬來西亞、菲律賓、泰國、越南。</w:t>
      </w:r>
    </w:p>
    <w:p w:rsidR="00CB6AAF" w:rsidRPr="005072CB" w:rsidRDefault="00CB6AAF" w:rsidP="00CB6AAF">
      <w:pPr>
        <w:widowControl/>
        <w:tabs>
          <w:tab w:val="left" w:pos="14400"/>
          <w:tab w:val="left" w:pos="14760"/>
          <w:tab w:val="left" w:pos="14850"/>
        </w:tabs>
        <w:autoSpaceDE/>
        <w:autoSpaceDN/>
        <w:adjustRightInd/>
        <w:snapToGrid w:val="0"/>
        <w:spacing w:line="240" w:lineRule="auto"/>
        <w:ind w:left="850" w:rightChars="-177" w:right="-510" w:hangingChars="425" w:hanging="850"/>
        <w:jc w:val="left"/>
        <w:textAlignment w:val="auto"/>
        <w:rPr>
          <w:bCs/>
          <w:color w:val="000000" w:themeColor="text1"/>
          <w:spacing w:val="0"/>
          <w:sz w:val="20"/>
          <w:szCs w:val="24"/>
        </w:rPr>
      </w:pPr>
      <w:r w:rsidRPr="005072CB">
        <w:rPr>
          <w:bCs/>
          <w:color w:val="000000" w:themeColor="text1"/>
          <w:spacing w:val="0"/>
          <w:sz w:val="20"/>
          <w:szCs w:val="24"/>
        </w:rPr>
        <w:t>資料來源：</w:t>
      </w:r>
      <w:r w:rsidRPr="005072CB">
        <w:rPr>
          <w:bCs/>
          <w:color w:val="000000" w:themeColor="text1"/>
          <w:spacing w:val="0"/>
          <w:sz w:val="20"/>
          <w:szCs w:val="24"/>
        </w:rPr>
        <w:t xml:space="preserve">1. Global Insight Inc., </w:t>
      </w:r>
      <w:r w:rsidRPr="005072CB">
        <w:rPr>
          <w:bCs/>
          <w:i/>
          <w:color w:val="000000" w:themeColor="text1"/>
          <w:spacing w:val="0"/>
          <w:sz w:val="20"/>
          <w:szCs w:val="24"/>
        </w:rPr>
        <w:t>Global Insight’s Comparative World Overview,</w:t>
      </w:r>
      <w:r w:rsidRPr="005072CB">
        <w:rPr>
          <w:bCs/>
          <w:color w:val="000000" w:themeColor="text1"/>
          <w:spacing w:val="0"/>
          <w:sz w:val="20"/>
          <w:szCs w:val="24"/>
        </w:rPr>
        <w:t xml:space="preserve"> </w:t>
      </w:r>
      <w:r w:rsidR="003842EF" w:rsidRPr="005072CB">
        <w:rPr>
          <w:rFonts w:hint="eastAsia"/>
          <w:bCs/>
          <w:color w:val="000000" w:themeColor="text1"/>
          <w:spacing w:val="0"/>
          <w:sz w:val="20"/>
          <w:szCs w:val="24"/>
        </w:rPr>
        <w:t>June</w:t>
      </w:r>
      <w:r w:rsidRPr="005072CB">
        <w:rPr>
          <w:bCs/>
          <w:color w:val="000000" w:themeColor="text1"/>
          <w:spacing w:val="0"/>
          <w:sz w:val="20"/>
          <w:szCs w:val="24"/>
        </w:rPr>
        <w:t xml:space="preserve"> 2015.</w:t>
      </w:r>
    </w:p>
    <w:p w:rsidR="00CB6AAF" w:rsidRPr="005072CB" w:rsidRDefault="00CB6AAF" w:rsidP="00C51780">
      <w:pPr>
        <w:widowControl/>
        <w:tabs>
          <w:tab w:val="left" w:pos="14400"/>
          <w:tab w:val="left" w:pos="14760"/>
          <w:tab w:val="left" w:pos="14850"/>
        </w:tabs>
        <w:autoSpaceDE/>
        <w:autoSpaceDN/>
        <w:adjustRightInd/>
        <w:snapToGrid w:val="0"/>
        <w:spacing w:afterLines="150" w:after="360" w:line="240" w:lineRule="auto"/>
        <w:ind w:leftChars="355" w:left="1022"/>
        <w:jc w:val="left"/>
        <w:textAlignment w:val="auto"/>
        <w:rPr>
          <w:b/>
          <w:color w:val="000000" w:themeColor="text1"/>
        </w:rPr>
      </w:pPr>
      <w:r w:rsidRPr="005072CB">
        <w:rPr>
          <w:bCs/>
          <w:color w:val="000000" w:themeColor="text1"/>
          <w:spacing w:val="0"/>
          <w:sz w:val="20"/>
          <w:szCs w:val="24"/>
        </w:rPr>
        <w:t xml:space="preserve">2. IMF, </w:t>
      </w:r>
      <w:r w:rsidRPr="005072CB">
        <w:rPr>
          <w:bCs/>
          <w:i/>
          <w:color w:val="000000" w:themeColor="text1"/>
          <w:spacing w:val="0"/>
          <w:sz w:val="20"/>
          <w:szCs w:val="24"/>
        </w:rPr>
        <w:t>World Economic Outlook</w:t>
      </w:r>
      <w:r w:rsidRPr="005072CB">
        <w:rPr>
          <w:bCs/>
          <w:color w:val="000000" w:themeColor="text1"/>
          <w:spacing w:val="0"/>
          <w:sz w:val="20"/>
          <w:szCs w:val="24"/>
        </w:rPr>
        <w:t>, April 2015.</w:t>
      </w:r>
    </w:p>
    <w:p w:rsidR="00E00F65" w:rsidRPr="005072CB" w:rsidRDefault="00E00F65" w:rsidP="00DB729F">
      <w:pPr>
        <w:pStyle w:val="k3a"/>
        <w:ind w:leftChars="400" w:left="1152" w:firstLineChars="0" w:firstLine="0"/>
        <w:rPr>
          <w:color w:val="000000" w:themeColor="text1"/>
        </w:rPr>
      </w:pPr>
      <w:proofErr w:type="gramStart"/>
      <w:r w:rsidRPr="005072CB">
        <w:rPr>
          <w:rFonts w:hint="eastAsia"/>
          <w:color w:val="000000" w:themeColor="text1"/>
        </w:rPr>
        <w:t>裁案</w:t>
      </w:r>
      <w:proofErr w:type="gramEnd"/>
      <w:r w:rsidRPr="005072CB">
        <w:rPr>
          <w:rFonts w:hint="eastAsia"/>
          <w:color w:val="000000" w:themeColor="text1"/>
        </w:rPr>
        <w:t>、希臘政局動</w:t>
      </w:r>
      <w:proofErr w:type="gramStart"/>
      <w:r w:rsidRPr="005072CB">
        <w:rPr>
          <w:rFonts w:hint="eastAsia"/>
          <w:color w:val="000000" w:themeColor="text1"/>
        </w:rPr>
        <w:t>盪</w:t>
      </w:r>
      <w:proofErr w:type="gramEnd"/>
      <w:r w:rsidRPr="005072CB">
        <w:rPr>
          <w:rFonts w:hint="eastAsia"/>
          <w:color w:val="000000" w:themeColor="text1"/>
        </w:rPr>
        <w:t>等因素衝擊，全年僅微幅成長</w:t>
      </w:r>
      <w:r w:rsidRPr="005072CB">
        <w:rPr>
          <w:rFonts w:hint="eastAsia"/>
          <w:color w:val="000000" w:themeColor="text1"/>
        </w:rPr>
        <w:t>0.9%</w:t>
      </w:r>
      <w:r w:rsidRPr="005072CB">
        <w:rPr>
          <w:rFonts w:hint="eastAsia"/>
          <w:color w:val="000000" w:themeColor="text1"/>
        </w:rPr>
        <w:t>。歐元區前三大經濟體中，德國受惠於出口明顯擴張，復以內需動能轉強，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年經濟領先成長</w:t>
      </w:r>
      <w:r w:rsidRPr="005072CB">
        <w:rPr>
          <w:rFonts w:hint="eastAsia"/>
          <w:color w:val="000000" w:themeColor="text1"/>
        </w:rPr>
        <w:t>1.6%</w:t>
      </w:r>
      <w:r w:rsidRPr="005072CB">
        <w:rPr>
          <w:rFonts w:hint="eastAsia"/>
          <w:color w:val="000000" w:themeColor="text1"/>
        </w:rPr>
        <w:t>，較上年增加</w:t>
      </w:r>
      <w:r w:rsidRPr="005072CB">
        <w:rPr>
          <w:rFonts w:hint="eastAsia"/>
          <w:color w:val="000000" w:themeColor="text1"/>
        </w:rPr>
        <w:t>1.4</w:t>
      </w:r>
      <w:r w:rsidRPr="005072CB">
        <w:rPr>
          <w:rFonts w:hint="eastAsia"/>
          <w:color w:val="000000" w:themeColor="text1"/>
        </w:rPr>
        <w:t>個百分點；法國全年經濟僅微幅成長</w:t>
      </w:r>
      <w:r w:rsidR="003842EF" w:rsidRPr="005072CB">
        <w:rPr>
          <w:rFonts w:hint="eastAsia"/>
          <w:color w:val="000000" w:themeColor="text1"/>
        </w:rPr>
        <w:t>0.2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</w:t>
      </w:r>
      <w:r w:rsidR="003842EF" w:rsidRPr="005072CB">
        <w:rPr>
          <w:rFonts w:hint="eastAsia"/>
          <w:color w:val="000000" w:themeColor="text1"/>
        </w:rPr>
        <w:t>較</w:t>
      </w:r>
      <w:r w:rsidRPr="005072CB">
        <w:rPr>
          <w:rFonts w:hint="eastAsia"/>
          <w:color w:val="000000" w:themeColor="text1"/>
        </w:rPr>
        <w:t>上年</w:t>
      </w:r>
      <w:r w:rsidR="003842EF" w:rsidRPr="005072CB">
        <w:rPr>
          <w:rFonts w:hint="eastAsia"/>
          <w:color w:val="000000" w:themeColor="text1"/>
        </w:rPr>
        <w:t>減少</w:t>
      </w:r>
      <w:r w:rsidR="003842EF" w:rsidRPr="005072CB">
        <w:rPr>
          <w:rFonts w:hint="eastAsia"/>
          <w:color w:val="000000" w:themeColor="text1"/>
        </w:rPr>
        <w:t>0.5</w:t>
      </w:r>
      <w:r w:rsidR="003842EF" w:rsidRPr="005072CB">
        <w:rPr>
          <w:rFonts w:hint="eastAsia"/>
          <w:color w:val="000000" w:themeColor="text1"/>
        </w:rPr>
        <w:t>個百分點</w:t>
      </w:r>
      <w:r w:rsidRPr="005072CB">
        <w:rPr>
          <w:rFonts w:hint="eastAsia"/>
          <w:color w:val="000000" w:themeColor="text1"/>
        </w:rPr>
        <w:t>；義大利經濟則持續衰退</w:t>
      </w:r>
      <w:r w:rsidRPr="005072CB">
        <w:rPr>
          <w:rFonts w:hint="eastAsia"/>
          <w:color w:val="000000" w:themeColor="text1"/>
        </w:rPr>
        <w:t>0.4%</w:t>
      </w:r>
      <w:r w:rsidR="006A165F" w:rsidRPr="005072CB">
        <w:rPr>
          <w:rFonts w:hint="eastAsia"/>
          <w:color w:val="000000" w:themeColor="text1"/>
        </w:rPr>
        <w:t>，惟</w:t>
      </w:r>
      <w:r w:rsidRPr="005072CB">
        <w:rPr>
          <w:rFonts w:hint="eastAsia"/>
          <w:color w:val="000000" w:themeColor="text1"/>
        </w:rPr>
        <w:t>較上年減</w:t>
      </w:r>
      <w:r w:rsidR="006A165F" w:rsidRPr="005072CB">
        <w:rPr>
          <w:rFonts w:hint="eastAsia"/>
          <w:color w:val="000000" w:themeColor="text1"/>
        </w:rPr>
        <w:t>少</w:t>
      </w:r>
      <w:r w:rsidR="006A165F" w:rsidRPr="005072CB">
        <w:rPr>
          <w:rFonts w:hint="eastAsia"/>
          <w:color w:val="000000" w:themeColor="text1"/>
        </w:rPr>
        <w:t>1.3</w:t>
      </w:r>
      <w:r w:rsidR="006A165F" w:rsidRPr="005072CB">
        <w:rPr>
          <w:rFonts w:hint="eastAsia"/>
          <w:color w:val="000000" w:themeColor="text1"/>
        </w:rPr>
        <w:t>百分點</w:t>
      </w:r>
      <w:r w:rsidRPr="005072CB">
        <w:rPr>
          <w:rFonts w:hint="eastAsia"/>
          <w:color w:val="000000" w:themeColor="text1"/>
        </w:rPr>
        <w:t>。西班牙、希臘、葡萄牙等高財政赤字及高債務國家</w:t>
      </w:r>
      <w:r w:rsidR="00FD4741" w:rsidRPr="005072CB">
        <w:rPr>
          <w:rFonts w:hint="eastAsia"/>
          <w:color w:val="000000" w:themeColor="text1"/>
        </w:rPr>
        <w:t>由於經濟及財政結構改革成效逐漸顯現，</w:t>
      </w:r>
      <w:r w:rsidR="00D04983" w:rsidRPr="005072CB">
        <w:rPr>
          <w:rFonts w:hint="eastAsia"/>
          <w:color w:val="000000" w:themeColor="text1"/>
        </w:rPr>
        <w:t>產業競爭力提升且出口動能轉佳，</w:t>
      </w:r>
      <w:proofErr w:type="gramStart"/>
      <w:r w:rsidRPr="005072CB">
        <w:rPr>
          <w:rFonts w:hint="eastAsia"/>
          <w:color w:val="000000" w:themeColor="text1"/>
        </w:rPr>
        <w:t>經濟均呈復甦</w:t>
      </w:r>
      <w:proofErr w:type="gramEnd"/>
      <w:r w:rsidRPr="005072CB">
        <w:rPr>
          <w:rFonts w:hint="eastAsia"/>
          <w:color w:val="000000" w:themeColor="text1"/>
        </w:rPr>
        <w:t>，分別由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年的衰退</w:t>
      </w:r>
      <w:r w:rsidRPr="005072CB">
        <w:rPr>
          <w:rFonts w:hint="eastAsia"/>
          <w:color w:val="000000" w:themeColor="text1"/>
        </w:rPr>
        <w:t>1.2%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4.0%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1.4%</w:t>
      </w:r>
      <w:r w:rsidRPr="005072CB">
        <w:rPr>
          <w:rFonts w:hint="eastAsia"/>
          <w:color w:val="000000" w:themeColor="text1"/>
        </w:rPr>
        <w:t>，轉呈成長</w:t>
      </w:r>
      <w:r w:rsidRPr="005072CB">
        <w:rPr>
          <w:rFonts w:hint="eastAsia"/>
          <w:color w:val="000000" w:themeColor="text1"/>
        </w:rPr>
        <w:t>1.4%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0.7%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0.9%</w:t>
      </w:r>
      <w:r w:rsidRPr="005072CB">
        <w:rPr>
          <w:rFonts w:hint="eastAsia"/>
          <w:color w:val="000000" w:themeColor="text1"/>
        </w:rPr>
        <w:t>。</w:t>
      </w:r>
    </w:p>
    <w:p w:rsidR="00E00F65" w:rsidRPr="005072CB" w:rsidRDefault="00E00F65" w:rsidP="00DB729F">
      <w:pPr>
        <w:pStyle w:val="k3a"/>
        <w:ind w:left="1152" w:hangingChars="100" w:hanging="288"/>
        <w:rPr>
          <w:color w:val="000000" w:themeColor="text1"/>
        </w:rPr>
      </w:pPr>
      <w:proofErr w:type="gramStart"/>
      <w:r w:rsidRPr="005072CB">
        <w:rPr>
          <w:rFonts w:hint="eastAsia"/>
          <w:color w:val="000000" w:themeColor="text1"/>
        </w:rPr>
        <w:t>－為協助</w:t>
      </w:r>
      <w:proofErr w:type="gramEnd"/>
      <w:r w:rsidRPr="005072CB">
        <w:rPr>
          <w:rFonts w:hint="eastAsia"/>
          <w:color w:val="000000" w:themeColor="text1"/>
        </w:rPr>
        <w:t>歐元區國家脫離低通膨與經濟停滯等困境，</w:t>
      </w:r>
      <w:r w:rsidR="008D5676" w:rsidRPr="005072CB">
        <w:rPr>
          <w:rFonts w:hint="eastAsia"/>
          <w:color w:val="000000" w:themeColor="text1"/>
        </w:rPr>
        <w:t>歐洲央行</w:t>
      </w:r>
      <w:r w:rsidR="008D5676" w:rsidRPr="005072CB">
        <w:rPr>
          <w:rFonts w:ascii="標楷體" w:hAnsi="標楷體" w:hint="eastAsia"/>
          <w:color w:val="000000" w:themeColor="text1"/>
        </w:rPr>
        <w:t>(</w:t>
      </w:r>
      <w:r w:rsidR="008D5676" w:rsidRPr="005072CB">
        <w:rPr>
          <w:rFonts w:hint="eastAsia"/>
          <w:color w:val="000000" w:themeColor="text1"/>
        </w:rPr>
        <w:t>ECB</w:t>
      </w:r>
      <w:r w:rsidR="008D5676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自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6</w:t>
      </w:r>
      <w:r w:rsidRPr="005072CB">
        <w:rPr>
          <w:rFonts w:hint="eastAsia"/>
          <w:color w:val="000000" w:themeColor="text1"/>
        </w:rPr>
        <w:t>月起，已陸續推出負利率政策及</w:t>
      </w:r>
      <w:r w:rsidR="00B30896" w:rsidRPr="005072CB">
        <w:rPr>
          <w:rFonts w:hint="eastAsia"/>
          <w:color w:val="000000" w:themeColor="text1"/>
        </w:rPr>
        <w:t>「</w:t>
      </w:r>
      <w:r w:rsidRPr="005072CB">
        <w:rPr>
          <w:rFonts w:hint="eastAsia"/>
          <w:color w:val="000000" w:themeColor="text1"/>
        </w:rPr>
        <w:t>定向</w:t>
      </w:r>
      <w:r w:rsidR="00B30896" w:rsidRPr="005072CB">
        <w:rPr>
          <w:rFonts w:hint="eastAsia"/>
          <w:color w:val="000000" w:themeColor="text1"/>
        </w:rPr>
        <w:t>」</w:t>
      </w:r>
      <w:r w:rsidRPr="005072CB">
        <w:rPr>
          <w:rFonts w:hint="eastAsia"/>
          <w:color w:val="000000" w:themeColor="text1"/>
        </w:rPr>
        <w:t>長期再融資操作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TLTRO</w:t>
      </w:r>
      <w:r w:rsidRPr="005072CB">
        <w:rPr>
          <w:rFonts w:ascii="標楷體" w:hAnsi="標楷體" w:hint="eastAsia"/>
          <w:color w:val="000000" w:themeColor="text1"/>
        </w:rPr>
        <w:t>)</w:t>
      </w:r>
      <w:r w:rsidR="00B30896" w:rsidRPr="005072CB">
        <w:rPr>
          <w:rStyle w:val="aff7"/>
          <w:color w:val="000000" w:themeColor="text1"/>
        </w:rPr>
        <w:footnoteReference w:id="1"/>
      </w:r>
      <w:r w:rsidRPr="005072CB">
        <w:rPr>
          <w:rFonts w:hint="eastAsia"/>
          <w:color w:val="000000" w:themeColor="text1"/>
        </w:rPr>
        <w:t>等寬鬆貨幣措施因應。</w:t>
      </w:r>
    </w:p>
    <w:p w:rsidR="00E00F65" w:rsidRPr="005072CB" w:rsidRDefault="00E00F65" w:rsidP="00C51780">
      <w:pPr>
        <w:pStyle w:val="k2a"/>
        <w:ind w:left="835" w:hanging="576"/>
        <w:rPr>
          <w:rFonts w:ascii="標楷體" w:hAnsi="標楷體"/>
          <w:color w:val="000000" w:themeColor="text1"/>
          <w:szCs w:val="28"/>
        </w:rPr>
      </w:pPr>
      <w:r w:rsidRPr="005072CB">
        <w:rPr>
          <w:rFonts w:ascii="標楷體" w:hAnsi="標楷體" w:hint="eastAsia"/>
          <w:color w:val="000000" w:themeColor="text1"/>
          <w:szCs w:val="28"/>
        </w:rPr>
        <w:lastRenderedPageBreak/>
        <w:t>(三)日本</w:t>
      </w:r>
    </w:p>
    <w:p w:rsidR="00E00F65" w:rsidRPr="005072CB" w:rsidRDefault="00E00F65" w:rsidP="00DB729F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C21A69" w:rsidRPr="005072CB">
        <w:rPr>
          <w:rFonts w:hint="eastAsia"/>
          <w:color w:val="000000" w:themeColor="text1"/>
        </w:rPr>
        <w:t>2014</w:t>
      </w:r>
      <w:r w:rsidR="00C21A69"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日本受</w:t>
      </w:r>
      <w:r w:rsidRPr="005072CB">
        <w:rPr>
          <w:rFonts w:hint="eastAsia"/>
          <w:color w:val="000000" w:themeColor="text1"/>
        </w:rPr>
        <w:t>4</w:t>
      </w:r>
      <w:r w:rsidRPr="005072CB">
        <w:rPr>
          <w:rFonts w:hint="eastAsia"/>
          <w:color w:val="000000" w:themeColor="text1"/>
        </w:rPr>
        <w:t>月</w:t>
      </w:r>
      <w:r w:rsidR="00C21A69" w:rsidRPr="005072CB">
        <w:rPr>
          <w:rFonts w:hint="eastAsia"/>
          <w:color w:val="000000" w:themeColor="text1"/>
        </w:rPr>
        <w:t>份消費稅</w:t>
      </w:r>
      <w:r w:rsidRPr="005072CB">
        <w:rPr>
          <w:rFonts w:hint="eastAsia"/>
          <w:color w:val="000000" w:themeColor="text1"/>
        </w:rPr>
        <w:t>調升影響，民間消費支出低迷，加以工業生產疲弱不振，經濟成長率自第</w:t>
      </w:r>
      <w:r w:rsidRPr="005072CB">
        <w:rPr>
          <w:rFonts w:hint="eastAsia"/>
          <w:color w:val="000000" w:themeColor="text1"/>
        </w:rPr>
        <w:t>1</w:t>
      </w:r>
      <w:r w:rsidRPr="005072CB">
        <w:rPr>
          <w:rFonts w:hint="eastAsia"/>
          <w:color w:val="000000" w:themeColor="text1"/>
        </w:rPr>
        <w:t>季</w:t>
      </w:r>
      <w:r w:rsidR="00FD4741" w:rsidRPr="005072CB">
        <w:rPr>
          <w:rFonts w:hint="eastAsia"/>
          <w:color w:val="000000" w:themeColor="text1"/>
        </w:rPr>
        <w:t>的</w:t>
      </w:r>
      <w:r w:rsidRPr="005072CB">
        <w:rPr>
          <w:rFonts w:hint="eastAsia"/>
          <w:color w:val="000000" w:themeColor="text1"/>
        </w:rPr>
        <w:t>2.1%</w:t>
      </w:r>
      <w:proofErr w:type="gramStart"/>
      <w:r w:rsidR="00C21A69" w:rsidRPr="005072CB">
        <w:rPr>
          <w:rFonts w:hint="eastAsia"/>
          <w:color w:val="000000" w:themeColor="text1"/>
        </w:rPr>
        <w:t>逐季下</w:t>
      </w:r>
      <w:r w:rsidRPr="005072CB">
        <w:rPr>
          <w:rFonts w:hint="eastAsia"/>
          <w:color w:val="000000" w:themeColor="text1"/>
        </w:rPr>
        <w:t>降至</w:t>
      </w:r>
      <w:proofErr w:type="gramEnd"/>
      <w:r w:rsidRPr="005072CB">
        <w:rPr>
          <w:rFonts w:hint="eastAsia"/>
          <w:color w:val="000000" w:themeColor="text1"/>
        </w:rPr>
        <w:t>第</w:t>
      </w:r>
      <w:r w:rsidRPr="005072CB">
        <w:rPr>
          <w:rFonts w:hint="eastAsia"/>
          <w:color w:val="000000" w:themeColor="text1"/>
        </w:rPr>
        <w:t>3</w:t>
      </w:r>
      <w:r w:rsidRPr="005072CB">
        <w:rPr>
          <w:rFonts w:hint="eastAsia"/>
          <w:color w:val="000000" w:themeColor="text1"/>
        </w:rPr>
        <w:t>季負成長</w:t>
      </w:r>
      <w:r w:rsidRPr="005072CB">
        <w:rPr>
          <w:rFonts w:hint="eastAsia"/>
          <w:color w:val="000000" w:themeColor="text1"/>
        </w:rPr>
        <w:t>1.4%</w:t>
      </w:r>
      <w:r w:rsidRPr="005072CB">
        <w:rPr>
          <w:rFonts w:hint="eastAsia"/>
          <w:color w:val="000000" w:themeColor="text1"/>
        </w:rPr>
        <w:t>，第</w:t>
      </w:r>
      <w:r w:rsidRPr="005072CB">
        <w:rPr>
          <w:rFonts w:hint="eastAsia"/>
          <w:color w:val="000000" w:themeColor="text1"/>
        </w:rPr>
        <w:t>4</w:t>
      </w:r>
      <w:r w:rsidRPr="005072CB">
        <w:rPr>
          <w:rFonts w:hint="eastAsia"/>
          <w:color w:val="000000" w:themeColor="text1"/>
        </w:rPr>
        <w:t>季衰退幅度</w:t>
      </w:r>
      <w:r w:rsidR="00C21A69" w:rsidRPr="005072CB">
        <w:rPr>
          <w:rFonts w:hint="eastAsia"/>
          <w:color w:val="000000" w:themeColor="text1"/>
        </w:rPr>
        <w:t>則</w:t>
      </w:r>
      <w:r w:rsidRPr="005072CB">
        <w:rPr>
          <w:rFonts w:hint="eastAsia"/>
          <w:color w:val="000000" w:themeColor="text1"/>
        </w:rPr>
        <w:t>減緩為</w:t>
      </w:r>
      <w:r w:rsidR="003842EF" w:rsidRPr="005072CB">
        <w:rPr>
          <w:rFonts w:hint="eastAsia"/>
          <w:color w:val="000000" w:themeColor="text1"/>
        </w:rPr>
        <w:t>0.8</w:t>
      </w:r>
      <w:r w:rsidRPr="005072CB">
        <w:rPr>
          <w:rFonts w:hint="eastAsia"/>
          <w:color w:val="000000" w:themeColor="text1"/>
        </w:rPr>
        <w:t>%</w:t>
      </w:r>
      <w:r w:rsidR="00254E6E" w:rsidRPr="005072CB">
        <w:rPr>
          <w:rFonts w:hint="eastAsia"/>
          <w:color w:val="000000" w:themeColor="text1"/>
        </w:rPr>
        <w:t>，</w:t>
      </w:r>
      <w:r w:rsidR="00C21A69" w:rsidRPr="005072CB">
        <w:rPr>
          <w:rFonts w:hint="eastAsia"/>
          <w:color w:val="000000" w:themeColor="text1"/>
        </w:rPr>
        <w:t>全年經濟成長率由</w:t>
      </w:r>
      <w:r w:rsidR="00C21A69" w:rsidRPr="005072CB">
        <w:rPr>
          <w:rFonts w:hint="eastAsia"/>
          <w:color w:val="000000" w:themeColor="text1"/>
        </w:rPr>
        <w:t>2013</w:t>
      </w:r>
      <w:r w:rsidR="00C21A69" w:rsidRPr="005072CB">
        <w:rPr>
          <w:rFonts w:hint="eastAsia"/>
          <w:color w:val="000000" w:themeColor="text1"/>
        </w:rPr>
        <w:t>年的</w:t>
      </w:r>
      <w:r w:rsidR="00C21A69" w:rsidRPr="005072CB">
        <w:rPr>
          <w:rFonts w:hint="eastAsia"/>
          <w:color w:val="000000" w:themeColor="text1"/>
        </w:rPr>
        <w:t>1.6%</w:t>
      </w:r>
      <w:r w:rsidR="00C21A69" w:rsidRPr="005072CB">
        <w:rPr>
          <w:rFonts w:hint="eastAsia"/>
          <w:color w:val="000000" w:themeColor="text1"/>
        </w:rPr>
        <w:t>，轉呈負成長</w:t>
      </w:r>
      <w:r w:rsidR="00C21A69" w:rsidRPr="005072CB">
        <w:rPr>
          <w:rFonts w:hint="eastAsia"/>
          <w:color w:val="000000" w:themeColor="text1"/>
        </w:rPr>
        <w:t>0.1%</w:t>
      </w:r>
      <w:r w:rsidR="00254E6E" w:rsidRPr="005072CB">
        <w:rPr>
          <w:rFonts w:hint="eastAsia"/>
          <w:color w:val="000000" w:themeColor="text1"/>
        </w:rPr>
        <w:t>。</w:t>
      </w:r>
    </w:p>
    <w:p w:rsidR="00566DC1" w:rsidRPr="005072CB" w:rsidRDefault="00E00F65" w:rsidP="00DB729F">
      <w:pPr>
        <w:pStyle w:val="k3a"/>
        <w:ind w:left="1152" w:hangingChars="100" w:hanging="288"/>
        <w:rPr>
          <w:color w:val="000000" w:themeColor="text1"/>
        </w:rPr>
      </w:pPr>
      <w:proofErr w:type="gramStart"/>
      <w:r w:rsidRPr="005072CB">
        <w:rPr>
          <w:rFonts w:hint="eastAsia"/>
          <w:color w:val="000000" w:themeColor="text1"/>
        </w:rPr>
        <w:t>－</w:t>
      </w:r>
      <w:r w:rsidRPr="005072CB">
        <w:rPr>
          <w:rFonts w:hint="eastAsia"/>
          <w:color w:val="000000" w:themeColor="text1"/>
          <w:spacing w:val="2"/>
        </w:rPr>
        <w:t>為鞏固</w:t>
      </w:r>
      <w:proofErr w:type="gramEnd"/>
      <w:r w:rsidRPr="005072CB">
        <w:rPr>
          <w:rFonts w:hint="eastAsia"/>
          <w:color w:val="000000" w:themeColor="text1"/>
          <w:spacing w:val="2"/>
        </w:rPr>
        <w:t>安</w:t>
      </w:r>
      <w:proofErr w:type="gramStart"/>
      <w:r w:rsidRPr="005072CB">
        <w:rPr>
          <w:rFonts w:hint="eastAsia"/>
          <w:color w:val="000000" w:themeColor="text1"/>
          <w:spacing w:val="2"/>
        </w:rPr>
        <w:t>倍</w:t>
      </w:r>
      <w:proofErr w:type="gramEnd"/>
      <w:r w:rsidRPr="005072CB">
        <w:rPr>
          <w:rFonts w:hint="eastAsia"/>
          <w:color w:val="000000" w:themeColor="text1"/>
          <w:spacing w:val="2"/>
        </w:rPr>
        <w:t>經濟學</w:t>
      </w:r>
      <w:r w:rsidRPr="005072CB">
        <w:rPr>
          <w:rFonts w:ascii="標楷體" w:hAnsi="標楷體" w:hint="eastAsia"/>
          <w:color w:val="000000" w:themeColor="text1"/>
          <w:spacing w:val="2"/>
        </w:rPr>
        <w:t>(</w:t>
      </w:r>
      <w:proofErr w:type="spellStart"/>
      <w:r w:rsidRPr="005072CB">
        <w:rPr>
          <w:rFonts w:hint="eastAsia"/>
          <w:color w:val="000000" w:themeColor="text1"/>
          <w:spacing w:val="2"/>
        </w:rPr>
        <w:t>Abenomics</w:t>
      </w:r>
      <w:proofErr w:type="spellEnd"/>
      <w:r w:rsidRPr="005072CB">
        <w:rPr>
          <w:rFonts w:ascii="標楷體" w:hAnsi="標楷體" w:hint="eastAsia"/>
          <w:color w:val="000000" w:themeColor="text1"/>
          <w:spacing w:val="2"/>
        </w:rPr>
        <w:t>)</w:t>
      </w:r>
      <w:r w:rsidRPr="005072CB">
        <w:rPr>
          <w:rFonts w:hint="eastAsia"/>
          <w:color w:val="000000" w:themeColor="text1"/>
          <w:spacing w:val="2"/>
        </w:rPr>
        <w:t>的經濟良性循環效果，</w:t>
      </w:r>
      <w:r w:rsidR="008D5676" w:rsidRPr="005072CB">
        <w:rPr>
          <w:color w:val="000000" w:themeColor="text1"/>
          <w:spacing w:val="2"/>
        </w:rPr>
        <w:t>日本</w:t>
      </w:r>
      <w:r w:rsidR="008D5676" w:rsidRPr="005072CB">
        <w:rPr>
          <w:rFonts w:hint="eastAsia"/>
          <w:color w:val="000000" w:themeColor="text1"/>
          <w:spacing w:val="2"/>
        </w:rPr>
        <w:t>央行</w:t>
      </w:r>
      <w:r w:rsidR="008D5676" w:rsidRPr="005072CB">
        <w:rPr>
          <w:rFonts w:ascii="標楷體" w:hAnsi="標楷體"/>
          <w:color w:val="000000" w:themeColor="text1"/>
          <w:spacing w:val="2"/>
        </w:rPr>
        <w:t>(</w:t>
      </w:r>
      <w:r w:rsidR="008D5676" w:rsidRPr="005072CB">
        <w:rPr>
          <w:color w:val="000000" w:themeColor="text1"/>
          <w:spacing w:val="2"/>
        </w:rPr>
        <w:t>BOJ</w:t>
      </w:r>
      <w:r w:rsidR="008D5676" w:rsidRPr="005072CB">
        <w:rPr>
          <w:rFonts w:ascii="標楷體" w:hAnsi="標楷體"/>
          <w:color w:val="000000" w:themeColor="text1"/>
          <w:spacing w:val="2"/>
        </w:rPr>
        <w:t>)</w:t>
      </w:r>
      <w:r w:rsidRPr="005072CB">
        <w:rPr>
          <w:rFonts w:hint="eastAsia"/>
          <w:color w:val="000000" w:themeColor="text1"/>
          <w:spacing w:val="2"/>
        </w:rPr>
        <w:t>於</w:t>
      </w:r>
      <w:r w:rsidRPr="005072CB">
        <w:rPr>
          <w:rFonts w:hint="eastAsia"/>
          <w:color w:val="000000" w:themeColor="text1"/>
          <w:spacing w:val="2"/>
        </w:rPr>
        <w:t>2014</w:t>
      </w:r>
      <w:r w:rsidRPr="005072CB">
        <w:rPr>
          <w:rFonts w:hint="eastAsia"/>
          <w:color w:val="000000" w:themeColor="text1"/>
          <w:spacing w:val="2"/>
        </w:rPr>
        <w:t>年</w:t>
      </w:r>
      <w:r w:rsidRPr="005072CB">
        <w:rPr>
          <w:rFonts w:hint="eastAsia"/>
          <w:color w:val="000000" w:themeColor="text1"/>
          <w:spacing w:val="2"/>
        </w:rPr>
        <w:t>10</w:t>
      </w:r>
      <w:r w:rsidRPr="005072CB">
        <w:rPr>
          <w:rFonts w:hint="eastAsia"/>
          <w:color w:val="000000" w:themeColor="text1"/>
          <w:spacing w:val="2"/>
        </w:rPr>
        <w:t>月底宣布</w:t>
      </w:r>
      <w:r w:rsidRPr="005072CB">
        <w:rPr>
          <w:color w:val="000000" w:themeColor="text1"/>
          <w:spacing w:val="2"/>
        </w:rPr>
        <w:t>擴大</w:t>
      </w:r>
      <w:r w:rsidRPr="005072CB">
        <w:rPr>
          <w:rFonts w:hint="eastAsia"/>
          <w:color w:val="000000" w:themeColor="text1"/>
          <w:spacing w:val="2"/>
        </w:rPr>
        <w:t>質化量化</w:t>
      </w:r>
      <w:r w:rsidRPr="005072CB">
        <w:rPr>
          <w:color w:val="000000" w:themeColor="text1"/>
          <w:spacing w:val="2"/>
        </w:rPr>
        <w:t>寬鬆貨幣政策</w:t>
      </w:r>
      <w:r w:rsidRPr="005072CB">
        <w:rPr>
          <w:rFonts w:ascii="標楷體" w:hAnsi="標楷體" w:hint="eastAsia"/>
          <w:color w:val="000000" w:themeColor="text1"/>
          <w:spacing w:val="2"/>
        </w:rPr>
        <w:t>(</w:t>
      </w:r>
      <w:r w:rsidRPr="005072CB">
        <w:rPr>
          <w:color w:val="000000" w:themeColor="text1"/>
          <w:spacing w:val="2"/>
        </w:rPr>
        <w:t>QQE</w:t>
      </w:r>
      <w:r w:rsidRPr="005072CB">
        <w:rPr>
          <w:rFonts w:ascii="標楷體" w:hAnsi="標楷體" w:hint="eastAsia"/>
          <w:color w:val="000000" w:themeColor="text1"/>
          <w:spacing w:val="2"/>
        </w:rPr>
        <w:t>)</w:t>
      </w:r>
      <w:r w:rsidRPr="005072CB">
        <w:rPr>
          <w:rFonts w:hint="eastAsia"/>
          <w:color w:val="000000" w:themeColor="text1"/>
          <w:spacing w:val="2"/>
        </w:rPr>
        <w:t>，增加收購公債規模，以提升物價</w:t>
      </w:r>
      <w:r w:rsidR="00C21A69" w:rsidRPr="005072CB">
        <w:rPr>
          <w:rFonts w:hint="eastAsia"/>
          <w:color w:val="000000" w:themeColor="text1"/>
          <w:spacing w:val="2"/>
        </w:rPr>
        <w:t>。</w:t>
      </w:r>
      <w:r w:rsidRPr="005072CB">
        <w:rPr>
          <w:rFonts w:hint="eastAsia"/>
          <w:color w:val="000000" w:themeColor="text1"/>
          <w:spacing w:val="2"/>
        </w:rPr>
        <w:t>日本政府</w:t>
      </w:r>
      <w:r w:rsidR="000D1387" w:rsidRPr="005072CB">
        <w:rPr>
          <w:rFonts w:hint="eastAsia"/>
          <w:color w:val="000000" w:themeColor="text1"/>
          <w:spacing w:val="2"/>
        </w:rPr>
        <w:t>復</w:t>
      </w:r>
      <w:r w:rsidRPr="005072CB">
        <w:rPr>
          <w:rFonts w:hint="eastAsia"/>
          <w:color w:val="000000" w:themeColor="text1"/>
          <w:spacing w:val="2"/>
        </w:rPr>
        <w:t>於</w:t>
      </w:r>
      <w:r w:rsidRPr="005072CB">
        <w:rPr>
          <w:rFonts w:hint="eastAsia"/>
          <w:color w:val="000000" w:themeColor="text1"/>
          <w:spacing w:val="2"/>
        </w:rPr>
        <w:t>11</w:t>
      </w:r>
      <w:r w:rsidRPr="005072CB">
        <w:rPr>
          <w:rFonts w:hint="eastAsia"/>
          <w:color w:val="000000" w:themeColor="text1"/>
          <w:spacing w:val="2"/>
        </w:rPr>
        <w:t>月中旬宣布將</w:t>
      </w:r>
      <w:r w:rsidRPr="005072CB">
        <w:rPr>
          <w:color w:val="000000" w:themeColor="text1"/>
          <w:spacing w:val="2"/>
        </w:rPr>
        <w:t>第二階段消費稅調升時程</w:t>
      </w:r>
      <w:r w:rsidR="00C21A69" w:rsidRPr="005072CB">
        <w:rPr>
          <w:rFonts w:hint="eastAsia"/>
          <w:color w:val="000000" w:themeColor="text1"/>
          <w:spacing w:val="2"/>
        </w:rPr>
        <w:t>由</w:t>
      </w:r>
      <w:r w:rsidR="00B30896" w:rsidRPr="005072CB">
        <w:rPr>
          <w:rFonts w:hint="eastAsia"/>
          <w:color w:val="000000" w:themeColor="text1"/>
          <w:spacing w:val="2"/>
        </w:rPr>
        <w:t>2015</w:t>
      </w:r>
      <w:r w:rsidR="00B30896" w:rsidRPr="005072CB">
        <w:rPr>
          <w:rFonts w:hint="eastAsia"/>
          <w:color w:val="000000" w:themeColor="text1"/>
          <w:spacing w:val="2"/>
        </w:rPr>
        <w:t>年</w:t>
      </w:r>
      <w:r w:rsidR="00B30896" w:rsidRPr="005072CB">
        <w:rPr>
          <w:rFonts w:hint="eastAsia"/>
          <w:color w:val="000000" w:themeColor="text1"/>
          <w:spacing w:val="2"/>
        </w:rPr>
        <w:t>10</w:t>
      </w:r>
      <w:r w:rsidR="00B30896" w:rsidRPr="005072CB">
        <w:rPr>
          <w:rFonts w:hint="eastAsia"/>
          <w:color w:val="000000" w:themeColor="text1"/>
          <w:spacing w:val="2"/>
        </w:rPr>
        <w:t>月</w:t>
      </w:r>
      <w:r w:rsidRPr="005072CB">
        <w:rPr>
          <w:color w:val="000000" w:themeColor="text1"/>
          <w:spacing w:val="2"/>
        </w:rPr>
        <w:t>延後</w:t>
      </w:r>
      <w:r w:rsidRPr="005072CB">
        <w:rPr>
          <w:rFonts w:hint="eastAsia"/>
          <w:color w:val="000000" w:themeColor="text1"/>
          <w:spacing w:val="2"/>
        </w:rPr>
        <w:t>至</w:t>
      </w:r>
      <w:r w:rsidRPr="005072CB">
        <w:rPr>
          <w:rFonts w:hint="eastAsia"/>
          <w:color w:val="000000" w:themeColor="text1"/>
          <w:spacing w:val="2"/>
        </w:rPr>
        <w:t>2017</w:t>
      </w:r>
      <w:r w:rsidRPr="005072CB">
        <w:rPr>
          <w:rFonts w:hint="eastAsia"/>
          <w:color w:val="000000" w:themeColor="text1"/>
          <w:spacing w:val="2"/>
        </w:rPr>
        <w:t>年</w:t>
      </w:r>
      <w:r w:rsidR="00B30896" w:rsidRPr="005072CB">
        <w:rPr>
          <w:rFonts w:hint="eastAsia"/>
          <w:color w:val="000000" w:themeColor="text1"/>
          <w:spacing w:val="2"/>
        </w:rPr>
        <w:t>4</w:t>
      </w:r>
      <w:r w:rsidR="00B30896" w:rsidRPr="005072CB">
        <w:rPr>
          <w:rFonts w:hint="eastAsia"/>
          <w:color w:val="000000" w:themeColor="text1"/>
          <w:spacing w:val="2"/>
        </w:rPr>
        <w:t>月</w:t>
      </w:r>
      <w:r w:rsidRPr="005072CB">
        <w:rPr>
          <w:rFonts w:hint="eastAsia"/>
          <w:color w:val="000000" w:themeColor="text1"/>
          <w:spacing w:val="2"/>
        </w:rPr>
        <w:t>，</w:t>
      </w:r>
      <w:proofErr w:type="gramStart"/>
      <w:r w:rsidRPr="005072CB">
        <w:rPr>
          <w:rFonts w:hint="eastAsia"/>
          <w:color w:val="000000" w:themeColor="text1"/>
          <w:spacing w:val="2"/>
        </w:rPr>
        <w:t>12</w:t>
      </w:r>
      <w:r w:rsidRPr="005072CB">
        <w:rPr>
          <w:rFonts w:hint="eastAsia"/>
          <w:color w:val="000000" w:themeColor="text1"/>
          <w:spacing w:val="2"/>
        </w:rPr>
        <w:t>月間則推出</w:t>
      </w:r>
      <w:proofErr w:type="gramEnd"/>
      <w:r w:rsidRPr="005072CB">
        <w:rPr>
          <w:rFonts w:hint="eastAsia"/>
          <w:color w:val="000000" w:themeColor="text1"/>
          <w:spacing w:val="2"/>
        </w:rPr>
        <w:t>規模</w:t>
      </w:r>
      <w:r w:rsidRPr="005072CB">
        <w:rPr>
          <w:rFonts w:hint="eastAsia"/>
          <w:color w:val="000000" w:themeColor="text1"/>
          <w:spacing w:val="2"/>
        </w:rPr>
        <w:t>291.7</w:t>
      </w:r>
      <w:r w:rsidRPr="005072CB">
        <w:rPr>
          <w:rFonts w:hint="eastAsia"/>
          <w:color w:val="000000" w:themeColor="text1"/>
          <w:spacing w:val="2"/>
        </w:rPr>
        <w:t>億美元的財政刺激方案，並擬調降公司稅率，以提振國內民間消費及投資信心</w:t>
      </w:r>
      <w:r w:rsidR="00A6779F" w:rsidRPr="005072CB">
        <w:rPr>
          <w:rFonts w:hint="eastAsia"/>
          <w:color w:val="000000" w:themeColor="text1"/>
          <w:spacing w:val="2"/>
        </w:rPr>
        <w:t>。</w:t>
      </w:r>
    </w:p>
    <w:p w:rsidR="00566DC1" w:rsidRPr="005072CB" w:rsidRDefault="00566DC1" w:rsidP="00566DC1">
      <w:pPr>
        <w:pStyle w:val="k1a"/>
        <w:tabs>
          <w:tab w:val="left" w:pos="8080"/>
        </w:tabs>
        <w:spacing w:before="120" w:after="120" w:line="410" w:lineRule="exact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二、新興經濟體</w:t>
      </w:r>
    </w:p>
    <w:p w:rsidR="00566DC1" w:rsidRPr="005072CB" w:rsidRDefault="00566DC1" w:rsidP="00DB729F">
      <w:pPr>
        <w:pStyle w:val="k12"/>
        <w:ind w:left="288" w:firstLine="576"/>
        <w:rPr>
          <w:color w:val="000000" w:themeColor="text1"/>
        </w:rPr>
      </w:pPr>
      <w:r w:rsidRPr="005072CB">
        <w:rPr>
          <w:color w:val="000000" w:themeColor="text1"/>
        </w:rPr>
        <w:t>新興經濟體主要受</w:t>
      </w:r>
      <w:r w:rsidRPr="005072CB">
        <w:rPr>
          <w:rFonts w:hint="eastAsia"/>
          <w:color w:val="000000" w:themeColor="text1"/>
        </w:rPr>
        <w:t>中國大陸面臨房市泡沫化壓力、巴西經濟活動持續趨緩、俄羅斯因歐美經濟制裁及油價崩</w:t>
      </w:r>
      <w:r w:rsidRPr="005072CB">
        <w:rPr>
          <w:rFonts w:hint="eastAsia"/>
          <w:color w:val="000000" w:themeColor="text1"/>
          <w:spacing w:val="10"/>
          <w:szCs w:val="28"/>
        </w:rPr>
        <w:t>跌而景氣重挫等</w:t>
      </w:r>
      <w:r w:rsidRPr="005072CB">
        <w:rPr>
          <w:rFonts w:hint="eastAsia"/>
          <w:color w:val="000000" w:themeColor="text1"/>
        </w:rPr>
        <w:t>影響，整體成長動能趨緩</w:t>
      </w:r>
      <w:r w:rsidRPr="005072CB">
        <w:rPr>
          <w:color w:val="000000" w:themeColor="text1"/>
        </w:rPr>
        <w:t>，</w:t>
      </w:r>
      <w:r w:rsidRPr="005072CB">
        <w:rPr>
          <w:color w:val="000000" w:themeColor="text1"/>
        </w:rPr>
        <w:t>2014</w:t>
      </w:r>
      <w:r w:rsidRPr="005072CB">
        <w:rPr>
          <w:color w:val="000000" w:themeColor="text1"/>
        </w:rPr>
        <w:t>年經濟成長率</w:t>
      </w:r>
      <w:r w:rsidRPr="005072CB">
        <w:rPr>
          <w:color w:val="000000" w:themeColor="text1"/>
        </w:rPr>
        <w:t>4.</w:t>
      </w:r>
      <w:r w:rsidRPr="005072CB">
        <w:rPr>
          <w:rFonts w:hint="eastAsia"/>
          <w:color w:val="000000" w:themeColor="text1"/>
        </w:rPr>
        <w:t>4</w:t>
      </w:r>
      <w:r w:rsidRPr="005072CB">
        <w:rPr>
          <w:color w:val="000000" w:themeColor="text1"/>
        </w:rPr>
        <w:t>%</w:t>
      </w:r>
      <w:r w:rsidRPr="005072CB">
        <w:rPr>
          <w:color w:val="000000" w:themeColor="text1"/>
        </w:rPr>
        <w:t>，較</w:t>
      </w:r>
      <w:r w:rsidRPr="005072CB">
        <w:rPr>
          <w:color w:val="000000" w:themeColor="text1"/>
        </w:rPr>
        <w:t>2013</w:t>
      </w:r>
      <w:r w:rsidRPr="005072CB">
        <w:rPr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4.9</w:t>
      </w:r>
      <w:r w:rsidRPr="005072CB">
        <w:rPr>
          <w:color w:val="000000" w:themeColor="text1"/>
        </w:rPr>
        <w:t>%</w:t>
      </w:r>
      <w:r w:rsidRPr="005072CB">
        <w:rPr>
          <w:color w:val="000000" w:themeColor="text1"/>
        </w:rPr>
        <w:t>，下降</w:t>
      </w:r>
      <w:r w:rsidRPr="005072CB">
        <w:rPr>
          <w:color w:val="000000" w:themeColor="text1"/>
        </w:rPr>
        <w:t>0.5</w:t>
      </w:r>
      <w:r w:rsidRPr="005072CB">
        <w:rPr>
          <w:color w:val="000000" w:themeColor="text1"/>
        </w:rPr>
        <w:t>個百分點。</w:t>
      </w:r>
    </w:p>
    <w:p w:rsidR="00987A42" w:rsidRPr="005072CB" w:rsidRDefault="00987A42" w:rsidP="00987A42">
      <w:pPr>
        <w:pStyle w:val="k2a"/>
        <w:ind w:left="835" w:hanging="576"/>
        <w:rPr>
          <w:color w:val="000000" w:themeColor="text1"/>
        </w:rPr>
      </w:pPr>
      <w:r w:rsidRPr="005072CB">
        <w:rPr>
          <w:rFonts w:ascii="標楷體" w:hAnsi="標楷體" w:hint="eastAsia"/>
          <w:color w:val="000000" w:themeColor="text1"/>
          <w:szCs w:val="28"/>
        </w:rPr>
        <w:t>(</w:t>
      </w:r>
      <w:proofErr w:type="gramStart"/>
      <w:r w:rsidRPr="005072CB">
        <w:rPr>
          <w:rFonts w:hint="eastAsia"/>
          <w:color w:val="000000" w:themeColor="text1"/>
        </w:rPr>
        <w:t>一</w:t>
      </w:r>
      <w:proofErr w:type="gramEnd"/>
      <w:r w:rsidRPr="005072CB">
        <w:rPr>
          <w:rFonts w:ascii="標楷體" w:hAnsi="標楷體" w:hint="eastAsia"/>
          <w:color w:val="000000" w:themeColor="text1"/>
          <w:szCs w:val="28"/>
        </w:rPr>
        <w:t>)中國大陸</w:t>
      </w:r>
    </w:p>
    <w:p w:rsidR="00987A42" w:rsidRPr="005072CB" w:rsidRDefault="00987A42" w:rsidP="00DB729F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－中國大陸正處於經濟結構調整與政治改革的過渡時期，且存在住房供應過剩、不良債務</w:t>
      </w:r>
      <w:proofErr w:type="gramStart"/>
      <w:r w:rsidRPr="005072CB">
        <w:rPr>
          <w:rFonts w:hint="eastAsia"/>
          <w:color w:val="000000" w:themeColor="text1"/>
        </w:rPr>
        <w:t>飆</w:t>
      </w:r>
      <w:proofErr w:type="gramEnd"/>
      <w:r w:rsidRPr="005072CB">
        <w:rPr>
          <w:rFonts w:hint="eastAsia"/>
          <w:color w:val="000000" w:themeColor="text1"/>
        </w:rPr>
        <w:t>升與超額產能等問題，</w:t>
      </w:r>
      <w:r w:rsidRPr="005072CB">
        <w:rPr>
          <w:color w:val="000000" w:themeColor="text1"/>
        </w:rPr>
        <w:t>2014</w:t>
      </w:r>
      <w:r w:rsidRPr="005072CB">
        <w:rPr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經濟成長率為</w:t>
      </w:r>
      <w:r w:rsidRPr="005072CB">
        <w:rPr>
          <w:rFonts w:hint="eastAsia"/>
          <w:color w:val="000000" w:themeColor="text1"/>
        </w:rPr>
        <w:t>7.4%</w:t>
      </w:r>
      <w:r w:rsidRPr="005072CB">
        <w:rPr>
          <w:rFonts w:hint="eastAsia"/>
          <w:color w:val="000000" w:themeColor="text1"/>
        </w:rPr>
        <w:t>，為</w:t>
      </w:r>
      <w:r w:rsidRPr="005072CB">
        <w:rPr>
          <w:color w:val="000000" w:themeColor="text1"/>
        </w:rPr>
        <w:t>1990</w:t>
      </w:r>
      <w:r w:rsidRPr="005072CB">
        <w:rPr>
          <w:color w:val="000000" w:themeColor="text1"/>
        </w:rPr>
        <w:t>年以來</w:t>
      </w:r>
      <w:r w:rsidRPr="005072CB">
        <w:rPr>
          <w:rFonts w:hint="eastAsia"/>
          <w:color w:val="000000" w:themeColor="text1"/>
        </w:rPr>
        <w:t>最低水準，</w:t>
      </w:r>
      <w:r w:rsidR="00927073" w:rsidRPr="005072CB">
        <w:rPr>
          <w:rFonts w:hint="eastAsia"/>
          <w:color w:val="000000" w:themeColor="text1"/>
        </w:rPr>
        <w:t>略</w:t>
      </w:r>
      <w:r w:rsidRPr="005072CB">
        <w:rPr>
          <w:rFonts w:hint="eastAsia"/>
          <w:color w:val="000000" w:themeColor="text1"/>
        </w:rPr>
        <w:t>低於官方設定的</w:t>
      </w:r>
      <w:r w:rsidRPr="005072CB">
        <w:rPr>
          <w:color w:val="000000" w:themeColor="text1"/>
        </w:rPr>
        <w:t>7.5%</w:t>
      </w:r>
      <w:r w:rsidRPr="005072CB">
        <w:rPr>
          <w:rFonts w:hint="eastAsia"/>
          <w:color w:val="000000" w:themeColor="text1"/>
        </w:rPr>
        <w:t>成長目標，其經濟成長模式已進入「</w:t>
      </w:r>
      <w:proofErr w:type="gramStart"/>
      <w:r w:rsidRPr="005072CB">
        <w:rPr>
          <w:rFonts w:hint="eastAsia"/>
          <w:color w:val="000000" w:themeColor="text1"/>
        </w:rPr>
        <w:t>提質減速</w:t>
      </w:r>
      <w:proofErr w:type="gramEnd"/>
      <w:r w:rsidRPr="005072CB">
        <w:rPr>
          <w:rFonts w:hint="eastAsia"/>
          <w:color w:val="000000" w:themeColor="text1"/>
        </w:rPr>
        <w:t>」的「新常態」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New Normal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。</w:t>
      </w:r>
    </w:p>
    <w:p w:rsidR="00927073" w:rsidRPr="005072CB" w:rsidRDefault="00987A42" w:rsidP="00DB729F">
      <w:pPr>
        <w:pStyle w:val="k3a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4323A8" w:rsidRPr="005072CB">
        <w:rPr>
          <w:rFonts w:hint="eastAsia"/>
          <w:color w:val="000000" w:themeColor="text1"/>
        </w:rPr>
        <w:t>在內需方面</w:t>
      </w:r>
      <w:r w:rsidR="00927073" w:rsidRPr="005072CB">
        <w:rPr>
          <w:rFonts w:hint="eastAsia"/>
          <w:color w:val="000000" w:themeColor="text1"/>
        </w:rPr>
        <w:t>，</w:t>
      </w:r>
      <w:r w:rsidR="004323A8" w:rsidRPr="005072CB">
        <w:rPr>
          <w:rFonts w:hint="eastAsia"/>
          <w:color w:val="000000" w:themeColor="text1"/>
        </w:rPr>
        <w:t>2014</w:t>
      </w:r>
      <w:r w:rsidR="004323A8" w:rsidRPr="005072CB">
        <w:rPr>
          <w:rFonts w:hint="eastAsia"/>
          <w:color w:val="000000" w:themeColor="text1"/>
        </w:rPr>
        <w:t>年中國大陸</w:t>
      </w:r>
      <w:r w:rsidR="00927073" w:rsidRPr="005072CB">
        <w:rPr>
          <w:rFonts w:hint="eastAsia"/>
          <w:color w:val="000000" w:themeColor="text1"/>
        </w:rPr>
        <w:t>固定投資</w:t>
      </w:r>
      <w:r w:rsidR="004323A8" w:rsidRPr="005072CB">
        <w:rPr>
          <w:rFonts w:hint="eastAsia"/>
          <w:color w:val="000000" w:themeColor="text1"/>
        </w:rPr>
        <w:t>受</w:t>
      </w:r>
      <w:r w:rsidR="00927073" w:rsidRPr="005072CB">
        <w:rPr>
          <w:rFonts w:hint="eastAsia"/>
          <w:color w:val="000000" w:themeColor="text1"/>
        </w:rPr>
        <w:t>產能調控及房地產市場降溫等因素</w:t>
      </w:r>
      <w:r w:rsidR="004323A8" w:rsidRPr="005072CB">
        <w:rPr>
          <w:rFonts w:hint="eastAsia"/>
          <w:color w:val="000000" w:themeColor="text1"/>
        </w:rPr>
        <w:t>影響</w:t>
      </w:r>
      <w:r w:rsidR="00927073" w:rsidRPr="005072CB">
        <w:rPr>
          <w:rFonts w:hint="eastAsia"/>
          <w:color w:val="000000" w:themeColor="text1"/>
        </w:rPr>
        <w:t>，全年成長</w:t>
      </w:r>
      <w:r w:rsidR="00927073" w:rsidRPr="005072CB">
        <w:rPr>
          <w:rFonts w:hint="eastAsia"/>
          <w:color w:val="000000" w:themeColor="text1"/>
        </w:rPr>
        <w:t>15.7%</w:t>
      </w:r>
      <w:r w:rsidR="00927073" w:rsidRPr="005072CB">
        <w:rPr>
          <w:rFonts w:hint="eastAsia"/>
          <w:color w:val="000000" w:themeColor="text1"/>
        </w:rPr>
        <w:t>，較</w:t>
      </w:r>
      <w:r w:rsidR="00927073" w:rsidRPr="005072CB">
        <w:rPr>
          <w:rFonts w:hint="eastAsia"/>
          <w:color w:val="000000" w:themeColor="text1"/>
        </w:rPr>
        <w:t>2013</w:t>
      </w:r>
      <w:r w:rsidR="00927073" w:rsidRPr="005072CB">
        <w:rPr>
          <w:rFonts w:hint="eastAsia"/>
          <w:color w:val="000000" w:themeColor="text1"/>
        </w:rPr>
        <w:t>年下降</w:t>
      </w:r>
      <w:r w:rsidR="00927073" w:rsidRPr="005072CB">
        <w:rPr>
          <w:rFonts w:hint="eastAsia"/>
          <w:color w:val="000000" w:themeColor="text1"/>
        </w:rPr>
        <w:t>3.9</w:t>
      </w:r>
      <w:r w:rsidR="00927073" w:rsidRPr="005072CB">
        <w:rPr>
          <w:rFonts w:hint="eastAsia"/>
          <w:color w:val="000000" w:themeColor="text1"/>
        </w:rPr>
        <w:t>個百分點；</w:t>
      </w:r>
      <w:r w:rsidR="004323A8" w:rsidRPr="005072CB">
        <w:rPr>
          <w:rFonts w:hint="eastAsia"/>
          <w:color w:val="000000" w:themeColor="text1"/>
        </w:rPr>
        <w:t>民間</w:t>
      </w:r>
      <w:r w:rsidR="00927073" w:rsidRPr="005072CB">
        <w:rPr>
          <w:rFonts w:hint="eastAsia"/>
          <w:color w:val="000000" w:themeColor="text1"/>
        </w:rPr>
        <w:t>消費</w:t>
      </w:r>
      <w:r w:rsidR="004323A8" w:rsidRPr="005072CB">
        <w:rPr>
          <w:rFonts w:hint="eastAsia"/>
          <w:color w:val="000000" w:themeColor="text1"/>
        </w:rPr>
        <w:t>則因</w:t>
      </w:r>
      <w:r w:rsidR="00927073" w:rsidRPr="005072CB">
        <w:rPr>
          <w:rFonts w:hint="eastAsia"/>
          <w:color w:val="000000" w:themeColor="text1"/>
        </w:rPr>
        <w:t>官方反</w:t>
      </w:r>
      <w:proofErr w:type="gramStart"/>
      <w:r w:rsidR="00927073" w:rsidRPr="005072CB">
        <w:rPr>
          <w:rFonts w:hint="eastAsia"/>
          <w:color w:val="000000" w:themeColor="text1"/>
        </w:rPr>
        <w:t>貪打</w:t>
      </w:r>
      <w:r w:rsidR="004323A8" w:rsidRPr="005072CB">
        <w:rPr>
          <w:rFonts w:hint="eastAsia"/>
          <w:color w:val="000000" w:themeColor="text1"/>
        </w:rPr>
        <w:t>腐</w:t>
      </w:r>
      <w:proofErr w:type="gramEnd"/>
      <w:r w:rsidR="00927073" w:rsidRPr="005072CB">
        <w:rPr>
          <w:rFonts w:hint="eastAsia"/>
          <w:color w:val="000000" w:themeColor="text1"/>
        </w:rPr>
        <w:t>政策</w:t>
      </w:r>
      <w:proofErr w:type="gramStart"/>
      <w:r w:rsidR="00927073" w:rsidRPr="005072CB">
        <w:rPr>
          <w:rFonts w:hint="eastAsia"/>
          <w:color w:val="000000" w:themeColor="text1"/>
        </w:rPr>
        <w:t>促使高端消費</w:t>
      </w:r>
      <w:proofErr w:type="gramEnd"/>
      <w:r w:rsidR="00927073" w:rsidRPr="005072CB">
        <w:rPr>
          <w:rFonts w:hint="eastAsia"/>
          <w:color w:val="000000" w:themeColor="text1"/>
        </w:rPr>
        <w:t>減少，抵銷居民收入成長、新增就業人數高於官方目標等正面因素，全年成長</w:t>
      </w:r>
      <w:r w:rsidR="00927073" w:rsidRPr="005072CB">
        <w:rPr>
          <w:rFonts w:hint="eastAsia"/>
          <w:color w:val="000000" w:themeColor="text1"/>
        </w:rPr>
        <w:t>12%</w:t>
      </w:r>
      <w:r w:rsidR="00927073" w:rsidRPr="005072CB">
        <w:rPr>
          <w:rFonts w:hint="eastAsia"/>
          <w:color w:val="000000" w:themeColor="text1"/>
        </w:rPr>
        <w:t>，較</w:t>
      </w:r>
      <w:r w:rsidR="00927073" w:rsidRPr="005072CB">
        <w:rPr>
          <w:rFonts w:hint="eastAsia"/>
          <w:color w:val="000000" w:themeColor="text1"/>
        </w:rPr>
        <w:t>2013</w:t>
      </w:r>
      <w:r w:rsidR="00927073" w:rsidRPr="005072CB">
        <w:rPr>
          <w:rFonts w:hint="eastAsia"/>
          <w:color w:val="000000" w:themeColor="text1"/>
        </w:rPr>
        <w:t>年減少</w:t>
      </w:r>
      <w:r w:rsidR="00927073" w:rsidRPr="005072CB">
        <w:rPr>
          <w:rFonts w:hint="eastAsia"/>
          <w:color w:val="000000" w:themeColor="text1"/>
        </w:rPr>
        <w:t>1.1</w:t>
      </w:r>
      <w:r w:rsidR="00927073" w:rsidRPr="005072CB">
        <w:rPr>
          <w:rFonts w:hint="eastAsia"/>
          <w:color w:val="000000" w:themeColor="text1"/>
        </w:rPr>
        <w:t>個百分點。在外貿方面，</w:t>
      </w:r>
      <w:r w:rsidR="004323A8" w:rsidRPr="005072CB">
        <w:rPr>
          <w:rFonts w:hint="eastAsia"/>
          <w:color w:val="000000" w:themeColor="text1"/>
        </w:rPr>
        <w:t>由於</w:t>
      </w:r>
      <w:r w:rsidR="00927073" w:rsidRPr="005072CB">
        <w:rPr>
          <w:rFonts w:hint="eastAsia"/>
          <w:color w:val="000000" w:themeColor="text1"/>
        </w:rPr>
        <w:t>國際景氣復甦、製造業產能調控及進口替代政策效益，</w:t>
      </w:r>
      <w:r w:rsidR="004323A8" w:rsidRPr="005072CB">
        <w:rPr>
          <w:rFonts w:hint="eastAsia"/>
          <w:color w:val="000000" w:themeColor="text1"/>
        </w:rPr>
        <w:t>促使全年</w:t>
      </w:r>
      <w:r w:rsidR="00EF17D8" w:rsidRPr="005072CB">
        <w:rPr>
          <w:rFonts w:hint="eastAsia"/>
          <w:color w:val="000000" w:themeColor="text1"/>
        </w:rPr>
        <w:t>商品</w:t>
      </w:r>
      <w:r w:rsidR="00685DC5" w:rsidRPr="005072CB">
        <w:rPr>
          <w:rFonts w:hint="eastAsia"/>
          <w:color w:val="000000" w:themeColor="text1"/>
        </w:rPr>
        <w:t>貿易</w:t>
      </w:r>
      <w:r w:rsidR="004323A8" w:rsidRPr="005072CB">
        <w:rPr>
          <w:rFonts w:hint="eastAsia"/>
          <w:color w:val="000000" w:themeColor="text1"/>
        </w:rPr>
        <w:t>出口、進口分別</w:t>
      </w:r>
      <w:r w:rsidR="00685DC5" w:rsidRPr="005072CB">
        <w:rPr>
          <w:rFonts w:hint="eastAsia"/>
          <w:color w:val="000000" w:themeColor="text1"/>
        </w:rPr>
        <w:t>成長</w:t>
      </w:r>
      <w:r w:rsidR="004323A8" w:rsidRPr="005072CB">
        <w:rPr>
          <w:rFonts w:hint="eastAsia"/>
          <w:color w:val="000000" w:themeColor="text1"/>
        </w:rPr>
        <w:t>6.</w:t>
      </w:r>
      <w:r w:rsidR="00E62E0D" w:rsidRPr="005072CB">
        <w:rPr>
          <w:rFonts w:hint="eastAsia"/>
          <w:color w:val="000000" w:themeColor="text1"/>
        </w:rPr>
        <w:t>1</w:t>
      </w:r>
      <w:r w:rsidR="004323A8" w:rsidRPr="005072CB">
        <w:rPr>
          <w:rFonts w:hint="eastAsia"/>
          <w:color w:val="000000" w:themeColor="text1"/>
        </w:rPr>
        <w:t>%</w:t>
      </w:r>
      <w:r w:rsidR="004323A8" w:rsidRPr="005072CB">
        <w:rPr>
          <w:rFonts w:hint="eastAsia"/>
          <w:color w:val="000000" w:themeColor="text1"/>
        </w:rPr>
        <w:t>、</w:t>
      </w:r>
      <w:r w:rsidR="004323A8" w:rsidRPr="005072CB">
        <w:rPr>
          <w:rFonts w:hint="eastAsia"/>
          <w:color w:val="000000" w:themeColor="text1"/>
        </w:rPr>
        <w:t>0.</w:t>
      </w:r>
      <w:r w:rsidR="00E62E0D" w:rsidRPr="005072CB">
        <w:rPr>
          <w:rFonts w:hint="eastAsia"/>
          <w:color w:val="000000" w:themeColor="text1"/>
        </w:rPr>
        <w:t>4</w:t>
      </w:r>
      <w:r w:rsidR="004323A8" w:rsidRPr="005072CB">
        <w:rPr>
          <w:rFonts w:hint="eastAsia"/>
          <w:color w:val="000000" w:themeColor="text1"/>
        </w:rPr>
        <w:t>%</w:t>
      </w:r>
      <w:r w:rsidR="004323A8" w:rsidRPr="005072CB">
        <w:rPr>
          <w:rFonts w:hint="eastAsia"/>
          <w:color w:val="000000" w:themeColor="text1"/>
        </w:rPr>
        <w:t>，順差</w:t>
      </w:r>
      <w:r w:rsidR="004323A8" w:rsidRPr="005072CB">
        <w:rPr>
          <w:rFonts w:hint="eastAsia"/>
          <w:color w:val="000000" w:themeColor="text1"/>
        </w:rPr>
        <w:t>3,824.6</w:t>
      </w:r>
      <w:r w:rsidR="004323A8" w:rsidRPr="005072CB">
        <w:rPr>
          <w:rFonts w:hint="eastAsia"/>
          <w:color w:val="000000" w:themeColor="text1"/>
        </w:rPr>
        <w:t>億美元</w:t>
      </w:r>
      <w:r w:rsidR="00927073" w:rsidRPr="005072CB">
        <w:rPr>
          <w:rFonts w:hint="eastAsia"/>
          <w:color w:val="000000" w:themeColor="text1"/>
        </w:rPr>
        <w:t>。</w:t>
      </w:r>
    </w:p>
    <w:p w:rsidR="004323A8" w:rsidRPr="005072CB" w:rsidRDefault="00987A42" w:rsidP="00DB729F">
      <w:pPr>
        <w:pStyle w:val="k2a"/>
        <w:spacing w:line="410" w:lineRule="exact"/>
        <w:ind w:left="835" w:hanging="576"/>
        <w:rPr>
          <w:rFonts w:ascii="標楷體" w:hAnsi="標楷體"/>
          <w:color w:val="000000" w:themeColor="text1"/>
          <w:szCs w:val="28"/>
        </w:rPr>
      </w:pPr>
      <w:r w:rsidRPr="005072CB">
        <w:rPr>
          <w:rFonts w:ascii="標楷體" w:hAnsi="標楷體" w:hint="eastAsia"/>
          <w:color w:val="000000" w:themeColor="text1"/>
          <w:szCs w:val="28"/>
        </w:rPr>
        <w:lastRenderedPageBreak/>
        <w:t>(</w:t>
      </w:r>
      <w:r w:rsidR="00B31A42" w:rsidRPr="005072CB">
        <w:rPr>
          <w:rFonts w:ascii="標楷體" w:hAnsi="標楷體" w:hint="eastAsia"/>
          <w:color w:val="000000" w:themeColor="text1"/>
          <w:szCs w:val="28"/>
        </w:rPr>
        <w:t>二</w:t>
      </w:r>
      <w:r w:rsidRPr="005072CB">
        <w:rPr>
          <w:rFonts w:ascii="標楷體" w:hAnsi="標楷體" w:hint="eastAsia"/>
          <w:color w:val="000000" w:themeColor="text1"/>
          <w:szCs w:val="28"/>
        </w:rPr>
        <w:t>)亞洲四小龍</w:t>
      </w:r>
    </w:p>
    <w:p w:rsidR="004323A8" w:rsidRPr="005072CB" w:rsidRDefault="004323A8" w:rsidP="00DB729F">
      <w:pPr>
        <w:pStyle w:val="k3a"/>
        <w:spacing w:line="410" w:lineRule="exact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－貿易向為亞洲四小龍主要成長引擎，隨著全球經濟緩慢復甦，帶動貿易緩步成長，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年亞洲四小龍平均經濟成長率</w:t>
      </w:r>
      <w:r w:rsidR="003842EF" w:rsidRPr="005072CB">
        <w:rPr>
          <w:rFonts w:hint="eastAsia"/>
          <w:color w:val="000000" w:themeColor="text1"/>
        </w:rPr>
        <w:t>3.3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，較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3.0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，續增</w:t>
      </w:r>
      <w:r w:rsidRPr="005072CB">
        <w:rPr>
          <w:rFonts w:hint="eastAsia"/>
          <w:color w:val="000000" w:themeColor="text1"/>
        </w:rPr>
        <w:t>0.3</w:t>
      </w:r>
      <w:r w:rsidRPr="005072CB">
        <w:rPr>
          <w:rFonts w:hint="eastAsia"/>
          <w:color w:val="000000" w:themeColor="text1"/>
        </w:rPr>
        <w:t>個百分點。</w:t>
      </w:r>
    </w:p>
    <w:p w:rsidR="00987A42" w:rsidRPr="005072CB" w:rsidRDefault="004323A8" w:rsidP="00DB729F">
      <w:pPr>
        <w:pStyle w:val="k3a"/>
        <w:spacing w:line="410" w:lineRule="exact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－亞洲四小龍中，南韓受惠於半導體、鋼鐵、通訊等產品出口增加，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年商品貿易量、商品名目出口額、貿易順差皆創歷史新高，帶動經濟成長率由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2.9%</w:t>
      </w:r>
      <w:r w:rsidRPr="005072CB">
        <w:rPr>
          <w:rFonts w:hint="eastAsia"/>
          <w:color w:val="000000" w:themeColor="text1"/>
        </w:rPr>
        <w:t>，續升至</w:t>
      </w:r>
      <w:r w:rsidRPr="005072CB">
        <w:rPr>
          <w:rFonts w:hint="eastAsia"/>
          <w:color w:val="000000" w:themeColor="text1"/>
        </w:rPr>
        <w:t>3.3%</w:t>
      </w:r>
      <w:r w:rsidRPr="005072CB">
        <w:rPr>
          <w:rFonts w:hint="eastAsia"/>
          <w:color w:val="000000" w:themeColor="text1"/>
        </w:rPr>
        <w:t>。新加坡因最大出口市場歐元區經濟疲軟，加以政府實施外勞緊縮政策衝擊企業經營，經濟成長率由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4.4%</w:t>
      </w:r>
      <w:r w:rsidRPr="005072CB">
        <w:rPr>
          <w:rFonts w:hint="eastAsia"/>
          <w:color w:val="000000" w:themeColor="text1"/>
        </w:rPr>
        <w:t>，下降為</w:t>
      </w:r>
      <w:r w:rsidRPr="005072CB">
        <w:rPr>
          <w:rFonts w:hint="eastAsia"/>
          <w:color w:val="000000" w:themeColor="text1"/>
        </w:rPr>
        <w:t>2.9%</w:t>
      </w:r>
      <w:r w:rsidRPr="005072CB">
        <w:rPr>
          <w:rFonts w:hint="eastAsia"/>
          <w:color w:val="000000" w:themeColor="text1"/>
        </w:rPr>
        <w:t>。香港受「占領中環」事件影響，加以中國大陸成長趨緩影響其出口，經濟成長率由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3.1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，減緩為</w:t>
      </w:r>
      <w:r w:rsidR="003842EF" w:rsidRPr="005072CB">
        <w:rPr>
          <w:rFonts w:hint="eastAsia"/>
          <w:color w:val="000000" w:themeColor="text1"/>
        </w:rPr>
        <w:t>2.5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。</w:t>
      </w:r>
    </w:p>
    <w:p w:rsidR="00B31A42" w:rsidRPr="005072CB" w:rsidRDefault="00B31A42" w:rsidP="00DB729F">
      <w:pPr>
        <w:pStyle w:val="k2a"/>
        <w:spacing w:line="410" w:lineRule="exact"/>
        <w:ind w:left="835" w:hanging="576"/>
        <w:rPr>
          <w:rFonts w:ascii="標楷體" w:hAnsi="標楷體"/>
          <w:color w:val="000000" w:themeColor="text1"/>
          <w:szCs w:val="28"/>
        </w:rPr>
      </w:pPr>
      <w:r w:rsidRPr="005072CB">
        <w:rPr>
          <w:rFonts w:ascii="標楷體" w:hAnsi="標楷體" w:hint="eastAsia"/>
          <w:color w:val="000000" w:themeColor="text1"/>
          <w:szCs w:val="28"/>
        </w:rPr>
        <w:t>(三)東協五國：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年東協五國平均經濟成長率由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5.1%</w:t>
      </w:r>
      <w:r w:rsidRPr="005072CB">
        <w:rPr>
          <w:rFonts w:hint="eastAsia"/>
          <w:color w:val="000000" w:themeColor="text1"/>
        </w:rPr>
        <w:t>，降至</w:t>
      </w:r>
      <w:r w:rsidRPr="005072CB">
        <w:rPr>
          <w:rFonts w:hint="eastAsia"/>
          <w:color w:val="000000" w:themeColor="text1"/>
        </w:rPr>
        <w:t>4.6%</w:t>
      </w:r>
      <w:r w:rsidRPr="005072CB">
        <w:rPr>
          <w:rFonts w:hint="eastAsia"/>
          <w:color w:val="000000" w:themeColor="text1"/>
        </w:rPr>
        <w:t>。其中，菲律賓因政府積極推動基礎建設，加以出口成長快速，全年經濟成長率為</w:t>
      </w:r>
      <w:r w:rsidRPr="005072CB">
        <w:rPr>
          <w:rFonts w:hint="eastAsia"/>
          <w:color w:val="000000" w:themeColor="text1"/>
        </w:rPr>
        <w:t>6.1%</w:t>
      </w:r>
      <w:r w:rsidRPr="005072CB">
        <w:rPr>
          <w:rFonts w:hint="eastAsia"/>
          <w:color w:val="000000" w:themeColor="text1"/>
        </w:rPr>
        <w:t>，雖不及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="003842EF" w:rsidRPr="005072CB">
        <w:rPr>
          <w:rFonts w:hint="eastAsia"/>
          <w:color w:val="000000" w:themeColor="text1"/>
        </w:rPr>
        <w:t>7.1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強勁，仍屬東協五國中表現最佳。馬來西亞、越南受惠於區域經濟整合所帶動的強勁內需及活絡的區域貿易，經濟成長率分別由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4.7%</w:t>
      </w:r>
      <w:r w:rsidRPr="005072CB">
        <w:rPr>
          <w:rFonts w:hint="eastAsia"/>
          <w:color w:val="000000" w:themeColor="text1"/>
        </w:rPr>
        <w:t>及</w:t>
      </w:r>
      <w:r w:rsidRPr="005072CB">
        <w:rPr>
          <w:rFonts w:hint="eastAsia"/>
          <w:color w:val="000000" w:themeColor="text1"/>
        </w:rPr>
        <w:t>5.4%</w:t>
      </w:r>
      <w:r w:rsidRPr="005072CB">
        <w:rPr>
          <w:rFonts w:hint="eastAsia"/>
          <w:color w:val="000000" w:themeColor="text1"/>
        </w:rPr>
        <w:t>，升至</w:t>
      </w:r>
      <w:r w:rsidRPr="005072CB">
        <w:rPr>
          <w:rFonts w:hint="eastAsia"/>
          <w:color w:val="000000" w:themeColor="text1"/>
        </w:rPr>
        <w:t>6.0%</w:t>
      </w:r>
      <w:r w:rsidRPr="005072CB">
        <w:rPr>
          <w:rFonts w:hint="eastAsia"/>
          <w:color w:val="000000" w:themeColor="text1"/>
        </w:rPr>
        <w:t>。印尼因經濟依賴原物料出口，受國際油價大跌及原物料價格疲弱衝擊，加以中國大陸成長趨緩，且歐元區、日本等主力市場需求降低影響，經濟成長率由</w:t>
      </w:r>
      <w:r w:rsidRPr="005072CB">
        <w:rPr>
          <w:rFonts w:hint="eastAsia"/>
          <w:color w:val="000000" w:themeColor="text1"/>
        </w:rPr>
        <w:t>5.6%</w:t>
      </w:r>
      <w:r w:rsidRPr="005072CB">
        <w:rPr>
          <w:rFonts w:hint="eastAsia"/>
          <w:color w:val="000000" w:themeColor="text1"/>
        </w:rPr>
        <w:t>降至</w:t>
      </w:r>
      <w:r w:rsidRPr="005072CB">
        <w:rPr>
          <w:rFonts w:hint="eastAsia"/>
          <w:color w:val="000000" w:themeColor="text1"/>
        </w:rPr>
        <w:t>5.0%</w:t>
      </w:r>
      <w:r w:rsidRPr="005072CB">
        <w:rPr>
          <w:rFonts w:hint="eastAsia"/>
          <w:color w:val="000000" w:themeColor="text1"/>
        </w:rPr>
        <w:t>。泰國則受上半年國內政爭衝擊，全年經濟僅微幅成長</w:t>
      </w:r>
      <w:r w:rsidR="003842EF" w:rsidRPr="005072CB">
        <w:rPr>
          <w:rFonts w:hint="eastAsia"/>
          <w:color w:val="000000" w:themeColor="text1"/>
        </w:rPr>
        <w:t>0.9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。</w:t>
      </w:r>
    </w:p>
    <w:p w:rsidR="0027236D" w:rsidRPr="005072CB" w:rsidRDefault="00987A42" w:rsidP="00DB729F">
      <w:pPr>
        <w:pStyle w:val="k2a"/>
        <w:spacing w:line="410" w:lineRule="exact"/>
        <w:ind w:left="835" w:hanging="576"/>
        <w:rPr>
          <w:rFonts w:ascii="標楷體" w:hAnsi="標楷體"/>
          <w:color w:val="000000" w:themeColor="text1"/>
          <w:szCs w:val="28"/>
        </w:rPr>
      </w:pPr>
      <w:r w:rsidRPr="005072CB">
        <w:rPr>
          <w:rFonts w:ascii="標楷體" w:hAnsi="標楷體" w:hint="eastAsia"/>
          <w:color w:val="000000" w:themeColor="text1"/>
          <w:szCs w:val="28"/>
        </w:rPr>
        <w:t>(四)其他</w:t>
      </w:r>
      <w:r w:rsidR="00941B1C" w:rsidRPr="005072CB">
        <w:rPr>
          <w:rFonts w:ascii="標楷體" w:hAnsi="標楷體" w:hint="eastAsia"/>
          <w:color w:val="000000" w:themeColor="text1"/>
          <w:szCs w:val="28"/>
        </w:rPr>
        <w:t>主要</w:t>
      </w:r>
      <w:r w:rsidR="008D2ADD" w:rsidRPr="005072CB">
        <w:rPr>
          <w:rFonts w:ascii="標楷體" w:hAnsi="標楷體" w:hint="eastAsia"/>
          <w:color w:val="000000" w:themeColor="text1"/>
          <w:szCs w:val="28"/>
        </w:rPr>
        <w:t>新興經濟體</w:t>
      </w:r>
    </w:p>
    <w:p w:rsidR="0027236D" w:rsidRPr="005072CB" w:rsidRDefault="0027236D" w:rsidP="00DB729F">
      <w:pPr>
        <w:pStyle w:val="k3a"/>
        <w:spacing w:line="410" w:lineRule="exact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亞洲第</w:t>
      </w:r>
      <w:r w:rsidR="00385D64" w:rsidRPr="005072CB">
        <w:rPr>
          <w:rFonts w:ascii="標楷體" w:hAnsi="標楷體" w:hint="eastAsia"/>
          <w:color w:val="000000" w:themeColor="text1"/>
          <w:spacing w:val="2"/>
          <w:szCs w:val="28"/>
        </w:rPr>
        <w:t>二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大</w:t>
      </w:r>
      <w:r w:rsidR="00385D64" w:rsidRPr="005072CB">
        <w:rPr>
          <w:rFonts w:ascii="標楷體" w:hAnsi="標楷體" w:hint="eastAsia"/>
          <w:color w:val="000000" w:themeColor="text1"/>
          <w:spacing w:val="2"/>
          <w:szCs w:val="28"/>
        </w:rPr>
        <w:t>新興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經濟體印度在新任總理</w:t>
      </w:r>
      <w:r w:rsidR="00B31A42" w:rsidRPr="005072CB">
        <w:rPr>
          <w:rFonts w:ascii="標楷體" w:hAnsi="標楷體" w:hint="eastAsia"/>
          <w:color w:val="000000" w:themeColor="text1"/>
          <w:spacing w:val="2"/>
          <w:szCs w:val="28"/>
        </w:rPr>
        <w:t>莫迪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政經改革帶動下，</w:t>
      </w:r>
      <w:r w:rsidRPr="005072CB">
        <w:rPr>
          <w:rFonts w:hint="eastAsia"/>
          <w:color w:val="000000" w:themeColor="text1"/>
          <w:spacing w:val="2"/>
        </w:rPr>
        <w:t>出口競爭力提高、民間投資大幅成長、基礎建設顯著改善，</w:t>
      </w:r>
      <w:r w:rsidRPr="005072CB">
        <w:rPr>
          <w:color w:val="000000" w:themeColor="text1"/>
          <w:spacing w:val="2"/>
          <w:szCs w:val="28"/>
        </w:rPr>
        <w:t>2014</w:t>
      </w:r>
      <w:r w:rsidRPr="005072CB">
        <w:rPr>
          <w:color w:val="000000" w:themeColor="text1"/>
          <w:spacing w:val="2"/>
          <w:szCs w:val="28"/>
        </w:rPr>
        <w:t>年經濟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表現亮眼，</w:t>
      </w:r>
      <w:r w:rsidRPr="005072CB">
        <w:rPr>
          <w:color w:val="000000" w:themeColor="text1"/>
          <w:spacing w:val="2"/>
          <w:szCs w:val="28"/>
        </w:rPr>
        <w:t>成</w:t>
      </w:r>
      <w:r w:rsidRPr="005072CB">
        <w:rPr>
          <w:rFonts w:ascii="標楷體" w:hAnsi="標楷體" w:hint="eastAsia"/>
          <w:color w:val="000000" w:themeColor="text1"/>
          <w:spacing w:val="2"/>
          <w:szCs w:val="28"/>
        </w:rPr>
        <w:t>長率</w:t>
      </w:r>
      <w:r w:rsidRPr="005072CB">
        <w:rPr>
          <w:rFonts w:hint="eastAsia"/>
          <w:color w:val="000000" w:themeColor="text1"/>
          <w:spacing w:val="2"/>
        </w:rPr>
        <w:t>由</w:t>
      </w:r>
      <w:r w:rsidRPr="005072CB">
        <w:rPr>
          <w:rFonts w:hint="eastAsia"/>
          <w:color w:val="000000" w:themeColor="text1"/>
          <w:spacing w:val="2"/>
        </w:rPr>
        <w:t>2013</w:t>
      </w:r>
      <w:r w:rsidRPr="005072CB">
        <w:rPr>
          <w:rFonts w:hint="eastAsia"/>
          <w:color w:val="000000" w:themeColor="text1"/>
          <w:spacing w:val="2"/>
        </w:rPr>
        <w:t>年的</w:t>
      </w:r>
      <w:r w:rsidRPr="005072CB">
        <w:rPr>
          <w:rFonts w:hint="eastAsia"/>
          <w:color w:val="000000" w:themeColor="text1"/>
          <w:spacing w:val="2"/>
        </w:rPr>
        <w:t>6.9%</w:t>
      </w:r>
      <w:r w:rsidRPr="005072CB">
        <w:rPr>
          <w:rFonts w:hint="eastAsia"/>
          <w:color w:val="000000" w:themeColor="text1"/>
          <w:spacing w:val="2"/>
        </w:rPr>
        <w:t>升至</w:t>
      </w:r>
      <w:r w:rsidR="003842EF" w:rsidRPr="005072CB">
        <w:rPr>
          <w:rFonts w:hint="eastAsia"/>
          <w:color w:val="000000" w:themeColor="text1"/>
          <w:spacing w:val="2"/>
        </w:rPr>
        <w:t>7.3</w:t>
      </w:r>
      <w:r w:rsidRPr="005072CB">
        <w:rPr>
          <w:rFonts w:hint="eastAsia"/>
          <w:color w:val="000000" w:themeColor="text1"/>
          <w:spacing w:val="2"/>
        </w:rPr>
        <w:t>%</w:t>
      </w:r>
      <w:r w:rsidRPr="005072CB">
        <w:rPr>
          <w:rFonts w:hint="eastAsia"/>
          <w:color w:val="000000" w:themeColor="text1"/>
          <w:spacing w:val="2"/>
        </w:rPr>
        <w:t>。</w:t>
      </w:r>
    </w:p>
    <w:p w:rsidR="002264A3" w:rsidRPr="005072CB" w:rsidRDefault="0027236D" w:rsidP="00DB729F">
      <w:pPr>
        <w:pStyle w:val="k3a"/>
        <w:spacing w:line="410" w:lineRule="exact"/>
        <w:ind w:left="1152" w:hangingChars="100" w:hanging="288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－</w:t>
      </w:r>
      <w:r w:rsidR="008B136F" w:rsidRPr="005072CB">
        <w:rPr>
          <w:rFonts w:hint="eastAsia"/>
          <w:color w:val="000000" w:themeColor="text1"/>
        </w:rPr>
        <w:t>拉丁美洲第一大經濟體巴西</w:t>
      </w:r>
      <w:r w:rsidR="00315465" w:rsidRPr="005072CB">
        <w:rPr>
          <w:rFonts w:hint="eastAsia"/>
          <w:color w:val="000000" w:themeColor="text1"/>
        </w:rPr>
        <w:t>受國際原物料價格暴跌、工業生產收縮</w:t>
      </w:r>
      <w:r w:rsidR="009E2925" w:rsidRPr="005072CB">
        <w:rPr>
          <w:rFonts w:hint="eastAsia"/>
          <w:color w:val="000000" w:themeColor="text1"/>
        </w:rPr>
        <w:t>等因素</w:t>
      </w:r>
      <w:r w:rsidRPr="005072CB">
        <w:rPr>
          <w:rFonts w:hint="eastAsia"/>
          <w:color w:val="000000" w:themeColor="text1"/>
        </w:rPr>
        <w:t>衝擊</w:t>
      </w:r>
      <w:r w:rsidR="00315465" w:rsidRPr="005072CB">
        <w:rPr>
          <w:rFonts w:hint="eastAsia"/>
          <w:color w:val="000000" w:themeColor="text1"/>
        </w:rPr>
        <w:t>，加以</w:t>
      </w:r>
      <w:r w:rsidR="00315465" w:rsidRPr="005072CB">
        <w:rPr>
          <w:rFonts w:hint="eastAsia"/>
          <w:color w:val="000000" w:themeColor="text1"/>
        </w:rPr>
        <w:t>2014</w:t>
      </w:r>
      <w:r w:rsidR="00D64B6D" w:rsidRPr="005072CB">
        <w:rPr>
          <w:rFonts w:hint="eastAsia"/>
          <w:color w:val="000000" w:themeColor="text1"/>
        </w:rPr>
        <w:t>年</w:t>
      </w:r>
      <w:r w:rsidR="00315465" w:rsidRPr="005072CB">
        <w:rPr>
          <w:rFonts w:hint="eastAsia"/>
          <w:color w:val="000000" w:themeColor="text1"/>
        </w:rPr>
        <w:t>世界盃足球賽事刺激</w:t>
      </w:r>
      <w:r w:rsidR="009E2925" w:rsidRPr="005072CB">
        <w:rPr>
          <w:rFonts w:hint="eastAsia"/>
          <w:color w:val="000000" w:themeColor="text1"/>
        </w:rPr>
        <w:t>經濟</w:t>
      </w:r>
      <w:r w:rsidR="00315465" w:rsidRPr="005072CB">
        <w:rPr>
          <w:rFonts w:hint="eastAsia"/>
          <w:color w:val="000000" w:themeColor="text1"/>
        </w:rPr>
        <w:t>成效有限，</w:t>
      </w:r>
      <w:r w:rsidR="008B136F" w:rsidRPr="005072CB">
        <w:rPr>
          <w:rFonts w:hint="eastAsia"/>
          <w:color w:val="000000" w:themeColor="text1"/>
        </w:rPr>
        <w:t>經濟</w:t>
      </w:r>
      <w:r w:rsidR="00315465" w:rsidRPr="005072CB">
        <w:rPr>
          <w:rFonts w:hint="eastAsia"/>
          <w:color w:val="000000" w:themeColor="text1"/>
        </w:rPr>
        <w:t>成長率</w:t>
      </w:r>
      <w:r w:rsidR="00941B1C" w:rsidRPr="005072CB">
        <w:rPr>
          <w:rFonts w:hint="eastAsia"/>
          <w:color w:val="000000" w:themeColor="text1"/>
        </w:rPr>
        <w:t>由</w:t>
      </w:r>
      <w:r w:rsidR="00941B1C" w:rsidRPr="005072CB">
        <w:rPr>
          <w:rFonts w:hint="eastAsia"/>
          <w:color w:val="000000" w:themeColor="text1"/>
        </w:rPr>
        <w:t>2013</w:t>
      </w:r>
      <w:r w:rsidR="00941B1C" w:rsidRPr="005072CB">
        <w:rPr>
          <w:rFonts w:hint="eastAsia"/>
          <w:color w:val="000000" w:themeColor="text1"/>
        </w:rPr>
        <w:t>年的</w:t>
      </w:r>
      <w:r w:rsidR="00941B1C" w:rsidRPr="005072CB">
        <w:rPr>
          <w:rFonts w:hint="eastAsia"/>
          <w:color w:val="000000" w:themeColor="text1"/>
        </w:rPr>
        <w:t>2.7%</w:t>
      </w:r>
      <w:r w:rsidR="00941B1C" w:rsidRPr="005072CB">
        <w:rPr>
          <w:rFonts w:hint="eastAsia"/>
          <w:color w:val="000000" w:themeColor="text1"/>
        </w:rPr>
        <w:t>降為</w:t>
      </w:r>
      <w:r w:rsidR="00941B1C" w:rsidRPr="005072CB">
        <w:rPr>
          <w:rFonts w:hint="eastAsia"/>
          <w:color w:val="000000" w:themeColor="text1"/>
        </w:rPr>
        <w:t>0.1%</w:t>
      </w:r>
      <w:r w:rsidR="008B136F" w:rsidRPr="005072CB">
        <w:rPr>
          <w:rFonts w:hint="eastAsia"/>
          <w:color w:val="000000" w:themeColor="text1"/>
        </w:rPr>
        <w:t>，為</w:t>
      </w:r>
      <w:r w:rsidR="008B136F" w:rsidRPr="005072CB">
        <w:rPr>
          <w:rFonts w:hint="eastAsia"/>
          <w:color w:val="000000" w:themeColor="text1"/>
        </w:rPr>
        <w:t>2010</w:t>
      </w:r>
      <w:r w:rsidR="008B136F" w:rsidRPr="005072CB">
        <w:rPr>
          <w:rFonts w:hint="eastAsia"/>
          <w:color w:val="000000" w:themeColor="text1"/>
        </w:rPr>
        <w:t>年以來最低水準</w:t>
      </w:r>
      <w:r w:rsidR="00987A42" w:rsidRPr="005072CB">
        <w:rPr>
          <w:rFonts w:hint="eastAsia"/>
          <w:color w:val="000000" w:themeColor="text1"/>
        </w:rPr>
        <w:t>。</w:t>
      </w:r>
      <w:r w:rsidRPr="005072CB">
        <w:rPr>
          <w:rFonts w:hint="eastAsia"/>
          <w:color w:val="000000" w:themeColor="text1"/>
        </w:rPr>
        <w:t>至於中、東歐最大新興經濟體</w:t>
      </w:r>
      <w:r w:rsidR="00D06D60" w:rsidRPr="005072CB">
        <w:rPr>
          <w:rFonts w:hint="eastAsia"/>
          <w:color w:val="000000" w:themeColor="text1"/>
        </w:rPr>
        <w:t>俄羅斯則因歐美經濟制裁及油價崩跌</w:t>
      </w:r>
      <w:r w:rsidR="00315465" w:rsidRPr="005072CB">
        <w:rPr>
          <w:rFonts w:hint="eastAsia"/>
          <w:color w:val="000000" w:themeColor="text1"/>
        </w:rPr>
        <w:t>，經濟成長率</w:t>
      </w:r>
      <w:r w:rsidR="00941B1C" w:rsidRPr="005072CB">
        <w:rPr>
          <w:rFonts w:hint="eastAsia"/>
          <w:color w:val="000000" w:themeColor="text1"/>
        </w:rPr>
        <w:t>由</w:t>
      </w:r>
      <w:r w:rsidR="00941B1C" w:rsidRPr="005072CB">
        <w:rPr>
          <w:rFonts w:hint="eastAsia"/>
          <w:color w:val="000000" w:themeColor="text1"/>
        </w:rPr>
        <w:t>1.3%</w:t>
      </w:r>
      <w:r w:rsidR="00941B1C" w:rsidRPr="005072CB">
        <w:rPr>
          <w:rFonts w:hint="eastAsia"/>
          <w:color w:val="000000" w:themeColor="text1"/>
        </w:rPr>
        <w:t>降為</w:t>
      </w:r>
      <w:r w:rsidR="00941B1C" w:rsidRPr="005072CB">
        <w:rPr>
          <w:rFonts w:hint="eastAsia"/>
          <w:color w:val="000000" w:themeColor="text1"/>
        </w:rPr>
        <w:t>0.6%</w:t>
      </w:r>
      <w:r w:rsidR="008D2ADD" w:rsidRPr="005072CB">
        <w:rPr>
          <w:rFonts w:hint="eastAsia"/>
          <w:color w:val="000000" w:themeColor="text1"/>
        </w:rPr>
        <w:t>。</w:t>
      </w:r>
    </w:p>
    <w:p w:rsidR="00C0044D" w:rsidRPr="005072CB" w:rsidRDefault="00C0044D" w:rsidP="008738DD">
      <w:pPr>
        <w:pStyle w:val="k00t15"/>
        <w:spacing w:line="440" w:lineRule="exact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lastRenderedPageBreak/>
        <w:t>第二節　國際重要經貿</w:t>
      </w:r>
      <w:r w:rsidR="00EB4C17" w:rsidRPr="005072CB">
        <w:rPr>
          <w:rFonts w:hint="eastAsia"/>
          <w:color w:val="000000" w:themeColor="text1"/>
        </w:rPr>
        <w:t>課</w:t>
      </w:r>
      <w:r w:rsidRPr="005072CB">
        <w:rPr>
          <w:rFonts w:hint="eastAsia"/>
          <w:color w:val="000000" w:themeColor="text1"/>
        </w:rPr>
        <w:t>題</w:t>
      </w:r>
    </w:p>
    <w:p w:rsidR="00DB729F" w:rsidRPr="005072CB" w:rsidRDefault="00DB729F" w:rsidP="008738DD">
      <w:pPr>
        <w:pStyle w:val="line"/>
        <w:spacing w:line="440" w:lineRule="exact"/>
        <w:rPr>
          <w:color w:val="000000" w:themeColor="text1"/>
        </w:rPr>
      </w:pPr>
    </w:p>
    <w:p w:rsidR="00C0044D" w:rsidRPr="005072CB" w:rsidRDefault="00C0044D" w:rsidP="008738DD">
      <w:pPr>
        <w:pStyle w:val="k02"/>
        <w:spacing w:line="440" w:lineRule="exact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年各國經濟成長態勢不一致，致貨幣政策</w:t>
      </w:r>
      <w:proofErr w:type="gramStart"/>
      <w:r w:rsidRPr="005072CB">
        <w:rPr>
          <w:rFonts w:hint="eastAsia"/>
          <w:color w:val="000000" w:themeColor="text1"/>
        </w:rPr>
        <w:t>不</w:t>
      </w:r>
      <w:proofErr w:type="gramEnd"/>
      <w:r w:rsidRPr="005072CB">
        <w:rPr>
          <w:rFonts w:hint="eastAsia"/>
          <w:color w:val="000000" w:themeColor="text1"/>
        </w:rPr>
        <w:t>同調，造成全球金融市場波動加劇，主要國家股市多呈上漲，</w:t>
      </w:r>
      <w:proofErr w:type="gramStart"/>
      <w:r w:rsidRPr="005072CB">
        <w:rPr>
          <w:rFonts w:hint="eastAsia"/>
          <w:color w:val="000000" w:themeColor="text1"/>
        </w:rPr>
        <w:t>匯</w:t>
      </w:r>
      <w:proofErr w:type="gramEnd"/>
      <w:r w:rsidRPr="005072CB">
        <w:rPr>
          <w:rFonts w:hint="eastAsia"/>
          <w:color w:val="000000" w:themeColor="text1"/>
        </w:rPr>
        <w:t>市則呈現美元走升態勢。商品原物料方面，國際油價下半年開始大幅度下滑，糧價則延續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年跌勢。在區域整合方面，全球經貿整合在美國及中國大陸雙角力較勁下加速進行。另由於氣候變遷威脅加劇，</w:t>
      </w:r>
      <w:proofErr w:type="gramStart"/>
      <w:r w:rsidRPr="005072CB">
        <w:rPr>
          <w:rFonts w:hint="eastAsia"/>
          <w:color w:val="000000" w:themeColor="text1"/>
        </w:rPr>
        <w:t>節能減碳與</w:t>
      </w:r>
      <w:proofErr w:type="gramEnd"/>
      <w:r w:rsidRPr="005072CB">
        <w:rPr>
          <w:rFonts w:hint="eastAsia"/>
          <w:color w:val="000000" w:themeColor="text1"/>
        </w:rPr>
        <w:t>調適續為國際組織及各國政府關注議題。</w:t>
      </w:r>
    </w:p>
    <w:p w:rsidR="00C0044D" w:rsidRPr="005072CB" w:rsidRDefault="00C0044D" w:rsidP="008738DD">
      <w:pPr>
        <w:pStyle w:val="k1a"/>
        <w:spacing w:before="120" w:after="120" w:line="440" w:lineRule="exact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一、國際金融市場波動加劇</w:t>
      </w:r>
    </w:p>
    <w:p w:rsidR="00C0044D" w:rsidRPr="005072CB" w:rsidRDefault="00C0044D" w:rsidP="008738DD">
      <w:pPr>
        <w:pStyle w:val="k12"/>
        <w:spacing w:line="440" w:lineRule="exact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由於歐、美、日等先進經濟體經濟成長態勢不一致，美國經濟復甦強勁，歐元區及日本則景氣疲弱，致貨幣政策</w:t>
      </w:r>
      <w:proofErr w:type="gramStart"/>
      <w:r w:rsidRPr="005072CB">
        <w:rPr>
          <w:rFonts w:hint="eastAsia"/>
          <w:color w:val="000000" w:themeColor="text1"/>
        </w:rPr>
        <w:t>不</w:t>
      </w:r>
      <w:proofErr w:type="gramEnd"/>
      <w:r w:rsidRPr="005072CB">
        <w:rPr>
          <w:rFonts w:hint="eastAsia"/>
          <w:color w:val="000000" w:themeColor="text1"/>
        </w:rPr>
        <w:t>同調。美國聯</w:t>
      </w:r>
      <w:proofErr w:type="gramStart"/>
      <w:r w:rsidRPr="005072CB">
        <w:rPr>
          <w:rFonts w:hint="eastAsia"/>
          <w:color w:val="000000" w:themeColor="text1"/>
        </w:rPr>
        <w:t>準</w:t>
      </w:r>
      <w:proofErr w:type="gramEnd"/>
      <w:r w:rsidRPr="005072CB">
        <w:rPr>
          <w:rFonts w:hint="eastAsia"/>
          <w:color w:val="000000" w:themeColor="text1"/>
        </w:rPr>
        <w:t>會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Fed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於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1</w:t>
      </w:r>
      <w:r w:rsidRPr="005072CB">
        <w:rPr>
          <w:rFonts w:hint="eastAsia"/>
          <w:color w:val="000000" w:themeColor="text1"/>
        </w:rPr>
        <w:t>月開始</w:t>
      </w:r>
      <w:proofErr w:type="gramStart"/>
      <w:r w:rsidRPr="005072CB">
        <w:rPr>
          <w:rFonts w:hint="eastAsia"/>
          <w:color w:val="000000" w:themeColor="text1"/>
        </w:rPr>
        <w:t>縮減購債規模</w:t>
      </w:r>
      <w:proofErr w:type="gramEnd"/>
      <w:r w:rsidRPr="005072CB">
        <w:rPr>
          <w:rFonts w:hint="eastAsia"/>
          <w:color w:val="000000" w:themeColor="text1"/>
        </w:rPr>
        <w:t>，逐步進行貨幣政策「正常化」，量化寬鬆政策於</w:t>
      </w:r>
      <w:r w:rsidRPr="005072CB">
        <w:rPr>
          <w:rFonts w:hint="eastAsia"/>
          <w:color w:val="000000" w:themeColor="text1"/>
        </w:rPr>
        <w:t>10</w:t>
      </w:r>
      <w:r w:rsidRPr="005072CB">
        <w:rPr>
          <w:rFonts w:hint="eastAsia"/>
          <w:color w:val="000000" w:themeColor="text1"/>
        </w:rPr>
        <w:t>月底完全退場；</w:t>
      </w:r>
      <w:r w:rsidR="006A6DE5" w:rsidRPr="005072CB">
        <w:rPr>
          <w:rFonts w:hint="eastAsia"/>
          <w:color w:val="000000" w:themeColor="text1"/>
        </w:rPr>
        <w:t>歐洲央行</w:t>
      </w:r>
      <w:r w:rsidR="006A6DE5" w:rsidRPr="005072CB">
        <w:rPr>
          <w:rFonts w:ascii="標楷體" w:hAnsi="標楷體" w:hint="eastAsia"/>
          <w:color w:val="000000" w:themeColor="text1"/>
        </w:rPr>
        <w:t>(</w:t>
      </w:r>
      <w:r w:rsidR="006A6DE5" w:rsidRPr="005072CB">
        <w:rPr>
          <w:rFonts w:hint="eastAsia"/>
          <w:color w:val="000000" w:themeColor="text1"/>
        </w:rPr>
        <w:t>ECB</w:t>
      </w:r>
      <w:r w:rsidR="006A6DE5" w:rsidRPr="005072CB">
        <w:rPr>
          <w:rFonts w:ascii="標楷體" w:hAnsi="標楷體" w:hint="eastAsia"/>
          <w:color w:val="000000" w:themeColor="text1"/>
        </w:rPr>
        <w:t>)</w:t>
      </w:r>
      <w:r w:rsidR="006A6DE5" w:rsidRPr="005072CB">
        <w:rPr>
          <w:rFonts w:hint="eastAsia"/>
          <w:color w:val="000000" w:themeColor="text1"/>
        </w:rPr>
        <w:t>持續營造低利率環境，</w:t>
      </w:r>
      <w:r w:rsidR="006A6DE5" w:rsidRPr="005072CB">
        <w:rPr>
          <w:rFonts w:hint="eastAsia"/>
          <w:color w:val="000000" w:themeColor="text1"/>
        </w:rPr>
        <w:t>6</w:t>
      </w:r>
      <w:r w:rsidR="006A6DE5" w:rsidRPr="005072CB">
        <w:rPr>
          <w:rFonts w:hint="eastAsia"/>
          <w:color w:val="000000" w:themeColor="text1"/>
        </w:rPr>
        <w:t>月起陸續推出負利率政策、定向長期再融資操作、調降基準利率及收購債券計畫；</w:t>
      </w:r>
      <w:r w:rsidRPr="005072CB">
        <w:rPr>
          <w:rFonts w:hint="eastAsia"/>
          <w:color w:val="000000" w:themeColor="text1"/>
        </w:rPr>
        <w:t>日本央行因經濟受消費稅調高衝擊，</w:t>
      </w:r>
      <w:r w:rsidRPr="005072CB">
        <w:rPr>
          <w:rFonts w:hint="eastAsia"/>
          <w:color w:val="000000" w:themeColor="text1"/>
        </w:rPr>
        <w:t>10</w:t>
      </w:r>
      <w:r w:rsidRPr="005072CB">
        <w:rPr>
          <w:rFonts w:hint="eastAsia"/>
          <w:color w:val="000000" w:themeColor="text1"/>
        </w:rPr>
        <w:t>月宣布擴大定量定性寬鬆貨幣政策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QQE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的規模。</w:t>
      </w:r>
    </w:p>
    <w:p w:rsidR="00C0044D" w:rsidRPr="005072CB" w:rsidRDefault="00C0044D" w:rsidP="008738DD">
      <w:pPr>
        <w:pStyle w:val="k12"/>
        <w:spacing w:line="440" w:lineRule="exact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全球受到美國</w:t>
      </w:r>
      <w:r w:rsidRPr="005072CB">
        <w:rPr>
          <w:rFonts w:hint="eastAsia"/>
          <w:color w:val="000000" w:themeColor="text1"/>
        </w:rPr>
        <w:t>QE</w:t>
      </w:r>
      <w:r w:rsidRPr="005072CB">
        <w:rPr>
          <w:rFonts w:hint="eastAsia"/>
          <w:color w:val="000000" w:themeColor="text1"/>
        </w:rPr>
        <w:t>退場及升息預期，歐、日兩國加碼寬鬆貨幣政策之影響，國際主要股、</w:t>
      </w:r>
      <w:proofErr w:type="gramStart"/>
      <w:r w:rsidRPr="005072CB">
        <w:rPr>
          <w:rFonts w:hint="eastAsia"/>
          <w:color w:val="000000" w:themeColor="text1"/>
        </w:rPr>
        <w:t>匯</w:t>
      </w:r>
      <w:proofErr w:type="gramEnd"/>
      <w:r w:rsidRPr="005072CB">
        <w:rPr>
          <w:rFonts w:hint="eastAsia"/>
          <w:color w:val="000000" w:themeColor="text1"/>
        </w:rPr>
        <w:t>市波動加劇。在外匯市場，歐元、日圓對美元</w:t>
      </w:r>
      <w:proofErr w:type="gramStart"/>
      <w:r w:rsidRPr="005072CB">
        <w:rPr>
          <w:rFonts w:hint="eastAsia"/>
          <w:color w:val="000000" w:themeColor="text1"/>
        </w:rPr>
        <w:t>匯</w:t>
      </w:r>
      <w:proofErr w:type="gramEnd"/>
      <w:r w:rsidRPr="005072CB">
        <w:rPr>
          <w:rFonts w:hint="eastAsia"/>
          <w:color w:val="000000" w:themeColor="text1"/>
        </w:rPr>
        <w:t>價呈現貶值走勢，新興經濟體受到經濟成長走緩以及熱錢流出影響</w:t>
      </w:r>
      <w:r w:rsidRPr="005072CB">
        <w:rPr>
          <w:color w:val="000000" w:themeColor="text1"/>
          <w:vertAlign w:val="superscript"/>
        </w:rPr>
        <w:footnoteReference w:id="2"/>
      </w:r>
      <w:r w:rsidRPr="005072CB">
        <w:rPr>
          <w:rFonts w:hint="eastAsia"/>
          <w:color w:val="000000" w:themeColor="text1"/>
        </w:rPr>
        <w:t>，致各國貨幣兌美元多呈貶值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圖</w:t>
      </w:r>
      <w:r w:rsidRPr="005072CB">
        <w:rPr>
          <w:rFonts w:hint="eastAsia"/>
          <w:color w:val="000000" w:themeColor="text1"/>
        </w:rPr>
        <w:t>1.2.1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。在股市方面，</w:t>
      </w:r>
      <w:r w:rsidRPr="005072CB">
        <w:rPr>
          <w:color w:val="000000" w:themeColor="text1"/>
        </w:rPr>
        <w:t>2014</w:t>
      </w:r>
      <w:r w:rsidRPr="005072CB">
        <w:rPr>
          <w:color w:val="000000" w:themeColor="text1"/>
        </w:rPr>
        <w:t>年多數國家續</w:t>
      </w:r>
      <w:proofErr w:type="gramStart"/>
      <w:r w:rsidRPr="005072CB">
        <w:rPr>
          <w:color w:val="000000" w:themeColor="text1"/>
        </w:rPr>
        <w:t>採</w:t>
      </w:r>
      <w:proofErr w:type="gramEnd"/>
      <w:r w:rsidRPr="005072CB">
        <w:rPr>
          <w:color w:val="000000" w:themeColor="text1"/>
        </w:rPr>
        <w:t>寬鬆貨幣政策，致全球資金充裕，全球主要股市多呈上漲格局。其中，美</w:t>
      </w:r>
      <w:r w:rsidRPr="005072CB">
        <w:rPr>
          <w:rFonts w:hint="eastAsia"/>
          <w:color w:val="000000" w:themeColor="text1"/>
        </w:rPr>
        <w:t>、日股市表現較佳，</w:t>
      </w:r>
      <w:r w:rsidRPr="005072CB">
        <w:rPr>
          <w:color w:val="000000" w:themeColor="text1"/>
        </w:rPr>
        <w:t>歐洲股市</w:t>
      </w:r>
      <w:r w:rsidRPr="005072CB">
        <w:rPr>
          <w:rFonts w:hint="eastAsia"/>
          <w:color w:val="000000" w:themeColor="text1"/>
        </w:rPr>
        <w:t>因景氣疲弱</w:t>
      </w:r>
      <w:r w:rsidRPr="005072CB">
        <w:rPr>
          <w:color w:val="000000" w:themeColor="text1"/>
        </w:rPr>
        <w:t>整體表現欠佳</w:t>
      </w:r>
      <w:r w:rsidRPr="005072CB">
        <w:rPr>
          <w:rFonts w:hint="eastAsia"/>
          <w:color w:val="000000" w:themeColor="text1"/>
        </w:rPr>
        <w:t>，</w:t>
      </w:r>
      <w:r w:rsidRPr="005072CB">
        <w:rPr>
          <w:color w:val="000000" w:themeColor="text1"/>
        </w:rPr>
        <w:t>中國大陸股市</w:t>
      </w:r>
      <w:r w:rsidRPr="005072CB">
        <w:rPr>
          <w:rFonts w:hint="eastAsia"/>
          <w:color w:val="000000" w:themeColor="text1"/>
        </w:rPr>
        <w:t>則</w:t>
      </w:r>
      <w:r w:rsidRPr="005072CB">
        <w:rPr>
          <w:color w:val="000000" w:themeColor="text1"/>
        </w:rPr>
        <w:t>受惠於降息及「</w:t>
      </w:r>
      <w:proofErr w:type="gramStart"/>
      <w:r w:rsidRPr="005072CB">
        <w:rPr>
          <w:color w:val="000000" w:themeColor="text1"/>
        </w:rPr>
        <w:t>滬港通</w:t>
      </w:r>
      <w:proofErr w:type="gramEnd"/>
      <w:r w:rsidRPr="005072CB">
        <w:rPr>
          <w:color w:val="000000" w:themeColor="text1"/>
        </w:rPr>
        <w:t>」啟動交易等</w:t>
      </w:r>
      <w:r w:rsidRPr="005072CB">
        <w:rPr>
          <w:rFonts w:hint="eastAsia"/>
          <w:color w:val="000000" w:themeColor="text1"/>
        </w:rPr>
        <w:t>利多</w:t>
      </w:r>
      <w:r w:rsidRPr="005072CB">
        <w:rPr>
          <w:color w:val="000000" w:themeColor="text1"/>
        </w:rPr>
        <w:t>因素，全年漲幅</w:t>
      </w:r>
      <w:r w:rsidRPr="005072CB">
        <w:rPr>
          <w:rFonts w:hint="eastAsia"/>
          <w:color w:val="000000" w:themeColor="text1"/>
        </w:rPr>
        <w:t>高</w:t>
      </w:r>
      <w:r w:rsidRPr="005072CB">
        <w:rPr>
          <w:color w:val="000000" w:themeColor="text1"/>
        </w:rPr>
        <w:t>達</w:t>
      </w:r>
      <w:r w:rsidRPr="005072CB">
        <w:rPr>
          <w:rFonts w:hint="eastAsia"/>
          <w:color w:val="000000" w:themeColor="text1"/>
        </w:rPr>
        <w:t>5</w:t>
      </w:r>
      <w:r w:rsidR="006F5C10" w:rsidRPr="005072CB">
        <w:rPr>
          <w:rFonts w:hint="eastAsia"/>
          <w:color w:val="000000" w:themeColor="text1"/>
        </w:rPr>
        <w:t>2.9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圖</w:t>
      </w:r>
      <w:r w:rsidRPr="005072CB">
        <w:rPr>
          <w:rFonts w:hint="eastAsia"/>
          <w:color w:val="000000" w:themeColor="text1"/>
        </w:rPr>
        <w:t>1.2.2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。</w:t>
      </w:r>
    </w:p>
    <w:p w:rsidR="00C0044D" w:rsidRPr="005072CB" w:rsidRDefault="00C0044D" w:rsidP="008738DD">
      <w:pPr>
        <w:rPr>
          <w:color w:val="000000" w:themeColor="text1"/>
        </w:rPr>
      </w:pPr>
    </w:p>
    <w:p w:rsidR="00C0044D" w:rsidRPr="005072CB" w:rsidRDefault="00C0044D" w:rsidP="008738DD">
      <w:pPr>
        <w:rPr>
          <w:color w:val="000000" w:themeColor="text1"/>
        </w:rPr>
      </w:pPr>
    </w:p>
    <w:p w:rsidR="00C0044D" w:rsidRPr="005072CB" w:rsidRDefault="00C0044D" w:rsidP="008738DD">
      <w:pPr>
        <w:rPr>
          <w:color w:val="000000" w:themeColor="text1"/>
        </w:rPr>
      </w:pPr>
    </w:p>
    <w:p w:rsidR="00DB729F" w:rsidRPr="005072CB" w:rsidRDefault="003951F6" w:rsidP="003951F6">
      <w:pPr>
        <w:widowControl/>
        <w:overflowPunct/>
        <w:autoSpaceDE/>
        <w:autoSpaceDN/>
        <w:adjustRightInd/>
        <w:spacing w:line="240" w:lineRule="auto"/>
        <w:ind w:firstLineChars="50" w:firstLine="130"/>
        <w:jc w:val="left"/>
        <w:textAlignment w:val="auto"/>
        <w:rPr>
          <w:rFonts w:ascii="標楷體" w:hAnsi="標楷體"/>
          <w:color w:val="000000" w:themeColor="text1"/>
          <w:sz w:val="20"/>
        </w:rPr>
      </w:pPr>
      <w:r w:rsidRPr="005072CB">
        <w:rPr>
          <w:noProof/>
          <w:color w:val="000000" w:themeColor="text1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B62C07" wp14:editId="65C3C1C9">
                <wp:simplePos x="0" y="0"/>
                <wp:positionH relativeFrom="column">
                  <wp:posOffset>-117622</wp:posOffset>
                </wp:positionH>
                <wp:positionV relativeFrom="paragraph">
                  <wp:posOffset>-76835</wp:posOffset>
                </wp:positionV>
                <wp:extent cx="386715" cy="1403985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1F6" w:rsidRPr="00323DCC" w:rsidRDefault="003951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3DCC">
                              <w:rPr>
                                <w:rFonts w:hint="eastAsia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9.25pt;margin-top:-6.05pt;width:30.4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" filled="f" stroked="f">
                <v:textbox style="mso-fit-shape-to-text:t">
                  <w:txbxContent>
                    <w:p w:rsidR="003951F6" w:rsidRPr="00323DCC" w:rsidRDefault="003951F6">
                      <w:pPr>
                        <w:rPr>
                          <w:color w:val="000000" w:themeColor="text1"/>
                        </w:rPr>
                      </w:pPr>
                      <w:bookmarkStart w:id="1" w:name="_GoBack"/>
                      <w:r w:rsidRPr="00323DCC">
                        <w:rPr>
                          <w:rFonts w:hint="eastAsia"/>
                          <w:color w:val="000000" w:themeColor="text1"/>
                        </w:rPr>
                        <w:t>%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8738DD" w:rsidRPr="005072CB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4A3BB761" wp14:editId="6FF6EF4F">
            <wp:simplePos x="0" y="0"/>
            <wp:positionH relativeFrom="column">
              <wp:posOffset>-69850</wp:posOffset>
            </wp:positionH>
            <wp:positionV relativeFrom="paragraph">
              <wp:posOffset>-95526</wp:posOffset>
            </wp:positionV>
            <wp:extent cx="5470497" cy="1987826"/>
            <wp:effectExtent l="0" t="0" r="0" b="0"/>
            <wp:wrapNone/>
            <wp:docPr id="3" name="圖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729F" w:rsidRPr="005072CB" w:rsidRDefault="00DB729F" w:rsidP="006E68AA">
      <w:pPr>
        <w:rPr>
          <w:color w:val="000000" w:themeColor="text1"/>
        </w:rPr>
      </w:pPr>
    </w:p>
    <w:p w:rsidR="00DB729F" w:rsidRPr="005072CB" w:rsidRDefault="00DB729F" w:rsidP="006E68AA">
      <w:pPr>
        <w:rPr>
          <w:color w:val="000000" w:themeColor="text1"/>
        </w:rPr>
      </w:pPr>
    </w:p>
    <w:p w:rsidR="00DB729F" w:rsidRPr="005072CB" w:rsidRDefault="00DB729F" w:rsidP="006E68AA">
      <w:pPr>
        <w:rPr>
          <w:color w:val="000000" w:themeColor="text1"/>
        </w:rPr>
      </w:pPr>
    </w:p>
    <w:p w:rsidR="00594508" w:rsidRPr="005072CB" w:rsidRDefault="00594508" w:rsidP="006E68AA">
      <w:pPr>
        <w:rPr>
          <w:color w:val="000000" w:themeColor="text1"/>
        </w:rPr>
      </w:pPr>
    </w:p>
    <w:p w:rsidR="00DB729F" w:rsidRPr="005072CB" w:rsidRDefault="00DB729F" w:rsidP="006E68AA">
      <w:pPr>
        <w:rPr>
          <w:color w:val="000000" w:themeColor="text1"/>
        </w:rPr>
      </w:pPr>
    </w:p>
    <w:p w:rsidR="00C0044D" w:rsidRPr="005072CB" w:rsidRDefault="00C0044D" w:rsidP="006E68AA">
      <w:pPr>
        <w:rPr>
          <w:color w:val="000000" w:themeColor="text1"/>
        </w:rPr>
      </w:pPr>
    </w:p>
    <w:p w:rsidR="00C0044D" w:rsidRPr="005072CB" w:rsidRDefault="00594508" w:rsidP="0028001A">
      <w:pPr>
        <w:pStyle w:val="a7"/>
        <w:spacing w:beforeLines="150" w:before="360" w:afterLines="50" w:after="120"/>
        <w:rPr>
          <w:color w:val="000000" w:themeColor="text1"/>
          <w:sz w:val="26"/>
          <w:szCs w:val="26"/>
        </w:rPr>
      </w:pPr>
      <w:r w:rsidRPr="005072CB">
        <w:rPr>
          <w:color w:val="000000" w:themeColor="text1"/>
          <w:sz w:val="26"/>
          <w:szCs w:val="26"/>
        </w:rPr>
        <w:t>圖</w:t>
      </w:r>
      <w:r w:rsidRPr="005072CB">
        <w:rPr>
          <w:color w:val="000000" w:themeColor="text1"/>
          <w:sz w:val="26"/>
          <w:szCs w:val="26"/>
        </w:rPr>
        <w:t>1.2.1</w:t>
      </w:r>
      <w:r w:rsidRPr="005072CB">
        <w:rPr>
          <w:color w:val="000000" w:themeColor="text1"/>
          <w:sz w:val="26"/>
          <w:szCs w:val="26"/>
        </w:rPr>
        <w:t xml:space="preserve">　</w:t>
      </w:r>
      <w:r w:rsidRPr="005072CB">
        <w:rPr>
          <w:color w:val="000000" w:themeColor="text1"/>
          <w:sz w:val="26"/>
          <w:szCs w:val="26"/>
        </w:rPr>
        <w:t>2014</w:t>
      </w:r>
      <w:r w:rsidRPr="005072CB">
        <w:rPr>
          <w:color w:val="000000" w:themeColor="text1"/>
          <w:sz w:val="26"/>
          <w:szCs w:val="26"/>
        </w:rPr>
        <w:t>年各國貨幣兌美元升貶幅度</w:t>
      </w:r>
    </w:p>
    <w:p w:rsidR="00594508" w:rsidRPr="005072CB" w:rsidRDefault="0028001A" w:rsidP="000202D2">
      <w:pPr>
        <w:pStyle w:val="ac"/>
        <w:spacing w:beforeLines="0" w:afterLines="80" w:after="192"/>
        <w:ind w:leftChars="246" w:left="1674" w:hangingChars="439" w:hanging="966"/>
        <w:rPr>
          <w:color w:val="000000" w:themeColor="text1"/>
        </w:rPr>
      </w:pPr>
      <w:r w:rsidRPr="005072CB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5337FEF7" wp14:editId="263D2D3D">
            <wp:simplePos x="0" y="0"/>
            <wp:positionH relativeFrom="column">
              <wp:posOffset>-136427</wp:posOffset>
            </wp:positionH>
            <wp:positionV relativeFrom="paragraph">
              <wp:posOffset>268458</wp:posOffset>
            </wp:positionV>
            <wp:extent cx="5480538" cy="3036277"/>
            <wp:effectExtent l="0" t="0" r="0" b="0"/>
            <wp:wrapNone/>
            <wp:docPr id="4" name="圖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044D" w:rsidRPr="005072CB">
        <w:rPr>
          <w:color w:val="000000" w:themeColor="text1"/>
        </w:rPr>
        <w:t>資料來源：中央銀行。</w:t>
      </w:r>
      <w:r w:rsidR="00C0044D" w:rsidRPr="005072CB">
        <w:rPr>
          <w:color w:val="000000" w:themeColor="text1"/>
        </w:rPr>
        <w:t xml:space="preserve"> </w:t>
      </w: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3951F6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  <w:r w:rsidRPr="005072CB">
        <w:rPr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FC56D5" wp14:editId="719BFE45">
                <wp:simplePos x="0" y="0"/>
                <wp:positionH relativeFrom="column">
                  <wp:posOffset>5173492</wp:posOffset>
                </wp:positionH>
                <wp:positionV relativeFrom="paragraph">
                  <wp:posOffset>94615</wp:posOffset>
                </wp:positionV>
                <wp:extent cx="386715" cy="1403985"/>
                <wp:effectExtent l="0" t="0" r="0" b="0"/>
                <wp:wrapNone/>
                <wp:docPr id="1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51F6" w:rsidRPr="00323DCC" w:rsidRDefault="003951F6" w:rsidP="003951F6">
                            <w:pPr>
                              <w:rPr>
                                <w:color w:val="000000" w:themeColor="text1"/>
                              </w:rPr>
                            </w:pPr>
                            <w:r w:rsidRPr="00323DCC">
                              <w:rPr>
                                <w:rFonts w:hint="eastAsia"/>
                                <w:color w:val="000000" w:themeColor="text1"/>
                              </w:rPr>
                              <w:t>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07.35pt;margin-top:7.45pt;width:30.4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" filled="f" stroked="f">
                <v:textbox style="mso-fit-shape-to-text:t">
                  <w:txbxContent>
                    <w:p w:rsidR="003951F6" w:rsidRPr="00323DCC" w:rsidRDefault="003951F6" w:rsidP="003951F6">
                      <w:pPr>
                        <w:rPr>
                          <w:color w:val="000000" w:themeColor="text1"/>
                        </w:rPr>
                      </w:pPr>
                      <w:r w:rsidRPr="00323DCC">
                        <w:rPr>
                          <w:rFonts w:hint="eastAsia"/>
                          <w:color w:val="000000" w:themeColor="text1"/>
                        </w:rPr>
                        <w:t>%</w:t>
                      </w:r>
                    </w:p>
                  </w:txbxContent>
                </v:textbox>
              </v:shape>
            </w:pict>
          </mc:Fallback>
        </mc:AlternateContent>
      </w: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C0044D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  <w:sz w:val="20"/>
        </w:rPr>
      </w:pPr>
    </w:p>
    <w:p w:rsidR="00594508" w:rsidRPr="005072CB" w:rsidRDefault="00594508" w:rsidP="00840798">
      <w:pPr>
        <w:pStyle w:val="a7"/>
        <w:spacing w:before="240" w:afterLines="70" w:after="168"/>
        <w:rPr>
          <w:color w:val="000000" w:themeColor="text1"/>
          <w:sz w:val="26"/>
          <w:szCs w:val="26"/>
        </w:rPr>
      </w:pPr>
      <w:r w:rsidRPr="005072CB">
        <w:rPr>
          <w:color w:val="000000" w:themeColor="text1"/>
          <w:sz w:val="26"/>
          <w:szCs w:val="26"/>
        </w:rPr>
        <w:t>圖</w:t>
      </w:r>
      <w:r w:rsidRPr="005072CB">
        <w:rPr>
          <w:color w:val="000000" w:themeColor="text1"/>
          <w:sz w:val="26"/>
          <w:szCs w:val="26"/>
        </w:rPr>
        <w:t>1.2.2</w:t>
      </w:r>
      <w:r w:rsidRPr="005072CB">
        <w:rPr>
          <w:color w:val="000000" w:themeColor="text1"/>
          <w:sz w:val="26"/>
          <w:szCs w:val="26"/>
        </w:rPr>
        <w:t xml:space="preserve">　</w:t>
      </w:r>
      <w:r w:rsidRPr="005072CB">
        <w:rPr>
          <w:color w:val="000000" w:themeColor="text1"/>
          <w:sz w:val="26"/>
          <w:szCs w:val="26"/>
        </w:rPr>
        <w:t>2014</w:t>
      </w:r>
      <w:r w:rsidRPr="005072CB">
        <w:rPr>
          <w:color w:val="000000" w:themeColor="text1"/>
          <w:sz w:val="26"/>
          <w:szCs w:val="26"/>
        </w:rPr>
        <w:t>年各國股市漲跌幅度</w:t>
      </w:r>
    </w:p>
    <w:p w:rsidR="006E68AA" w:rsidRPr="005072CB" w:rsidRDefault="00C0044D" w:rsidP="0028001A">
      <w:pPr>
        <w:pStyle w:val="ac"/>
        <w:spacing w:before="120" w:afterLines="100" w:after="240"/>
        <w:ind w:leftChars="246" w:left="1674" w:hangingChars="439" w:hanging="966"/>
        <w:rPr>
          <w:color w:val="000000" w:themeColor="text1"/>
        </w:rPr>
      </w:pPr>
      <w:r w:rsidRPr="005072CB">
        <w:rPr>
          <w:color w:val="000000" w:themeColor="text1"/>
        </w:rPr>
        <w:t>資料來源：彭博社。</w:t>
      </w:r>
    </w:p>
    <w:p w:rsidR="00C0044D" w:rsidRPr="005072CB" w:rsidRDefault="00C0044D" w:rsidP="0028001A">
      <w:pPr>
        <w:pStyle w:val="k1a"/>
        <w:spacing w:beforeLines="150" w:before="360" w:after="120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二、國際原油及糧食價格下跌</w:t>
      </w:r>
    </w:p>
    <w:p w:rsidR="00C0044D" w:rsidRPr="005072CB" w:rsidRDefault="00C0044D" w:rsidP="00EE16E9">
      <w:pPr>
        <w:pStyle w:val="k12"/>
        <w:spacing w:line="380" w:lineRule="exact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年國際原油價格，受中國大陸等經濟體原油需求減緩，美國頁岩油增產而石油輸出國組織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OPEC</w:t>
      </w:r>
      <w:r w:rsidRPr="005072CB">
        <w:rPr>
          <w:rFonts w:ascii="標楷體" w:hAnsi="標楷體" w:hint="eastAsia"/>
          <w:color w:val="000000" w:themeColor="text1"/>
        </w:rPr>
        <w:t>)不</w:t>
      </w:r>
      <w:r w:rsidRPr="005072CB">
        <w:rPr>
          <w:rFonts w:hint="eastAsia"/>
          <w:color w:val="000000" w:themeColor="text1"/>
        </w:rPr>
        <w:t>減產，以及美元走強等因素影響，自</w:t>
      </w:r>
      <w:r w:rsidRPr="005072CB">
        <w:rPr>
          <w:rFonts w:hint="eastAsia"/>
          <w:color w:val="000000" w:themeColor="text1"/>
        </w:rPr>
        <w:t>6</w:t>
      </w:r>
      <w:r w:rsidRPr="005072CB">
        <w:rPr>
          <w:rFonts w:hint="eastAsia"/>
          <w:color w:val="000000" w:themeColor="text1"/>
        </w:rPr>
        <w:t>月下旬起開始下跌，北海布蘭特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Brent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油價由</w:t>
      </w:r>
      <w:r w:rsidRPr="005072CB">
        <w:rPr>
          <w:rFonts w:hint="eastAsia"/>
          <w:color w:val="000000" w:themeColor="text1"/>
        </w:rPr>
        <w:t>6</w:t>
      </w:r>
      <w:r w:rsidRPr="005072CB">
        <w:rPr>
          <w:rFonts w:hint="eastAsia"/>
          <w:color w:val="000000" w:themeColor="text1"/>
        </w:rPr>
        <w:t>月高點</w:t>
      </w:r>
      <w:r w:rsidRPr="005072CB">
        <w:rPr>
          <w:rFonts w:hint="eastAsia"/>
          <w:color w:val="000000" w:themeColor="text1"/>
        </w:rPr>
        <w:t>115.06</w:t>
      </w:r>
      <w:r w:rsidRPr="005072CB">
        <w:rPr>
          <w:rFonts w:hint="eastAsia"/>
          <w:color w:val="000000" w:themeColor="text1"/>
        </w:rPr>
        <w:t>美元</w:t>
      </w:r>
      <w:r w:rsidR="006E68AA" w:rsidRPr="005072CB">
        <w:rPr>
          <w:rFonts w:hint="eastAsia"/>
          <w:color w:val="000000" w:themeColor="text1"/>
        </w:rPr>
        <w:t>／</w:t>
      </w:r>
      <w:r w:rsidRPr="005072CB">
        <w:rPr>
          <w:rFonts w:hint="eastAsia"/>
          <w:color w:val="000000" w:themeColor="text1"/>
        </w:rPr>
        <w:t>桶，降至年底</w:t>
      </w:r>
      <w:r w:rsidRPr="005072CB">
        <w:rPr>
          <w:rFonts w:hint="eastAsia"/>
          <w:color w:val="000000" w:themeColor="text1"/>
        </w:rPr>
        <w:t>57.33</w:t>
      </w:r>
      <w:r w:rsidRPr="005072CB">
        <w:rPr>
          <w:rFonts w:hint="eastAsia"/>
          <w:color w:val="000000" w:themeColor="text1"/>
        </w:rPr>
        <w:t>美元</w:t>
      </w:r>
      <w:r w:rsidR="006E68AA" w:rsidRPr="005072CB">
        <w:rPr>
          <w:rFonts w:hint="eastAsia"/>
          <w:color w:val="000000" w:themeColor="text1"/>
        </w:rPr>
        <w:t>／</w:t>
      </w:r>
      <w:r w:rsidRPr="005072CB">
        <w:rPr>
          <w:rFonts w:hint="eastAsia"/>
          <w:color w:val="000000" w:themeColor="text1"/>
        </w:rPr>
        <w:t>桶，</w:t>
      </w:r>
      <w:r w:rsidR="006A6DE5" w:rsidRPr="005072CB">
        <w:rPr>
          <w:rFonts w:hint="eastAsia"/>
          <w:color w:val="000000" w:themeColor="text1"/>
        </w:rPr>
        <w:t>減</w:t>
      </w:r>
      <w:r w:rsidRPr="005072CB">
        <w:rPr>
          <w:rFonts w:hint="eastAsia"/>
          <w:color w:val="000000" w:themeColor="text1"/>
        </w:rPr>
        <w:t>幅高達</w:t>
      </w:r>
      <w:r w:rsidRPr="005072CB">
        <w:rPr>
          <w:rFonts w:hint="eastAsia"/>
          <w:color w:val="000000" w:themeColor="text1"/>
        </w:rPr>
        <w:t>50</w:t>
      </w:r>
      <w:r w:rsidR="006F5C10" w:rsidRPr="005072CB">
        <w:rPr>
          <w:rFonts w:hint="eastAsia"/>
          <w:color w:val="000000" w:themeColor="text1"/>
        </w:rPr>
        <w:t>.2</w:t>
      </w:r>
      <w:r w:rsidRPr="005072CB">
        <w:rPr>
          <w:rFonts w:hint="eastAsia"/>
          <w:color w:val="000000" w:themeColor="text1"/>
        </w:rPr>
        <w:t>%</w:t>
      </w:r>
      <w:r w:rsidRPr="005072CB">
        <w:rPr>
          <w:rFonts w:hint="eastAsia"/>
          <w:color w:val="000000" w:themeColor="text1"/>
        </w:rPr>
        <w:t>。相較於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年全球石油的供不應求，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年石油的超額供給達每日</w:t>
      </w:r>
      <w:r w:rsidRPr="005072CB">
        <w:rPr>
          <w:rFonts w:hint="eastAsia"/>
          <w:color w:val="000000" w:themeColor="text1"/>
        </w:rPr>
        <w:t>100</w:t>
      </w:r>
      <w:r w:rsidRPr="005072CB">
        <w:rPr>
          <w:rFonts w:hint="eastAsia"/>
          <w:color w:val="000000" w:themeColor="text1"/>
        </w:rPr>
        <w:t>萬桶。</w:t>
      </w:r>
    </w:p>
    <w:p w:rsidR="00C0044D" w:rsidRPr="005072CB" w:rsidRDefault="00C0044D" w:rsidP="00EE16E9">
      <w:pPr>
        <w:pStyle w:val="k12"/>
        <w:spacing w:line="380" w:lineRule="exact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lastRenderedPageBreak/>
        <w:t>2014</w:t>
      </w:r>
      <w:r w:rsidRPr="005072CB">
        <w:rPr>
          <w:rFonts w:hint="eastAsia"/>
          <w:color w:val="000000" w:themeColor="text1"/>
        </w:rPr>
        <w:t>年國際糧食價格大致仍受產能過剩</w:t>
      </w:r>
      <w:r w:rsidR="006A6DE5" w:rsidRPr="005072CB">
        <w:rPr>
          <w:rFonts w:hint="eastAsia"/>
          <w:color w:val="000000" w:themeColor="text1"/>
        </w:rPr>
        <w:t>、美元升值及油價下跌</w:t>
      </w:r>
      <w:r w:rsidRPr="005072CB">
        <w:rPr>
          <w:rFonts w:hint="eastAsia"/>
          <w:color w:val="000000" w:themeColor="text1"/>
        </w:rPr>
        <w:t>等因素影響而續跌，聯合國糧食及農業組織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FAO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糧食價格年平均指數由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209.8</w:t>
      </w:r>
      <w:r w:rsidRPr="005072CB">
        <w:rPr>
          <w:rFonts w:hint="eastAsia"/>
          <w:color w:val="000000" w:themeColor="text1"/>
        </w:rPr>
        <w:t>，降至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年的</w:t>
      </w:r>
      <w:r w:rsidRPr="005072CB">
        <w:rPr>
          <w:rFonts w:hint="eastAsia"/>
          <w:color w:val="000000" w:themeColor="text1"/>
        </w:rPr>
        <w:t>201.8</w:t>
      </w:r>
      <w:r w:rsidRPr="005072CB">
        <w:rPr>
          <w:rFonts w:hint="eastAsia"/>
          <w:color w:val="000000" w:themeColor="text1"/>
        </w:rPr>
        <w:t>，下跌</w:t>
      </w:r>
      <w:r w:rsidRPr="005072CB">
        <w:rPr>
          <w:rFonts w:hint="eastAsia"/>
          <w:color w:val="000000" w:themeColor="text1"/>
        </w:rPr>
        <w:t>3.8%</w:t>
      </w:r>
      <w:r w:rsidRPr="005072CB">
        <w:rPr>
          <w:rFonts w:hint="eastAsia"/>
          <w:color w:val="000000" w:themeColor="text1"/>
        </w:rPr>
        <w:t>，為連續第三年呈下滑走勢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圖</w:t>
      </w:r>
      <w:r w:rsidRPr="005072CB">
        <w:rPr>
          <w:rFonts w:hint="eastAsia"/>
          <w:color w:val="000000" w:themeColor="text1"/>
        </w:rPr>
        <w:t>1.2.3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。其中，穀物、油脂、乳製品及糖類供給充裕，年平均指數分別降</w:t>
      </w:r>
      <w:r w:rsidRPr="005072CB">
        <w:rPr>
          <w:rFonts w:hint="eastAsia"/>
          <w:color w:val="000000" w:themeColor="text1"/>
        </w:rPr>
        <w:t>12.5%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6.2%</w:t>
      </w:r>
      <w:r w:rsidRPr="005072CB">
        <w:rPr>
          <w:rFonts w:hint="eastAsia"/>
          <w:color w:val="000000" w:themeColor="text1"/>
        </w:rPr>
        <w:t>、</w:t>
      </w:r>
      <w:r w:rsidRPr="005072CB">
        <w:rPr>
          <w:rFonts w:hint="eastAsia"/>
          <w:color w:val="000000" w:themeColor="text1"/>
        </w:rPr>
        <w:t>7.7%</w:t>
      </w:r>
      <w:r w:rsidRPr="005072CB">
        <w:rPr>
          <w:rFonts w:hint="eastAsia"/>
          <w:color w:val="000000" w:themeColor="text1"/>
        </w:rPr>
        <w:t>及</w:t>
      </w:r>
      <w:r w:rsidRPr="005072CB">
        <w:rPr>
          <w:rFonts w:hint="eastAsia"/>
          <w:color w:val="000000" w:themeColor="text1"/>
        </w:rPr>
        <w:t>3.9%</w:t>
      </w:r>
      <w:r w:rsidRPr="005072CB">
        <w:rPr>
          <w:rFonts w:hint="eastAsia"/>
          <w:color w:val="000000" w:themeColor="text1"/>
        </w:rPr>
        <w:t>；僅肉類因供給增幅有限，加以中國大陸等新興經濟體需求成長快速，年平均指數續升</w:t>
      </w:r>
      <w:r w:rsidRPr="005072CB">
        <w:rPr>
          <w:rFonts w:hint="eastAsia"/>
          <w:color w:val="000000" w:themeColor="text1"/>
        </w:rPr>
        <w:t>7.7%</w:t>
      </w:r>
      <w:r w:rsidRPr="005072CB">
        <w:rPr>
          <w:rFonts w:hint="eastAsia"/>
          <w:color w:val="000000" w:themeColor="text1"/>
        </w:rPr>
        <w:t>。</w:t>
      </w:r>
    </w:p>
    <w:p w:rsidR="00CB71B8" w:rsidRPr="005072CB" w:rsidRDefault="00CB71B8" w:rsidP="00EE16E9">
      <w:pPr>
        <w:pStyle w:val="k12"/>
        <w:spacing w:line="380" w:lineRule="exact"/>
        <w:ind w:left="288" w:firstLine="576"/>
        <w:rPr>
          <w:color w:val="000000" w:themeColor="text1"/>
        </w:rPr>
      </w:pPr>
    </w:p>
    <w:p w:rsidR="00C0044D" w:rsidRPr="005072CB" w:rsidRDefault="00C0044D" w:rsidP="00C0044D">
      <w:pPr>
        <w:pStyle w:val="k12"/>
        <w:spacing w:line="280" w:lineRule="exact"/>
        <w:ind w:leftChars="0" w:left="0" w:firstLineChars="100" w:firstLine="280"/>
        <w:rPr>
          <w:color w:val="000000" w:themeColor="text1"/>
          <w:sz w:val="20"/>
          <w:szCs w:val="20"/>
        </w:rPr>
      </w:pPr>
      <w:r w:rsidRPr="005072CB">
        <w:rPr>
          <w:noProof/>
          <w:color w:val="000000" w:themeColor="text1"/>
        </w:rPr>
        <w:drawing>
          <wp:anchor distT="0" distB="0" distL="114300" distR="114300" simplePos="0" relativeHeight="251661312" behindDoc="1" locked="0" layoutInCell="1" allowOverlap="1" wp14:anchorId="48C8B0B0" wp14:editId="562F3A7C">
            <wp:simplePos x="0" y="0"/>
            <wp:positionH relativeFrom="column">
              <wp:posOffset>62865</wp:posOffset>
            </wp:positionH>
            <wp:positionV relativeFrom="paragraph">
              <wp:posOffset>214630</wp:posOffset>
            </wp:positionV>
            <wp:extent cx="5219700" cy="1435100"/>
            <wp:effectExtent l="0" t="0" r="0" b="0"/>
            <wp:wrapNone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72CB">
        <w:rPr>
          <w:rFonts w:hint="eastAsia"/>
          <w:color w:val="000000" w:themeColor="text1"/>
          <w:sz w:val="20"/>
          <w:szCs w:val="20"/>
        </w:rPr>
        <w:t>美元／桶</w:t>
      </w:r>
      <w:r w:rsidRPr="005072CB">
        <w:rPr>
          <w:rFonts w:hint="eastAsia"/>
          <w:color w:val="000000" w:themeColor="text1"/>
          <w:sz w:val="20"/>
          <w:szCs w:val="20"/>
        </w:rPr>
        <w:t xml:space="preserve">                                                 </w:t>
      </w:r>
      <w:r w:rsidRPr="005072CB">
        <w:rPr>
          <w:rFonts w:hint="eastAsia"/>
          <w:color w:val="000000" w:themeColor="text1"/>
          <w:sz w:val="20"/>
          <w:szCs w:val="20"/>
        </w:rPr>
        <w:t>指數</w:t>
      </w:r>
      <w:r w:rsidRPr="005072CB">
        <w:rPr>
          <w:rFonts w:ascii="標楷體" w:hAnsi="標楷體" w:hint="eastAsia"/>
          <w:color w:val="000000" w:themeColor="text1"/>
          <w:sz w:val="20"/>
          <w:szCs w:val="20"/>
        </w:rPr>
        <w:t>(</w:t>
      </w:r>
      <w:r w:rsidRPr="005072CB">
        <w:rPr>
          <w:rFonts w:hint="eastAsia"/>
          <w:color w:val="000000" w:themeColor="text1"/>
          <w:sz w:val="20"/>
          <w:szCs w:val="20"/>
        </w:rPr>
        <w:t>2002-2004=100</w:t>
      </w:r>
      <w:r w:rsidRPr="005072CB">
        <w:rPr>
          <w:rFonts w:ascii="標楷體" w:hAnsi="標楷體" w:hint="eastAsia"/>
          <w:color w:val="000000" w:themeColor="text1"/>
          <w:sz w:val="20"/>
          <w:szCs w:val="20"/>
        </w:rPr>
        <w:t>)</w:t>
      </w:r>
    </w:p>
    <w:p w:rsidR="00C0044D" w:rsidRPr="005072CB" w:rsidRDefault="00C0044D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C0044D" w:rsidRPr="005072CB" w:rsidRDefault="00C0044D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6E68AA" w:rsidRPr="005072CB" w:rsidRDefault="006E68AA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6E68AA" w:rsidRPr="005072CB" w:rsidRDefault="006E68AA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6E68AA" w:rsidRPr="005072CB" w:rsidRDefault="006E68AA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6E68AA" w:rsidRPr="005072CB" w:rsidRDefault="006E68AA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C0044D" w:rsidRPr="005072CB" w:rsidRDefault="00C0044D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C0044D" w:rsidRPr="005072CB" w:rsidRDefault="00C0044D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6E68AA" w:rsidRPr="005072CB" w:rsidRDefault="006E68AA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CB71B8" w:rsidRPr="005072CB" w:rsidRDefault="00CB71B8" w:rsidP="00C0044D">
      <w:pPr>
        <w:pStyle w:val="k1a"/>
        <w:spacing w:beforeLines="0" w:afterLines="0" w:line="240" w:lineRule="exact"/>
        <w:ind w:leftChars="1" w:left="94" w:firstLineChars="0" w:hanging="91"/>
        <w:rPr>
          <w:b w:val="0"/>
          <w:color w:val="000000" w:themeColor="text1"/>
          <w:sz w:val="20"/>
        </w:rPr>
      </w:pPr>
    </w:p>
    <w:p w:rsidR="00CB71B8" w:rsidRPr="005072CB" w:rsidRDefault="00CC7D21" w:rsidP="00FD7C09">
      <w:pPr>
        <w:pStyle w:val="a7"/>
        <w:spacing w:before="240" w:after="240"/>
        <w:rPr>
          <w:color w:val="000000" w:themeColor="text1"/>
          <w:sz w:val="26"/>
          <w:szCs w:val="26"/>
        </w:rPr>
      </w:pPr>
      <w:r w:rsidRPr="005072CB">
        <w:rPr>
          <w:rFonts w:hint="eastAsia"/>
          <w:color w:val="000000" w:themeColor="text1"/>
          <w:sz w:val="26"/>
          <w:szCs w:val="26"/>
        </w:rPr>
        <w:t xml:space="preserve"> </w:t>
      </w:r>
      <w:r w:rsidR="00CB71B8" w:rsidRPr="005072CB">
        <w:rPr>
          <w:color w:val="000000" w:themeColor="text1"/>
          <w:sz w:val="26"/>
          <w:szCs w:val="26"/>
        </w:rPr>
        <w:t>圖</w:t>
      </w:r>
      <w:r w:rsidR="00CB71B8" w:rsidRPr="005072CB">
        <w:rPr>
          <w:color w:val="000000" w:themeColor="text1"/>
          <w:sz w:val="26"/>
          <w:szCs w:val="26"/>
        </w:rPr>
        <w:t>1.2.3</w:t>
      </w:r>
      <w:r w:rsidR="00CB71B8" w:rsidRPr="005072CB">
        <w:rPr>
          <w:color w:val="000000" w:themeColor="text1"/>
          <w:sz w:val="26"/>
          <w:szCs w:val="26"/>
        </w:rPr>
        <w:t xml:space="preserve">　</w:t>
      </w:r>
      <w:r w:rsidR="00CB71B8" w:rsidRPr="005072CB">
        <w:rPr>
          <w:color w:val="000000" w:themeColor="text1"/>
          <w:sz w:val="26"/>
          <w:szCs w:val="26"/>
        </w:rPr>
        <w:t>2007</w:t>
      </w:r>
      <w:r w:rsidR="00CB71B8" w:rsidRPr="005072CB">
        <w:rPr>
          <w:color w:val="000000" w:themeColor="text1"/>
          <w:sz w:val="26"/>
          <w:szCs w:val="26"/>
        </w:rPr>
        <w:t>至</w:t>
      </w:r>
      <w:r w:rsidR="00CB71B8" w:rsidRPr="005072CB">
        <w:rPr>
          <w:color w:val="000000" w:themeColor="text1"/>
          <w:sz w:val="26"/>
          <w:szCs w:val="26"/>
        </w:rPr>
        <w:t>2014</w:t>
      </w:r>
      <w:r w:rsidR="00CB71B8" w:rsidRPr="005072CB">
        <w:rPr>
          <w:color w:val="000000" w:themeColor="text1"/>
          <w:sz w:val="26"/>
          <w:szCs w:val="26"/>
        </w:rPr>
        <w:t>年</w:t>
      </w:r>
      <w:r w:rsidR="00CB71B8" w:rsidRPr="005072CB">
        <w:rPr>
          <w:color w:val="000000" w:themeColor="text1"/>
          <w:sz w:val="26"/>
          <w:szCs w:val="26"/>
        </w:rPr>
        <w:t>FAO</w:t>
      </w:r>
      <w:r w:rsidR="00CB71B8" w:rsidRPr="005072CB">
        <w:rPr>
          <w:color w:val="000000" w:themeColor="text1"/>
          <w:sz w:val="26"/>
          <w:szCs w:val="26"/>
        </w:rPr>
        <w:t>糧價及布蘭特原油近月期貨價格走勢圖</w:t>
      </w:r>
    </w:p>
    <w:p w:rsidR="00C0044D" w:rsidRPr="005072CB" w:rsidRDefault="00C0044D" w:rsidP="00FD7C09">
      <w:pPr>
        <w:pStyle w:val="ac"/>
        <w:spacing w:before="120"/>
        <w:ind w:leftChars="295" w:left="1675" w:hangingChars="375" w:hanging="825"/>
        <w:rPr>
          <w:b/>
          <w:color w:val="000000" w:themeColor="text1"/>
        </w:rPr>
      </w:pPr>
      <w:r w:rsidRPr="005072CB">
        <w:rPr>
          <w:color w:val="000000" w:themeColor="text1"/>
        </w:rPr>
        <w:t>資料來源：商品行情網、</w:t>
      </w:r>
      <w:r w:rsidRPr="005072CB">
        <w:rPr>
          <w:color w:val="000000" w:themeColor="text1"/>
        </w:rPr>
        <w:t>FAO</w:t>
      </w:r>
      <w:r w:rsidRPr="005072CB">
        <w:rPr>
          <w:color w:val="000000" w:themeColor="text1"/>
        </w:rPr>
        <w:t>。</w:t>
      </w:r>
    </w:p>
    <w:p w:rsidR="00C0044D" w:rsidRPr="005072CB" w:rsidRDefault="00C0044D" w:rsidP="00FD7C09">
      <w:pPr>
        <w:pStyle w:val="k1a"/>
        <w:spacing w:beforeLines="100" w:before="240" w:after="120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三、全球經貿整合加速</w:t>
      </w:r>
    </w:p>
    <w:p w:rsidR="00C0044D" w:rsidRPr="005072CB" w:rsidRDefault="00C0044D" w:rsidP="006E68AA">
      <w:pPr>
        <w:pStyle w:val="k02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隨著中國大陸經濟勢力的崛起，影響力日益擴大，美歐日等先進國家的合作更加緊密。美國在重返亞太及亞洲再平衡政策下，</w:t>
      </w:r>
      <w:r w:rsidRPr="005072CB">
        <w:rPr>
          <w:rFonts w:hint="eastAsia"/>
          <w:color w:val="000000" w:themeColor="text1"/>
        </w:rPr>
        <w:t>2014</w:t>
      </w:r>
      <w:r w:rsidR="00B328DD" w:rsidRPr="005072CB">
        <w:rPr>
          <w:rFonts w:hint="eastAsia"/>
          <w:color w:val="000000" w:themeColor="text1"/>
        </w:rPr>
        <w:t>年持續進行跨太平洋夥伴</w:t>
      </w:r>
      <w:r w:rsidRPr="005072CB">
        <w:rPr>
          <w:rFonts w:hint="eastAsia"/>
          <w:color w:val="000000" w:themeColor="text1"/>
        </w:rPr>
        <w:t>協定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TPP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及跨大西洋貿易</w:t>
      </w:r>
      <w:r w:rsidR="00B328DD" w:rsidRPr="005072CB">
        <w:rPr>
          <w:rFonts w:hint="eastAsia"/>
          <w:color w:val="000000" w:themeColor="text1"/>
        </w:rPr>
        <w:t>及</w:t>
      </w:r>
      <w:r w:rsidRPr="005072CB">
        <w:rPr>
          <w:rFonts w:hint="eastAsia"/>
          <w:color w:val="000000" w:themeColor="text1"/>
        </w:rPr>
        <w:t>投資夥伴協議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TTIP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談判，並推動資訊科技協定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ITA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以及服務貿易多邊協定</w:t>
      </w:r>
      <w:r w:rsidRPr="005072CB">
        <w:rPr>
          <w:rFonts w:ascii="標楷體" w:hAnsi="標楷體" w:hint="eastAsia"/>
          <w:color w:val="000000" w:themeColor="text1"/>
        </w:rPr>
        <w:t>(</w:t>
      </w:r>
      <w:proofErr w:type="spellStart"/>
      <w:r w:rsidRPr="005072CB">
        <w:rPr>
          <w:rFonts w:hint="eastAsia"/>
          <w:color w:val="000000" w:themeColor="text1"/>
        </w:rPr>
        <w:t>TiSA</w:t>
      </w:r>
      <w:proofErr w:type="spellEnd"/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。</w:t>
      </w:r>
    </w:p>
    <w:p w:rsidR="00C0044D" w:rsidRPr="005072CB" w:rsidRDefault="00C0044D" w:rsidP="006E68AA">
      <w:pPr>
        <w:pStyle w:val="k02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TPP</w:t>
      </w:r>
      <w:r w:rsidRPr="005072CB">
        <w:rPr>
          <w:rFonts w:hint="eastAsia"/>
          <w:color w:val="000000" w:themeColor="text1"/>
        </w:rPr>
        <w:t>方面，自</w:t>
      </w:r>
      <w:r w:rsidRPr="005072CB">
        <w:rPr>
          <w:rFonts w:hint="eastAsia"/>
          <w:color w:val="000000" w:themeColor="text1"/>
        </w:rPr>
        <w:t>2010</w:t>
      </w:r>
      <w:r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3</w:t>
      </w:r>
      <w:r w:rsidRPr="005072CB">
        <w:rPr>
          <w:rFonts w:hint="eastAsia"/>
          <w:color w:val="000000" w:themeColor="text1"/>
        </w:rPr>
        <w:t>月至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年底，已進行</w:t>
      </w:r>
      <w:r w:rsidRPr="005072CB">
        <w:rPr>
          <w:rFonts w:hint="eastAsia"/>
          <w:color w:val="000000" w:themeColor="text1"/>
        </w:rPr>
        <w:t>19</w:t>
      </w:r>
      <w:r w:rsidRPr="005072CB">
        <w:rPr>
          <w:rFonts w:hint="eastAsia"/>
          <w:color w:val="000000" w:themeColor="text1"/>
        </w:rPr>
        <w:t>回合談判，並召開多次部長或領袖會議等。</w:t>
      </w:r>
      <w:r w:rsidR="00C016BC" w:rsidRPr="005072CB">
        <w:rPr>
          <w:rFonts w:hint="eastAsia"/>
          <w:color w:val="000000" w:themeColor="text1"/>
        </w:rPr>
        <w:t>美國國會</w:t>
      </w:r>
      <w:r w:rsidR="004A2926" w:rsidRPr="005072CB">
        <w:rPr>
          <w:rFonts w:hint="eastAsia"/>
          <w:color w:val="000000" w:themeColor="text1"/>
        </w:rPr>
        <w:t>已於</w:t>
      </w:r>
      <w:r w:rsidR="004A2926" w:rsidRPr="005072CB">
        <w:rPr>
          <w:rFonts w:hint="eastAsia"/>
          <w:color w:val="000000" w:themeColor="text1"/>
        </w:rPr>
        <w:t>2015</w:t>
      </w:r>
      <w:r w:rsidR="004A2926" w:rsidRPr="005072CB">
        <w:rPr>
          <w:rFonts w:hint="eastAsia"/>
          <w:color w:val="000000" w:themeColor="text1"/>
        </w:rPr>
        <w:t>年</w:t>
      </w:r>
      <w:r w:rsidR="004A2926" w:rsidRPr="005072CB">
        <w:rPr>
          <w:rFonts w:hint="eastAsia"/>
          <w:color w:val="000000" w:themeColor="text1"/>
        </w:rPr>
        <w:t>6</w:t>
      </w:r>
      <w:r w:rsidR="004A2926" w:rsidRPr="005072CB">
        <w:rPr>
          <w:rFonts w:hint="eastAsia"/>
          <w:color w:val="000000" w:themeColor="text1"/>
        </w:rPr>
        <w:t>月</w:t>
      </w:r>
      <w:r w:rsidR="004A2926" w:rsidRPr="005072CB">
        <w:rPr>
          <w:rFonts w:hint="eastAsia"/>
          <w:color w:val="000000" w:themeColor="text1"/>
        </w:rPr>
        <w:t>24</w:t>
      </w:r>
      <w:r w:rsidR="004A2926" w:rsidRPr="005072CB">
        <w:rPr>
          <w:rFonts w:hint="eastAsia"/>
          <w:color w:val="000000" w:themeColor="text1"/>
        </w:rPr>
        <w:t>日</w:t>
      </w:r>
      <w:r w:rsidR="00C016BC" w:rsidRPr="005072CB">
        <w:rPr>
          <w:rFonts w:hint="eastAsia"/>
          <w:color w:val="000000" w:themeColor="text1"/>
        </w:rPr>
        <w:t>通過貿易促進法案</w:t>
      </w:r>
      <w:r w:rsidR="00C016BC" w:rsidRPr="005072CB">
        <w:rPr>
          <w:rFonts w:ascii="標楷體" w:hAnsi="標楷體" w:hint="eastAsia"/>
          <w:color w:val="000000" w:themeColor="text1"/>
        </w:rPr>
        <w:t>(</w:t>
      </w:r>
      <w:r w:rsidR="00C016BC" w:rsidRPr="005072CB">
        <w:rPr>
          <w:rFonts w:hint="eastAsia"/>
          <w:color w:val="000000" w:themeColor="text1"/>
        </w:rPr>
        <w:t>TPA</w:t>
      </w:r>
      <w:r w:rsidR="00C016BC" w:rsidRPr="005072CB">
        <w:rPr>
          <w:rFonts w:ascii="標楷體" w:hAnsi="標楷體" w:hint="eastAsia"/>
          <w:color w:val="000000" w:themeColor="text1"/>
        </w:rPr>
        <w:t>)</w:t>
      </w:r>
      <w:r w:rsidR="004A2926" w:rsidRPr="005072CB">
        <w:rPr>
          <w:rFonts w:hint="eastAsia"/>
          <w:color w:val="000000" w:themeColor="text1"/>
        </w:rPr>
        <w:t>，</w:t>
      </w:r>
      <w:r w:rsidR="00C016BC" w:rsidRPr="005072CB">
        <w:rPr>
          <w:rFonts w:hint="eastAsia"/>
          <w:color w:val="000000" w:themeColor="text1"/>
        </w:rPr>
        <w:t>TPP</w:t>
      </w:r>
      <w:r w:rsidR="00C016BC" w:rsidRPr="005072CB">
        <w:rPr>
          <w:rFonts w:hint="eastAsia"/>
          <w:color w:val="000000" w:themeColor="text1"/>
        </w:rPr>
        <w:t>談判</w:t>
      </w:r>
      <w:r w:rsidR="004A2926" w:rsidRPr="005072CB">
        <w:rPr>
          <w:rFonts w:hint="eastAsia"/>
          <w:color w:val="000000" w:themeColor="text1"/>
        </w:rPr>
        <w:t>可望</w:t>
      </w:r>
      <w:r w:rsidR="00C016BC" w:rsidRPr="005072CB">
        <w:rPr>
          <w:rFonts w:hint="eastAsia"/>
          <w:color w:val="000000" w:themeColor="text1"/>
        </w:rPr>
        <w:t>加速推展</w:t>
      </w:r>
      <w:r w:rsidRPr="005072CB">
        <w:rPr>
          <w:rFonts w:hint="eastAsia"/>
          <w:color w:val="000000" w:themeColor="text1"/>
        </w:rPr>
        <w:t>。在</w:t>
      </w:r>
      <w:r w:rsidRPr="005072CB">
        <w:rPr>
          <w:rFonts w:hint="eastAsia"/>
          <w:color w:val="000000" w:themeColor="text1"/>
        </w:rPr>
        <w:t>TTIP</w:t>
      </w:r>
      <w:r w:rsidRPr="005072CB">
        <w:rPr>
          <w:rFonts w:hint="eastAsia"/>
          <w:color w:val="000000" w:themeColor="text1"/>
        </w:rPr>
        <w:t>方面，自</w:t>
      </w:r>
      <w:r w:rsidRPr="005072CB">
        <w:rPr>
          <w:rFonts w:hint="eastAsia"/>
          <w:color w:val="000000" w:themeColor="text1"/>
        </w:rPr>
        <w:t>2013</w:t>
      </w:r>
      <w:r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7</w:t>
      </w:r>
      <w:r w:rsidRPr="005072CB">
        <w:rPr>
          <w:rFonts w:hint="eastAsia"/>
          <w:color w:val="000000" w:themeColor="text1"/>
        </w:rPr>
        <w:t>月至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年底已進行</w:t>
      </w:r>
      <w:r w:rsidRPr="005072CB">
        <w:rPr>
          <w:rFonts w:hint="eastAsia"/>
          <w:color w:val="000000" w:themeColor="text1"/>
        </w:rPr>
        <w:t>7</w:t>
      </w:r>
      <w:r w:rsidRPr="005072CB">
        <w:rPr>
          <w:rFonts w:hint="eastAsia"/>
          <w:color w:val="000000" w:themeColor="text1"/>
        </w:rPr>
        <w:t>回合談判，美國與歐盟在投資保護、地理標示、食品安全以及化學品等議題意見仍分歧，談判進展有限。</w:t>
      </w:r>
    </w:p>
    <w:p w:rsidR="00C0044D" w:rsidRPr="005072CB" w:rsidRDefault="00C0044D" w:rsidP="006E68AA">
      <w:pPr>
        <w:pStyle w:val="k02"/>
        <w:ind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為因應全球化與區域整合形勢，以及實現</w:t>
      </w:r>
      <w:r w:rsidR="006F5C10" w:rsidRPr="005072CB">
        <w:rPr>
          <w:rFonts w:hint="eastAsia"/>
          <w:color w:val="000000" w:themeColor="text1"/>
        </w:rPr>
        <w:t>「</w:t>
      </w:r>
      <w:r w:rsidRPr="005072CB">
        <w:rPr>
          <w:rFonts w:hint="eastAsia"/>
          <w:color w:val="000000" w:themeColor="text1"/>
        </w:rPr>
        <w:t>中國夢</w:t>
      </w:r>
      <w:r w:rsidR="006F5C10" w:rsidRPr="005072CB">
        <w:rPr>
          <w:rFonts w:hint="eastAsia"/>
          <w:color w:val="000000" w:themeColor="text1"/>
        </w:rPr>
        <w:t>」</w:t>
      </w:r>
      <w:r w:rsidRPr="005072CB">
        <w:rPr>
          <w:rFonts w:hint="eastAsia"/>
          <w:color w:val="000000" w:themeColor="text1"/>
        </w:rPr>
        <w:t>，中國大陸積極主導東亞經濟整合及新興市場區域合作。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年，中國大陸與南</w:t>
      </w:r>
      <w:r w:rsidRPr="005072CB">
        <w:rPr>
          <w:rFonts w:hint="eastAsia"/>
          <w:color w:val="000000" w:themeColor="text1"/>
        </w:rPr>
        <w:lastRenderedPageBreak/>
        <w:t>韓完成中韓</w:t>
      </w:r>
      <w:r w:rsidRPr="005072CB">
        <w:rPr>
          <w:rFonts w:hint="eastAsia"/>
          <w:color w:val="000000" w:themeColor="text1"/>
        </w:rPr>
        <w:t>FTA</w:t>
      </w:r>
      <w:r w:rsidRPr="005072CB">
        <w:rPr>
          <w:rFonts w:hint="eastAsia"/>
          <w:color w:val="000000" w:themeColor="text1"/>
        </w:rPr>
        <w:t>談判</w:t>
      </w:r>
      <w:r w:rsidR="006F5C10" w:rsidRPr="005072CB">
        <w:rPr>
          <w:rFonts w:hint="eastAsia"/>
          <w:color w:val="000000" w:themeColor="text1"/>
        </w:rPr>
        <w:t>，並</w:t>
      </w:r>
      <w:r w:rsidRPr="005072CB">
        <w:rPr>
          <w:rFonts w:hint="eastAsia"/>
          <w:color w:val="000000" w:themeColor="text1"/>
        </w:rPr>
        <w:t>持續推動區域全面經濟夥伴協定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RCEP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談判，期能</w:t>
      </w:r>
      <w:r w:rsidRPr="005072CB">
        <w:rPr>
          <w:rFonts w:hint="eastAsia"/>
          <w:color w:val="000000" w:themeColor="text1"/>
        </w:rPr>
        <w:t>2015</w:t>
      </w:r>
      <w:r w:rsidRPr="005072CB">
        <w:rPr>
          <w:rFonts w:hint="eastAsia"/>
          <w:color w:val="000000" w:themeColor="text1"/>
        </w:rPr>
        <w:t>年完成談判</w:t>
      </w:r>
      <w:r w:rsidR="006F5C10" w:rsidRPr="005072CB">
        <w:rPr>
          <w:rFonts w:hint="eastAsia"/>
          <w:color w:val="000000" w:themeColor="text1"/>
        </w:rPr>
        <w:t>；</w:t>
      </w:r>
      <w:r w:rsidRPr="005072CB">
        <w:rPr>
          <w:rFonts w:hint="eastAsia"/>
          <w:color w:val="000000" w:themeColor="text1"/>
        </w:rPr>
        <w:t>由金磚五國</w:t>
      </w:r>
      <w:r w:rsidR="0098279A" w:rsidRPr="005072CB">
        <w:rPr>
          <w:rFonts w:ascii="標楷體" w:hAnsi="標楷體" w:hint="eastAsia"/>
          <w:color w:val="000000" w:themeColor="text1"/>
        </w:rPr>
        <w:t>(</w:t>
      </w:r>
      <w:r w:rsidR="0098279A" w:rsidRPr="005072CB">
        <w:rPr>
          <w:rFonts w:hint="eastAsia"/>
          <w:color w:val="000000" w:themeColor="text1"/>
        </w:rPr>
        <w:t>巴西、印度、中國、俄羅斯、南非</w:t>
      </w:r>
      <w:r w:rsidR="0098279A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出資成立的「新開發銀行」</w:t>
      </w:r>
      <w:r w:rsidR="00D77641" w:rsidRPr="005072CB">
        <w:rPr>
          <w:rFonts w:ascii="標楷體" w:hAnsi="標楷體" w:hint="eastAsia"/>
          <w:color w:val="000000" w:themeColor="text1"/>
        </w:rPr>
        <w:t>(</w:t>
      </w:r>
      <w:r w:rsidR="00D77641" w:rsidRPr="005072CB">
        <w:rPr>
          <w:rFonts w:hint="eastAsia"/>
          <w:color w:val="000000" w:themeColor="text1"/>
        </w:rPr>
        <w:t>New Development Bank</w:t>
      </w:r>
      <w:r w:rsidR="00D77641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於</w:t>
      </w:r>
      <w:r w:rsidRPr="005072CB">
        <w:rPr>
          <w:color w:val="000000" w:themeColor="text1"/>
        </w:rPr>
        <w:t>7</w:t>
      </w:r>
      <w:r w:rsidRPr="005072CB">
        <w:rPr>
          <w:rFonts w:hint="eastAsia"/>
          <w:color w:val="000000" w:themeColor="text1"/>
        </w:rPr>
        <w:t>月正式設立，總部設在上海。</w:t>
      </w:r>
      <w:proofErr w:type="gramStart"/>
      <w:r w:rsidRPr="005072CB">
        <w:rPr>
          <w:rFonts w:hint="eastAsia"/>
          <w:color w:val="000000" w:themeColor="text1"/>
        </w:rPr>
        <w:t>此外，</w:t>
      </w:r>
      <w:proofErr w:type="gramEnd"/>
      <w:r w:rsidR="006F5C10" w:rsidRPr="005072CB">
        <w:rPr>
          <w:rFonts w:hint="eastAsia"/>
          <w:color w:val="000000" w:themeColor="text1"/>
        </w:rPr>
        <w:t>中國大陸</w:t>
      </w:r>
      <w:r w:rsidRPr="005072CB">
        <w:rPr>
          <w:rFonts w:hint="eastAsia"/>
          <w:color w:val="000000" w:themeColor="text1"/>
        </w:rPr>
        <w:t>在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年底</w:t>
      </w:r>
      <w:r w:rsidRPr="005072CB">
        <w:rPr>
          <w:rFonts w:hint="eastAsia"/>
          <w:color w:val="000000" w:themeColor="text1"/>
        </w:rPr>
        <w:t>APEC</w:t>
      </w:r>
      <w:r w:rsidRPr="005072CB">
        <w:rPr>
          <w:rFonts w:hint="eastAsia"/>
          <w:color w:val="000000" w:themeColor="text1"/>
        </w:rPr>
        <w:t>會議</w:t>
      </w:r>
      <w:proofErr w:type="gramStart"/>
      <w:r w:rsidRPr="005072CB">
        <w:rPr>
          <w:rFonts w:hint="eastAsia"/>
          <w:color w:val="000000" w:themeColor="text1"/>
        </w:rPr>
        <w:t>期間，</w:t>
      </w:r>
      <w:proofErr w:type="gramEnd"/>
      <w:r w:rsidRPr="005072CB">
        <w:rPr>
          <w:rFonts w:hint="eastAsia"/>
          <w:color w:val="000000" w:themeColor="text1"/>
        </w:rPr>
        <w:t>正式提出推動「一帶一路」的經濟戰略，企圖將陸上的「絲綢之路經濟帶」與「海上絲綢之路」以「貿易帶」串連歐亞大陸，同時搭配成立「亞洲基礎設施投資銀行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AIIB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」，號召歐亞</w:t>
      </w:r>
      <w:r w:rsidRPr="005072CB">
        <w:rPr>
          <w:rFonts w:hint="eastAsia"/>
          <w:color w:val="000000" w:themeColor="text1"/>
        </w:rPr>
        <w:t>20</w:t>
      </w:r>
      <w:r w:rsidRPr="005072CB">
        <w:rPr>
          <w:rFonts w:hint="eastAsia"/>
          <w:color w:val="000000" w:themeColor="text1"/>
        </w:rPr>
        <w:t>多國家，簽署</w:t>
      </w:r>
      <w:r w:rsidRPr="005072CB">
        <w:rPr>
          <w:rFonts w:hint="eastAsia"/>
          <w:color w:val="000000" w:themeColor="text1"/>
        </w:rPr>
        <w:t>AIIB</w:t>
      </w:r>
      <w:r w:rsidRPr="005072CB">
        <w:rPr>
          <w:rFonts w:hint="eastAsia"/>
          <w:color w:val="000000" w:themeColor="text1"/>
        </w:rPr>
        <w:t>備忘錄，不僅挑戰傳統歐美日已開發國家主導的</w:t>
      </w:r>
      <w:r w:rsidR="0098279A" w:rsidRPr="005072CB">
        <w:rPr>
          <w:rFonts w:hint="eastAsia"/>
          <w:color w:val="000000" w:themeColor="text1"/>
        </w:rPr>
        <w:t>國際貨幣基金</w:t>
      </w:r>
      <w:r w:rsidR="0098279A" w:rsidRPr="005072CB">
        <w:rPr>
          <w:rFonts w:ascii="標楷體" w:hAnsi="標楷體" w:hint="eastAsia"/>
          <w:color w:val="000000" w:themeColor="text1"/>
        </w:rPr>
        <w:t>(</w:t>
      </w:r>
      <w:r w:rsidR="0098279A" w:rsidRPr="005072CB">
        <w:rPr>
          <w:rFonts w:hint="eastAsia"/>
          <w:color w:val="000000" w:themeColor="text1"/>
        </w:rPr>
        <w:t>IMF</w:t>
      </w:r>
      <w:r w:rsidR="0098279A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、</w:t>
      </w:r>
      <w:r w:rsidR="0098279A" w:rsidRPr="005072CB">
        <w:rPr>
          <w:rFonts w:hint="eastAsia"/>
          <w:color w:val="000000" w:themeColor="text1"/>
        </w:rPr>
        <w:t>世界銀行</w:t>
      </w:r>
      <w:r w:rsidR="0098279A" w:rsidRPr="005072CB">
        <w:rPr>
          <w:rFonts w:ascii="標楷體" w:hAnsi="標楷體" w:hint="eastAsia"/>
          <w:color w:val="000000" w:themeColor="text1"/>
        </w:rPr>
        <w:t>(</w:t>
      </w:r>
      <w:r w:rsidR="0098279A" w:rsidRPr="005072CB">
        <w:rPr>
          <w:color w:val="000000" w:themeColor="text1"/>
        </w:rPr>
        <w:t>W</w:t>
      </w:r>
      <w:r w:rsidR="0098279A" w:rsidRPr="005072CB">
        <w:rPr>
          <w:rFonts w:hint="eastAsia"/>
          <w:color w:val="000000" w:themeColor="text1"/>
        </w:rPr>
        <w:t>B</w:t>
      </w:r>
      <w:r w:rsidR="0098279A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及</w:t>
      </w:r>
      <w:r w:rsidR="0098279A" w:rsidRPr="005072CB">
        <w:rPr>
          <w:rFonts w:hint="eastAsia"/>
          <w:color w:val="000000" w:themeColor="text1"/>
        </w:rPr>
        <w:t>亞洲開發銀行</w:t>
      </w:r>
      <w:r w:rsidR="0098279A"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ADB</w:t>
      </w:r>
      <w:r w:rsidR="0098279A"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等國際組織，也為</w:t>
      </w:r>
      <w:r w:rsidR="006F5C10" w:rsidRPr="005072CB">
        <w:rPr>
          <w:rFonts w:hint="eastAsia"/>
          <w:color w:val="000000" w:themeColor="text1"/>
        </w:rPr>
        <w:t>「</w:t>
      </w:r>
      <w:r w:rsidRPr="005072CB">
        <w:rPr>
          <w:rFonts w:hint="eastAsia"/>
          <w:color w:val="000000" w:themeColor="text1"/>
        </w:rPr>
        <w:t>南南合作</w:t>
      </w:r>
      <w:r w:rsidR="006F5C10" w:rsidRPr="005072CB">
        <w:rPr>
          <w:rFonts w:hint="eastAsia"/>
          <w:color w:val="000000" w:themeColor="text1"/>
        </w:rPr>
        <w:t>」</w:t>
      </w:r>
      <w:r w:rsidRPr="005072CB">
        <w:rPr>
          <w:rFonts w:hint="eastAsia"/>
          <w:color w:val="000000" w:themeColor="text1"/>
        </w:rPr>
        <w:t>提供新途徑</w:t>
      </w:r>
      <w:r w:rsidRPr="005072CB">
        <w:rPr>
          <w:color w:val="000000" w:themeColor="text1"/>
        </w:rPr>
        <w:t>。</w:t>
      </w:r>
    </w:p>
    <w:p w:rsidR="00C0044D" w:rsidRPr="005072CB" w:rsidRDefault="00C0044D" w:rsidP="00FD7C09">
      <w:pPr>
        <w:pStyle w:val="a7"/>
        <w:spacing w:before="240" w:afterLines="50" w:after="120"/>
        <w:rPr>
          <w:color w:val="000000" w:themeColor="text1"/>
          <w:sz w:val="26"/>
          <w:szCs w:val="26"/>
        </w:rPr>
      </w:pPr>
      <w:r w:rsidRPr="005072CB">
        <w:rPr>
          <w:color w:val="000000" w:themeColor="text1"/>
          <w:sz w:val="26"/>
          <w:szCs w:val="26"/>
        </w:rPr>
        <w:t>表</w:t>
      </w:r>
      <w:r w:rsidRPr="005072CB">
        <w:rPr>
          <w:color w:val="000000" w:themeColor="text1"/>
          <w:sz w:val="26"/>
          <w:szCs w:val="26"/>
        </w:rPr>
        <w:t>1.2.1</w:t>
      </w:r>
      <w:r w:rsidRPr="005072CB">
        <w:rPr>
          <w:color w:val="000000" w:themeColor="text1"/>
          <w:sz w:val="26"/>
          <w:szCs w:val="26"/>
        </w:rPr>
        <w:t xml:space="preserve">　</w:t>
      </w:r>
      <w:r w:rsidRPr="005072CB">
        <w:rPr>
          <w:color w:val="000000" w:themeColor="text1"/>
          <w:sz w:val="26"/>
          <w:szCs w:val="26"/>
        </w:rPr>
        <w:t>2014</w:t>
      </w:r>
      <w:r w:rsidRPr="005072CB">
        <w:rPr>
          <w:color w:val="000000" w:themeColor="text1"/>
          <w:sz w:val="26"/>
          <w:szCs w:val="26"/>
        </w:rPr>
        <w:t>年主要區域經貿組織</w:t>
      </w:r>
      <w:r w:rsidRPr="005072CB">
        <w:rPr>
          <w:color w:val="000000" w:themeColor="text1"/>
          <w:sz w:val="26"/>
          <w:szCs w:val="26"/>
        </w:rPr>
        <w:t>GDP</w:t>
      </w:r>
      <w:r w:rsidRPr="005072CB">
        <w:rPr>
          <w:color w:val="000000" w:themeColor="text1"/>
          <w:sz w:val="26"/>
          <w:szCs w:val="26"/>
        </w:rPr>
        <w:t>及出口占全球比率</w:t>
      </w:r>
    </w:p>
    <w:p w:rsidR="00C0044D" w:rsidRPr="005072CB" w:rsidRDefault="00C0044D" w:rsidP="00FD7C09">
      <w:pPr>
        <w:pStyle w:val="k12"/>
        <w:spacing w:line="280" w:lineRule="exact"/>
        <w:ind w:leftChars="0" w:left="0" w:rightChars="250" w:right="720" w:firstLineChars="0" w:firstLine="0"/>
        <w:jc w:val="right"/>
        <w:rPr>
          <w:color w:val="000000" w:themeColor="text1"/>
          <w:sz w:val="24"/>
          <w:szCs w:val="24"/>
        </w:rPr>
      </w:pPr>
      <w:r w:rsidRPr="005072CB">
        <w:rPr>
          <w:rFonts w:hint="eastAsia"/>
          <w:color w:val="000000" w:themeColor="text1"/>
          <w:sz w:val="22"/>
          <w:szCs w:val="24"/>
        </w:rPr>
        <w:t>單位：</w:t>
      </w:r>
      <w:r w:rsidRPr="005072CB">
        <w:rPr>
          <w:rFonts w:hint="eastAsia"/>
          <w:color w:val="000000" w:themeColor="text1"/>
          <w:sz w:val="22"/>
          <w:szCs w:val="24"/>
        </w:rPr>
        <w:t>%</w:t>
      </w:r>
    </w:p>
    <w:tbl>
      <w:tblPr>
        <w:tblStyle w:val="ad"/>
        <w:tblW w:w="0" w:type="auto"/>
        <w:jc w:val="center"/>
        <w:tblInd w:w="5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42"/>
        <w:gridCol w:w="1748"/>
        <w:gridCol w:w="1748"/>
        <w:gridCol w:w="1749"/>
      </w:tblGrid>
      <w:tr w:rsidR="005072CB" w:rsidRPr="005072CB" w:rsidTr="00FD7C09">
        <w:trPr>
          <w:trHeight w:hRule="exact" w:val="523"/>
          <w:jc w:val="center"/>
        </w:trPr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TPP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RCEP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TTIP</w:t>
            </w:r>
          </w:p>
        </w:tc>
      </w:tr>
      <w:tr w:rsidR="005072CB" w:rsidRPr="005072CB" w:rsidTr="00FD7C09">
        <w:trPr>
          <w:trHeight w:val="492"/>
          <w:jc w:val="center"/>
        </w:trPr>
        <w:tc>
          <w:tcPr>
            <w:tcW w:w="1842" w:type="dxa"/>
            <w:tcBorders>
              <w:bottom w:val="nil"/>
            </w:tcBorders>
            <w:vAlign w:val="center"/>
          </w:tcPr>
          <w:p w:rsidR="00C0044D" w:rsidRPr="005072CB" w:rsidRDefault="00C0044D" w:rsidP="00FD7C09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名目</w:t>
            </w: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GDP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36.1</w:t>
            </w:r>
          </w:p>
        </w:tc>
        <w:tc>
          <w:tcPr>
            <w:tcW w:w="1748" w:type="dxa"/>
            <w:tcBorders>
              <w:bottom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29.0</w:t>
            </w:r>
          </w:p>
        </w:tc>
        <w:tc>
          <w:tcPr>
            <w:tcW w:w="1749" w:type="dxa"/>
            <w:tcBorders>
              <w:bottom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46.2</w:t>
            </w:r>
          </w:p>
        </w:tc>
      </w:tr>
      <w:tr w:rsidR="005072CB" w:rsidRPr="005072CB" w:rsidTr="00FD7C09">
        <w:trPr>
          <w:trHeight w:val="492"/>
          <w:jc w:val="center"/>
        </w:trPr>
        <w:tc>
          <w:tcPr>
            <w:tcW w:w="1842" w:type="dxa"/>
            <w:tcBorders>
              <w:top w:val="nil"/>
            </w:tcBorders>
            <w:vAlign w:val="center"/>
          </w:tcPr>
          <w:p w:rsidR="00C0044D" w:rsidRPr="005072CB" w:rsidRDefault="00C0044D" w:rsidP="00FD7C09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商品出口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23.7</w:t>
            </w:r>
          </w:p>
        </w:tc>
        <w:tc>
          <w:tcPr>
            <w:tcW w:w="1748" w:type="dxa"/>
            <w:tcBorders>
              <w:top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29.7</w:t>
            </w:r>
          </w:p>
        </w:tc>
        <w:tc>
          <w:tcPr>
            <w:tcW w:w="1749" w:type="dxa"/>
            <w:tcBorders>
              <w:top w:val="nil"/>
            </w:tcBorders>
            <w:vAlign w:val="center"/>
          </w:tcPr>
          <w:p w:rsidR="00C0044D" w:rsidRPr="005072CB" w:rsidRDefault="00C0044D" w:rsidP="006E68AA">
            <w:pPr>
              <w:pStyle w:val="k12"/>
              <w:spacing w:line="240" w:lineRule="auto"/>
              <w:ind w:leftChars="0" w:left="0" w:firstLineChars="0"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5072CB">
              <w:rPr>
                <w:rFonts w:hint="eastAsia"/>
                <w:color w:val="000000" w:themeColor="text1"/>
                <w:sz w:val="24"/>
                <w:szCs w:val="24"/>
              </w:rPr>
              <w:t>39.9</w:t>
            </w:r>
          </w:p>
        </w:tc>
      </w:tr>
    </w:tbl>
    <w:p w:rsidR="00C0044D" w:rsidRPr="005072CB" w:rsidRDefault="00C0044D" w:rsidP="00FD7C09">
      <w:pPr>
        <w:pStyle w:val="ab"/>
        <w:ind w:leftChars="246" w:left="1136" w:hangingChars="198" w:hanging="428"/>
        <w:rPr>
          <w:color w:val="000000" w:themeColor="text1"/>
        </w:rPr>
      </w:pPr>
      <w:r w:rsidRPr="005072CB">
        <w:rPr>
          <w:color w:val="000000" w:themeColor="text1"/>
        </w:rPr>
        <w:t>資料來源：同表</w:t>
      </w:r>
      <w:r w:rsidRPr="005072CB">
        <w:rPr>
          <w:color w:val="000000" w:themeColor="text1"/>
        </w:rPr>
        <w:t>1.1.1</w:t>
      </w:r>
      <w:r w:rsidRPr="005072CB">
        <w:rPr>
          <w:color w:val="000000" w:themeColor="text1"/>
        </w:rPr>
        <w:t>資料來源</w:t>
      </w:r>
      <w:r w:rsidRPr="005072CB">
        <w:rPr>
          <w:color w:val="000000" w:themeColor="text1"/>
        </w:rPr>
        <w:t>1</w:t>
      </w:r>
      <w:r w:rsidRPr="005072CB">
        <w:rPr>
          <w:color w:val="000000" w:themeColor="text1"/>
        </w:rPr>
        <w:t>。</w:t>
      </w:r>
    </w:p>
    <w:p w:rsidR="00C0044D" w:rsidRPr="005072CB" w:rsidRDefault="00C0044D" w:rsidP="00FD7C09">
      <w:pPr>
        <w:pStyle w:val="k1a"/>
        <w:spacing w:beforeLines="100" w:before="240" w:after="120"/>
        <w:ind w:left="259" w:hanging="259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四、因應氣候變遷威脅</w:t>
      </w:r>
    </w:p>
    <w:p w:rsidR="00C0044D" w:rsidRPr="005072CB" w:rsidRDefault="00C0044D" w:rsidP="006E68AA">
      <w:pPr>
        <w:pStyle w:val="k12"/>
        <w:ind w:left="288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由於溫室氣體排放，全球面臨極端天氣、海平面上升等氣候變遷威脅，</w:t>
      </w:r>
      <w:proofErr w:type="gramStart"/>
      <w:r w:rsidRPr="005072CB">
        <w:rPr>
          <w:rFonts w:hint="eastAsia"/>
          <w:color w:val="000000" w:themeColor="text1"/>
        </w:rPr>
        <w:t>節能減碳與</w:t>
      </w:r>
      <w:proofErr w:type="gramEnd"/>
      <w:r w:rsidRPr="005072CB">
        <w:rPr>
          <w:rFonts w:hint="eastAsia"/>
          <w:color w:val="000000" w:themeColor="text1"/>
        </w:rPr>
        <w:t>調適續為國際組織及各國政府關注</w:t>
      </w:r>
      <w:r w:rsidR="0037422B" w:rsidRPr="005072CB">
        <w:rPr>
          <w:rFonts w:hint="eastAsia"/>
          <w:color w:val="000000" w:themeColor="text1"/>
        </w:rPr>
        <w:t>的</w:t>
      </w:r>
      <w:r w:rsidRPr="005072CB">
        <w:rPr>
          <w:rFonts w:hint="eastAsia"/>
          <w:color w:val="000000" w:themeColor="text1"/>
        </w:rPr>
        <w:t>議題。</w:t>
      </w: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年，美國及中國大陸聯合宣示溫室氣</w:t>
      </w:r>
      <w:r w:rsidR="003951F6" w:rsidRPr="005072CB">
        <w:rPr>
          <w:rFonts w:hint="eastAsia"/>
          <w:color w:val="000000" w:themeColor="text1"/>
        </w:rPr>
        <w:t>體</w:t>
      </w:r>
      <w:r w:rsidRPr="005072CB">
        <w:rPr>
          <w:rFonts w:hint="eastAsia"/>
          <w:color w:val="000000" w:themeColor="text1"/>
        </w:rPr>
        <w:t>減量目標；另聯合國</w:t>
      </w:r>
      <w:r w:rsidR="003951F6" w:rsidRPr="005072CB">
        <w:rPr>
          <w:rFonts w:hint="eastAsia"/>
          <w:color w:val="000000" w:themeColor="text1"/>
        </w:rPr>
        <w:t>氣候變遷綱要公約</w:t>
      </w:r>
      <w:r w:rsidRPr="005072CB">
        <w:rPr>
          <w:rFonts w:hint="eastAsia"/>
          <w:color w:val="000000" w:themeColor="text1"/>
        </w:rPr>
        <w:t>第</w:t>
      </w:r>
      <w:r w:rsidRPr="005072CB">
        <w:rPr>
          <w:rFonts w:hint="eastAsia"/>
          <w:color w:val="000000" w:themeColor="text1"/>
        </w:rPr>
        <w:t>20</w:t>
      </w:r>
      <w:r w:rsidRPr="005072CB">
        <w:rPr>
          <w:rFonts w:hint="eastAsia"/>
          <w:color w:val="000000" w:themeColor="text1"/>
        </w:rPr>
        <w:t>屆</w:t>
      </w:r>
      <w:r w:rsidR="003951F6" w:rsidRPr="005072CB">
        <w:rPr>
          <w:rFonts w:hint="eastAsia"/>
          <w:color w:val="000000" w:themeColor="text1"/>
        </w:rPr>
        <w:t>締約國</w:t>
      </w:r>
      <w:r w:rsidRPr="005072CB">
        <w:rPr>
          <w:rFonts w:hint="eastAsia"/>
          <w:color w:val="000000" w:themeColor="text1"/>
        </w:rPr>
        <w:t>大會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UNFCCC COP20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決議，請各國提交「國家自主決定預期貢獻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Intended Nationally Determined Contributions, INDCs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」，期為</w:t>
      </w:r>
      <w:r w:rsidRPr="005072CB">
        <w:rPr>
          <w:rFonts w:hint="eastAsia"/>
          <w:color w:val="000000" w:themeColor="text1"/>
        </w:rPr>
        <w:t>2015</w:t>
      </w:r>
      <w:r w:rsidRPr="005072CB">
        <w:rPr>
          <w:rFonts w:hint="eastAsia"/>
          <w:color w:val="000000" w:themeColor="text1"/>
        </w:rPr>
        <w:t>年在巴黎召開的</w:t>
      </w:r>
      <w:r w:rsidRPr="005072CB">
        <w:rPr>
          <w:rFonts w:hint="eastAsia"/>
          <w:color w:val="000000" w:themeColor="text1"/>
        </w:rPr>
        <w:t>COP21</w:t>
      </w:r>
      <w:r w:rsidRPr="005072CB">
        <w:rPr>
          <w:rFonts w:hint="eastAsia"/>
          <w:color w:val="000000" w:themeColor="text1"/>
        </w:rPr>
        <w:t>奠</w:t>
      </w:r>
      <w:r w:rsidR="003951F6" w:rsidRPr="005072CB">
        <w:rPr>
          <w:rFonts w:hint="eastAsia"/>
          <w:color w:val="000000" w:themeColor="text1"/>
        </w:rPr>
        <w:t>定</w:t>
      </w:r>
      <w:proofErr w:type="gramStart"/>
      <w:r w:rsidRPr="005072CB">
        <w:rPr>
          <w:rFonts w:hint="eastAsia"/>
          <w:color w:val="000000" w:themeColor="text1"/>
        </w:rPr>
        <w:t>良好減排協商</w:t>
      </w:r>
      <w:proofErr w:type="gramEnd"/>
      <w:r w:rsidRPr="005072CB">
        <w:rPr>
          <w:rFonts w:hint="eastAsia"/>
          <w:color w:val="000000" w:themeColor="text1"/>
        </w:rPr>
        <w:t>基礎。在氣候變遷調適方面，聯合國環境規劃署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UNEP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、美國、歐盟等，亦提出相關政策研究報告。</w:t>
      </w:r>
    </w:p>
    <w:p w:rsidR="00C0044D" w:rsidRPr="005072CB" w:rsidRDefault="00C0044D" w:rsidP="006E68AA">
      <w:pPr>
        <w:pStyle w:val="k2a"/>
        <w:ind w:left="835" w:hanging="576"/>
        <w:rPr>
          <w:color w:val="000000" w:themeColor="text1"/>
        </w:rPr>
      </w:pPr>
      <w:r w:rsidRPr="005072CB">
        <w:rPr>
          <w:rFonts w:ascii="標楷體" w:hAnsi="標楷體" w:hint="eastAsia"/>
          <w:color w:val="000000" w:themeColor="text1"/>
        </w:rPr>
        <w:t>(</w:t>
      </w:r>
      <w:proofErr w:type="gramStart"/>
      <w:r w:rsidRPr="005072CB">
        <w:rPr>
          <w:rFonts w:ascii="標楷體" w:hAnsi="標楷體" w:hint="eastAsia"/>
          <w:color w:val="000000" w:themeColor="text1"/>
        </w:rPr>
        <w:t>一</w:t>
      </w:r>
      <w:proofErr w:type="gramEnd"/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溫室氣體減量</w:t>
      </w:r>
    </w:p>
    <w:p w:rsidR="00C0044D" w:rsidRPr="005072CB" w:rsidRDefault="00C0044D" w:rsidP="006E68AA">
      <w:pPr>
        <w:pStyle w:val="k22"/>
        <w:ind w:left="806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</w:t>
      </w:r>
      <w:r w:rsidRPr="005072CB">
        <w:rPr>
          <w:rFonts w:hint="eastAsia"/>
          <w:color w:val="000000" w:themeColor="text1"/>
        </w:rPr>
        <w:t>11</w:t>
      </w:r>
      <w:r w:rsidRPr="005072CB">
        <w:rPr>
          <w:rFonts w:hint="eastAsia"/>
          <w:color w:val="000000" w:themeColor="text1"/>
        </w:rPr>
        <w:t>月，美國、中國大陸領袖於</w:t>
      </w:r>
      <w:r w:rsidRPr="005072CB">
        <w:rPr>
          <w:rFonts w:hint="eastAsia"/>
          <w:color w:val="000000" w:themeColor="text1"/>
        </w:rPr>
        <w:t>APEC</w:t>
      </w:r>
      <w:r w:rsidRPr="005072CB">
        <w:rPr>
          <w:rFonts w:hint="eastAsia"/>
          <w:color w:val="000000" w:themeColor="text1"/>
        </w:rPr>
        <w:t>年會期間共同發表「中美氣候變遷聯合聲明」，美國宣示</w:t>
      </w:r>
      <w:r w:rsidRPr="005072CB">
        <w:rPr>
          <w:rFonts w:hint="eastAsia"/>
          <w:color w:val="000000" w:themeColor="text1"/>
        </w:rPr>
        <w:t>2025</w:t>
      </w:r>
      <w:r w:rsidRPr="005072CB">
        <w:rPr>
          <w:rFonts w:hint="eastAsia"/>
          <w:color w:val="000000" w:themeColor="text1"/>
        </w:rPr>
        <w:t>年溫室氣體排放量需較</w:t>
      </w:r>
      <w:r w:rsidRPr="005072CB">
        <w:rPr>
          <w:rFonts w:hint="eastAsia"/>
          <w:color w:val="000000" w:themeColor="text1"/>
        </w:rPr>
        <w:t>2005</w:t>
      </w:r>
      <w:r w:rsidRPr="005072CB">
        <w:rPr>
          <w:rFonts w:hint="eastAsia"/>
          <w:color w:val="000000" w:themeColor="text1"/>
        </w:rPr>
        <w:t>年水準低</w:t>
      </w:r>
      <w:r w:rsidRPr="005072CB">
        <w:rPr>
          <w:rFonts w:hint="eastAsia"/>
          <w:color w:val="000000" w:themeColor="text1"/>
        </w:rPr>
        <w:t>26%~28%</w:t>
      </w:r>
      <w:r w:rsidRPr="005072CB">
        <w:rPr>
          <w:rFonts w:hint="eastAsia"/>
          <w:color w:val="000000" w:themeColor="text1"/>
        </w:rPr>
        <w:t>，中國大陸則承諾</w:t>
      </w:r>
      <w:r w:rsidRPr="005072CB">
        <w:rPr>
          <w:rFonts w:hint="eastAsia"/>
          <w:color w:val="000000" w:themeColor="text1"/>
        </w:rPr>
        <w:t>2030</w:t>
      </w:r>
      <w:r w:rsidRPr="005072CB">
        <w:rPr>
          <w:rFonts w:hint="eastAsia"/>
          <w:color w:val="000000" w:themeColor="text1"/>
        </w:rPr>
        <w:t>年後溫</w:t>
      </w:r>
      <w:r w:rsidRPr="005072CB">
        <w:rPr>
          <w:rFonts w:hint="eastAsia"/>
          <w:color w:val="000000" w:themeColor="text1"/>
        </w:rPr>
        <w:lastRenderedPageBreak/>
        <w:t>室氣體</w:t>
      </w:r>
      <w:r w:rsidRPr="005072CB">
        <w:rPr>
          <w:color w:val="000000" w:themeColor="text1"/>
        </w:rPr>
        <w:t>排</w:t>
      </w:r>
      <w:r w:rsidRPr="005072CB">
        <w:rPr>
          <w:rFonts w:hint="eastAsia"/>
          <w:color w:val="000000" w:themeColor="text1"/>
        </w:rPr>
        <w:t>放量</w:t>
      </w:r>
      <w:r w:rsidRPr="005072CB">
        <w:rPr>
          <w:color w:val="000000" w:themeColor="text1"/>
        </w:rPr>
        <w:t>不再增加，同時</w:t>
      </w:r>
      <w:r w:rsidRPr="005072CB">
        <w:rPr>
          <w:rFonts w:hint="eastAsia"/>
          <w:color w:val="000000" w:themeColor="text1"/>
        </w:rPr>
        <w:t>將</w:t>
      </w:r>
      <w:r w:rsidRPr="005072CB">
        <w:rPr>
          <w:color w:val="000000" w:themeColor="text1"/>
        </w:rPr>
        <w:t>非</w:t>
      </w:r>
      <w:r w:rsidRPr="005072CB">
        <w:rPr>
          <w:rFonts w:hint="eastAsia"/>
          <w:color w:val="000000" w:themeColor="text1"/>
        </w:rPr>
        <w:t>石化</w:t>
      </w:r>
      <w:r w:rsidRPr="005072CB">
        <w:rPr>
          <w:color w:val="000000" w:themeColor="text1"/>
        </w:rPr>
        <w:t>燃料</w:t>
      </w:r>
      <w:r w:rsidRPr="005072CB">
        <w:rPr>
          <w:rFonts w:hint="eastAsia"/>
          <w:color w:val="000000" w:themeColor="text1"/>
        </w:rPr>
        <w:t>占基礎能源消費比率提高至</w:t>
      </w:r>
      <w:r w:rsidRPr="005072CB">
        <w:rPr>
          <w:rFonts w:hint="eastAsia"/>
          <w:color w:val="000000" w:themeColor="text1"/>
        </w:rPr>
        <w:t>20%</w:t>
      </w:r>
      <w:r w:rsidRPr="005072CB">
        <w:rPr>
          <w:rFonts w:hint="eastAsia"/>
          <w:color w:val="000000" w:themeColor="text1"/>
        </w:rPr>
        <w:t>。</w:t>
      </w:r>
      <w:r w:rsidRPr="005072CB">
        <w:rPr>
          <w:rFonts w:hint="eastAsia"/>
          <w:color w:val="000000" w:themeColor="text1"/>
        </w:rPr>
        <w:t>12</w:t>
      </w:r>
      <w:r w:rsidRPr="005072CB">
        <w:rPr>
          <w:rFonts w:hint="eastAsia"/>
          <w:color w:val="000000" w:themeColor="text1"/>
        </w:rPr>
        <w:t>月，</w:t>
      </w:r>
      <w:r w:rsidRPr="005072CB">
        <w:rPr>
          <w:rFonts w:hint="eastAsia"/>
          <w:color w:val="000000" w:themeColor="text1"/>
        </w:rPr>
        <w:t>COP20</w:t>
      </w:r>
      <w:r w:rsidRPr="005072CB">
        <w:rPr>
          <w:rFonts w:hint="eastAsia"/>
          <w:color w:val="000000" w:themeColor="text1"/>
        </w:rPr>
        <w:t>在秘魯首都利馬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Lima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舉行，會後發表「利馬氣候行動呼籲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color w:val="000000" w:themeColor="text1"/>
        </w:rPr>
        <w:t>Lima Call for Action</w:t>
      </w:r>
      <w:r w:rsidRPr="005072CB">
        <w:rPr>
          <w:rFonts w:ascii="標楷體" w:hAnsi="標楷體" w:hint="eastAsia"/>
          <w:color w:val="000000" w:themeColor="text1"/>
        </w:rPr>
        <w:t>)」</w:t>
      </w:r>
      <w:r w:rsidRPr="005072CB">
        <w:rPr>
          <w:rFonts w:hint="eastAsia"/>
          <w:color w:val="000000" w:themeColor="text1"/>
        </w:rPr>
        <w:t>，重申提交減量貢獻的期限，請所有締約</w:t>
      </w:r>
      <w:r w:rsidR="003951F6" w:rsidRPr="005072CB">
        <w:rPr>
          <w:rFonts w:hint="eastAsia"/>
          <w:color w:val="000000" w:themeColor="text1"/>
        </w:rPr>
        <w:t>國</w:t>
      </w:r>
      <w:r w:rsidRPr="005072CB">
        <w:rPr>
          <w:rFonts w:hint="eastAsia"/>
          <w:color w:val="000000" w:themeColor="text1"/>
        </w:rPr>
        <w:t>在</w:t>
      </w:r>
      <w:r w:rsidRPr="005072CB">
        <w:rPr>
          <w:rFonts w:hint="eastAsia"/>
          <w:color w:val="000000" w:themeColor="text1"/>
        </w:rPr>
        <w:t>COP21</w:t>
      </w:r>
      <w:r w:rsidRPr="005072CB">
        <w:rPr>
          <w:rFonts w:hint="eastAsia"/>
          <w:color w:val="000000" w:themeColor="text1"/>
        </w:rPr>
        <w:t>召開前，提交</w:t>
      </w:r>
      <w:r w:rsidRPr="005072CB">
        <w:rPr>
          <w:rFonts w:hint="eastAsia"/>
          <w:color w:val="000000" w:themeColor="text1"/>
        </w:rPr>
        <w:t>INDCs</w:t>
      </w:r>
      <w:r w:rsidRPr="005072CB">
        <w:rPr>
          <w:rFonts w:hint="eastAsia"/>
          <w:color w:val="000000" w:themeColor="text1"/>
        </w:rPr>
        <w:t>，建議涵蓋量化資訊、基準年、期程、調適規劃等內容。</w:t>
      </w:r>
    </w:p>
    <w:p w:rsidR="00C0044D" w:rsidRPr="005072CB" w:rsidRDefault="00C0044D" w:rsidP="006E68AA">
      <w:pPr>
        <w:pStyle w:val="k2a"/>
        <w:ind w:left="835" w:hanging="576"/>
        <w:rPr>
          <w:color w:val="000000" w:themeColor="text1"/>
        </w:rPr>
      </w:pPr>
      <w:r w:rsidRPr="005072CB">
        <w:rPr>
          <w:rFonts w:ascii="標楷體" w:hAnsi="標楷體" w:hint="eastAsia"/>
          <w:color w:val="000000" w:themeColor="text1"/>
        </w:rPr>
        <w:t>(二)</w:t>
      </w:r>
      <w:r w:rsidRPr="005072CB">
        <w:rPr>
          <w:rFonts w:hint="eastAsia"/>
          <w:color w:val="000000" w:themeColor="text1"/>
        </w:rPr>
        <w:t>氣候變遷調適</w:t>
      </w:r>
    </w:p>
    <w:p w:rsidR="00C0044D" w:rsidRPr="005072CB" w:rsidRDefault="00C0044D" w:rsidP="006E68AA">
      <w:pPr>
        <w:pStyle w:val="k22"/>
        <w:ind w:left="806" w:firstLine="576"/>
        <w:rPr>
          <w:color w:val="000000" w:themeColor="text1"/>
        </w:rPr>
      </w:pPr>
      <w:r w:rsidRPr="005072CB">
        <w:rPr>
          <w:rFonts w:hint="eastAsia"/>
          <w:color w:val="000000" w:themeColor="text1"/>
        </w:rPr>
        <w:t>根據</w:t>
      </w:r>
      <w:r w:rsidRPr="005072CB">
        <w:rPr>
          <w:rFonts w:hint="eastAsia"/>
          <w:color w:val="000000" w:themeColor="text1"/>
        </w:rPr>
        <w:t>UNEP 12</w:t>
      </w:r>
      <w:r w:rsidRPr="005072CB">
        <w:rPr>
          <w:rFonts w:hint="eastAsia"/>
          <w:color w:val="000000" w:themeColor="text1"/>
        </w:rPr>
        <w:t>月發布的「調適落差報告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Adaptation Gap Report</w:t>
      </w:r>
      <w:r w:rsidRPr="005072CB">
        <w:rPr>
          <w:rFonts w:ascii="標楷體" w:hAnsi="標楷體" w:hint="eastAsia"/>
          <w:color w:val="000000" w:themeColor="text1"/>
        </w:rPr>
        <w:t>)</w:t>
      </w:r>
      <w:r w:rsidR="00B328DD" w:rsidRPr="005072CB">
        <w:rPr>
          <w:rFonts w:hint="eastAsia"/>
          <w:color w:val="000000" w:themeColor="text1"/>
        </w:rPr>
        <w:t>」，即使降低全球溫室氣體排放量，使本世紀全球氣溫較</w:t>
      </w:r>
      <w:proofErr w:type="gramStart"/>
      <w:r w:rsidR="00B328DD" w:rsidRPr="005072CB">
        <w:rPr>
          <w:rFonts w:hint="eastAsia"/>
          <w:color w:val="000000" w:themeColor="text1"/>
        </w:rPr>
        <w:t>工業革命</w:t>
      </w:r>
      <w:r w:rsidRPr="005072CB">
        <w:rPr>
          <w:rFonts w:hint="eastAsia"/>
          <w:color w:val="000000" w:themeColor="text1"/>
        </w:rPr>
        <w:t>前升幅</w:t>
      </w:r>
      <w:proofErr w:type="gramEnd"/>
      <w:r w:rsidRPr="005072CB">
        <w:rPr>
          <w:rFonts w:hint="eastAsia"/>
          <w:color w:val="000000" w:themeColor="text1"/>
        </w:rPr>
        <w:t>控制在</w:t>
      </w:r>
      <w:r w:rsidRPr="005072CB">
        <w:rPr>
          <w:rFonts w:hint="eastAsia"/>
          <w:color w:val="000000" w:themeColor="text1"/>
        </w:rPr>
        <w:t>2</w:t>
      </w:r>
      <w:r w:rsidRPr="005072CB">
        <w:rPr>
          <w:rFonts w:hint="eastAsia"/>
          <w:color w:val="000000" w:themeColor="text1"/>
        </w:rPr>
        <w:t>°</w:t>
      </w:r>
      <w:r w:rsidRPr="005072CB">
        <w:rPr>
          <w:rFonts w:hint="eastAsia"/>
          <w:color w:val="000000" w:themeColor="text1"/>
        </w:rPr>
        <w:t>C</w:t>
      </w:r>
      <w:proofErr w:type="gramStart"/>
      <w:r w:rsidRPr="005072CB">
        <w:rPr>
          <w:rFonts w:hint="eastAsia"/>
          <w:color w:val="000000" w:themeColor="text1"/>
        </w:rPr>
        <w:t>以內，</w:t>
      </w:r>
      <w:proofErr w:type="gramEnd"/>
      <w:r w:rsidRPr="005072CB">
        <w:rPr>
          <w:rFonts w:hint="eastAsia"/>
          <w:color w:val="000000" w:themeColor="text1"/>
        </w:rPr>
        <w:t>發展中國家氣候變遷的</w:t>
      </w:r>
      <w:r w:rsidR="00B328DD" w:rsidRPr="005072CB">
        <w:rPr>
          <w:rFonts w:hint="eastAsia"/>
          <w:color w:val="000000" w:themeColor="text1"/>
        </w:rPr>
        <w:t>調適成本，仍</w:t>
      </w:r>
      <w:r w:rsidRPr="005072CB">
        <w:rPr>
          <w:rFonts w:hint="eastAsia"/>
          <w:color w:val="000000" w:themeColor="text1"/>
        </w:rPr>
        <w:t>可能較政府間氣候變遷專門委員會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rFonts w:hint="eastAsia"/>
          <w:color w:val="000000" w:themeColor="text1"/>
        </w:rPr>
        <w:t>IPCC</w:t>
      </w:r>
      <w:r w:rsidRPr="005072CB">
        <w:rPr>
          <w:rFonts w:ascii="標楷體" w:hAnsi="標楷體" w:hint="eastAsia"/>
          <w:color w:val="000000" w:themeColor="text1"/>
        </w:rPr>
        <w:t>)</w:t>
      </w:r>
      <w:r w:rsidR="003951F6" w:rsidRPr="005072CB">
        <w:rPr>
          <w:rFonts w:ascii="標楷體" w:hAnsi="標楷體" w:hint="eastAsia"/>
          <w:color w:val="000000" w:themeColor="text1"/>
        </w:rPr>
        <w:t>的</w:t>
      </w:r>
      <w:r w:rsidRPr="005072CB">
        <w:rPr>
          <w:rFonts w:hint="eastAsia"/>
          <w:color w:val="000000" w:themeColor="text1"/>
        </w:rPr>
        <w:t>估算再高</w:t>
      </w:r>
      <w:r w:rsidRPr="005072CB">
        <w:rPr>
          <w:rFonts w:hint="eastAsia"/>
          <w:color w:val="000000" w:themeColor="text1"/>
        </w:rPr>
        <w:t>2~3</w:t>
      </w:r>
      <w:r w:rsidR="00B328DD" w:rsidRPr="005072CB">
        <w:rPr>
          <w:rFonts w:hint="eastAsia"/>
          <w:color w:val="000000" w:themeColor="text1"/>
        </w:rPr>
        <w:t>倍，</w:t>
      </w:r>
      <w:r w:rsidRPr="005072CB">
        <w:rPr>
          <w:rFonts w:hint="eastAsia"/>
          <w:color w:val="000000" w:themeColor="text1"/>
        </w:rPr>
        <w:t>2015~2030</w:t>
      </w:r>
      <w:r w:rsidRPr="005072CB">
        <w:rPr>
          <w:rFonts w:hint="eastAsia"/>
          <w:color w:val="000000" w:themeColor="text1"/>
        </w:rPr>
        <w:t>年達每年</w:t>
      </w:r>
      <w:r w:rsidRPr="005072CB">
        <w:rPr>
          <w:rFonts w:hint="eastAsia"/>
          <w:color w:val="000000" w:themeColor="text1"/>
        </w:rPr>
        <w:t>1</w:t>
      </w:r>
      <w:r w:rsidR="008C4068" w:rsidRPr="005072CB">
        <w:rPr>
          <w:rFonts w:hint="eastAsia"/>
          <w:color w:val="000000" w:themeColor="text1"/>
        </w:rPr>
        <w:t>,</w:t>
      </w:r>
      <w:r w:rsidRPr="005072CB">
        <w:rPr>
          <w:rFonts w:hint="eastAsia"/>
          <w:color w:val="000000" w:themeColor="text1"/>
        </w:rPr>
        <w:t>500</w:t>
      </w:r>
      <w:r w:rsidRPr="005072CB">
        <w:rPr>
          <w:rFonts w:hint="eastAsia"/>
          <w:color w:val="000000" w:themeColor="text1"/>
        </w:rPr>
        <w:t>億美元，</w:t>
      </w:r>
      <w:r w:rsidRPr="005072CB">
        <w:rPr>
          <w:rFonts w:hint="eastAsia"/>
          <w:color w:val="000000" w:themeColor="text1"/>
        </w:rPr>
        <w:t>2050</w:t>
      </w:r>
      <w:r w:rsidRPr="005072CB">
        <w:rPr>
          <w:rFonts w:hint="eastAsia"/>
          <w:color w:val="000000" w:themeColor="text1"/>
        </w:rPr>
        <w:t>年將達</w:t>
      </w:r>
      <w:r w:rsidRPr="005072CB">
        <w:rPr>
          <w:rFonts w:hint="eastAsia"/>
          <w:color w:val="000000" w:themeColor="text1"/>
        </w:rPr>
        <w:t>2</w:t>
      </w:r>
      <w:r w:rsidR="008C4068" w:rsidRPr="005072CB">
        <w:rPr>
          <w:rFonts w:hint="eastAsia"/>
          <w:color w:val="000000" w:themeColor="text1"/>
        </w:rPr>
        <w:t>,</w:t>
      </w:r>
      <w:r w:rsidRPr="005072CB">
        <w:rPr>
          <w:rFonts w:hint="eastAsia"/>
          <w:color w:val="000000" w:themeColor="text1"/>
        </w:rPr>
        <w:t>500</w:t>
      </w:r>
      <w:r w:rsidR="003951F6" w:rsidRPr="005072CB">
        <w:rPr>
          <w:rFonts w:hint="eastAsia"/>
          <w:color w:val="000000" w:themeColor="text1"/>
        </w:rPr>
        <w:t>~</w:t>
      </w:r>
      <w:r w:rsidRPr="005072CB">
        <w:rPr>
          <w:rFonts w:hint="eastAsia"/>
          <w:color w:val="000000" w:themeColor="text1"/>
        </w:rPr>
        <w:t>5</w:t>
      </w:r>
      <w:r w:rsidR="008C4068" w:rsidRPr="005072CB">
        <w:rPr>
          <w:rFonts w:hint="eastAsia"/>
          <w:color w:val="000000" w:themeColor="text1"/>
        </w:rPr>
        <w:t>,</w:t>
      </w:r>
      <w:r w:rsidRPr="005072CB">
        <w:rPr>
          <w:rFonts w:hint="eastAsia"/>
          <w:color w:val="000000" w:themeColor="text1"/>
        </w:rPr>
        <w:t>000</w:t>
      </w:r>
      <w:r w:rsidRPr="005072CB">
        <w:rPr>
          <w:rFonts w:hint="eastAsia"/>
          <w:color w:val="000000" w:themeColor="text1"/>
        </w:rPr>
        <w:t>億美元。</w:t>
      </w:r>
      <w:proofErr w:type="gramStart"/>
      <w:r w:rsidRPr="005072CB">
        <w:rPr>
          <w:rFonts w:hint="eastAsia"/>
          <w:color w:val="000000" w:themeColor="text1"/>
        </w:rPr>
        <w:t>此外，</w:t>
      </w:r>
      <w:proofErr w:type="gramEnd"/>
      <w:r w:rsidRPr="005072CB">
        <w:rPr>
          <w:rFonts w:hint="eastAsia"/>
          <w:color w:val="000000" w:themeColor="text1"/>
        </w:rPr>
        <w:t>2014</w:t>
      </w:r>
      <w:r w:rsidRPr="005072CB">
        <w:rPr>
          <w:rFonts w:hint="eastAsia"/>
          <w:color w:val="000000" w:themeColor="text1"/>
        </w:rPr>
        <w:t>年美國氣候變遷調適計畫</w:t>
      </w:r>
      <w:r w:rsidRPr="005072CB">
        <w:rPr>
          <w:rFonts w:ascii="標楷體" w:hAnsi="標楷體"/>
          <w:color w:val="000000" w:themeColor="text1"/>
        </w:rPr>
        <w:t>(</w:t>
      </w:r>
      <w:r w:rsidRPr="005072CB">
        <w:rPr>
          <w:color w:val="000000" w:themeColor="text1"/>
        </w:rPr>
        <w:t>Climate Change Adaptation Plan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指出</w:t>
      </w:r>
      <w:r w:rsidR="00B328DD" w:rsidRPr="005072CB">
        <w:rPr>
          <w:rFonts w:hint="eastAsia"/>
          <w:color w:val="000000" w:themeColor="text1"/>
        </w:rPr>
        <w:t>，</w:t>
      </w:r>
      <w:r w:rsidRPr="005072CB">
        <w:rPr>
          <w:rFonts w:hint="eastAsia"/>
          <w:color w:val="000000" w:themeColor="text1"/>
        </w:rPr>
        <w:t>政府應優先推</w:t>
      </w:r>
      <w:r w:rsidR="00B84B99" w:rsidRPr="005072CB">
        <w:rPr>
          <w:rFonts w:hint="eastAsia"/>
          <w:color w:val="000000" w:themeColor="text1"/>
        </w:rPr>
        <w:t>動調適能力的建構，並將調適計畫整合至日常工作及決策過程等；</w:t>
      </w:r>
      <w:r w:rsidRPr="005072CB">
        <w:rPr>
          <w:rFonts w:hint="eastAsia"/>
          <w:color w:val="000000" w:themeColor="text1"/>
        </w:rPr>
        <w:t>歐盟「歐洲國家調適政策過程</w:t>
      </w:r>
      <w:r w:rsidRPr="005072CB">
        <w:rPr>
          <w:rFonts w:ascii="標楷體" w:hAnsi="標楷體" w:hint="eastAsia"/>
          <w:color w:val="000000" w:themeColor="text1"/>
        </w:rPr>
        <w:t>(</w:t>
      </w:r>
      <w:r w:rsidRPr="005072CB">
        <w:rPr>
          <w:color w:val="000000" w:themeColor="text1"/>
        </w:rPr>
        <w:t>National adaptation policy processes in European countries</w:t>
      </w:r>
      <w:r w:rsidRPr="005072CB">
        <w:rPr>
          <w:rFonts w:ascii="標楷體" w:hAnsi="標楷體" w:hint="eastAsia"/>
          <w:color w:val="000000" w:themeColor="text1"/>
        </w:rPr>
        <w:t>)</w:t>
      </w:r>
      <w:r w:rsidRPr="005072CB">
        <w:rPr>
          <w:rFonts w:hint="eastAsia"/>
          <w:color w:val="000000" w:themeColor="text1"/>
        </w:rPr>
        <w:t>」則檢視歐洲調適計畫</w:t>
      </w:r>
      <w:r w:rsidR="00B84B99" w:rsidRPr="005072CB">
        <w:rPr>
          <w:rFonts w:hint="eastAsia"/>
          <w:color w:val="000000" w:themeColor="text1"/>
        </w:rPr>
        <w:t>的協調機制、跨國合作等</w:t>
      </w:r>
      <w:r w:rsidRPr="005072CB">
        <w:rPr>
          <w:rFonts w:hint="eastAsia"/>
          <w:color w:val="000000" w:themeColor="text1"/>
        </w:rPr>
        <w:t>。</w:t>
      </w:r>
    </w:p>
    <w:p w:rsidR="00C0044D" w:rsidRPr="005072CB" w:rsidRDefault="00C0044D" w:rsidP="006E68AA">
      <w:pPr>
        <w:rPr>
          <w:color w:val="000000" w:themeColor="text1"/>
        </w:rPr>
      </w:pPr>
    </w:p>
    <w:p w:rsidR="00C0044D" w:rsidRPr="005072CB" w:rsidRDefault="00C0044D" w:rsidP="00FD7C09">
      <w:pPr>
        <w:widowControl/>
        <w:overflowPunct/>
        <w:autoSpaceDE/>
        <w:autoSpaceDN/>
        <w:adjustRightInd/>
        <w:spacing w:line="240" w:lineRule="auto"/>
        <w:jc w:val="left"/>
        <w:textAlignment w:val="auto"/>
        <w:rPr>
          <w:color w:val="000000" w:themeColor="text1"/>
        </w:rPr>
      </w:pPr>
    </w:p>
    <w:sectPr w:rsidR="00C0044D" w:rsidRPr="005072CB" w:rsidSect="00FC02B4">
      <w:headerReference w:type="even" r:id="rId13"/>
      <w:headerReference w:type="default" r:id="rId14"/>
      <w:footerReference w:type="even" r:id="rId15"/>
      <w:footerReference w:type="default" r:id="rId16"/>
      <w:pgSz w:w="11907" w:h="16840" w:code="9"/>
      <w:pgMar w:top="2268" w:right="1701" w:bottom="1701" w:left="1701" w:header="680" w:footer="737" w:gutter="0"/>
      <w:pgNumType w:start="1"/>
      <w:cols w:space="42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11" w:rsidRDefault="00950C11">
      <w:pPr>
        <w:spacing w:line="240" w:lineRule="auto"/>
      </w:pPr>
      <w:r>
        <w:separator/>
      </w:r>
    </w:p>
  </w:endnote>
  <w:endnote w:type="continuationSeparator" w:id="0">
    <w:p w:rsidR="00950C11" w:rsidRDefault="00950C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楷書體W5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3" w:rsidRPr="00CD5027" w:rsidRDefault="00927073" w:rsidP="00670306">
    <w:pPr>
      <w:pStyle w:val="a3"/>
      <w:framePr w:wrap="around" w:vAnchor="text" w:hAnchor="margin" w:xAlign="center" w:y="1"/>
      <w:rPr>
        <w:rStyle w:val="a5"/>
        <w:rFonts w:ascii="Arial" w:hAnsi="Arial"/>
        <w:i w:val="0"/>
        <w:iCs/>
        <w:color w:val="3C3C3C"/>
        <w:sz w:val="26"/>
        <w:szCs w:val="26"/>
      </w:rPr>
    </w:pP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begin"/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separate"/>
    </w:r>
    <w:r w:rsidR="000B731A">
      <w:rPr>
        <w:rStyle w:val="a5"/>
        <w:rFonts w:ascii="Arial" w:hAnsi="Arial"/>
        <w:i w:val="0"/>
        <w:iCs/>
        <w:noProof/>
        <w:color w:val="3C3C3C"/>
        <w:sz w:val="26"/>
        <w:szCs w:val="26"/>
      </w:rPr>
      <w:t>4</w:t>
    </w:r>
    <w:r w:rsidRPr="00CD5027">
      <w:rPr>
        <w:rStyle w:val="a5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27073" w:rsidRDefault="00D25C03" w:rsidP="00F30BD3"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182AC183" wp14:editId="3B4E7E81">
              <wp:simplePos x="0" y="0"/>
              <wp:positionH relativeFrom="column">
                <wp:posOffset>-222250</wp:posOffset>
              </wp:positionH>
              <wp:positionV relativeFrom="paragraph">
                <wp:posOffset>-22226</wp:posOffset>
              </wp:positionV>
              <wp:extent cx="5867400" cy="0"/>
              <wp:effectExtent l="0" t="0" r="19050" b="19050"/>
              <wp:wrapNone/>
              <wp:docPr id="2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5pt,-1.75pt" to="444.5pt,-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MZo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" strokecolor="#3c3c3c" strokeweight=".9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3" w:rsidRPr="003D7C29" w:rsidRDefault="00927073" w:rsidP="000B731A">
    <w:pPr>
      <w:pStyle w:val="a3"/>
      <w:framePr w:wrap="around" w:vAnchor="text" w:hAnchor="margin" w:xAlign="center" w:y="-165"/>
      <w:rPr>
        <w:rStyle w:val="a5"/>
        <w:rFonts w:ascii="Arial" w:hAnsi="Arial"/>
        <w:i w:val="0"/>
        <w:iCs/>
        <w:color w:val="3C3C3C"/>
        <w:sz w:val="26"/>
        <w:szCs w:val="26"/>
      </w:rPr>
    </w:pP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begin"/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instrText xml:space="preserve">PAGE  </w:instrText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separate"/>
    </w:r>
    <w:r w:rsidR="000B731A">
      <w:rPr>
        <w:rStyle w:val="a5"/>
        <w:rFonts w:ascii="Arial" w:hAnsi="Arial"/>
        <w:i w:val="0"/>
        <w:iCs/>
        <w:noProof/>
        <w:color w:val="3C3C3C"/>
        <w:sz w:val="26"/>
        <w:szCs w:val="26"/>
      </w:rPr>
      <w:t>3</w:t>
    </w:r>
    <w:r w:rsidRPr="003D7C29">
      <w:rPr>
        <w:rStyle w:val="a5"/>
        <w:rFonts w:ascii="Arial" w:hAnsi="Arial"/>
        <w:i w:val="0"/>
        <w:iCs/>
        <w:color w:val="3C3C3C"/>
        <w:sz w:val="26"/>
        <w:szCs w:val="26"/>
      </w:rPr>
      <w:fldChar w:fldCharType="end"/>
    </w:r>
  </w:p>
  <w:p w:rsidR="00927073" w:rsidRDefault="00D25C03">
    <w:pPr>
      <w:pStyle w:val="a3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48526F4B" wp14:editId="1D847254">
              <wp:simplePos x="0" y="0"/>
              <wp:positionH relativeFrom="column">
                <wp:posOffset>-236220</wp:posOffset>
              </wp:positionH>
              <wp:positionV relativeFrom="paragraph">
                <wp:posOffset>-129117</wp:posOffset>
              </wp:positionV>
              <wp:extent cx="5867400" cy="0"/>
              <wp:effectExtent l="0" t="0" r="19050" b="19050"/>
              <wp:wrapNone/>
              <wp:docPr id="1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6740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6pt,-10.15pt" to="443.4pt,-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" strokecolor="#3c3c3c" strokeweight=".9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11" w:rsidRDefault="00950C11">
      <w:pPr>
        <w:spacing w:line="240" w:lineRule="auto"/>
      </w:pPr>
      <w:r>
        <w:separator/>
      </w:r>
    </w:p>
  </w:footnote>
  <w:footnote w:type="continuationSeparator" w:id="0">
    <w:p w:rsidR="00950C11" w:rsidRDefault="00950C11">
      <w:pPr>
        <w:spacing w:line="240" w:lineRule="auto"/>
      </w:pPr>
      <w:r>
        <w:continuationSeparator/>
      </w:r>
    </w:p>
  </w:footnote>
  <w:footnote w:id="1">
    <w:p w:rsidR="00235FF9" w:rsidRDefault="00B30896" w:rsidP="00235FF9">
      <w:pPr>
        <w:pStyle w:val="aff5"/>
        <w:spacing w:line="240" w:lineRule="exact"/>
        <w:ind w:left="200" w:hangingChars="100" w:hanging="200"/>
      </w:pPr>
      <w:r>
        <w:rPr>
          <w:rStyle w:val="aff7"/>
        </w:rPr>
        <w:footnoteRef/>
      </w:r>
      <w:r>
        <w:t xml:space="preserve"> </w:t>
      </w:r>
      <w:r w:rsidRPr="00B30896">
        <w:rPr>
          <w:rFonts w:hint="eastAsia"/>
        </w:rPr>
        <w:t>「定向」長期再融資操作</w:t>
      </w:r>
      <w:r w:rsidR="00235FF9" w:rsidRPr="00235FF9">
        <w:rPr>
          <w:rFonts w:ascii="標楷體" w:hAnsi="標楷體" w:hint="eastAsia"/>
        </w:rPr>
        <w:t>(</w:t>
      </w:r>
      <w:r w:rsidRPr="00B30896">
        <w:rPr>
          <w:rFonts w:hint="eastAsia"/>
        </w:rPr>
        <w:t xml:space="preserve">Target </w:t>
      </w:r>
      <w:r w:rsidR="00235FF9" w:rsidRPr="00235FF9">
        <w:t>Longer-Term Refinancing Operations,</w:t>
      </w:r>
      <w:r w:rsidRPr="00B30896">
        <w:rPr>
          <w:rFonts w:hint="eastAsia"/>
        </w:rPr>
        <w:t xml:space="preserve"> TLTRO</w:t>
      </w:r>
      <w:r w:rsidR="00235FF9" w:rsidRPr="00235FF9">
        <w:rPr>
          <w:rFonts w:ascii="標楷體" w:hAnsi="標楷體" w:hint="eastAsia"/>
        </w:rPr>
        <w:t>)</w:t>
      </w:r>
      <w:r w:rsidRPr="00B30896">
        <w:rPr>
          <w:rFonts w:hint="eastAsia"/>
        </w:rPr>
        <w:t>，意指鼓勵銀行對家庭</w:t>
      </w:r>
      <w:r w:rsidR="00235FF9">
        <w:rPr>
          <w:rFonts w:hint="eastAsia"/>
        </w:rPr>
        <w:t>及</w:t>
      </w:r>
      <w:r w:rsidRPr="00B30896">
        <w:rPr>
          <w:rFonts w:hint="eastAsia"/>
        </w:rPr>
        <w:t>非金融企業等實體部門放貸，但不含購屋貸款</w:t>
      </w:r>
      <w:r w:rsidR="00235FF9">
        <w:rPr>
          <w:rFonts w:hint="eastAsia"/>
        </w:rPr>
        <w:t>。</w:t>
      </w:r>
    </w:p>
  </w:footnote>
  <w:footnote w:id="2">
    <w:p w:rsidR="00C0044D" w:rsidRDefault="00C0044D" w:rsidP="00C0044D">
      <w:pPr>
        <w:pStyle w:val="aff5"/>
        <w:spacing w:line="240" w:lineRule="exact"/>
        <w:ind w:left="100" w:hangingChars="50" w:hanging="100"/>
      </w:pPr>
      <w:r>
        <w:rPr>
          <w:rStyle w:val="aff7"/>
        </w:rPr>
        <w:footnoteRef/>
      </w:r>
      <w:r>
        <w:rPr>
          <w:rFonts w:hint="eastAsia"/>
        </w:rPr>
        <w:t>根據國際金融協會</w:t>
      </w:r>
      <w:r w:rsidRPr="00DB729F">
        <w:rPr>
          <w:rFonts w:ascii="標楷體" w:hAnsi="標楷體" w:hint="eastAsia"/>
        </w:rPr>
        <w:t>(</w:t>
      </w:r>
      <w:r>
        <w:rPr>
          <w:rFonts w:hint="eastAsia"/>
        </w:rPr>
        <w:t>IIF</w:t>
      </w:r>
      <w:r w:rsidRPr="00DB729F">
        <w:rPr>
          <w:rFonts w:ascii="標楷體" w:hAnsi="標楷體" w:hint="eastAsia"/>
        </w:rPr>
        <w:t>)</w:t>
      </w:r>
      <w:r>
        <w:rPr>
          <w:rFonts w:hint="eastAsia"/>
        </w:rPr>
        <w:t>資料，</w:t>
      </w:r>
      <w:r w:rsidRPr="003F1E17">
        <w:rPr>
          <w:rFonts w:hint="eastAsia"/>
        </w:rPr>
        <w:t>2014</w:t>
      </w:r>
      <w:r w:rsidRPr="003F1E17">
        <w:rPr>
          <w:rFonts w:hint="eastAsia"/>
        </w:rPr>
        <w:t>年</w:t>
      </w:r>
      <w:r>
        <w:rPr>
          <w:rFonts w:hint="eastAsia"/>
        </w:rPr>
        <w:t>其</w:t>
      </w:r>
      <w:r w:rsidRPr="003F1E17">
        <w:rPr>
          <w:rFonts w:hint="eastAsia"/>
        </w:rPr>
        <w:t>非居民</w:t>
      </w:r>
      <w:r w:rsidRPr="00DB729F">
        <w:rPr>
          <w:rFonts w:ascii="標楷體" w:hAnsi="標楷體" w:hint="eastAsia"/>
        </w:rPr>
        <w:t>(</w:t>
      </w:r>
      <w:r w:rsidRPr="003F1E17">
        <w:rPr>
          <w:rFonts w:hint="eastAsia"/>
        </w:rPr>
        <w:t>Non-Resident</w:t>
      </w:r>
      <w:r w:rsidRPr="00DB729F">
        <w:rPr>
          <w:rFonts w:ascii="標楷體" w:hAnsi="標楷體" w:hint="eastAsia"/>
        </w:rPr>
        <w:t>)</w:t>
      </w:r>
      <w:r w:rsidRPr="003F1E17">
        <w:rPr>
          <w:rFonts w:hint="eastAsia"/>
        </w:rPr>
        <w:t>資金淨流入較</w:t>
      </w:r>
      <w:r w:rsidRPr="003F1E17">
        <w:rPr>
          <w:rFonts w:hint="eastAsia"/>
        </w:rPr>
        <w:t>2013</w:t>
      </w:r>
      <w:r w:rsidRPr="003F1E17">
        <w:rPr>
          <w:rFonts w:hint="eastAsia"/>
        </w:rPr>
        <w:t>年減少</w:t>
      </w:r>
      <w:r w:rsidRPr="003F1E17">
        <w:rPr>
          <w:rFonts w:hint="eastAsia"/>
        </w:rPr>
        <w:t>2,500</w:t>
      </w:r>
      <w:r w:rsidRPr="003F1E17">
        <w:rPr>
          <w:rFonts w:hint="eastAsia"/>
        </w:rPr>
        <w:t>億美元，降幅為</w:t>
      </w:r>
      <w:r w:rsidRPr="003F1E17">
        <w:rPr>
          <w:rFonts w:hint="eastAsia"/>
        </w:rPr>
        <w:t>18.4%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3" w:rsidRDefault="00D25C03" w:rsidP="00243821">
    <w:pPr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F0D5940" wp14:editId="6E25DDC4">
              <wp:simplePos x="0" y="0"/>
              <wp:positionH relativeFrom="column">
                <wp:posOffset>1644015</wp:posOffset>
              </wp:positionH>
              <wp:positionV relativeFrom="paragraph">
                <wp:posOffset>393699</wp:posOffset>
              </wp:positionV>
              <wp:extent cx="4010025" cy="0"/>
              <wp:effectExtent l="0" t="0" r="9525" b="19050"/>
              <wp:wrapNone/>
              <wp:docPr id="10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10025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9.45pt,31pt" to="445.2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3DB9893C" wp14:editId="11D2A555">
              <wp:simplePos x="0" y="0"/>
              <wp:positionH relativeFrom="column">
                <wp:posOffset>1644649</wp:posOffset>
              </wp:positionH>
              <wp:positionV relativeFrom="paragraph">
                <wp:posOffset>274955</wp:posOffset>
              </wp:positionV>
              <wp:extent cx="0" cy="228600"/>
              <wp:effectExtent l="0" t="0" r="19050" b="19050"/>
              <wp:wrapNone/>
              <wp:docPr id="8" name="Lin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7" o:spid="_x0000_s1026" style="position:absolute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29.5pt,21.65pt" to="129.5pt,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1D5BE2" wp14:editId="565ADB2C">
              <wp:simplePos x="0" y="0"/>
              <wp:positionH relativeFrom="column">
                <wp:posOffset>-342900</wp:posOffset>
              </wp:positionH>
              <wp:positionV relativeFrom="paragraph">
                <wp:posOffset>205105</wp:posOffset>
              </wp:positionV>
              <wp:extent cx="2762250" cy="304800"/>
              <wp:effectExtent l="0" t="0" r="0" b="0"/>
              <wp:wrapNone/>
              <wp:docPr id="9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73" w:rsidRPr="009D0E1A" w:rsidRDefault="00927073" w:rsidP="005C612D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3C3C3C"/>
                            </w:rPr>
                          </w:pP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103年國家發展計畫執行檢討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-27pt;margin-top:16.15pt;width:217.5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9H+uAIAALo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" filled="f" stroked="f">
              <v:textbox>
                <w:txbxContent>
                  <w:p w:rsidR="00927073" w:rsidRPr="009D0E1A" w:rsidRDefault="00927073" w:rsidP="005C612D">
                    <w:pPr>
                      <w:rPr>
                        <w:rFonts w:asciiTheme="majorEastAsia" w:eastAsiaTheme="majorEastAsia" w:hAnsiTheme="majorEastAsia"/>
                        <w:b/>
                        <w:color w:val="3C3C3C"/>
                      </w:rPr>
                    </w:pP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103年國家發展計畫執行檢討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3" w:rsidRPr="002F1521" w:rsidRDefault="00D70CD3" w:rsidP="002F1521">
    <w:pPr>
      <w:pStyle w:val="a6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04A865C5" wp14:editId="4B54ECE4">
              <wp:simplePos x="0" y="0"/>
              <wp:positionH relativeFrom="column">
                <wp:posOffset>3669665</wp:posOffset>
              </wp:positionH>
              <wp:positionV relativeFrom="paragraph">
                <wp:posOffset>198120</wp:posOffset>
              </wp:positionV>
              <wp:extent cx="2260600" cy="304800"/>
              <wp:effectExtent l="0" t="0" r="0" b="0"/>
              <wp:wrapNone/>
              <wp:docPr id="5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073" w:rsidRPr="009D0E1A" w:rsidRDefault="00927073" w:rsidP="005C612D">
                          <w:pPr>
                            <w:rPr>
                              <w:rFonts w:asciiTheme="majorEastAsia" w:eastAsiaTheme="majorEastAsia" w:hAnsiTheme="majorEastAsia"/>
                              <w:b/>
                              <w:color w:val="3C3C3C"/>
                            </w:rPr>
                          </w:pP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一</w:t>
                          </w:r>
                          <w:r w:rsidRPr="009D0E1A">
                            <w:rPr>
                              <w:rFonts w:asciiTheme="majorEastAsia" w:eastAsiaTheme="majorEastAsia" w:hAnsiTheme="majorEastAsia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章</w:t>
                          </w:r>
                          <w:r w:rsidRPr="009D0E1A">
                            <w:rPr>
                              <w:rFonts w:asciiTheme="majorEastAsia" w:eastAsiaTheme="majorEastAsia" w:hAnsiTheme="majorEastAsia" w:cs="細明體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rFonts w:asciiTheme="majorEastAsia" w:eastAsiaTheme="majorEastAsia" w:hAnsiTheme="majorEastAsia" w:cs="細明體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國際經濟情勢</w:t>
                          </w:r>
                          <w:r w:rsidR="00D70CD3">
                            <w:rPr>
                              <w:rFonts w:asciiTheme="majorEastAsia" w:eastAsiaTheme="majorEastAsia" w:hAnsiTheme="majorEastAsia" w:cs="細明體" w:hint="eastAsia"/>
                              <w:b/>
                              <w:color w:val="3C3C3C"/>
                              <w:sz w:val="22"/>
                              <w:szCs w:val="22"/>
                            </w:rPr>
                            <w:t>與課題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left:0;text-align:left;margin-left:288.95pt;margin-top:15.6pt;width:178pt;height:2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" filled="f" stroked="f">
              <v:textbox>
                <w:txbxContent>
                  <w:p w:rsidR="00927073" w:rsidRPr="009D0E1A" w:rsidRDefault="00927073" w:rsidP="005C612D">
                    <w:pPr>
                      <w:rPr>
                        <w:rFonts w:asciiTheme="majorEastAsia" w:eastAsiaTheme="majorEastAsia" w:hAnsiTheme="majorEastAsia"/>
                        <w:b/>
                        <w:color w:val="3C3C3C"/>
                      </w:rPr>
                    </w:pP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第</w:t>
                    </w:r>
                    <w:r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一</w:t>
                    </w:r>
                    <w:r w:rsidRPr="009D0E1A">
                      <w:rPr>
                        <w:rFonts w:asciiTheme="majorEastAsia" w:eastAsiaTheme="majorEastAsia" w:hAnsiTheme="majorEastAsia" w:hint="eastAsia"/>
                        <w:b/>
                        <w:color w:val="3C3C3C"/>
                        <w:sz w:val="22"/>
                        <w:szCs w:val="22"/>
                      </w:rPr>
                      <w:t>章</w:t>
                    </w:r>
                    <w:r w:rsidRPr="009D0E1A">
                      <w:rPr>
                        <w:rFonts w:asciiTheme="majorEastAsia" w:eastAsiaTheme="majorEastAsia" w:hAnsiTheme="majorEastAsia" w:cs="細明體" w:hint="eastAsia"/>
                        <w:b/>
                        <w:color w:val="3C3C3C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Theme="majorEastAsia" w:eastAsiaTheme="majorEastAsia" w:hAnsiTheme="majorEastAsia" w:cs="細明體" w:hint="eastAsia"/>
                        <w:b/>
                        <w:color w:val="3C3C3C"/>
                        <w:sz w:val="22"/>
                        <w:szCs w:val="22"/>
                      </w:rPr>
                      <w:t>國際經濟情勢</w:t>
                    </w:r>
                    <w:r w:rsidR="00D70CD3">
                      <w:rPr>
                        <w:rFonts w:asciiTheme="majorEastAsia" w:eastAsiaTheme="majorEastAsia" w:hAnsiTheme="majorEastAsia" w:cs="細明體" w:hint="eastAsia"/>
                        <w:b/>
                        <w:color w:val="3C3C3C"/>
                        <w:sz w:val="22"/>
                        <w:szCs w:val="22"/>
                      </w:rPr>
                      <w:t>與課題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299" distR="114299" simplePos="0" relativeHeight="251654144" behindDoc="0" locked="0" layoutInCell="1" allowOverlap="1" wp14:anchorId="50BB3F5A" wp14:editId="3A7A4C31">
              <wp:simplePos x="0" y="0"/>
              <wp:positionH relativeFrom="column">
                <wp:posOffset>3696335</wp:posOffset>
              </wp:positionH>
              <wp:positionV relativeFrom="paragraph">
                <wp:posOffset>254635</wp:posOffset>
              </wp:positionV>
              <wp:extent cx="0" cy="228600"/>
              <wp:effectExtent l="0" t="0" r="19050" b="19050"/>
              <wp:wrapNone/>
              <wp:docPr id="7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1" o:spid="_x0000_s1026" style="position:absolute;flip:y;z-index:2516541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91.05pt,20.05pt" to="291.0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" strokecolor="#3c3c3c" strokeweight=".9pt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00C9CE3E" wp14:editId="58F9DD37">
              <wp:simplePos x="0" y="0"/>
              <wp:positionH relativeFrom="column">
                <wp:posOffset>-236855</wp:posOffset>
              </wp:positionH>
              <wp:positionV relativeFrom="paragraph">
                <wp:posOffset>381000</wp:posOffset>
              </wp:positionV>
              <wp:extent cx="3931920" cy="0"/>
              <wp:effectExtent l="0" t="0" r="11430" b="19050"/>
              <wp:wrapNone/>
              <wp:docPr id="6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31920" cy="0"/>
                      </a:xfrm>
                      <a:prstGeom prst="line">
                        <a:avLst/>
                      </a:prstGeom>
                      <a:noFill/>
                      <a:ln w="11430">
                        <a:solidFill>
                          <a:srgbClr val="3C3C3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4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65pt,30pt" to="290.9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24gFAIAACoEAAAOAAAAZHJzL2Uyb0RvYy54bWysU8GO2jAQvVfqP1i+QxLIUo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" strokecolor="#3c3c3c" strokeweight=".9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7B87"/>
    <w:multiLevelType w:val="hybridMultilevel"/>
    <w:tmpl w:val="CA9ECD3E"/>
    <w:lvl w:ilvl="0" w:tplc="745454FC">
      <w:start w:val="1"/>
      <w:numFmt w:val="decimal"/>
      <w:lvlText w:val="%1."/>
      <w:lvlJc w:val="left"/>
      <w:pPr>
        <w:ind w:left="67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2" w:hanging="480"/>
      </w:pPr>
    </w:lvl>
    <w:lvl w:ilvl="2" w:tplc="0409001B" w:tentative="1">
      <w:start w:val="1"/>
      <w:numFmt w:val="lowerRoman"/>
      <w:lvlText w:val="%3."/>
      <w:lvlJc w:val="right"/>
      <w:pPr>
        <w:ind w:left="1752" w:hanging="480"/>
      </w:pPr>
    </w:lvl>
    <w:lvl w:ilvl="3" w:tplc="0409000F" w:tentative="1">
      <w:start w:val="1"/>
      <w:numFmt w:val="decimal"/>
      <w:lvlText w:val="%4."/>
      <w:lvlJc w:val="left"/>
      <w:pPr>
        <w:ind w:left="22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2" w:hanging="480"/>
      </w:pPr>
    </w:lvl>
    <w:lvl w:ilvl="5" w:tplc="0409001B" w:tentative="1">
      <w:start w:val="1"/>
      <w:numFmt w:val="lowerRoman"/>
      <w:lvlText w:val="%6."/>
      <w:lvlJc w:val="right"/>
      <w:pPr>
        <w:ind w:left="3192" w:hanging="480"/>
      </w:pPr>
    </w:lvl>
    <w:lvl w:ilvl="6" w:tplc="0409000F" w:tentative="1">
      <w:start w:val="1"/>
      <w:numFmt w:val="decimal"/>
      <w:lvlText w:val="%7."/>
      <w:lvlJc w:val="left"/>
      <w:pPr>
        <w:ind w:left="36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2" w:hanging="480"/>
      </w:pPr>
    </w:lvl>
    <w:lvl w:ilvl="8" w:tplc="0409001B" w:tentative="1">
      <w:start w:val="1"/>
      <w:numFmt w:val="lowerRoman"/>
      <w:lvlText w:val="%9."/>
      <w:lvlJc w:val="right"/>
      <w:pPr>
        <w:ind w:left="4632" w:hanging="480"/>
      </w:pPr>
    </w:lvl>
  </w:abstractNum>
  <w:abstractNum w:abstractNumId="1">
    <w:nsid w:val="1903436E"/>
    <w:multiLevelType w:val="hybridMultilevel"/>
    <w:tmpl w:val="B7665640"/>
    <w:lvl w:ilvl="0" w:tplc="D0B42D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A39254F"/>
    <w:multiLevelType w:val="hybridMultilevel"/>
    <w:tmpl w:val="AD9EF8D6"/>
    <w:lvl w:ilvl="0" w:tplc="B9AEBF5C">
      <w:start w:val="2"/>
      <w:numFmt w:val="taiwaneseCountingThousand"/>
      <w:lvlText w:val="第%1節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3F23673"/>
    <w:multiLevelType w:val="hybridMultilevel"/>
    <w:tmpl w:val="59BCE3C8"/>
    <w:lvl w:ilvl="0" w:tplc="439ADB66">
      <w:start w:val="1"/>
      <w:numFmt w:val="decimal"/>
      <w:lvlText w:val="%1."/>
      <w:lvlJc w:val="left"/>
      <w:pPr>
        <w:ind w:left="43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4" w:hanging="480"/>
      </w:pPr>
    </w:lvl>
    <w:lvl w:ilvl="2" w:tplc="0409001B" w:tentative="1">
      <w:start w:val="1"/>
      <w:numFmt w:val="lowerRoman"/>
      <w:lvlText w:val="%3."/>
      <w:lvlJc w:val="right"/>
      <w:pPr>
        <w:ind w:left="1514" w:hanging="480"/>
      </w:pPr>
    </w:lvl>
    <w:lvl w:ilvl="3" w:tplc="0409000F" w:tentative="1">
      <w:start w:val="1"/>
      <w:numFmt w:val="decimal"/>
      <w:lvlText w:val="%4."/>
      <w:lvlJc w:val="left"/>
      <w:pPr>
        <w:ind w:left="19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4" w:hanging="480"/>
      </w:pPr>
    </w:lvl>
    <w:lvl w:ilvl="5" w:tplc="0409001B" w:tentative="1">
      <w:start w:val="1"/>
      <w:numFmt w:val="lowerRoman"/>
      <w:lvlText w:val="%6."/>
      <w:lvlJc w:val="right"/>
      <w:pPr>
        <w:ind w:left="2954" w:hanging="480"/>
      </w:pPr>
    </w:lvl>
    <w:lvl w:ilvl="6" w:tplc="0409000F" w:tentative="1">
      <w:start w:val="1"/>
      <w:numFmt w:val="decimal"/>
      <w:lvlText w:val="%7."/>
      <w:lvlJc w:val="left"/>
      <w:pPr>
        <w:ind w:left="34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4" w:hanging="480"/>
      </w:pPr>
    </w:lvl>
    <w:lvl w:ilvl="8" w:tplc="0409001B" w:tentative="1">
      <w:start w:val="1"/>
      <w:numFmt w:val="lowerRoman"/>
      <w:lvlText w:val="%9."/>
      <w:lvlJc w:val="right"/>
      <w:pPr>
        <w:ind w:left="4394" w:hanging="480"/>
      </w:pPr>
    </w:lvl>
  </w:abstractNum>
  <w:abstractNum w:abstractNumId="4">
    <w:nsid w:val="483258C1"/>
    <w:multiLevelType w:val="hybridMultilevel"/>
    <w:tmpl w:val="BF58106E"/>
    <w:lvl w:ilvl="0" w:tplc="3B1AC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55642BC4"/>
    <w:multiLevelType w:val="hybridMultilevel"/>
    <w:tmpl w:val="5562F32E"/>
    <w:lvl w:ilvl="0" w:tplc="230275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71FD58EB"/>
    <w:multiLevelType w:val="hybridMultilevel"/>
    <w:tmpl w:val="858CC048"/>
    <w:lvl w:ilvl="0" w:tplc="AC18A6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80"/>
  <w:evenAndOddHeaders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43009">
      <o:colormru v:ext="edit" colors="#0096b2,#3c3c3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D8C"/>
    <w:rsid w:val="000039E0"/>
    <w:rsid w:val="00006DD3"/>
    <w:rsid w:val="00010441"/>
    <w:rsid w:val="00010A88"/>
    <w:rsid w:val="00013857"/>
    <w:rsid w:val="00015845"/>
    <w:rsid w:val="00020268"/>
    <w:rsid w:val="000202D2"/>
    <w:rsid w:val="00022E02"/>
    <w:rsid w:val="000263E2"/>
    <w:rsid w:val="000278EB"/>
    <w:rsid w:val="000308F0"/>
    <w:rsid w:val="000371C0"/>
    <w:rsid w:val="0004342D"/>
    <w:rsid w:val="0004490D"/>
    <w:rsid w:val="000449B6"/>
    <w:rsid w:val="00045BF6"/>
    <w:rsid w:val="000701E4"/>
    <w:rsid w:val="00071B07"/>
    <w:rsid w:val="00073EF9"/>
    <w:rsid w:val="00081928"/>
    <w:rsid w:val="0008447F"/>
    <w:rsid w:val="000849CC"/>
    <w:rsid w:val="00087782"/>
    <w:rsid w:val="0009281C"/>
    <w:rsid w:val="00095341"/>
    <w:rsid w:val="00095551"/>
    <w:rsid w:val="000A5B00"/>
    <w:rsid w:val="000B3B49"/>
    <w:rsid w:val="000B5DB0"/>
    <w:rsid w:val="000B731A"/>
    <w:rsid w:val="000B747C"/>
    <w:rsid w:val="000C1622"/>
    <w:rsid w:val="000C629E"/>
    <w:rsid w:val="000C726D"/>
    <w:rsid w:val="000D0017"/>
    <w:rsid w:val="000D1387"/>
    <w:rsid w:val="000D7736"/>
    <w:rsid w:val="000E099C"/>
    <w:rsid w:val="000E3489"/>
    <w:rsid w:val="000E4707"/>
    <w:rsid w:val="000E4EFC"/>
    <w:rsid w:val="000F3308"/>
    <w:rsid w:val="000F35F8"/>
    <w:rsid w:val="000F4FAB"/>
    <w:rsid w:val="000F65A8"/>
    <w:rsid w:val="001002D1"/>
    <w:rsid w:val="001052D2"/>
    <w:rsid w:val="0011423F"/>
    <w:rsid w:val="00121BB6"/>
    <w:rsid w:val="0012343D"/>
    <w:rsid w:val="00125FF0"/>
    <w:rsid w:val="00127099"/>
    <w:rsid w:val="001331EF"/>
    <w:rsid w:val="001400F8"/>
    <w:rsid w:val="00140408"/>
    <w:rsid w:val="00140A93"/>
    <w:rsid w:val="00144F76"/>
    <w:rsid w:val="00153B31"/>
    <w:rsid w:val="00162AB7"/>
    <w:rsid w:val="00162C5E"/>
    <w:rsid w:val="0017029B"/>
    <w:rsid w:val="00176A8C"/>
    <w:rsid w:val="001826D1"/>
    <w:rsid w:val="001826DF"/>
    <w:rsid w:val="00183590"/>
    <w:rsid w:val="00184289"/>
    <w:rsid w:val="00192046"/>
    <w:rsid w:val="001A13CF"/>
    <w:rsid w:val="001A207B"/>
    <w:rsid w:val="001A338F"/>
    <w:rsid w:val="001B7EC2"/>
    <w:rsid w:val="001C233A"/>
    <w:rsid w:val="001D4B12"/>
    <w:rsid w:val="001D58FE"/>
    <w:rsid w:val="001E259B"/>
    <w:rsid w:val="001E31D5"/>
    <w:rsid w:val="001F26BA"/>
    <w:rsid w:val="001F4E1A"/>
    <w:rsid w:val="001F53C3"/>
    <w:rsid w:val="001F552C"/>
    <w:rsid w:val="0020489C"/>
    <w:rsid w:val="002119C7"/>
    <w:rsid w:val="00211C31"/>
    <w:rsid w:val="00222906"/>
    <w:rsid w:val="00224C60"/>
    <w:rsid w:val="0022602F"/>
    <w:rsid w:val="002264A3"/>
    <w:rsid w:val="002333CB"/>
    <w:rsid w:val="00235FF9"/>
    <w:rsid w:val="002369D7"/>
    <w:rsid w:val="00242FC1"/>
    <w:rsid w:val="00243821"/>
    <w:rsid w:val="00254E6E"/>
    <w:rsid w:val="0027236D"/>
    <w:rsid w:val="0028001A"/>
    <w:rsid w:val="00281FF5"/>
    <w:rsid w:val="00287DB3"/>
    <w:rsid w:val="00292BFB"/>
    <w:rsid w:val="00296D6F"/>
    <w:rsid w:val="002A096E"/>
    <w:rsid w:val="002B6AB0"/>
    <w:rsid w:val="002B6C37"/>
    <w:rsid w:val="002C2B20"/>
    <w:rsid w:val="002C36D2"/>
    <w:rsid w:val="002C4AA1"/>
    <w:rsid w:val="002C7D8C"/>
    <w:rsid w:val="002E27F9"/>
    <w:rsid w:val="002E2E34"/>
    <w:rsid w:val="002E386C"/>
    <w:rsid w:val="002F1521"/>
    <w:rsid w:val="002F24CD"/>
    <w:rsid w:val="002F4B13"/>
    <w:rsid w:val="002F6ECF"/>
    <w:rsid w:val="00302D87"/>
    <w:rsid w:val="00304944"/>
    <w:rsid w:val="003124A2"/>
    <w:rsid w:val="00315465"/>
    <w:rsid w:val="003171A3"/>
    <w:rsid w:val="003204DA"/>
    <w:rsid w:val="00321E08"/>
    <w:rsid w:val="00321EE3"/>
    <w:rsid w:val="00323DCC"/>
    <w:rsid w:val="00323EE2"/>
    <w:rsid w:val="003244A5"/>
    <w:rsid w:val="0033065B"/>
    <w:rsid w:val="00331BFF"/>
    <w:rsid w:val="003346DC"/>
    <w:rsid w:val="003357C8"/>
    <w:rsid w:val="00337C70"/>
    <w:rsid w:val="00337F57"/>
    <w:rsid w:val="00345CEA"/>
    <w:rsid w:val="003510A1"/>
    <w:rsid w:val="00364E21"/>
    <w:rsid w:val="00367AE9"/>
    <w:rsid w:val="00367C79"/>
    <w:rsid w:val="00367FCA"/>
    <w:rsid w:val="0037422B"/>
    <w:rsid w:val="003842EF"/>
    <w:rsid w:val="00384B9E"/>
    <w:rsid w:val="00385D64"/>
    <w:rsid w:val="00386098"/>
    <w:rsid w:val="00392CE2"/>
    <w:rsid w:val="003951F6"/>
    <w:rsid w:val="003955BE"/>
    <w:rsid w:val="00396378"/>
    <w:rsid w:val="003969B2"/>
    <w:rsid w:val="00397FE4"/>
    <w:rsid w:val="003A1A87"/>
    <w:rsid w:val="003A22FC"/>
    <w:rsid w:val="003A5012"/>
    <w:rsid w:val="003B2C24"/>
    <w:rsid w:val="003B3E23"/>
    <w:rsid w:val="003C3235"/>
    <w:rsid w:val="003C729E"/>
    <w:rsid w:val="003D11B6"/>
    <w:rsid w:val="003D38FB"/>
    <w:rsid w:val="003D65AA"/>
    <w:rsid w:val="003D777E"/>
    <w:rsid w:val="003D795E"/>
    <w:rsid w:val="003D7C29"/>
    <w:rsid w:val="003E1CD9"/>
    <w:rsid w:val="003E4E3E"/>
    <w:rsid w:val="003E60AD"/>
    <w:rsid w:val="003F0B43"/>
    <w:rsid w:val="003F20D8"/>
    <w:rsid w:val="003F2FAF"/>
    <w:rsid w:val="003F59B3"/>
    <w:rsid w:val="003F678B"/>
    <w:rsid w:val="004029C6"/>
    <w:rsid w:val="00403DE7"/>
    <w:rsid w:val="00406B6A"/>
    <w:rsid w:val="00406EBA"/>
    <w:rsid w:val="004156C6"/>
    <w:rsid w:val="004169E6"/>
    <w:rsid w:val="0042354B"/>
    <w:rsid w:val="00423E4B"/>
    <w:rsid w:val="004256C8"/>
    <w:rsid w:val="00425922"/>
    <w:rsid w:val="00431839"/>
    <w:rsid w:val="004323A8"/>
    <w:rsid w:val="004360B3"/>
    <w:rsid w:val="00437C84"/>
    <w:rsid w:val="00451E36"/>
    <w:rsid w:val="00454C5E"/>
    <w:rsid w:val="00461205"/>
    <w:rsid w:val="0046376D"/>
    <w:rsid w:val="0046562C"/>
    <w:rsid w:val="00471C05"/>
    <w:rsid w:val="00472393"/>
    <w:rsid w:val="004759A1"/>
    <w:rsid w:val="0048343F"/>
    <w:rsid w:val="004860F9"/>
    <w:rsid w:val="0049000D"/>
    <w:rsid w:val="0049403E"/>
    <w:rsid w:val="004A2926"/>
    <w:rsid w:val="004A7634"/>
    <w:rsid w:val="004A7D9E"/>
    <w:rsid w:val="004B2D47"/>
    <w:rsid w:val="004B31C3"/>
    <w:rsid w:val="004B3590"/>
    <w:rsid w:val="004B456E"/>
    <w:rsid w:val="004C1830"/>
    <w:rsid w:val="004C3BCD"/>
    <w:rsid w:val="004C7AE3"/>
    <w:rsid w:val="004D03F0"/>
    <w:rsid w:val="004D059F"/>
    <w:rsid w:val="004D55F6"/>
    <w:rsid w:val="004E1FC9"/>
    <w:rsid w:val="004F2F3C"/>
    <w:rsid w:val="005010BB"/>
    <w:rsid w:val="00501122"/>
    <w:rsid w:val="00502BA0"/>
    <w:rsid w:val="00503EE3"/>
    <w:rsid w:val="00505B72"/>
    <w:rsid w:val="005072CB"/>
    <w:rsid w:val="00512FC8"/>
    <w:rsid w:val="00513954"/>
    <w:rsid w:val="005171DA"/>
    <w:rsid w:val="005215DB"/>
    <w:rsid w:val="00521B47"/>
    <w:rsid w:val="0052295C"/>
    <w:rsid w:val="00524793"/>
    <w:rsid w:val="0052490D"/>
    <w:rsid w:val="00525D74"/>
    <w:rsid w:val="00526A16"/>
    <w:rsid w:val="00531A1F"/>
    <w:rsid w:val="00535803"/>
    <w:rsid w:val="00536765"/>
    <w:rsid w:val="005369A2"/>
    <w:rsid w:val="005439DC"/>
    <w:rsid w:val="00544F57"/>
    <w:rsid w:val="00552FB6"/>
    <w:rsid w:val="00554D58"/>
    <w:rsid w:val="005552A7"/>
    <w:rsid w:val="00565002"/>
    <w:rsid w:val="00566DC1"/>
    <w:rsid w:val="005703A0"/>
    <w:rsid w:val="00571A9F"/>
    <w:rsid w:val="00573BB0"/>
    <w:rsid w:val="00576375"/>
    <w:rsid w:val="005820E9"/>
    <w:rsid w:val="00594508"/>
    <w:rsid w:val="00596C06"/>
    <w:rsid w:val="005A4F25"/>
    <w:rsid w:val="005A76B2"/>
    <w:rsid w:val="005B2BE0"/>
    <w:rsid w:val="005B31AC"/>
    <w:rsid w:val="005C21ED"/>
    <w:rsid w:val="005C3561"/>
    <w:rsid w:val="005C55E9"/>
    <w:rsid w:val="005C612D"/>
    <w:rsid w:val="005C6EBD"/>
    <w:rsid w:val="005C7B04"/>
    <w:rsid w:val="005D0D81"/>
    <w:rsid w:val="005D18A5"/>
    <w:rsid w:val="005E01D6"/>
    <w:rsid w:val="005E168A"/>
    <w:rsid w:val="005E1BD8"/>
    <w:rsid w:val="005E3200"/>
    <w:rsid w:val="005E4536"/>
    <w:rsid w:val="005E4F28"/>
    <w:rsid w:val="005E504D"/>
    <w:rsid w:val="00603E61"/>
    <w:rsid w:val="00607931"/>
    <w:rsid w:val="00611F0B"/>
    <w:rsid w:val="00614A96"/>
    <w:rsid w:val="00614DEF"/>
    <w:rsid w:val="00617532"/>
    <w:rsid w:val="006269DB"/>
    <w:rsid w:val="00633BD8"/>
    <w:rsid w:val="00634F13"/>
    <w:rsid w:val="006357B5"/>
    <w:rsid w:val="00637F55"/>
    <w:rsid w:val="006402EE"/>
    <w:rsid w:val="00640CE3"/>
    <w:rsid w:val="00647A33"/>
    <w:rsid w:val="006512E4"/>
    <w:rsid w:val="0065427D"/>
    <w:rsid w:val="00665673"/>
    <w:rsid w:val="006668DE"/>
    <w:rsid w:val="00670306"/>
    <w:rsid w:val="00671D94"/>
    <w:rsid w:val="006753DE"/>
    <w:rsid w:val="00682D80"/>
    <w:rsid w:val="0068322B"/>
    <w:rsid w:val="00685906"/>
    <w:rsid w:val="00685C4F"/>
    <w:rsid w:val="00685DC5"/>
    <w:rsid w:val="00692E3B"/>
    <w:rsid w:val="006A165F"/>
    <w:rsid w:val="006A3F7C"/>
    <w:rsid w:val="006A50FA"/>
    <w:rsid w:val="006A6DE5"/>
    <w:rsid w:val="006B0D46"/>
    <w:rsid w:val="006B1A2A"/>
    <w:rsid w:val="006B3F62"/>
    <w:rsid w:val="006B431B"/>
    <w:rsid w:val="006C03F9"/>
    <w:rsid w:val="006C38AC"/>
    <w:rsid w:val="006D118A"/>
    <w:rsid w:val="006E15F0"/>
    <w:rsid w:val="006E68AA"/>
    <w:rsid w:val="006E6C1F"/>
    <w:rsid w:val="006F251F"/>
    <w:rsid w:val="006F5C10"/>
    <w:rsid w:val="00705A8A"/>
    <w:rsid w:val="0070651A"/>
    <w:rsid w:val="00707754"/>
    <w:rsid w:val="00710335"/>
    <w:rsid w:val="00713A24"/>
    <w:rsid w:val="007145AE"/>
    <w:rsid w:val="00715CF8"/>
    <w:rsid w:val="00724A63"/>
    <w:rsid w:val="00725483"/>
    <w:rsid w:val="00725BBC"/>
    <w:rsid w:val="00730688"/>
    <w:rsid w:val="00750829"/>
    <w:rsid w:val="007521C4"/>
    <w:rsid w:val="007562C9"/>
    <w:rsid w:val="007608F1"/>
    <w:rsid w:val="00762D1A"/>
    <w:rsid w:val="007665BC"/>
    <w:rsid w:val="007747B5"/>
    <w:rsid w:val="007756B6"/>
    <w:rsid w:val="00776539"/>
    <w:rsid w:val="00783297"/>
    <w:rsid w:val="007869DD"/>
    <w:rsid w:val="00795A36"/>
    <w:rsid w:val="007B537D"/>
    <w:rsid w:val="007C277B"/>
    <w:rsid w:val="007C2838"/>
    <w:rsid w:val="007C3676"/>
    <w:rsid w:val="007D0DBA"/>
    <w:rsid w:val="007D2D92"/>
    <w:rsid w:val="007D44A4"/>
    <w:rsid w:val="007D7D81"/>
    <w:rsid w:val="007E19BA"/>
    <w:rsid w:val="007E3889"/>
    <w:rsid w:val="007E6046"/>
    <w:rsid w:val="007F2693"/>
    <w:rsid w:val="007F39DB"/>
    <w:rsid w:val="007F3D55"/>
    <w:rsid w:val="007F7514"/>
    <w:rsid w:val="00802C78"/>
    <w:rsid w:val="0080350E"/>
    <w:rsid w:val="0080384C"/>
    <w:rsid w:val="00807E33"/>
    <w:rsid w:val="00811EED"/>
    <w:rsid w:val="00814E02"/>
    <w:rsid w:val="008150AE"/>
    <w:rsid w:val="00815EF2"/>
    <w:rsid w:val="00816DC8"/>
    <w:rsid w:val="0081789D"/>
    <w:rsid w:val="00820F34"/>
    <w:rsid w:val="00823D87"/>
    <w:rsid w:val="00823EDB"/>
    <w:rsid w:val="00825D00"/>
    <w:rsid w:val="00834065"/>
    <w:rsid w:val="00840798"/>
    <w:rsid w:val="00850696"/>
    <w:rsid w:val="00850C4D"/>
    <w:rsid w:val="008538AE"/>
    <w:rsid w:val="008617BF"/>
    <w:rsid w:val="00867366"/>
    <w:rsid w:val="00870240"/>
    <w:rsid w:val="00870BF5"/>
    <w:rsid w:val="00871251"/>
    <w:rsid w:val="008738DD"/>
    <w:rsid w:val="0088768E"/>
    <w:rsid w:val="00887DA4"/>
    <w:rsid w:val="00890CAA"/>
    <w:rsid w:val="0089301F"/>
    <w:rsid w:val="008934E8"/>
    <w:rsid w:val="0089350C"/>
    <w:rsid w:val="0089459E"/>
    <w:rsid w:val="00894852"/>
    <w:rsid w:val="008A6AD7"/>
    <w:rsid w:val="008B0357"/>
    <w:rsid w:val="008B136F"/>
    <w:rsid w:val="008B5D25"/>
    <w:rsid w:val="008B7E14"/>
    <w:rsid w:val="008C161E"/>
    <w:rsid w:val="008C4068"/>
    <w:rsid w:val="008C4BF1"/>
    <w:rsid w:val="008C6267"/>
    <w:rsid w:val="008C6314"/>
    <w:rsid w:val="008D2ADD"/>
    <w:rsid w:val="008D5676"/>
    <w:rsid w:val="008D61FA"/>
    <w:rsid w:val="008E2196"/>
    <w:rsid w:val="008E2AF9"/>
    <w:rsid w:val="008E55AD"/>
    <w:rsid w:val="008E6598"/>
    <w:rsid w:val="008F5A78"/>
    <w:rsid w:val="00901C25"/>
    <w:rsid w:val="009039A1"/>
    <w:rsid w:val="00907194"/>
    <w:rsid w:val="00907EA3"/>
    <w:rsid w:val="00910AFD"/>
    <w:rsid w:val="009157DC"/>
    <w:rsid w:val="00917B65"/>
    <w:rsid w:val="00917F25"/>
    <w:rsid w:val="0092007B"/>
    <w:rsid w:val="00920870"/>
    <w:rsid w:val="00921F2D"/>
    <w:rsid w:val="00923451"/>
    <w:rsid w:val="00927073"/>
    <w:rsid w:val="00927C9D"/>
    <w:rsid w:val="0093136C"/>
    <w:rsid w:val="009350CC"/>
    <w:rsid w:val="00935158"/>
    <w:rsid w:val="00941B1C"/>
    <w:rsid w:val="00943862"/>
    <w:rsid w:val="0094659F"/>
    <w:rsid w:val="00950C11"/>
    <w:rsid w:val="00952161"/>
    <w:rsid w:val="00955807"/>
    <w:rsid w:val="00961B23"/>
    <w:rsid w:val="00964F6C"/>
    <w:rsid w:val="00964F71"/>
    <w:rsid w:val="00965992"/>
    <w:rsid w:val="00967608"/>
    <w:rsid w:val="00971FEF"/>
    <w:rsid w:val="009727DF"/>
    <w:rsid w:val="00972E36"/>
    <w:rsid w:val="00980E0A"/>
    <w:rsid w:val="00982272"/>
    <w:rsid w:val="009826EE"/>
    <w:rsid w:val="0098279A"/>
    <w:rsid w:val="00985B21"/>
    <w:rsid w:val="00987A42"/>
    <w:rsid w:val="009900F5"/>
    <w:rsid w:val="0099525F"/>
    <w:rsid w:val="0099568A"/>
    <w:rsid w:val="0099571D"/>
    <w:rsid w:val="0099613A"/>
    <w:rsid w:val="00997A9B"/>
    <w:rsid w:val="009A432A"/>
    <w:rsid w:val="009B1A43"/>
    <w:rsid w:val="009B64DD"/>
    <w:rsid w:val="009C355D"/>
    <w:rsid w:val="009C4E45"/>
    <w:rsid w:val="009C530F"/>
    <w:rsid w:val="009D0E1A"/>
    <w:rsid w:val="009D423F"/>
    <w:rsid w:val="009D60ED"/>
    <w:rsid w:val="009E02C4"/>
    <w:rsid w:val="009E2925"/>
    <w:rsid w:val="009E2E69"/>
    <w:rsid w:val="009E69B1"/>
    <w:rsid w:val="009E7DD5"/>
    <w:rsid w:val="009F3A14"/>
    <w:rsid w:val="009F62BC"/>
    <w:rsid w:val="009F7163"/>
    <w:rsid w:val="009F741A"/>
    <w:rsid w:val="00A01F34"/>
    <w:rsid w:val="00A02582"/>
    <w:rsid w:val="00A039EA"/>
    <w:rsid w:val="00A111A3"/>
    <w:rsid w:val="00A123C0"/>
    <w:rsid w:val="00A2618F"/>
    <w:rsid w:val="00A32AF2"/>
    <w:rsid w:val="00A366B2"/>
    <w:rsid w:val="00A3672C"/>
    <w:rsid w:val="00A40FD3"/>
    <w:rsid w:val="00A4452D"/>
    <w:rsid w:val="00A5186E"/>
    <w:rsid w:val="00A5480C"/>
    <w:rsid w:val="00A5660B"/>
    <w:rsid w:val="00A57466"/>
    <w:rsid w:val="00A613EB"/>
    <w:rsid w:val="00A6779F"/>
    <w:rsid w:val="00A7061F"/>
    <w:rsid w:val="00A73A38"/>
    <w:rsid w:val="00A843F8"/>
    <w:rsid w:val="00A85BD3"/>
    <w:rsid w:val="00A92D37"/>
    <w:rsid w:val="00AA0AF1"/>
    <w:rsid w:val="00AA21D5"/>
    <w:rsid w:val="00AA35F2"/>
    <w:rsid w:val="00AA39D4"/>
    <w:rsid w:val="00AA5DCC"/>
    <w:rsid w:val="00AA74D4"/>
    <w:rsid w:val="00AB5ED9"/>
    <w:rsid w:val="00AC4652"/>
    <w:rsid w:val="00AD1AF4"/>
    <w:rsid w:val="00AD20EE"/>
    <w:rsid w:val="00AD46AF"/>
    <w:rsid w:val="00AD6325"/>
    <w:rsid w:val="00AD65A4"/>
    <w:rsid w:val="00AE4837"/>
    <w:rsid w:val="00AE5B0E"/>
    <w:rsid w:val="00AE6D77"/>
    <w:rsid w:val="00AE7EF5"/>
    <w:rsid w:val="00AF3F86"/>
    <w:rsid w:val="00AF4095"/>
    <w:rsid w:val="00AF675E"/>
    <w:rsid w:val="00B05BA8"/>
    <w:rsid w:val="00B12BAE"/>
    <w:rsid w:val="00B14BB5"/>
    <w:rsid w:val="00B14DF1"/>
    <w:rsid w:val="00B16523"/>
    <w:rsid w:val="00B20C13"/>
    <w:rsid w:val="00B30896"/>
    <w:rsid w:val="00B31A42"/>
    <w:rsid w:val="00B328DD"/>
    <w:rsid w:val="00B33A5F"/>
    <w:rsid w:val="00B41B6A"/>
    <w:rsid w:val="00B43DC4"/>
    <w:rsid w:val="00B510AB"/>
    <w:rsid w:val="00B547C4"/>
    <w:rsid w:val="00B56B7C"/>
    <w:rsid w:val="00B576DE"/>
    <w:rsid w:val="00B604D3"/>
    <w:rsid w:val="00B649F4"/>
    <w:rsid w:val="00B64FAA"/>
    <w:rsid w:val="00B80832"/>
    <w:rsid w:val="00B84B99"/>
    <w:rsid w:val="00B86C7A"/>
    <w:rsid w:val="00B9177B"/>
    <w:rsid w:val="00B91CDA"/>
    <w:rsid w:val="00B920A0"/>
    <w:rsid w:val="00B9511A"/>
    <w:rsid w:val="00B956D4"/>
    <w:rsid w:val="00BA12D8"/>
    <w:rsid w:val="00BA646E"/>
    <w:rsid w:val="00BC1A4A"/>
    <w:rsid w:val="00BC29A6"/>
    <w:rsid w:val="00BC31B0"/>
    <w:rsid w:val="00BD0E64"/>
    <w:rsid w:val="00BD5E2C"/>
    <w:rsid w:val="00BD61B9"/>
    <w:rsid w:val="00BE5B21"/>
    <w:rsid w:val="00BF2AD5"/>
    <w:rsid w:val="00C0044D"/>
    <w:rsid w:val="00C016BC"/>
    <w:rsid w:val="00C05AD7"/>
    <w:rsid w:val="00C06551"/>
    <w:rsid w:val="00C06D31"/>
    <w:rsid w:val="00C07D70"/>
    <w:rsid w:val="00C10899"/>
    <w:rsid w:val="00C13E1D"/>
    <w:rsid w:val="00C16086"/>
    <w:rsid w:val="00C211A3"/>
    <w:rsid w:val="00C21A69"/>
    <w:rsid w:val="00C21F6B"/>
    <w:rsid w:val="00C254B2"/>
    <w:rsid w:val="00C4495A"/>
    <w:rsid w:val="00C44A89"/>
    <w:rsid w:val="00C45EFA"/>
    <w:rsid w:val="00C51780"/>
    <w:rsid w:val="00C53496"/>
    <w:rsid w:val="00C53E21"/>
    <w:rsid w:val="00C56B15"/>
    <w:rsid w:val="00C60C16"/>
    <w:rsid w:val="00C61462"/>
    <w:rsid w:val="00C72621"/>
    <w:rsid w:val="00C72B9A"/>
    <w:rsid w:val="00C7675D"/>
    <w:rsid w:val="00C81F1E"/>
    <w:rsid w:val="00C823A7"/>
    <w:rsid w:val="00C865B0"/>
    <w:rsid w:val="00C92B57"/>
    <w:rsid w:val="00CA7DC6"/>
    <w:rsid w:val="00CA7F5B"/>
    <w:rsid w:val="00CB6AAF"/>
    <w:rsid w:val="00CB71B8"/>
    <w:rsid w:val="00CB75FB"/>
    <w:rsid w:val="00CB7B0C"/>
    <w:rsid w:val="00CC061D"/>
    <w:rsid w:val="00CC0AB2"/>
    <w:rsid w:val="00CC7D21"/>
    <w:rsid w:val="00CD299D"/>
    <w:rsid w:val="00CD320E"/>
    <w:rsid w:val="00CD5027"/>
    <w:rsid w:val="00CE2DC5"/>
    <w:rsid w:val="00CE3E8D"/>
    <w:rsid w:val="00CE7387"/>
    <w:rsid w:val="00CF450E"/>
    <w:rsid w:val="00D04983"/>
    <w:rsid w:val="00D06D60"/>
    <w:rsid w:val="00D109D4"/>
    <w:rsid w:val="00D16249"/>
    <w:rsid w:val="00D207FD"/>
    <w:rsid w:val="00D25C03"/>
    <w:rsid w:val="00D30067"/>
    <w:rsid w:val="00D31E8F"/>
    <w:rsid w:val="00D323F9"/>
    <w:rsid w:val="00D3657C"/>
    <w:rsid w:val="00D37C0D"/>
    <w:rsid w:val="00D43356"/>
    <w:rsid w:val="00D43D7F"/>
    <w:rsid w:val="00D5022E"/>
    <w:rsid w:val="00D51A86"/>
    <w:rsid w:val="00D61B78"/>
    <w:rsid w:val="00D62E82"/>
    <w:rsid w:val="00D64B6D"/>
    <w:rsid w:val="00D652AF"/>
    <w:rsid w:val="00D66016"/>
    <w:rsid w:val="00D70CD3"/>
    <w:rsid w:val="00D70F2C"/>
    <w:rsid w:val="00D7141B"/>
    <w:rsid w:val="00D75E61"/>
    <w:rsid w:val="00D77641"/>
    <w:rsid w:val="00D823E1"/>
    <w:rsid w:val="00D8580B"/>
    <w:rsid w:val="00D87DD6"/>
    <w:rsid w:val="00D94CA1"/>
    <w:rsid w:val="00D97679"/>
    <w:rsid w:val="00DA3B85"/>
    <w:rsid w:val="00DB0EB6"/>
    <w:rsid w:val="00DB729F"/>
    <w:rsid w:val="00DC1992"/>
    <w:rsid w:val="00DC224C"/>
    <w:rsid w:val="00DC6821"/>
    <w:rsid w:val="00DD090F"/>
    <w:rsid w:val="00DD511F"/>
    <w:rsid w:val="00DE120F"/>
    <w:rsid w:val="00DE18BF"/>
    <w:rsid w:val="00DE4316"/>
    <w:rsid w:val="00DF4237"/>
    <w:rsid w:val="00E00F65"/>
    <w:rsid w:val="00E05689"/>
    <w:rsid w:val="00E05801"/>
    <w:rsid w:val="00E05CE5"/>
    <w:rsid w:val="00E06136"/>
    <w:rsid w:val="00E102B0"/>
    <w:rsid w:val="00E114A8"/>
    <w:rsid w:val="00E14C34"/>
    <w:rsid w:val="00E20877"/>
    <w:rsid w:val="00E21BC6"/>
    <w:rsid w:val="00E2222D"/>
    <w:rsid w:val="00E251C8"/>
    <w:rsid w:val="00E25235"/>
    <w:rsid w:val="00E27B1D"/>
    <w:rsid w:val="00E37758"/>
    <w:rsid w:val="00E4423C"/>
    <w:rsid w:val="00E44514"/>
    <w:rsid w:val="00E4606F"/>
    <w:rsid w:val="00E56B5E"/>
    <w:rsid w:val="00E61069"/>
    <w:rsid w:val="00E62E0D"/>
    <w:rsid w:val="00E648AE"/>
    <w:rsid w:val="00E64A0E"/>
    <w:rsid w:val="00E7051A"/>
    <w:rsid w:val="00E73319"/>
    <w:rsid w:val="00E76309"/>
    <w:rsid w:val="00E82175"/>
    <w:rsid w:val="00E8363B"/>
    <w:rsid w:val="00E929F2"/>
    <w:rsid w:val="00EA007C"/>
    <w:rsid w:val="00EA15AA"/>
    <w:rsid w:val="00EA48C6"/>
    <w:rsid w:val="00EA5D1B"/>
    <w:rsid w:val="00EA6EB3"/>
    <w:rsid w:val="00EB4C17"/>
    <w:rsid w:val="00EB5DF2"/>
    <w:rsid w:val="00EB5F80"/>
    <w:rsid w:val="00EB75D7"/>
    <w:rsid w:val="00EB7E9E"/>
    <w:rsid w:val="00EC2050"/>
    <w:rsid w:val="00EC30C2"/>
    <w:rsid w:val="00EC69E3"/>
    <w:rsid w:val="00ED1463"/>
    <w:rsid w:val="00ED2CCD"/>
    <w:rsid w:val="00ED3168"/>
    <w:rsid w:val="00ED449B"/>
    <w:rsid w:val="00ED46FB"/>
    <w:rsid w:val="00ED4704"/>
    <w:rsid w:val="00ED69D6"/>
    <w:rsid w:val="00EE16E9"/>
    <w:rsid w:val="00EE1F13"/>
    <w:rsid w:val="00EE29E0"/>
    <w:rsid w:val="00EF17D8"/>
    <w:rsid w:val="00F039D3"/>
    <w:rsid w:val="00F11697"/>
    <w:rsid w:val="00F12A2C"/>
    <w:rsid w:val="00F17F91"/>
    <w:rsid w:val="00F2000D"/>
    <w:rsid w:val="00F20347"/>
    <w:rsid w:val="00F22C29"/>
    <w:rsid w:val="00F23DC8"/>
    <w:rsid w:val="00F3073C"/>
    <w:rsid w:val="00F30764"/>
    <w:rsid w:val="00F30BD3"/>
    <w:rsid w:val="00F37732"/>
    <w:rsid w:val="00F472AA"/>
    <w:rsid w:val="00F47872"/>
    <w:rsid w:val="00F532F5"/>
    <w:rsid w:val="00F5358B"/>
    <w:rsid w:val="00F53FC2"/>
    <w:rsid w:val="00F57DA6"/>
    <w:rsid w:val="00F616CE"/>
    <w:rsid w:val="00F63858"/>
    <w:rsid w:val="00F657DF"/>
    <w:rsid w:val="00F712B3"/>
    <w:rsid w:val="00F81132"/>
    <w:rsid w:val="00F8460A"/>
    <w:rsid w:val="00F848E9"/>
    <w:rsid w:val="00F84979"/>
    <w:rsid w:val="00F90C40"/>
    <w:rsid w:val="00F91D95"/>
    <w:rsid w:val="00FC02B4"/>
    <w:rsid w:val="00FC13E7"/>
    <w:rsid w:val="00FD46E0"/>
    <w:rsid w:val="00FD4741"/>
    <w:rsid w:val="00FD746A"/>
    <w:rsid w:val="00FD7C09"/>
    <w:rsid w:val="00FE2C18"/>
    <w:rsid w:val="00FE4A25"/>
    <w:rsid w:val="00FE4E49"/>
    <w:rsid w:val="00FE74D1"/>
    <w:rsid w:val="00FE764B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>
      <o:colormru v:ext="edit" colors="#0096b2,#3c3c3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A1"/>
    <w:pPr>
      <w:widowControl w:val="0"/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paragraph" w:styleId="1">
    <w:name w:val="heading 1"/>
    <w:basedOn w:val="a"/>
    <w:next w:val="a"/>
    <w:link w:val="10"/>
    <w:uiPriority w:val="9"/>
    <w:qFormat/>
    <w:rsid w:val="00F22C29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Cambria" w:eastAsia="新細明體" w:hAnsi="Cambria"/>
      <w:b/>
      <w:bCs/>
      <w:i/>
      <w:iCs/>
      <w:spacing w:val="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2"/>
    </w:pPr>
    <w:rPr>
      <w:rFonts w:ascii="Cambria" w:eastAsia="新細明體" w:hAnsi="Cambria"/>
      <w:b/>
      <w:bCs/>
      <w:spacing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3"/>
    </w:pPr>
    <w:rPr>
      <w:rFonts w:ascii="Calibri" w:eastAsia="新細明體" w:hAnsi="Calibri"/>
      <w:b/>
      <w:bCs/>
      <w:spacing w:val="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Calibri" w:eastAsia="新細明體" w:hAnsi="Calibri"/>
      <w:b/>
      <w:bCs/>
      <w:i/>
      <w:iCs/>
      <w:spacing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rFonts w:ascii="Calibri" w:eastAsia="新細明體" w:hAnsi="Calibri"/>
      <w:b/>
      <w:bCs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6"/>
    </w:pPr>
    <w:rPr>
      <w:rFonts w:ascii="Calibri" w:eastAsia="新細明體" w:hAnsi="Calibri"/>
      <w:spacing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7"/>
    </w:pPr>
    <w:rPr>
      <w:rFonts w:ascii="Calibri" w:eastAsia="新細明體" w:hAnsi="Calibri"/>
      <w:i/>
      <w:iCs/>
      <w:spacing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ascii="Cambria" w:eastAsia="新細明體" w:hAnsi="Cambria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</w:rPr>
  </w:style>
  <w:style w:type="paragraph" w:customStyle="1" w:styleId="k12">
    <w:name w:val="k12"/>
    <w:link w:val="k120"/>
    <w:rsid w:val="00596C06"/>
    <w:pPr>
      <w:widowControl w:val="0"/>
      <w:overflowPunct w:val="0"/>
      <w:autoSpaceDE w:val="0"/>
      <w:autoSpaceDN w:val="0"/>
      <w:spacing w:line="420" w:lineRule="exact"/>
      <w:ind w:leftChars="100" w:left="10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2">
    <w:name w:val="k22"/>
    <w:link w:val="k220"/>
    <w:rsid w:val="00F63858"/>
    <w:pPr>
      <w:widowControl w:val="0"/>
      <w:overflowPunct w:val="0"/>
      <w:autoSpaceDE w:val="0"/>
      <w:autoSpaceDN w:val="0"/>
      <w:spacing w:line="420" w:lineRule="exact"/>
      <w:ind w:leftChars="280" w:left="28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32">
    <w:name w:val="k32"/>
    <w:rsid w:val="00EB75D7"/>
    <w:pPr>
      <w:widowControl w:val="0"/>
      <w:overflowPunct w:val="0"/>
      <w:autoSpaceDE w:val="0"/>
      <w:autoSpaceDN w:val="0"/>
      <w:spacing w:line="420" w:lineRule="exact"/>
      <w:ind w:leftChars="380" w:left="380" w:firstLineChars="210" w:firstLine="210"/>
      <w:jc w:val="both"/>
      <w:textAlignment w:val="center"/>
    </w:pPr>
    <w:rPr>
      <w:rFonts w:eastAsia="標楷體"/>
      <w:spacing w:val="4"/>
      <w:sz w:val="28"/>
    </w:rPr>
  </w:style>
  <w:style w:type="paragraph" w:customStyle="1" w:styleId="k42">
    <w:name w:val="k42"/>
    <w:rsid w:val="00EB75D7"/>
    <w:pPr>
      <w:widowControl w:val="0"/>
      <w:overflowPunct w:val="0"/>
      <w:autoSpaceDE w:val="0"/>
      <w:autoSpaceDN w:val="0"/>
      <w:spacing w:line="420" w:lineRule="exact"/>
      <w:ind w:leftChars="480" w:left="480" w:firstLineChars="200" w:firstLine="200"/>
      <w:jc w:val="both"/>
      <w:textAlignment w:val="center"/>
    </w:pPr>
    <w:rPr>
      <w:rFonts w:eastAsia="標楷體"/>
      <w:spacing w:val="4"/>
      <w:sz w:val="28"/>
    </w:rPr>
  </w:style>
  <w:style w:type="paragraph" w:customStyle="1" w:styleId="k52">
    <w:name w:val="k52"/>
    <w:rsid w:val="00EB75D7"/>
    <w:pPr>
      <w:widowControl w:val="0"/>
      <w:overflowPunct w:val="0"/>
      <w:autoSpaceDE w:val="0"/>
      <w:autoSpaceDN w:val="0"/>
      <w:spacing w:line="420" w:lineRule="exact"/>
      <w:ind w:leftChars="580" w:left="580" w:firstLineChars="200" w:firstLine="200"/>
      <w:jc w:val="both"/>
      <w:textAlignment w:val="center"/>
    </w:pPr>
    <w:rPr>
      <w:rFonts w:eastAsia="標楷體"/>
      <w:iCs/>
      <w:spacing w:val="4"/>
      <w:sz w:val="28"/>
    </w:rPr>
  </w:style>
  <w:style w:type="paragraph" w:customStyle="1" w:styleId="k2a">
    <w:name w:val="k2a"/>
    <w:link w:val="k2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eastAsia="標楷體"/>
      <w:spacing w:val="4"/>
      <w:sz w:val="28"/>
    </w:rPr>
  </w:style>
  <w:style w:type="paragraph" w:customStyle="1" w:styleId="k3a">
    <w:name w:val="k3a"/>
    <w:link w:val="k3a0"/>
    <w:rsid w:val="005E4F2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80" w:hangingChars="80" w:hanging="80"/>
      <w:jc w:val="both"/>
      <w:textAlignment w:val="center"/>
      <w:outlineLvl w:val="6"/>
    </w:pPr>
    <w:rPr>
      <w:rFonts w:eastAsia="標楷體"/>
      <w:spacing w:val="4"/>
      <w:sz w:val="28"/>
      <w:szCs w:val="26"/>
    </w:rPr>
  </w:style>
  <w:style w:type="paragraph" w:customStyle="1" w:styleId="k4a">
    <w:name w:val="k4a"/>
    <w:link w:val="k4a0"/>
    <w:rsid w:val="00281FF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80" w:left="380" w:hangingChars="140" w:hanging="102"/>
      <w:jc w:val="both"/>
      <w:textAlignment w:val="center"/>
      <w:outlineLvl w:val="7"/>
    </w:pPr>
    <w:rPr>
      <w:rFonts w:eastAsia="標楷體"/>
      <w:spacing w:val="4"/>
      <w:sz w:val="28"/>
    </w:rPr>
  </w:style>
  <w:style w:type="paragraph" w:customStyle="1" w:styleId="k5a">
    <w:name w:val="k5a"/>
    <w:rsid w:val="00F63858"/>
    <w:pPr>
      <w:widowControl w:val="0"/>
      <w:overflowPunct w:val="0"/>
      <w:autoSpaceDE w:val="0"/>
      <w:autoSpaceDN w:val="0"/>
      <w:spacing w:line="420" w:lineRule="exact"/>
      <w:ind w:leftChars="520" w:left="52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420" w:lineRule="exact"/>
      <w:ind w:left="90" w:hangingChars="90" w:hanging="90"/>
      <w:jc w:val="both"/>
      <w:textAlignment w:val="center"/>
      <w:outlineLvl w:val="4"/>
    </w:pPr>
    <w:rPr>
      <w:rFonts w:eastAsia="標楷體"/>
      <w:b/>
      <w:spacing w:val="4"/>
      <w:sz w:val="28"/>
    </w:rPr>
  </w:style>
  <w:style w:type="paragraph" w:styleId="a3">
    <w:name w:val="footer"/>
    <w:link w:val="a4"/>
    <w:rsid w:val="00DE120F"/>
    <w:pPr>
      <w:tabs>
        <w:tab w:val="center" w:pos="4153"/>
        <w:tab w:val="right" w:pos="8306"/>
      </w:tabs>
    </w:pPr>
    <w:rPr>
      <w:rFonts w:eastAsia="標楷體"/>
      <w:spacing w:val="4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character" w:styleId="a5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6">
    <w:name w:val="header"/>
    <w:basedOn w:val="a"/>
    <w:rsid w:val="00F22C29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5E4F2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z w:val="32"/>
    </w:rPr>
  </w:style>
  <w:style w:type="paragraph" w:customStyle="1" w:styleId="a7">
    <w:name w:val="圖表名稱"/>
    <w:link w:val="a8"/>
    <w:rsid w:val="008738DD"/>
    <w:pPr>
      <w:widowControl w:val="0"/>
      <w:overflowPunct w:val="0"/>
      <w:autoSpaceDE w:val="0"/>
      <w:autoSpaceDN w:val="0"/>
      <w:adjustRightInd w:val="0"/>
      <w:snapToGrid w:val="0"/>
      <w:spacing w:beforeLines="100" w:afterLines="100" w:line="280" w:lineRule="exact"/>
      <w:jc w:val="center"/>
      <w:textAlignment w:val="center"/>
    </w:pPr>
    <w:rPr>
      <w:rFonts w:eastAsia="標楷體"/>
      <w:b/>
      <w:sz w:val="25"/>
    </w:rPr>
  </w:style>
  <w:style w:type="paragraph" w:customStyle="1" w:styleId="k00t15">
    <w:name w:val="k00t15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pacing w:val="10"/>
      <w:sz w:val="30"/>
      <w:szCs w:val="28"/>
    </w:rPr>
  </w:style>
  <w:style w:type="character" w:customStyle="1" w:styleId="k4a0">
    <w:name w:val="k4a 字元"/>
    <w:link w:val="k4a"/>
    <w:rsid w:val="00281FF5"/>
    <w:rPr>
      <w:rFonts w:eastAsia="標楷體"/>
      <w:spacing w:val="4"/>
      <w:sz w:val="28"/>
    </w:rPr>
  </w:style>
  <w:style w:type="paragraph" w:customStyle="1" w:styleId="t12">
    <w:name w:val="t12新細明"/>
    <w:rsid w:val="004B456E"/>
    <w:pPr>
      <w:widowControl w:val="0"/>
      <w:overflowPunct w:val="0"/>
      <w:autoSpaceDE w:val="0"/>
      <w:autoSpaceDN w:val="0"/>
      <w:spacing w:beforeLines="100" w:afterLines="50" w:line="360" w:lineRule="exact"/>
      <w:jc w:val="center"/>
      <w:textAlignment w:val="center"/>
    </w:pPr>
    <w:rPr>
      <w:rFonts w:ascii="新細明體" w:eastAsia="新細明體" w:hAnsi="新細明體"/>
      <w:b/>
      <w:spacing w:val="14"/>
      <w:sz w:val="24"/>
      <w:szCs w:val="24"/>
    </w:rPr>
  </w:style>
  <w:style w:type="paragraph" w:customStyle="1" w:styleId="t11">
    <w:name w:val="t11新細明"/>
    <w:rsid w:val="004B456E"/>
    <w:pPr>
      <w:widowControl w:val="0"/>
      <w:overflowPunct w:val="0"/>
      <w:autoSpaceDE w:val="0"/>
      <w:autoSpaceDN w:val="0"/>
      <w:spacing w:line="400" w:lineRule="exact"/>
      <w:ind w:leftChars="30" w:left="30" w:rightChars="30" w:right="30" w:firstLineChars="200" w:firstLine="200"/>
      <w:jc w:val="both"/>
      <w:textAlignment w:val="center"/>
    </w:pPr>
    <w:rPr>
      <w:rFonts w:ascii="新細明體" w:eastAsia="新細明體" w:hAnsi="新細明體"/>
      <w:bCs/>
      <w:spacing w:val="8"/>
      <w:sz w:val="22"/>
    </w:rPr>
  </w:style>
  <w:style w:type="paragraph" w:customStyle="1" w:styleId="a9">
    <w:name w:val="框內圖表資料來源"/>
    <w:rsid w:val="00367C79"/>
    <w:pPr>
      <w:widowControl w:val="0"/>
      <w:overflowPunct w:val="0"/>
      <w:autoSpaceDE w:val="0"/>
      <w:autoSpaceDN w:val="0"/>
      <w:spacing w:beforeLines="50" w:afterLines="50" w:line="400" w:lineRule="atLeast"/>
      <w:ind w:left="500" w:hangingChars="500" w:hanging="500"/>
      <w:jc w:val="both"/>
      <w:textAlignment w:val="center"/>
    </w:pPr>
    <w:rPr>
      <w:rFonts w:ascii="新細明體" w:eastAsia="新細明體" w:hAnsi="新細明體"/>
      <w:color w:val="000000"/>
      <w:spacing w:val="-2"/>
    </w:rPr>
  </w:style>
  <w:style w:type="paragraph" w:customStyle="1" w:styleId="aa">
    <w:name w:val="表格註"/>
    <w:rsid w:val="00013857"/>
    <w:pPr>
      <w:widowControl w:val="0"/>
      <w:overflowPunct w:val="0"/>
      <w:autoSpaceDE w:val="0"/>
      <w:autoSpaceDN w:val="0"/>
      <w:spacing w:beforeLines="10" w:line="240" w:lineRule="exact"/>
      <w:ind w:leftChars="290" w:left="490" w:hangingChars="200" w:hanging="2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ab">
    <w:name w:val="表格資料來源"/>
    <w:rsid w:val="00CB71B8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c">
    <w:name w:val="圖表資料來源"/>
    <w:rsid w:val="00CB71B8"/>
    <w:pPr>
      <w:widowControl w:val="0"/>
      <w:overflowPunct w:val="0"/>
      <w:autoSpaceDE w:val="0"/>
      <w:autoSpaceDN w:val="0"/>
      <w:spacing w:beforeLines="50" w:after="120" w:line="280" w:lineRule="exact"/>
      <w:ind w:leftChars="200" w:left="700" w:hangingChars="500" w:hanging="500"/>
      <w:jc w:val="both"/>
      <w:textAlignment w:val="center"/>
    </w:pPr>
    <w:rPr>
      <w:rFonts w:eastAsia="標楷體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d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EB75D7"/>
    <w:rPr>
      <w:rFonts w:eastAsia="標楷體"/>
      <w:spacing w:val="4"/>
      <w:sz w:val="28"/>
      <w:lang w:val="en-US" w:eastAsia="zh-TW" w:bidi="ar-SA"/>
    </w:rPr>
  </w:style>
  <w:style w:type="paragraph" w:customStyle="1" w:styleId="k00t14">
    <w:name w:val="k00t14"/>
    <w:rsid w:val="00A5660B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character" w:customStyle="1" w:styleId="k3a0">
    <w:name w:val="k3a 字元"/>
    <w:link w:val="k3a"/>
    <w:rsid w:val="00EB75D7"/>
    <w:rPr>
      <w:rFonts w:eastAsia="標楷體"/>
      <w:spacing w:val="4"/>
      <w:sz w:val="28"/>
      <w:szCs w:val="26"/>
      <w:lang w:val="en-US" w:eastAsia="zh-TW" w:bidi="ar-SA"/>
    </w:rPr>
  </w:style>
  <w:style w:type="character" w:customStyle="1" w:styleId="k1a0">
    <w:name w:val="k1a 字元"/>
    <w:link w:val="k1a"/>
    <w:rsid w:val="00EB75D7"/>
    <w:rPr>
      <w:rFonts w:eastAsia="標楷體"/>
      <w:b/>
      <w:spacing w:val="4"/>
      <w:sz w:val="28"/>
      <w:lang w:val="en-US" w:eastAsia="zh-TW" w:bidi="ar-SA"/>
    </w:rPr>
  </w:style>
  <w:style w:type="paragraph" w:customStyle="1" w:styleId="ae">
    <w:name w:val="字元 字元"/>
    <w:basedOn w:val="a"/>
    <w:semiHidden/>
    <w:rsid w:val="00A5660B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k220">
    <w:name w:val="k22 字元"/>
    <w:link w:val="k22"/>
    <w:rsid w:val="00F63858"/>
    <w:rPr>
      <w:rFonts w:eastAsia="標楷體"/>
      <w:spacing w:val="4"/>
      <w:sz w:val="28"/>
      <w:szCs w:val="26"/>
    </w:rPr>
  </w:style>
  <w:style w:type="paragraph" w:customStyle="1" w:styleId="af">
    <w:name w:val="字元 字元"/>
    <w:basedOn w:val="a"/>
    <w:semiHidden/>
    <w:rsid w:val="00A843F8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20">
    <w:name w:val="標題 2 字元"/>
    <w:basedOn w:val="a0"/>
    <w:link w:val="2"/>
    <w:uiPriority w:val="9"/>
    <w:semiHidden/>
    <w:rsid w:val="003510A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10A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510A1"/>
    <w:rPr>
      <w:rFonts w:ascii="Calibri" w:eastAsia="新細明體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510A1"/>
    <w:rPr>
      <w:rFonts w:ascii="Calibri" w:eastAsia="新細明體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510A1"/>
    <w:rPr>
      <w:rFonts w:ascii="Calibri" w:eastAsia="新細明體" w:hAnsi="Calibri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3510A1"/>
    <w:rPr>
      <w:rFonts w:ascii="Calibri" w:eastAsia="新細明體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510A1"/>
    <w:rPr>
      <w:rFonts w:ascii="Calibri" w:eastAsia="新細明體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510A1"/>
    <w:rPr>
      <w:rFonts w:ascii="Cambria" w:eastAsia="新細明體" w:hAnsi="Cambria"/>
      <w:sz w:val="22"/>
      <w:szCs w:val="22"/>
    </w:rPr>
  </w:style>
  <w:style w:type="character" w:customStyle="1" w:styleId="10">
    <w:name w:val="標題 1 字元"/>
    <w:link w:val="1"/>
    <w:uiPriority w:val="9"/>
    <w:rsid w:val="003510A1"/>
    <w:rPr>
      <w:rFonts w:ascii="Arial" w:eastAsia="新細明體" w:hAnsi="Arial"/>
      <w:b/>
      <w:spacing w:val="4"/>
      <w:kern w:val="52"/>
      <w:sz w:val="52"/>
    </w:rPr>
  </w:style>
  <w:style w:type="paragraph" w:styleId="af0">
    <w:name w:val="Title"/>
    <w:basedOn w:val="a"/>
    <w:next w:val="a"/>
    <w:link w:val="af1"/>
    <w:uiPriority w:val="10"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8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3510A1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3510A1"/>
    <w:pPr>
      <w:widowControl/>
      <w:overflowPunct/>
      <w:autoSpaceDE/>
      <w:autoSpaceDN/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spacing w:val="0"/>
      <w:sz w:val="24"/>
      <w:szCs w:val="24"/>
    </w:rPr>
  </w:style>
  <w:style w:type="character" w:customStyle="1" w:styleId="af3">
    <w:name w:val="副標題 字元"/>
    <w:basedOn w:val="a0"/>
    <w:link w:val="af2"/>
    <w:uiPriority w:val="11"/>
    <w:rsid w:val="003510A1"/>
    <w:rPr>
      <w:rFonts w:ascii="Cambria" w:eastAsia="新細明體" w:hAnsi="Cambria"/>
      <w:sz w:val="24"/>
      <w:szCs w:val="24"/>
    </w:rPr>
  </w:style>
  <w:style w:type="character" w:styleId="af4">
    <w:name w:val="Strong"/>
    <w:uiPriority w:val="22"/>
    <w:qFormat/>
    <w:rsid w:val="003510A1"/>
    <w:rPr>
      <w:b/>
      <w:bCs/>
    </w:rPr>
  </w:style>
  <w:style w:type="character" w:styleId="af5">
    <w:name w:val="Emphasis"/>
    <w:uiPriority w:val="20"/>
    <w:qFormat/>
    <w:rsid w:val="003510A1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spacing w:val="0"/>
      <w:sz w:val="24"/>
      <w:szCs w:val="32"/>
    </w:rPr>
  </w:style>
  <w:style w:type="paragraph" w:styleId="af7">
    <w:name w:val="List Paragraph"/>
    <w:basedOn w:val="a"/>
    <w:uiPriority w:val="34"/>
    <w:qFormat/>
    <w:rsid w:val="003510A1"/>
    <w:pPr>
      <w:widowControl/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af8">
    <w:name w:val="Quote"/>
    <w:basedOn w:val="a"/>
    <w:next w:val="a"/>
    <w:link w:val="af9"/>
    <w:uiPriority w:val="29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i/>
      <w:spacing w:val="0"/>
      <w:sz w:val="24"/>
      <w:szCs w:val="24"/>
    </w:rPr>
  </w:style>
  <w:style w:type="character" w:customStyle="1" w:styleId="af9">
    <w:name w:val="引文 字元"/>
    <w:basedOn w:val="a0"/>
    <w:link w:val="af8"/>
    <w:uiPriority w:val="29"/>
    <w:rsid w:val="003510A1"/>
    <w:rPr>
      <w:rFonts w:ascii="Calibri" w:eastAsia="新細明體" w:hAnsi="Calibri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3510A1"/>
    <w:pPr>
      <w:widowControl/>
      <w:overflowPunct/>
      <w:autoSpaceDE/>
      <w:autoSpaceDN/>
      <w:adjustRightInd/>
      <w:spacing w:line="240" w:lineRule="auto"/>
      <w:ind w:left="720" w:right="720"/>
      <w:jc w:val="left"/>
      <w:textAlignment w:val="auto"/>
    </w:pPr>
    <w:rPr>
      <w:rFonts w:ascii="Calibri" w:eastAsia="新細明體" w:hAnsi="Calibri"/>
      <w:b/>
      <w:i/>
      <w:spacing w:val="0"/>
      <w:sz w:val="24"/>
      <w:szCs w:val="22"/>
    </w:rPr>
  </w:style>
  <w:style w:type="character" w:customStyle="1" w:styleId="afb">
    <w:name w:val="鮮明引文 字元"/>
    <w:basedOn w:val="a0"/>
    <w:link w:val="afa"/>
    <w:uiPriority w:val="30"/>
    <w:rsid w:val="003510A1"/>
    <w:rPr>
      <w:rFonts w:ascii="Calibri" w:eastAsia="新細明體" w:hAnsi="Calibri"/>
      <w:b/>
      <w:i/>
      <w:sz w:val="24"/>
      <w:szCs w:val="22"/>
    </w:rPr>
  </w:style>
  <w:style w:type="character" w:styleId="afc">
    <w:name w:val="Subtle Emphasis"/>
    <w:uiPriority w:val="19"/>
    <w:qFormat/>
    <w:rsid w:val="003510A1"/>
    <w:rPr>
      <w:i/>
      <w:color w:val="5A5A5A"/>
    </w:rPr>
  </w:style>
  <w:style w:type="character" w:styleId="afd">
    <w:name w:val="Intense Emphasis"/>
    <w:uiPriority w:val="21"/>
    <w:qFormat/>
    <w:rsid w:val="003510A1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3510A1"/>
    <w:rPr>
      <w:sz w:val="24"/>
      <w:szCs w:val="24"/>
      <w:u w:val="single"/>
    </w:rPr>
  </w:style>
  <w:style w:type="character" w:styleId="aff">
    <w:name w:val="Intense Reference"/>
    <w:uiPriority w:val="32"/>
    <w:qFormat/>
    <w:rsid w:val="003510A1"/>
    <w:rPr>
      <w:b/>
      <w:sz w:val="24"/>
      <w:u w:val="single"/>
    </w:rPr>
  </w:style>
  <w:style w:type="character" w:styleId="aff0">
    <w:name w:val="Book Title"/>
    <w:uiPriority w:val="33"/>
    <w:qFormat/>
    <w:rsid w:val="003510A1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aff2">
    <w:name w:val="Balloon Text"/>
    <w:basedOn w:val="a"/>
    <w:link w:val="aff3"/>
    <w:uiPriority w:val="99"/>
    <w:semiHidden/>
    <w:unhideWhenUsed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mbria" w:eastAsia="新細明體" w:hAnsi="Cambria"/>
      <w:spacing w:val="0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3510A1"/>
    <w:rPr>
      <w:rFonts w:ascii="Cambria" w:eastAsia="新細明體" w:hAnsi="Cambria"/>
      <w:sz w:val="18"/>
      <w:szCs w:val="18"/>
    </w:rPr>
  </w:style>
  <w:style w:type="character" w:customStyle="1" w:styleId="a4">
    <w:name w:val="頁尾 字元"/>
    <w:basedOn w:val="a0"/>
    <w:link w:val="a3"/>
    <w:rsid w:val="00DE120F"/>
    <w:rPr>
      <w:rFonts w:eastAsia="標楷體"/>
      <w:spacing w:val="4"/>
    </w:rPr>
  </w:style>
  <w:style w:type="character" w:styleId="aff4">
    <w:name w:val="Hyperlink"/>
    <w:basedOn w:val="a0"/>
    <w:uiPriority w:val="99"/>
    <w:unhideWhenUsed/>
    <w:rsid w:val="003510A1"/>
    <w:rPr>
      <w:color w:val="0000FF" w:themeColor="hyperlink"/>
      <w:u w:val="single"/>
    </w:rPr>
  </w:style>
  <w:style w:type="paragraph" w:styleId="aff5">
    <w:name w:val="footnote text"/>
    <w:basedOn w:val="a"/>
    <w:link w:val="aff6"/>
    <w:semiHidden/>
    <w:unhideWhenUsed/>
    <w:rsid w:val="001D58FE"/>
    <w:pPr>
      <w:snapToGrid w:val="0"/>
      <w:jc w:val="left"/>
    </w:pPr>
    <w:rPr>
      <w:sz w:val="20"/>
    </w:rPr>
  </w:style>
  <w:style w:type="character" w:customStyle="1" w:styleId="aff6">
    <w:name w:val="註腳文字 字元"/>
    <w:basedOn w:val="a0"/>
    <w:link w:val="aff5"/>
    <w:semiHidden/>
    <w:rsid w:val="001D58FE"/>
    <w:rPr>
      <w:rFonts w:eastAsia="標楷體"/>
      <w:spacing w:val="4"/>
    </w:rPr>
  </w:style>
  <w:style w:type="character" w:styleId="aff7">
    <w:name w:val="footnote reference"/>
    <w:basedOn w:val="a0"/>
    <w:semiHidden/>
    <w:unhideWhenUsed/>
    <w:rsid w:val="001D58FE"/>
    <w:rPr>
      <w:vertAlign w:val="superscript"/>
    </w:rPr>
  </w:style>
  <w:style w:type="character" w:customStyle="1" w:styleId="a8">
    <w:name w:val="圖表名稱 字元"/>
    <w:link w:val="a7"/>
    <w:rsid w:val="008738DD"/>
    <w:rPr>
      <w:rFonts w:eastAsia="標楷體"/>
      <w:b/>
      <w:sz w:val="25"/>
    </w:rPr>
  </w:style>
  <w:style w:type="paragraph" w:styleId="Web">
    <w:name w:val="Normal (Web)"/>
    <w:basedOn w:val="a"/>
    <w:uiPriority w:val="99"/>
    <w:semiHidden/>
    <w:unhideWhenUsed/>
    <w:rsid w:val="00E8363B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pacing w:val="0"/>
      <w:sz w:val="24"/>
      <w:szCs w:val="24"/>
    </w:rPr>
  </w:style>
  <w:style w:type="character" w:customStyle="1" w:styleId="k120">
    <w:name w:val="k12 字元"/>
    <w:link w:val="k12"/>
    <w:rsid w:val="002264A3"/>
    <w:rPr>
      <w:rFonts w:eastAsia="標楷體"/>
      <w:spacing w:val="4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CA1"/>
    <w:pPr>
      <w:widowControl w:val="0"/>
      <w:overflowPunct w:val="0"/>
      <w:autoSpaceDE w:val="0"/>
      <w:autoSpaceDN w:val="0"/>
      <w:adjustRightInd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paragraph" w:styleId="1">
    <w:name w:val="heading 1"/>
    <w:basedOn w:val="a"/>
    <w:next w:val="a"/>
    <w:link w:val="10"/>
    <w:uiPriority w:val="9"/>
    <w:qFormat/>
    <w:rsid w:val="00F22C29"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1"/>
    </w:pPr>
    <w:rPr>
      <w:rFonts w:ascii="Cambria" w:eastAsia="新細明體" w:hAnsi="Cambria"/>
      <w:b/>
      <w:bCs/>
      <w:i/>
      <w:iCs/>
      <w:spacing w:val="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2"/>
    </w:pPr>
    <w:rPr>
      <w:rFonts w:ascii="Cambria" w:eastAsia="新細明體" w:hAnsi="Cambria"/>
      <w:b/>
      <w:bCs/>
      <w:spacing w:val="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10A1"/>
    <w:pPr>
      <w:keepNext/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3"/>
    </w:pPr>
    <w:rPr>
      <w:rFonts w:ascii="Calibri" w:eastAsia="新細明體" w:hAnsi="Calibri"/>
      <w:b/>
      <w:bCs/>
      <w:spacing w:val="0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4"/>
    </w:pPr>
    <w:rPr>
      <w:rFonts w:ascii="Calibri" w:eastAsia="新細明體" w:hAnsi="Calibri"/>
      <w:b/>
      <w:bCs/>
      <w:i/>
      <w:iCs/>
      <w:spacing w:val="0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5"/>
    </w:pPr>
    <w:rPr>
      <w:rFonts w:ascii="Calibri" w:eastAsia="新細明體" w:hAnsi="Calibri"/>
      <w:b/>
      <w:bCs/>
      <w:spacing w:val="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6"/>
    </w:pPr>
    <w:rPr>
      <w:rFonts w:ascii="Calibri" w:eastAsia="新細明體" w:hAnsi="Calibri"/>
      <w:spacing w:val="0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7"/>
    </w:pPr>
    <w:rPr>
      <w:rFonts w:ascii="Calibri" w:eastAsia="新細明體" w:hAnsi="Calibri"/>
      <w:i/>
      <w:iCs/>
      <w:spacing w:val="0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8"/>
    </w:pPr>
    <w:rPr>
      <w:rFonts w:ascii="Cambria" w:eastAsia="新細明體" w:hAnsi="Cambria"/>
      <w:spacing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02">
    <w:name w:val="k02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napToGrid w:val="0"/>
      <w:spacing w:line="420" w:lineRule="exact"/>
      <w:ind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40">
    <w:name w:val="k40"/>
    <w:link w:val="k400"/>
    <w:rsid w:val="0012343D"/>
    <w:pPr>
      <w:widowControl w:val="0"/>
      <w:overflowPunct w:val="0"/>
      <w:autoSpaceDE w:val="0"/>
      <w:autoSpaceDN w:val="0"/>
      <w:spacing w:line="420" w:lineRule="exact"/>
      <w:ind w:leftChars="520" w:left="520"/>
      <w:jc w:val="both"/>
      <w:textAlignment w:val="center"/>
    </w:pPr>
    <w:rPr>
      <w:rFonts w:eastAsia="標楷體"/>
      <w:spacing w:val="4"/>
      <w:sz w:val="28"/>
    </w:rPr>
  </w:style>
  <w:style w:type="paragraph" w:customStyle="1" w:styleId="k12">
    <w:name w:val="k12"/>
    <w:link w:val="k120"/>
    <w:rsid w:val="00596C06"/>
    <w:pPr>
      <w:widowControl w:val="0"/>
      <w:overflowPunct w:val="0"/>
      <w:autoSpaceDE w:val="0"/>
      <w:autoSpaceDN w:val="0"/>
      <w:spacing w:line="420" w:lineRule="exact"/>
      <w:ind w:leftChars="100" w:left="10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2">
    <w:name w:val="k22"/>
    <w:link w:val="k220"/>
    <w:rsid w:val="00F63858"/>
    <w:pPr>
      <w:widowControl w:val="0"/>
      <w:overflowPunct w:val="0"/>
      <w:autoSpaceDE w:val="0"/>
      <w:autoSpaceDN w:val="0"/>
      <w:spacing w:line="420" w:lineRule="exact"/>
      <w:ind w:leftChars="280" w:left="280" w:firstLineChars="200" w:firstLine="2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32">
    <w:name w:val="k32"/>
    <w:rsid w:val="00EB75D7"/>
    <w:pPr>
      <w:widowControl w:val="0"/>
      <w:overflowPunct w:val="0"/>
      <w:autoSpaceDE w:val="0"/>
      <w:autoSpaceDN w:val="0"/>
      <w:spacing w:line="420" w:lineRule="exact"/>
      <w:ind w:leftChars="380" w:left="380" w:firstLineChars="210" w:firstLine="210"/>
      <w:jc w:val="both"/>
      <w:textAlignment w:val="center"/>
    </w:pPr>
    <w:rPr>
      <w:rFonts w:eastAsia="標楷體"/>
      <w:spacing w:val="4"/>
      <w:sz w:val="28"/>
    </w:rPr>
  </w:style>
  <w:style w:type="paragraph" w:customStyle="1" w:styleId="k42">
    <w:name w:val="k42"/>
    <w:rsid w:val="00EB75D7"/>
    <w:pPr>
      <w:widowControl w:val="0"/>
      <w:overflowPunct w:val="0"/>
      <w:autoSpaceDE w:val="0"/>
      <w:autoSpaceDN w:val="0"/>
      <w:spacing w:line="420" w:lineRule="exact"/>
      <w:ind w:leftChars="480" w:left="480" w:firstLineChars="200" w:firstLine="200"/>
      <w:jc w:val="both"/>
      <w:textAlignment w:val="center"/>
    </w:pPr>
    <w:rPr>
      <w:rFonts w:eastAsia="標楷體"/>
      <w:spacing w:val="4"/>
      <w:sz w:val="28"/>
    </w:rPr>
  </w:style>
  <w:style w:type="paragraph" w:customStyle="1" w:styleId="k52">
    <w:name w:val="k52"/>
    <w:rsid w:val="00EB75D7"/>
    <w:pPr>
      <w:widowControl w:val="0"/>
      <w:overflowPunct w:val="0"/>
      <w:autoSpaceDE w:val="0"/>
      <w:autoSpaceDN w:val="0"/>
      <w:spacing w:line="420" w:lineRule="exact"/>
      <w:ind w:leftChars="580" w:left="580" w:firstLineChars="200" w:firstLine="200"/>
      <w:jc w:val="both"/>
      <w:textAlignment w:val="center"/>
    </w:pPr>
    <w:rPr>
      <w:rFonts w:eastAsia="標楷體"/>
      <w:iCs/>
      <w:spacing w:val="4"/>
      <w:sz w:val="28"/>
    </w:rPr>
  </w:style>
  <w:style w:type="paragraph" w:customStyle="1" w:styleId="k2a">
    <w:name w:val="k2a"/>
    <w:link w:val="k2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90" w:left="290" w:hangingChars="200" w:hanging="200"/>
      <w:jc w:val="both"/>
      <w:textAlignment w:val="center"/>
      <w:outlineLvl w:val="5"/>
    </w:pPr>
    <w:rPr>
      <w:rFonts w:eastAsia="標楷體"/>
      <w:spacing w:val="4"/>
      <w:sz w:val="28"/>
    </w:rPr>
  </w:style>
  <w:style w:type="paragraph" w:customStyle="1" w:styleId="k3a">
    <w:name w:val="k3a"/>
    <w:link w:val="k3a0"/>
    <w:rsid w:val="005E4F28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00" w:left="380" w:hangingChars="80" w:hanging="80"/>
      <w:jc w:val="both"/>
      <w:textAlignment w:val="center"/>
      <w:outlineLvl w:val="6"/>
    </w:pPr>
    <w:rPr>
      <w:rFonts w:eastAsia="標楷體"/>
      <w:spacing w:val="4"/>
      <w:sz w:val="28"/>
      <w:szCs w:val="26"/>
    </w:rPr>
  </w:style>
  <w:style w:type="paragraph" w:customStyle="1" w:styleId="k4a">
    <w:name w:val="k4a"/>
    <w:link w:val="k4a0"/>
    <w:rsid w:val="00281FF5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ind w:leftChars="380" w:left="380" w:hangingChars="140" w:hanging="102"/>
      <w:jc w:val="both"/>
      <w:textAlignment w:val="center"/>
      <w:outlineLvl w:val="7"/>
    </w:pPr>
    <w:rPr>
      <w:rFonts w:eastAsia="標楷體"/>
      <w:spacing w:val="4"/>
      <w:sz w:val="28"/>
    </w:rPr>
  </w:style>
  <w:style w:type="paragraph" w:customStyle="1" w:styleId="k5a">
    <w:name w:val="k5a"/>
    <w:rsid w:val="00F63858"/>
    <w:pPr>
      <w:widowControl w:val="0"/>
      <w:overflowPunct w:val="0"/>
      <w:autoSpaceDE w:val="0"/>
      <w:autoSpaceDN w:val="0"/>
      <w:spacing w:line="420" w:lineRule="exact"/>
      <w:ind w:leftChars="520" w:left="520" w:hangingChars="100" w:hanging="102"/>
      <w:jc w:val="both"/>
      <w:textAlignment w:val="center"/>
      <w:outlineLvl w:val="8"/>
    </w:pPr>
    <w:rPr>
      <w:rFonts w:eastAsia="標楷體"/>
      <w:spacing w:val="4"/>
      <w:sz w:val="28"/>
      <w:szCs w:val="26"/>
    </w:rPr>
  </w:style>
  <w:style w:type="paragraph" w:customStyle="1" w:styleId="k1a">
    <w:name w:val="k1a"/>
    <w:link w:val="k1a0"/>
    <w:rsid w:val="00EB75D7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beforeLines="50" w:afterLines="50" w:line="420" w:lineRule="exact"/>
      <w:ind w:left="90" w:hangingChars="90" w:hanging="90"/>
      <w:jc w:val="both"/>
      <w:textAlignment w:val="center"/>
      <w:outlineLvl w:val="4"/>
    </w:pPr>
    <w:rPr>
      <w:rFonts w:eastAsia="標楷體"/>
      <w:b/>
      <w:spacing w:val="4"/>
      <w:sz w:val="28"/>
    </w:rPr>
  </w:style>
  <w:style w:type="paragraph" w:styleId="a3">
    <w:name w:val="footer"/>
    <w:link w:val="a4"/>
    <w:rsid w:val="00DE120F"/>
    <w:pPr>
      <w:tabs>
        <w:tab w:val="center" w:pos="4153"/>
        <w:tab w:val="right" w:pos="8306"/>
      </w:tabs>
    </w:pPr>
    <w:rPr>
      <w:rFonts w:eastAsia="標楷體"/>
      <w:spacing w:val="4"/>
    </w:rPr>
  </w:style>
  <w:style w:type="character" w:customStyle="1" w:styleId="k400">
    <w:name w:val="k40 字元"/>
    <w:link w:val="k40"/>
    <w:rsid w:val="0012343D"/>
    <w:rPr>
      <w:rFonts w:eastAsia="標楷體"/>
      <w:spacing w:val="4"/>
      <w:sz w:val="28"/>
      <w:lang w:val="en-US" w:eastAsia="zh-TW" w:bidi="ar-SA"/>
    </w:rPr>
  </w:style>
  <w:style w:type="paragraph" w:customStyle="1" w:styleId="k00">
    <w:name w:val="k00"/>
    <w:rsid w:val="00D94CA1"/>
    <w:pPr>
      <w:widowControl w:val="0"/>
      <w:overflowPunct w:val="0"/>
      <w:autoSpaceDE w:val="0"/>
      <w:autoSpaceDN w:val="0"/>
      <w:spacing w:line="420" w:lineRule="exact"/>
      <w:jc w:val="both"/>
      <w:textAlignment w:val="center"/>
    </w:pPr>
    <w:rPr>
      <w:rFonts w:eastAsia="標楷體"/>
      <w:spacing w:val="4"/>
      <w:sz w:val="28"/>
    </w:rPr>
  </w:style>
  <w:style w:type="character" w:styleId="a5">
    <w:name w:val="page number"/>
    <w:rsid w:val="002F1521"/>
    <w:rPr>
      <w:rFonts w:ascii="Times New Roman" w:eastAsia="新細明體" w:hAnsi="Times New Roman"/>
      <w:i/>
      <w:sz w:val="24"/>
    </w:rPr>
  </w:style>
  <w:style w:type="paragraph" w:styleId="a6">
    <w:name w:val="header"/>
    <w:basedOn w:val="a"/>
    <w:rsid w:val="00F22C29"/>
    <w:pPr>
      <w:tabs>
        <w:tab w:val="center" w:pos="4153"/>
        <w:tab w:val="right" w:pos="8306"/>
      </w:tabs>
    </w:pPr>
    <w:rPr>
      <w:sz w:val="20"/>
    </w:rPr>
  </w:style>
  <w:style w:type="paragraph" w:customStyle="1" w:styleId="k10">
    <w:name w:val="k10"/>
    <w:rsid w:val="005E4F28"/>
    <w:pPr>
      <w:widowControl w:val="0"/>
      <w:overflowPunct w:val="0"/>
      <w:autoSpaceDE w:val="0"/>
      <w:autoSpaceDN w:val="0"/>
      <w:spacing w:line="420" w:lineRule="exact"/>
      <w:ind w:leftChars="100" w:left="100" w:rightChars="100" w:right="100"/>
      <w:jc w:val="both"/>
      <w:textAlignment w:val="center"/>
    </w:pPr>
    <w:rPr>
      <w:rFonts w:eastAsia="標楷體"/>
      <w:spacing w:val="4"/>
      <w:sz w:val="28"/>
      <w:szCs w:val="26"/>
    </w:rPr>
  </w:style>
  <w:style w:type="paragraph" w:customStyle="1" w:styleId="k20">
    <w:name w:val="k20"/>
    <w:rsid w:val="00C16086"/>
    <w:pPr>
      <w:widowControl w:val="0"/>
      <w:overflowPunct w:val="0"/>
      <w:autoSpaceDE w:val="0"/>
      <w:autoSpaceDN w:val="0"/>
      <w:spacing w:line="420" w:lineRule="exact"/>
      <w:ind w:leftChars="280" w:left="280"/>
      <w:jc w:val="both"/>
      <w:textAlignment w:val="center"/>
    </w:pPr>
    <w:rPr>
      <w:rFonts w:eastAsia="標楷體"/>
      <w:spacing w:val="4"/>
      <w:sz w:val="28"/>
    </w:rPr>
  </w:style>
  <w:style w:type="paragraph" w:customStyle="1" w:styleId="k30">
    <w:name w:val="k30"/>
    <w:rsid w:val="00D94CA1"/>
    <w:pPr>
      <w:widowControl w:val="0"/>
      <w:overflowPunct w:val="0"/>
      <w:autoSpaceDE w:val="0"/>
      <w:autoSpaceDN w:val="0"/>
      <w:spacing w:line="420" w:lineRule="exact"/>
      <w:ind w:leftChars="420" w:left="420"/>
      <w:jc w:val="both"/>
      <w:textAlignment w:val="center"/>
    </w:pPr>
    <w:rPr>
      <w:rFonts w:eastAsia="標楷體"/>
      <w:spacing w:val="4"/>
      <w:sz w:val="28"/>
    </w:rPr>
  </w:style>
  <w:style w:type="paragraph" w:customStyle="1" w:styleId="k50">
    <w:name w:val="k50"/>
    <w:rsid w:val="0012343D"/>
    <w:pPr>
      <w:widowControl w:val="0"/>
      <w:overflowPunct w:val="0"/>
      <w:autoSpaceDE w:val="0"/>
      <w:autoSpaceDN w:val="0"/>
      <w:spacing w:line="420" w:lineRule="exact"/>
      <w:ind w:leftChars="610" w:left="610"/>
      <w:jc w:val="both"/>
      <w:textAlignment w:val="center"/>
    </w:pPr>
    <w:rPr>
      <w:rFonts w:eastAsia="標楷體"/>
      <w:spacing w:val="4"/>
      <w:sz w:val="28"/>
    </w:rPr>
  </w:style>
  <w:style w:type="paragraph" w:customStyle="1" w:styleId="line">
    <w:name w:val="line"/>
    <w:rsid w:val="00725BBC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20" w:lineRule="exact"/>
      <w:jc w:val="center"/>
      <w:textAlignment w:val="center"/>
    </w:pPr>
    <w:rPr>
      <w:rFonts w:eastAsia="標楷體"/>
      <w:spacing w:val="4"/>
      <w:sz w:val="28"/>
      <w:szCs w:val="28"/>
    </w:rPr>
  </w:style>
  <w:style w:type="paragraph" w:customStyle="1" w:styleId="k00t17">
    <w:name w:val="k00t17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1"/>
    </w:pPr>
    <w:rPr>
      <w:rFonts w:eastAsia="標楷體"/>
      <w:b/>
      <w:spacing w:val="10"/>
      <w:sz w:val="34"/>
      <w:szCs w:val="36"/>
    </w:rPr>
  </w:style>
  <w:style w:type="paragraph" w:customStyle="1" w:styleId="k00t16">
    <w:name w:val="k00t16"/>
    <w:qFormat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z w:val="32"/>
    </w:rPr>
  </w:style>
  <w:style w:type="paragraph" w:customStyle="1" w:styleId="a7">
    <w:name w:val="圖表名稱"/>
    <w:link w:val="a8"/>
    <w:rsid w:val="008738DD"/>
    <w:pPr>
      <w:widowControl w:val="0"/>
      <w:overflowPunct w:val="0"/>
      <w:autoSpaceDE w:val="0"/>
      <w:autoSpaceDN w:val="0"/>
      <w:adjustRightInd w:val="0"/>
      <w:snapToGrid w:val="0"/>
      <w:spacing w:beforeLines="100" w:afterLines="100" w:line="280" w:lineRule="exact"/>
      <w:jc w:val="center"/>
      <w:textAlignment w:val="center"/>
    </w:pPr>
    <w:rPr>
      <w:rFonts w:eastAsia="標楷體"/>
      <w:b/>
      <w:sz w:val="25"/>
    </w:rPr>
  </w:style>
  <w:style w:type="paragraph" w:customStyle="1" w:styleId="k00t15">
    <w:name w:val="k00t15"/>
    <w:rsid w:val="00A5660B"/>
    <w:pPr>
      <w:widowControl w:val="0"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spacing w:line="400" w:lineRule="exact"/>
      <w:jc w:val="center"/>
      <w:textAlignment w:val="center"/>
      <w:outlineLvl w:val="2"/>
    </w:pPr>
    <w:rPr>
      <w:rFonts w:eastAsia="標楷體"/>
      <w:b/>
      <w:spacing w:val="10"/>
      <w:sz w:val="30"/>
      <w:szCs w:val="28"/>
    </w:rPr>
  </w:style>
  <w:style w:type="character" w:customStyle="1" w:styleId="k4a0">
    <w:name w:val="k4a 字元"/>
    <w:link w:val="k4a"/>
    <w:rsid w:val="00281FF5"/>
    <w:rPr>
      <w:rFonts w:eastAsia="標楷體"/>
      <w:spacing w:val="4"/>
      <w:sz w:val="28"/>
    </w:rPr>
  </w:style>
  <w:style w:type="paragraph" w:customStyle="1" w:styleId="t12">
    <w:name w:val="t12新細明"/>
    <w:rsid w:val="004B456E"/>
    <w:pPr>
      <w:widowControl w:val="0"/>
      <w:overflowPunct w:val="0"/>
      <w:autoSpaceDE w:val="0"/>
      <w:autoSpaceDN w:val="0"/>
      <w:spacing w:beforeLines="100" w:afterLines="50" w:line="360" w:lineRule="exact"/>
      <w:jc w:val="center"/>
      <w:textAlignment w:val="center"/>
    </w:pPr>
    <w:rPr>
      <w:rFonts w:ascii="新細明體" w:eastAsia="新細明體" w:hAnsi="新細明體"/>
      <w:b/>
      <w:spacing w:val="14"/>
      <w:sz w:val="24"/>
      <w:szCs w:val="24"/>
    </w:rPr>
  </w:style>
  <w:style w:type="paragraph" w:customStyle="1" w:styleId="t11">
    <w:name w:val="t11新細明"/>
    <w:rsid w:val="004B456E"/>
    <w:pPr>
      <w:widowControl w:val="0"/>
      <w:overflowPunct w:val="0"/>
      <w:autoSpaceDE w:val="0"/>
      <w:autoSpaceDN w:val="0"/>
      <w:spacing w:line="400" w:lineRule="exact"/>
      <w:ind w:leftChars="30" w:left="30" w:rightChars="30" w:right="30" w:firstLineChars="200" w:firstLine="200"/>
      <w:jc w:val="both"/>
      <w:textAlignment w:val="center"/>
    </w:pPr>
    <w:rPr>
      <w:rFonts w:ascii="新細明體" w:eastAsia="新細明體" w:hAnsi="新細明體"/>
      <w:bCs/>
      <w:spacing w:val="8"/>
      <w:sz w:val="22"/>
    </w:rPr>
  </w:style>
  <w:style w:type="paragraph" w:customStyle="1" w:styleId="a9">
    <w:name w:val="框內圖表資料來源"/>
    <w:rsid w:val="00367C79"/>
    <w:pPr>
      <w:widowControl w:val="0"/>
      <w:overflowPunct w:val="0"/>
      <w:autoSpaceDE w:val="0"/>
      <w:autoSpaceDN w:val="0"/>
      <w:spacing w:beforeLines="50" w:afterLines="50" w:line="400" w:lineRule="atLeast"/>
      <w:ind w:left="500" w:hangingChars="500" w:hanging="500"/>
      <w:jc w:val="both"/>
      <w:textAlignment w:val="center"/>
    </w:pPr>
    <w:rPr>
      <w:rFonts w:ascii="新細明體" w:eastAsia="新細明體" w:hAnsi="新細明體"/>
      <w:color w:val="000000"/>
      <w:spacing w:val="-2"/>
    </w:rPr>
  </w:style>
  <w:style w:type="paragraph" w:customStyle="1" w:styleId="aa">
    <w:name w:val="表格註"/>
    <w:rsid w:val="00013857"/>
    <w:pPr>
      <w:widowControl w:val="0"/>
      <w:overflowPunct w:val="0"/>
      <w:autoSpaceDE w:val="0"/>
      <w:autoSpaceDN w:val="0"/>
      <w:spacing w:beforeLines="10" w:line="240" w:lineRule="exact"/>
      <w:ind w:leftChars="290" w:left="490" w:hangingChars="200" w:hanging="200"/>
      <w:jc w:val="both"/>
      <w:textAlignment w:val="center"/>
    </w:pPr>
    <w:rPr>
      <w:rFonts w:eastAsia="華康楷書體W5"/>
      <w:sz w:val="22"/>
      <w:szCs w:val="22"/>
    </w:rPr>
  </w:style>
  <w:style w:type="paragraph" w:customStyle="1" w:styleId="ab">
    <w:name w:val="表格資料來源"/>
    <w:rsid w:val="00CB71B8"/>
    <w:pPr>
      <w:widowControl w:val="0"/>
      <w:overflowPunct w:val="0"/>
      <w:autoSpaceDE w:val="0"/>
      <w:autoSpaceDN w:val="0"/>
      <w:spacing w:line="280" w:lineRule="exact"/>
      <w:ind w:leftChars="20" w:left="520" w:hangingChars="500" w:hanging="500"/>
      <w:jc w:val="both"/>
      <w:textAlignment w:val="center"/>
    </w:pPr>
    <w:rPr>
      <w:rFonts w:eastAsia="標楷體"/>
      <w:spacing w:val="-2"/>
      <w:sz w:val="22"/>
      <w:szCs w:val="22"/>
    </w:rPr>
  </w:style>
  <w:style w:type="paragraph" w:customStyle="1" w:styleId="ac">
    <w:name w:val="圖表資料來源"/>
    <w:rsid w:val="00CB71B8"/>
    <w:pPr>
      <w:widowControl w:val="0"/>
      <w:overflowPunct w:val="0"/>
      <w:autoSpaceDE w:val="0"/>
      <w:autoSpaceDN w:val="0"/>
      <w:spacing w:beforeLines="50" w:after="120" w:line="280" w:lineRule="exact"/>
      <w:ind w:leftChars="200" w:left="700" w:hangingChars="500" w:hanging="500"/>
      <w:jc w:val="both"/>
      <w:textAlignment w:val="center"/>
    </w:pPr>
    <w:rPr>
      <w:rFonts w:eastAsia="標楷體"/>
      <w:sz w:val="22"/>
      <w:szCs w:val="22"/>
    </w:rPr>
  </w:style>
  <w:style w:type="paragraph" w:customStyle="1" w:styleId="k1a0cm10505">
    <w:name w:val="樣式 k1a + 左:  0 cm 凸出:  1 字元 套用前:  0.5 列 套用後:  0.5 列"/>
    <w:basedOn w:val="k1a"/>
    <w:rsid w:val="005C612D"/>
    <w:pPr>
      <w:spacing w:before="120" w:after="120"/>
      <w:ind w:left="260" w:hanging="260"/>
    </w:pPr>
    <w:rPr>
      <w:rFonts w:cs="新細明體"/>
      <w:bCs/>
      <w:spacing w:val="0"/>
    </w:rPr>
  </w:style>
  <w:style w:type="table" w:styleId="ad">
    <w:name w:val="Table Grid"/>
    <w:basedOn w:val="a1"/>
    <w:rsid w:val="008C161E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2a0">
    <w:name w:val="k2a 字元"/>
    <w:link w:val="k2a"/>
    <w:rsid w:val="00EB75D7"/>
    <w:rPr>
      <w:rFonts w:eastAsia="標楷體"/>
      <w:spacing w:val="4"/>
      <w:sz w:val="28"/>
      <w:lang w:val="en-US" w:eastAsia="zh-TW" w:bidi="ar-SA"/>
    </w:rPr>
  </w:style>
  <w:style w:type="paragraph" w:customStyle="1" w:styleId="k00t14">
    <w:name w:val="k00t14"/>
    <w:rsid w:val="00A5660B"/>
    <w:pPr>
      <w:widowControl w:val="0"/>
      <w:overflowPunct w:val="0"/>
      <w:autoSpaceDE w:val="0"/>
      <w:autoSpaceDN w:val="0"/>
      <w:spacing w:line="400" w:lineRule="exact"/>
      <w:jc w:val="center"/>
      <w:textAlignment w:val="center"/>
      <w:outlineLvl w:val="3"/>
    </w:pPr>
    <w:rPr>
      <w:rFonts w:eastAsia="標楷體"/>
      <w:b/>
      <w:sz w:val="28"/>
      <w:szCs w:val="28"/>
    </w:rPr>
  </w:style>
  <w:style w:type="character" w:customStyle="1" w:styleId="k3a0">
    <w:name w:val="k3a 字元"/>
    <w:link w:val="k3a"/>
    <w:rsid w:val="00EB75D7"/>
    <w:rPr>
      <w:rFonts w:eastAsia="標楷體"/>
      <w:spacing w:val="4"/>
      <w:sz w:val="28"/>
      <w:szCs w:val="26"/>
      <w:lang w:val="en-US" w:eastAsia="zh-TW" w:bidi="ar-SA"/>
    </w:rPr>
  </w:style>
  <w:style w:type="character" w:customStyle="1" w:styleId="k1a0">
    <w:name w:val="k1a 字元"/>
    <w:link w:val="k1a"/>
    <w:rsid w:val="00EB75D7"/>
    <w:rPr>
      <w:rFonts w:eastAsia="標楷體"/>
      <w:b/>
      <w:spacing w:val="4"/>
      <w:sz w:val="28"/>
      <w:lang w:val="en-US" w:eastAsia="zh-TW" w:bidi="ar-SA"/>
    </w:rPr>
  </w:style>
  <w:style w:type="paragraph" w:customStyle="1" w:styleId="ae">
    <w:name w:val="字元 字元"/>
    <w:basedOn w:val="a"/>
    <w:semiHidden/>
    <w:rsid w:val="00A5660B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k220">
    <w:name w:val="k22 字元"/>
    <w:link w:val="k22"/>
    <w:rsid w:val="00F63858"/>
    <w:rPr>
      <w:rFonts w:eastAsia="標楷體"/>
      <w:spacing w:val="4"/>
      <w:sz w:val="28"/>
      <w:szCs w:val="26"/>
    </w:rPr>
  </w:style>
  <w:style w:type="paragraph" w:customStyle="1" w:styleId="af">
    <w:name w:val="字元 字元"/>
    <w:basedOn w:val="a"/>
    <w:semiHidden/>
    <w:rsid w:val="00A843F8"/>
    <w:pPr>
      <w:widowControl/>
      <w:overflowPunct/>
      <w:autoSpaceDE/>
      <w:autoSpaceDN/>
      <w:adjustRightInd/>
      <w:spacing w:after="160" w:line="240" w:lineRule="exact"/>
      <w:jc w:val="left"/>
      <w:textAlignment w:val="auto"/>
    </w:pPr>
    <w:rPr>
      <w:rFonts w:ascii="Verdana" w:eastAsia="Times New Roman" w:hAnsi="Verdana" w:cs="Mangal"/>
      <w:kern w:val="2"/>
      <w:sz w:val="20"/>
      <w:szCs w:val="24"/>
      <w:lang w:eastAsia="en-US" w:bidi="hi-IN"/>
    </w:rPr>
  </w:style>
  <w:style w:type="character" w:customStyle="1" w:styleId="20">
    <w:name w:val="標題 2 字元"/>
    <w:basedOn w:val="a0"/>
    <w:link w:val="2"/>
    <w:uiPriority w:val="9"/>
    <w:semiHidden/>
    <w:rsid w:val="003510A1"/>
    <w:rPr>
      <w:rFonts w:ascii="Cambria" w:eastAsia="新細明體" w:hAnsi="Cambria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3510A1"/>
    <w:rPr>
      <w:rFonts w:ascii="Cambria" w:eastAsia="新細明體" w:hAnsi="Cambria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3510A1"/>
    <w:rPr>
      <w:rFonts w:ascii="Calibri" w:eastAsia="新細明體" w:hAnsi="Calibr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3510A1"/>
    <w:rPr>
      <w:rFonts w:ascii="Calibri" w:eastAsia="新細明體" w:hAnsi="Calibr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3510A1"/>
    <w:rPr>
      <w:rFonts w:ascii="Calibri" w:eastAsia="新細明體" w:hAnsi="Calibri"/>
      <w:b/>
      <w:bCs/>
      <w:sz w:val="22"/>
      <w:szCs w:val="22"/>
    </w:rPr>
  </w:style>
  <w:style w:type="character" w:customStyle="1" w:styleId="70">
    <w:name w:val="標題 7 字元"/>
    <w:basedOn w:val="a0"/>
    <w:link w:val="7"/>
    <w:uiPriority w:val="9"/>
    <w:semiHidden/>
    <w:rsid w:val="003510A1"/>
    <w:rPr>
      <w:rFonts w:ascii="Calibri" w:eastAsia="新細明體" w:hAnsi="Calibr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3510A1"/>
    <w:rPr>
      <w:rFonts w:ascii="Calibri" w:eastAsia="新細明體" w:hAnsi="Calibr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3510A1"/>
    <w:rPr>
      <w:rFonts w:ascii="Cambria" w:eastAsia="新細明體" w:hAnsi="Cambria"/>
      <w:sz w:val="22"/>
      <w:szCs w:val="22"/>
    </w:rPr>
  </w:style>
  <w:style w:type="character" w:customStyle="1" w:styleId="10">
    <w:name w:val="標題 1 字元"/>
    <w:link w:val="1"/>
    <w:uiPriority w:val="9"/>
    <w:rsid w:val="003510A1"/>
    <w:rPr>
      <w:rFonts w:ascii="Arial" w:eastAsia="新細明體" w:hAnsi="Arial"/>
      <w:b/>
      <w:spacing w:val="4"/>
      <w:kern w:val="52"/>
      <w:sz w:val="52"/>
    </w:rPr>
  </w:style>
  <w:style w:type="paragraph" w:styleId="af0">
    <w:name w:val="Title"/>
    <w:basedOn w:val="a"/>
    <w:next w:val="a"/>
    <w:link w:val="af1"/>
    <w:uiPriority w:val="10"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8"/>
      <w:sz w:val="32"/>
      <w:szCs w:val="32"/>
    </w:rPr>
  </w:style>
  <w:style w:type="character" w:customStyle="1" w:styleId="af1">
    <w:name w:val="標題 字元"/>
    <w:basedOn w:val="a0"/>
    <w:link w:val="af0"/>
    <w:uiPriority w:val="10"/>
    <w:rsid w:val="003510A1"/>
    <w:rPr>
      <w:rFonts w:ascii="Cambria" w:eastAsia="新細明體" w:hAnsi="Cambria"/>
      <w:b/>
      <w:bCs/>
      <w:kern w:val="28"/>
      <w:sz w:val="32"/>
      <w:szCs w:val="32"/>
    </w:rPr>
  </w:style>
  <w:style w:type="paragraph" w:styleId="af2">
    <w:name w:val="Subtitle"/>
    <w:basedOn w:val="a"/>
    <w:next w:val="a"/>
    <w:link w:val="af3"/>
    <w:uiPriority w:val="11"/>
    <w:qFormat/>
    <w:rsid w:val="003510A1"/>
    <w:pPr>
      <w:widowControl/>
      <w:overflowPunct/>
      <w:autoSpaceDE/>
      <w:autoSpaceDN/>
      <w:adjustRightInd/>
      <w:spacing w:after="60" w:line="240" w:lineRule="auto"/>
      <w:jc w:val="center"/>
      <w:textAlignment w:val="auto"/>
      <w:outlineLvl w:val="1"/>
    </w:pPr>
    <w:rPr>
      <w:rFonts w:ascii="Cambria" w:eastAsia="新細明體" w:hAnsi="Cambria"/>
      <w:spacing w:val="0"/>
      <w:sz w:val="24"/>
      <w:szCs w:val="24"/>
    </w:rPr>
  </w:style>
  <w:style w:type="character" w:customStyle="1" w:styleId="af3">
    <w:name w:val="副標題 字元"/>
    <w:basedOn w:val="a0"/>
    <w:link w:val="af2"/>
    <w:uiPriority w:val="11"/>
    <w:rsid w:val="003510A1"/>
    <w:rPr>
      <w:rFonts w:ascii="Cambria" w:eastAsia="新細明體" w:hAnsi="Cambria"/>
      <w:sz w:val="24"/>
      <w:szCs w:val="24"/>
    </w:rPr>
  </w:style>
  <w:style w:type="character" w:styleId="af4">
    <w:name w:val="Strong"/>
    <w:uiPriority w:val="22"/>
    <w:qFormat/>
    <w:rsid w:val="003510A1"/>
    <w:rPr>
      <w:b/>
      <w:bCs/>
    </w:rPr>
  </w:style>
  <w:style w:type="character" w:styleId="af5">
    <w:name w:val="Emphasis"/>
    <w:uiPriority w:val="20"/>
    <w:qFormat/>
    <w:rsid w:val="003510A1"/>
    <w:rPr>
      <w:rFonts w:ascii="Calibri" w:hAnsi="Calibri"/>
      <w:b/>
      <w:i/>
      <w:iCs/>
    </w:rPr>
  </w:style>
  <w:style w:type="paragraph" w:styleId="af6">
    <w:name w:val="No Spacing"/>
    <w:basedOn w:val="a"/>
    <w:uiPriority w:val="1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spacing w:val="0"/>
      <w:sz w:val="24"/>
      <w:szCs w:val="32"/>
    </w:rPr>
  </w:style>
  <w:style w:type="paragraph" w:styleId="af7">
    <w:name w:val="List Paragraph"/>
    <w:basedOn w:val="a"/>
    <w:uiPriority w:val="34"/>
    <w:qFormat/>
    <w:rsid w:val="003510A1"/>
    <w:pPr>
      <w:widowControl/>
      <w:overflowPunct/>
      <w:autoSpaceDE/>
      <w:autoSpaceDN/>
      <w:adjustRightInd/>
      <w:spacing w:line="240" w:lineRule="auto"/>
      <w:ind w:left="720"/>
      <w:contextualSpacing/>
      <w:jc w:val="left"/>
      <w:textAlignment w:val="auto"/>
    </w:pPr>
    <w:rPr>
      <w:rFonts w:ascii="Calibri" w:eastAsia="新細明體" w:hAnsi="Calibri"/>
      <w:spacing w:val="0"/>
      <w:sz w:val="24"/>
      <w:szCs w:val="24"/>
    </w:rPr>
  </w:style>
  <w:style w:type="paragraph" w:styleId="af8">
    <w:name w:val="Quote"/>
    <w:basedOn w:val="a"/>
    <w:next w:val="a"/>
    <w:link w:val="af9"/>
    <w:uiPriority w:val="29"/>
    <w:qFormat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libri" w:eastAsia="新細明體" w:hAnsi="Calibri"/>
      <w:i/>
      <w:spacing w:val="0"/>
      <w:sz w:val="24"/>
      <w:szCs w:val="24"/>
    </w:rPr>
  </w:style>
  <w:style w:type="character" w:customStyle="1" w:styleId="af9">
    <w:name w:val="引文 字元"/>
    <w:basedOn w:val="a0"/>
    <w:link w:val="af8"/>
    <w:uiPriority w:val="29"/>
    <w:rsid w:val="003510A1"/>
    <w:rPr>
      <w:rFonts w:ascii="Calibri" w:eastAsia="新細明體" w:hAnsi="Calibri"/>
      <w:i/>
      <w:sz w:val="24"/>
      <w:szCs w:val="24"/>
    </w:rPr>
  </w:style>
  <w:style w:type="paragraph" w:styleId="afa">
    <w:name w:val="Intense Quote"/>
    <w:basedOn w:val="a"/>
    <w:next w:val="a"/>
    <w:link w:val="afb"/>
    <w:uiPriority w:val="30"/>
    <w:qFormat/>
    <w:rsid w:val="003510A1"/>
    <w:pPr>
      <w:widowControl/>
      <w:overflowPunct/>
      <w:autoSpaceDE/>
      <w:autoSpaceDN/>
      <w:adjustRightInd/>
      <w:spacing w:line="240" w:lineRule="auto"/>
      <w:ind w:left="720" w:right="720"/>
      <w:jc w:val="left"/>
      <w:textAlignment w:val="auto"/>
    </w:pPr>
    <w:rPr>
      <w:rFonts w:ascii="Calibri" w:eastAsia="新細明體" w:hAnsi="Calibri"/>
      <w:b/>
      <w:i/>
      <w:spacing w:val="0"/>
      <w:sz w:val="24"/>
      <w:szCs w:val="22"/>
    </w:rPr>
  </w:style>
  <w:style w:type="character" w:customStyle="1" w:styleId="afb">
    <w:name w:val="鮮明引文 字元"/>
    <w:basedOn w:val="a0"/>
    <w:link w:val="afa"/>
    <w:uiPriority w:val="30"/>
    <w:rsid w:val="003510A1"/>
    <w:rPr>
      <w:rFonts w:ascii="Calibri" w:eastAsia="新細明體" w:hAnsi="Calibri"/>
      <w:b/>
      <w:i/>
      <w:sz w:val="24"/>
      <w:szCs w:val="22"/>
    </w:rPr>
  </w:style>
  <w:style w:type="character" w:styleId="afc">
    <w:name w:val="Subtle Emphasis"/>
    <w:uiPriority w:val="19"/>
    <w:qFormat/>
    <w:rsid w:val="003510A1"/>
    <w:rPr>
      <w:i/>
      <w:color w:val="5A5A5A"/>
    </w:rPr>
  </w:style>
  <w:style w:type="character" w:styleId="afd">
    <w:name w:val="Intense Emphasis"/>
    <w:uiPriority w:val="21"/>
    <w:qFormat/>
    <w:rsid w:val="003510A1"/>
    <w:rPr>
      <w:b/>
      <w:i/>
      <w:sz w:val="24"/>
      <w:szCs w:val="24"/>
      <w:u w:val="single"/>
    </w:rPr>
  </w:style>
  <w:style w:type="character" w:styleId="afe">
    <w:name w:val="Subtle Reference"/>
    <w:uiPriority w:val="31"/>
    <w:qFormat/>
    <w:rsid w:val="003510A1"/>
    <w:rPr>
      <w:sz w:val="24"/>
      <w:szCs w:val="24"/>
      <w:u w:val="single"/>
    </w:rPr>
  </w:style>
  <w:style w:type="character" w:styleId="aff">
    <w:name w:val="Intense Reference"/>
    <w:uiPriority w:val="32"/>
    <w:qFormat/>
    <w:rsid w:val="003510A1"/>
    <w:rPr>
      <w:b/>
      <w:sz w:val="24"/>
      <w:u w:val="single"/>
    </w:rPr>
  </w:style>
  <w:style w:type="character" w:styleId="aff0">
    <w:name w:val="Book Title"/>
    <w:uiPriority w:val="33"/>
    <w:qFormat/>
    <w:rsid w:val="003510A1"/>
    <w:rPr>
      <w:rFonts w:ascii="Cambria" w:eastAsia="新細明體" w:hAnsi="Cambria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3510A1"/>
    <w:pPr>
      <w:widowControl/>
      <w:overflowPunct/>
      <w:autoSpaceDE/>
      <w:autoSpaceDN/>
      <w:adjustRightInd/>
      <w:spacing w:before="240" w:after="60" w:line="240" w:lineRule="auto"/>
      <w:jc w:val="left"/>
      <w:textAlignment w:val="auto"/>
      <w:outlineLvl w:val="9"/>
    </w:pPr>
    <w:rPr>
      <w:rFonts w:ascii="Cambria" w:hAnsi="Cambria"/>
      <w:bCs/>
      <w:spacing w:val="0"/>
      <w:kern w:val="32"/>
      <w:sz w:val="32"/>
      <w:szCs w:val="32"/>
    </w:rPr>
  </w:style>
  <w:style w:type="paragraph" w:styleId="aff2">
    <w:name w:val="Balloon Text"/>
    <w:basedOn w:val="a"/>
    <w:link w:val="aff3"/>
    <w:uiPriority w:val="99"/>
    <w:semiHidden/>
    <w:unhideWhenUsed/>
    <w:rsid w:val="003510A1"/>
    <w:pPr>
      <w:widowControl/>
      <w:overflowPunct/>
      <w:autoSpaceDE/>
      <w:autoSpaceDN/>
      <w:adjustRightInd/>
      <w:spacing w:line="240" w:lineRule="auto"/>
      <w:jc w:val="left"/>
      <w:textAlignment w:val="auto"/>
    </w:pPr>
    <w:rPr>
      <w:rFonts w:ascii="Cambria" w:eastAsia="新細明體" w:hAnsi="Cambria"/>
      <w:spacing w:val="0"/>
      <w:sz w:val="18"/>
      <w:szCs w:val="18"/>
    </w:rPr>
  </w:style>
  <w:style w:type="character" w:customStyle="1" w:styleId="aff3">
    <w:name w:val="註解方塊文字 字元"/>
    <w:basedOn w:val="a0"/>
    <w:link w:val="aff2"/>
    <w:uiPriority w:val="99"/>
    <w:semiHidden/>
    <w:rsid w:val="003510A1"/>
    <w:rPr>
      <w:rFonts w:ascii="Cambria" w:eastAsia="新細明體" w:hAnsi="Cambria"/>
      <w:sz w:val="18"/>
      <w:szCs w:val="18"/>
    </w:rPr>
  </w:style>
  <w:style w:type="character" w:customStyle="1" w:styleId="a4">
    <w:name w:val="頁尾 字元"/>
    <w:basedOn w:val="a0"/>
    <w:link w:val="a3"/>
    <w:rsid w:val="00DE120F"/>
    <w:rPr>
      <w:rFonts w:eastAsia="標楷體"/>
      <w:spacing w:val="4"/>
    </w:rPr>
  </w:style>
  <w:style w:type="character" w:styleId="aff4">
    <w:name w:val="Hyperlink"/>
    <w:basedOn w:val="a0"/>
    <w:uiPriority w:val="99"/>
    <w:unhideWhenUsed/>
    <w:rsid w:val="003510A1"/>
    <w:rPr>
      <w:color w:val="0000FF" w:themeColor="hyperlink"/>
      <w:u w:val="single"/>
    </w:rPr>
  </w:style>
  <w:style w:type="paragraph" w:styleId="aff5">
    <w:name w:val="footnote text"/>
    <w:basedOn w:val="a"/>
    <w:link w:val="aff6"/>
    <w:semiHidden/>
    <w:unhideWhenUsed/>
    <w:rsid w:val="001D58FE"/>
    <w:pPr>
      <w:snapToGrid w:val="0"/>
      <w:jc w:val="left"/>
    </w:pPr>
    <w:rPr>
      <w:sz w:val="20"/>
    </w:rPr>
  </w:style>
  <w:style w:type="character" w:customStyle="1" w:styleId="aff6">
    <w:name w:val="註腳文字 字元"/>
    <w:basedOn w:val="a0"/>
    <w:link w:val="aff5"/>
    <w:semiHidden/>
    <w:rsid w:val="001D58FE"/>
    <w:rPr>
      <w:rFonts w:eastAsia="標楷體"/>
      <w:spacing w:val="4"/>
    </w:rPr>
  </w:style>
  <w:style w:type="character" w:styleId="aff7">
    <w:name w:val="footnote reference"/>
    <w:basedOn w:val="a0"/>
    <w:semiHidden/>
    <w:unhideWhenUsed/>
    <w:rsid w:val="001D58FE"/>
    <w:rPr>
      <w:vertAlign w:val="superscript"/>
    </w:rPr>
  </w:style>
  <w:style w:type="character" w:customStyle="1" w:styleId="a8">
    <w:name w:val="圖表名稱 字元"/>
    <w:link w:val="a7"/>
    <w:rsid w:val="008738DD"/>
    <w:rPr>
      <w:rFonts w:eastAsia="標楷體"/>
      <w:b/>
      <w:sz w:val="25"/>
    </w:rPr>
  </w:style>
  <w:style w:type="paragraph" w:styleId="Web">
    <w:name w:val="Normal (Web)"/>
    <w:basedOn w:val="a"/>
    <w:uiPriority w:val="99"/>
    <w:semiHidden/>
    <w:unhideWhenUsed/>
    <w:rsid w:val="00E8363B"/>
    <w:pPr>
      <w:widowControl/>
      <w:overflowPunct/>
      <w:autoSpaceDE/>
      <w:autoSpaceDN/>
      <w:adjustRightInd/>
      <w:spacing w:before="100" w:beforeAutospacing="1" w:after="100" w:afterAutospacing="1" w:line="240" w:lineRule="auto"/>
      <w:jc w:val="left"/>
      <w:textAlignment w:val="auto"/>
    </w:pPr>
    <w:rPr>
      <w:rFonts w:ascii="新細明體" w:eastAsia="新細明體" w:hAnsi="新細明體" w:cs="新細明體"/>
      <w:spacing w:val="0"/>
      <w:sz w:val="24"/>
      <w:szCs w:val="24"/>
    </w:rPr>
  </w:style>
  <w:style w:type="character" w:customStyle="1" w:styleId="k120">
    <w:name w:val="k12 字元"/>
    <w:link w:val="k12"/>
    <w:rsid w:val="002264A3"/>
    <w:rPr>
      <w:rFonts w:eastAsia="標楷體"/>
      <w:spacing w:val="4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chart" Target="charts/chart2.xml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508;&#24180;&#36039;&#26009;&#30456;&#38364;&#20839;&#23481;\2015&#36039;&#26009;&#24235;\&#26446;&#21083;&#20449;\&#21508;&#22283;&#32929;&#20729;&#28466;&#36300;&#24133;&#24230;06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920525389857739E-2"/>
          <c:y val="8.2886247228805138E-2"/>
          <c:w val="0.85631880206413968"/>
          <c:h val="0.530682469581476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圖表!$A$2</c:f>
              <c:strCache>
                <c:ptCount val="1"/>
                <c:pt idx="0">
                  <c:v>升貶幅度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3.4328870580157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.0_ " sourceLinked="0"/>
            <c:txPr>
              <a:bodyPr/>
              <a:lstStyle/>
              <a:p>
                <a:pPr>
                  <a:defRPr sz="105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圖表!$B$1:$J$1</c:f>
              <c:strCache>
                <c:ptCount val="9"/>
                <c:pt idx="0">
                  <c:v>新台幣</c:v>
                </c:pt>
                <c:pt idx="1">
                  <c:v>日圓</c:v>
                </c:pt>
                <c:pt idx="2">
                  <c:v>韓元</c:v>
                </c:pt>
                <c:pt idx="3">
                  <c:v>新加坡元</c:v>
                </c:pt>
                <c:pt idx="4">
                  <c:v>人民幣</c:v>
                </c:pt>
                <c:pt idx="5">
                  <c:v>印尼盾</c:v>
                </c:pt>
                <c:pt idx="6">
                  <c:v>泰銖</c:v>
                </c:pt>
                <c:pt idx="7">
                  <c:v>馬來西亞幣</c:v>
                </c:pt>
                <c:pt idx="8">
                  <c:v>歐元</c:v>
                </c:pt>
              </c:strCache>
            </c:strRef>
          </c:cat>
          <c:val>
            <c:numRef>
              <c:f>圖表!$B$2:$J$2</c:f>
              <c:numCache>
                <c:formatCode>#,##0.0000\ \ \ </c:formatCode>
                <c:ptCount val="9"/>
                <c:pt idx="0">
                  <c:v>-5.57</c:v>
                </c:pt>
                <c:pt idx="1">
                  <c:v>-13.940750619165545</c:v>
                </c:pt>
                <c:pt idx="2">
                  <c:v>-3.3655486071631588</c:v>
                </c:pt>
                <c:pt idx="3">
                  <c:v>-4.5540796963946768</c:v>
                </c:pt>
                <c:pt idx="4">
                  <c:v>-2.4793934488511562</c:v>
                </c:pt>
                <c:pt idx="5">
                  <c:v>-1.8472906403940887</c:v>
                </c:pt>
                <c:pt idx="6">
                  <c:v>-0.28959000152415443</c:v>
                </c:pt>
                <c:pt idx="7">
                  <c:v>-6.6819221967963331</c:v>
                </c:pt>
                <c:pt idx="8">
                  <c:v>-11.834898988067181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195584"/>
        <c:axId val="144197120"/>
      </c:barChart>
      <c:catAx>
        <c:axId val="144195584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0" vert="eaVert"/>
          <a:lstStyle/>
          <a:p>
            <a:pPr>
              <a:defRPr sz="1100">
                <a:latin typeface="標楷體" panose="03000509000000000000" pitchFamily="65" charset="-120"/>
                <a:ea typeface="標楷體" panose="03000509000000000000" pitchFamily="65" charset="-120"/>
              </a:defRPr>
            </a:pPr>
            <a:endParaRPr lang="zh-TW"/>
          </a:p>
        </c:txPr>
        <c:crossAx val="144197120"/>
        <c:crosses val="autoZero"/>
        <c:auto val="1"/>
        <c:lblAlgn val="ctr"/>
        <c:lblOffset val="100"/>
        <c:noMultiLvlLbl val="0"/>
      </c:catAx>
      <c:valAx>
        <c:axId val="144197120"/>
        <c:scaling>
          <c:orientation val="minMax"/>
        </c:scaling>
        <c:delete val="0"/>
        <c:axPos val="l"/>
        <c:numFmt formatCode="#,##0_ " sourceLinked="0"/>
        <c:majorTickMark val="out"/>
        <c:minorTickMark val="none"/>
        <c:tickLblPos val="nextTo"/>
        <c:txPr>
          <a:bodyPr/>
          <a:lstStyle/>
          <a:p>
            <a:pPr>
              <a:defRPr sz="11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4419558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2383683521041349"/>
          <c:y val="8.9530307684845351E-2"/>
          <c:w val="0.63378818388442182"/>
          <c:h val="0.78239540240391559"/>
        </c:manualLayout>
      </c:layout>
      <c:barChart>
        <c:barDir val="bar"/>
        <c:grouping val="clustered"/>
        <c:varyColors val="0"/>
        <c:ser>
          <c:idx val="2"/>
          <c:order val="0"/>
          <c:tx>
            <c:strRef>
              <c:f>圖表!$A$4</c:f>
              <c:strCache>
                <c:ptCount val="1"/>
                <c:pt idx="0">
                  <c:v>漲跌幅度</c:v>
                </c:pt>
              </c:strCache>
            </c:strRef>
          </c:tx>
          <c:invertIfNegative val="0"/>
          <c:dLbls>
            <c:dLbl>
              <c:idx val="0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numFmt formatCode="#,##0.0_ 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numFmt formatCode="#,##0.0_ 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6461314231883541E-2"/>
                  <c:y val="-2.5104602510460251E-2"/>
                </c:manualLayout>
              </c:layout>
              <c:numFmt formatCode="#,##0.0_ 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9.4062316284538074E-3"/>
                  <c:y val="-3.7664342232876326E-17"/>
                </c:manualLayout>
              </c:layout>
              <c:numFmt formatCode="#,##0.0_ 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numFmt formatCode="#,##0.0_);[Red]\(#,##0.0\)" sourceLinked="0"/>
              <c:spPr/>
              <c:txPr>
                <a:bodyPr/>
                <a:lstStyle/>
                <a:p>
                  <a:pPr>
                    <a:defRPr>
                      <a:latin typeface="Times New Roman" panose="02020603050405020304" pitchFamily="18" charset="0"/>
                      <a:ea typeface="標楷體" panose="03000509000000000000" pitchFamily="65" charset="-120"/>
                      <a:cs typeface="Times New Roman" panose="02020603050405020304" pitchFamily="18" charset="0"/>
                    </a:defRPr>
                  </a:pPr>
                  <a:endParaRPr lang="zh-TW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圖表!$B$1:$P$1</c:f>
              <c:strCache>
                <c:ptCount val="15"/>
                <c:pt idx="0">
                  <c:v>日經225指數</c:v>
                </c:pt>
                <c:pt idx="1">
                  <c:v>美國那斯達克指數</c:v>
                </c:pt>
                <c:pt idx="2">
                  <c:v>美國道瓊工業指數</c:v>
                </c:pt>
                <c:pt idx="3">
                  <c:v>德國DAX指數</c:v>
                </c:pt>
                <c:pt idx="4">
                  <c:v>歐元區藍籌50指數</c:v>
                </c:pt>
                <c:pt idx="5">
                  <c:v>法國巴黎指數</c:v>
                </c:pt>
                <c:pt idx="6">
                  <c:v>英國金融時報指數</c:v>
                </c:pt>
                <c:pt idx="7">
                  <c:v>馬來西亞吉隆坡綜合指數</c:v>
                </c:pt>
                <c:pt idx="8">
                  <c:v>香港恆生指數</c:v>
                </c:pt>
                <c:pt idx="9">
                  <c:v>菲律賓股價指數</c:v>
                </c:pt>
                <c:pt idx="10">
                  <c:v>南韓綜合指數</c:v>
                </c:pt>
                <c:pt idx="11">
                  <c:v>新加坡海峽時報指數</c:v>
                </c:pt>
                <c:pt idx="12">
                  <c:v>印尼股價指數</c:v>
                </c:pt>
                <c:pt idx="13">
                  <c:v>泰國SET綜合指數</c:v>
                </c:pt>
                <c:pt idx="14">
                  <c:v>中國大陸上海綜合股價指數</c:v>
                </c:pt>
              </c:strCache>
            </c:strRef>
          </c:cat>
          <c:val>
            <c:numRef>
              <c:f>圖表!$B$4:$P$4</c:f>
              <c:numCache>
                <c:formatCode>0.00_ </c:formatCode>
                <c:ptCount val="15"/>
                <c:pt idx="0">
                  <c:v>7.1170458360929905</c:v>
                </c:pt>
                <c:pt idx="1">
                  <c:v>13.395233910917757</c:v>
                </c:pt>
                <c:pt idx="2">
                  <c:v>7.5190659638310731</c:v>
                </c:pt>
                <c:pt idx="3">
                  <c:v>3.9254995728714692</c:v>
                </c:pt>
                <c:pt idx="4">
                  <c:v>1.203924091347695</c:v>
                </c:pt>
                <c:pt idx="5">
                  <c:v>-0.70561380449095168</c:v>
                </c:pt>
                <c:pt idx="6">
                  <c:v>-2.9943296059172444</c:v>
                </c:pt>
                <c:pt idx="7">
                  <c:v>-5.9422596287356066</c:v>
                </c:pt>
                <c:pt idx="8">
                  <c:v>1.2814082318196918</c:v>
                </c:pt>
                <c:pt idx="9">
                  <c:v>22.763645130674394</c:v>
                </c:pt>
                <c:pt idx="10">
                  <c:v>-4.7605079200930724</c:v>
                </c:pt>
                <c:pt idx="11">
                  <c:v>6.242284754517077</c:v>
                </c:pt>
                <c:pt idx="12">
                  <c:v>24.067690803184462</c:v>
                </c:pt>
                <c:pt idx="13">
                  <c:v>15.319817357223709</c:v>
                </c:pt>
                <c:pt idx="14">
                  <c:v>52.869122457794923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58688"/>
        <c:axId val="143876864"/>
      </c:barChart>
      <c:catAx>
        <c:axId val="143858688"/>
        <c:scaling>
          <c:orientation val="minMax"/>
        </c:scaling>
        <c:delete val="0"/>
        <c:axPos val="l"/>
        <c:majorTickMark val="none"/>
        <c:minorTickMark val="none"/>
        <c:tickLblPos val="low"/>
        <c:txPr>
          <a:bodyPr/>
          <a:lstStyle/>
          <a:p>
            <a:pPr>
              <a:defRPr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43876864"/>
        <c:crosses val="autoZero"/>
        <c:auto val="1"/>
        <c:lblAlgn val="l"/>
        <c:lblOffset val="100"/>
        <c:noMultiLvlLbl val="0"/>
      </c:catAx>
      <c:valAx>
        <c:axId val="143876864"/>
        <c:scaling>
          <c:orientation val="minMax"/>
        </c:scaling>
        <c:delete val="0"/>
        <c:axPos val="b"/>
        <c:majorGridlines/>
        <c:numFmt formatCode="0_ " sourceLinked="0"/>
        <c:majorTickMark val="none"/>
        <c:minorTickMark val="none"/>
        <c:tickLblPos val="nextTo"/>
        <c:spPr>
          <a:ln>
            <a:solidFill>
              <a:schemeClr val="accent1"/>
            </a:solidFill>
          </a:ln>
        </c:spPr>
        <c:txPr>
          <a:bodyPr/>
          <a:lstStyle/>
          <a:p>
            <a:pPr>
              <a:defRPr sz="1100"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4385868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8825986167787419E-2"/>
          <c:y val="4.6088707266022128E-2"/>
          <c:w val="0.84001628446079279"/>
          <c:h val="0.82472121997408554"/>
        </c:manualLayout>
      </c:layout>
      <c:lineChart>
        <c:grouping val="standard"/>
        <c:varyColors val="0"/>
        <c:ser>
          <c:idx val="1"/>
          <c:order val="1"/>
          <c:tx>
            <c:strRef>
              <c:f>糧價及油價!$C$1</c:f>
              <c:strCache>
                <c:ptCount val="1"/>
                <c:pt idx="0">
                  <c:v>布蘭特原油近月期貨價格</c:v>
                </c:pt>
              </c:strCache>
            </c:strRef>
          </c:tx>
          <c:spPr>
            <a:ln w="1270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糧價及油價!$A$2:$A$9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糧價及油價!$C$2:$C$9</c:f>
              <c:numCache>
                <c:formatCode>General</c:formatCode>
                <c:ptCount val="8"/>
                <c:pt idx="0">
                  <c:v>72.650000000000006</c:v>
                </c:pt>
                <c:pt idx="1">
                  <c:v>98.53</c:v>
                </c:pt>
                <c:pt idx="2">
                  <c:v>62.67</c:v>
                </c:pt>
                <c:pt idx="3">
                  <c:v>80.34</c:v>
                </c:pt>
                <c:pt idx="4">
                  <c:v>110.9</c:v>
                </c:pt>
                <c:pt idx="5">
                  <c:v>111.67</c:v>
                </c:pt>
                <c:pt idx="6">
                  <c:v>108.69</c:v>
                </c:pt>
                <c:pt idx="7">
                  <c:v>99.45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90688"/>
        <c:axId val="143900672"/>
      </c:lineChart>
      <c:lineChart>
        <c:grouping val="standard"/>
        <c:varyColors val="0"/>
        <c:ser>
          <c:idx val="0"/>
          <c:order val="0"/>
          <c:tx>
            <c:strRef>
              <c:f>糧價及油價!$B$1</c:f>
              <c:strCache>
                <c:ptCount val="1"/>
                <c:pt idx="0">
                  <c:v>FAO糧食價格指數</c:v>
                </c:pt>
              </c:strCache>
            </c:strRef>
          </c:tx>
          <c:spPr>
            <a:ln w="12700">
              <a:prstDash val="dash"/>
            </a:ln>
          </c:spPr>
          <c:marker>
            <c:symbol val="none"/>
          </c:marker>
          <c:cat>
            <c:numRef>
              <c:f>糧價及油價!$A$2:$A$9</c:f>
              <c:numCache>
                <c:formatCode>General</c:formatCode>
                <c:ptCount val="8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</c:numCache>
            </c:numRef>
          </c:cat>
          <c:val>
            <c:numRef>
              <c:f>糧價及油價!$B$2:$B$9</c:f>
              <c:numCache>
                <c:formatCode>0.0</c:formatCode>
                <c:ptCount val="8"/>
                <c:pt idx="0">
                  <c:v>161.41901410907161</c:v>
                </c:pt>
                <c:pt idx="1">
                  <c:v>201.37769971689343</c:v>
                </c:pt>
                <c:pt idx="2">
                  <c:v>160.34444635667685</c:v>
                </c:pt>
                <c:pt idx="3">
                  <c:v>187.97378687763447</c:v>
                </c:pt>
                <c:pt idx="4">
                  <c:v>229.94939252571737</c:v>
                </c:pt>
                <c:pt idx="5">
                  <c:v>213.27200220371711</c:v>
                </c:pt>
                <c:pt idx="6">
                  <c:v>209.82941320470545</c:v>
                </c:pt>
                <c:pt idx="7">
                  <c:v>201.7885144225163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903744"/>
        <c:axId val="143902208"/>
      </c:lineChart>
      <c:catAx>
        <c:axId val="1438906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43900672"/>
        <c:crosses val="autoZero"/>
        <c:auto val="1"/>
        <c:lblAlgn val="ctr"/>
        <c:lblOffset val="100"/>
        <c:noMultiLvlLbl val="0"/>
      </c:catAx>
      <c:valAx>
        <c:axId val="143900672"/>
        <c:scaling>
          <c:orientation val="minMax"/>
          <c:min val="60"/>
        </c:scaling>
        <c:delete val="0"/>
        <c:axPos val="l"/>
        <c:numFmt formatCode="#,##0_);[Red]\(#,##0\)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zh-TW"/>
          </a:p>
        </c:txPr>
        <c:crossAx val="143890688"/>
        <c:crosses val="autoZero"/>
        <c:crossBetween val="between"/>
      </c:valAx>
      <c:valAx>
        <c:axId val="143902208"/>
        <c:scaling>
          <c:orientation val="minMax"/>
          <c:max val="240"/>
          <c:min val="150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143903744"/>
        <c:crosses val="max"/>
        <c:crossBetween val="between"/>
      </c:valAx>
      <c:catAx>
        <c:axId val="14390374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3902208"/>
        <c:crosses val="autoZero"/>
        <c:auto val="1"/>
        <c:lblAlgn val="ctr"/>
        <c:lblOffset val="100"/>
        <c:noMultiLvlLbl val="0"/>
      </c:catAx>
    </c:plotArea>
    <c:legend>
      <c:legendPos val="t"/>
      <c:legendEntry>
        <c:idx val="1"/>
        <c:txPr>
          <a:bodyPr/>
          <a:lstStyle/>
          <a:p>
            <a:pPr>
              <a:defRPr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legendEntry>
      <c:layout>
        <c:manualLayout>
          <c:xMode val="edge"/>
          <c:yMode val="edge"/>
          <c:x val="8.9444412514129157E-2"/>
          <c:y val="2.0486377255940361E-3"/>
          <c:w val="0.83333333333333337"/>
          <c:h val="8.3717191601049873E-2"/>
        </c:manualLayout>
      </c:layout>
      <c:overlay val="1"/>
      <c:txPr>
        <a:bodyPr/>
        <a:lstStyle/>
        <a:p>
          <a:pPr>
            <a:defRPr>
              <a:latin typeface="標楷體" panose="03000509000000000000" pitchFamily="65" charset="-120"/>
              <a:ea typeface="標楷體" panose="03000509000000000000" pitchFamily="65" charset="-120"/>
            </a:defRPr>
          </a:pPr>
          <a:endParaRPr lang="zh-TW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E71302-223B-4431-A485-7FDEBF4BD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5457</Words>
  <Characters>1710</Characters>
  <Application>Microsoft Office Word</Application>
  <DocSecurity>0</DocSecurity>
  <Lines>14</Lines>
  <Paragraphs>14</Paragraphs>
  <ScaleCrop>false</ScaleCrop>
  <Company>經建會</Company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下篇　部門建設重點</dc:title>
  <dc:creator>administrator</dc:creator>
  <cp:lastModifiedBy>user</cp:lastModifiedBy>
  <cp:revision>5</cp:revision>
  <cp:lastPrinted>2015-06-05T02:46:00Z</cp:lastPrinted>
  <dcterms:created xsi:type="dcterms:W3CDTF">2015-06-29T11:35:00Z</dcterms:created>
  <dcterms:modified xsi:type="dcterms:W3CDTF">2015-07-09T01:30:00Z</dcterms:modified>
</cp:coreProperties>
</file>