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98" w:rsidRPr="003F3254" w:rsidRDefault="00D3711E" w:rsidP="00AF5B98">
      <w:pPr>
        <w:widowControl/>
        <w:spacing w:afterLines="100" w:after="360" w:line="500" w:lineRule="exact"/>
        <w:textAlignment w:val="top"/>
        <w:rPr>
          <w:rFonts w:ascii="標楷體" w:eastAsia="標楷體" w:hAnsi="標楷體" w:cs="Times New Roman"/>
          <w:b/>
          <w:color w:val="FF0000"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0B973022" wp14:editId="421E3E13">
            <wp:extent cx="1132609" cy="226097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836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 xml:space="preserve">   </w:t>
      </w:r>
    </w:p>
    <w:p w:rsidR="00AF5B98" w:rsidRPr="00AF5B98" w:rsidRDefault="00AF5B98" w:rsidP="00EC2C5E">
      <w:pPr>
        <w:widowControl/>
        <w:spacing w:afterLines="50" w:after="180" w:line="500" w:lineRule="exact"/>
        <w:jc w:val="center"/>
        <w:textAlignment w:val="top"/>
        <w:rPr>
          <w:rFonts w:ascii="微軟正黑體" w:eastAsia="微軟正黑體" w:hAnsi="微軟正黑體" w:cs="Times New Roman"/>
          <w:b/>
          <w:color w:val="FF0000"/>
          <w:sz w:val="40"/>
          <w:szCs w:val="40"/>
        </w:rPr>
      </w:pPr>
      <w:r w:rsidRPr="00AD17CF">
        <w:rPr>
          <w:rFonts w:ascii="標楷體" w:eastAsia="標楷體" w:hAnsi="標楷體" w:cs="Times New Roman" w:hint="eastAsia"/>
          <w:b/>
          <w:color w:val="000000"/>
          <w:sz w:val="40"/>
          <w:szCs w:val="40"/>
        </w:rPr>
        <w:t>國家發展委員會 回應稿</w:t>
      </w:r>
    </w:p>
    <w:p w:rsidR="00E44D66" w:rsidRPr="00AD17CF" w:rsidRDefault="00135348" w:rsidP="00E44D66">
      <w:pPr>
        <w:widowControl/>
        <w:spacing w:line="500" w:lineRule="exact"/>
        <w:jc w:val="center"/>
        <w:textAlignment w:val="top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自由經濟</w:t>
      </w:r>
      <w:r w:rsidR="00137836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示範區</w:t>
      </w:r>
      <w:r w:rsidR="008B20E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是</w:t>
      </w:r>
      <w:r w:rsidR="00C75028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面對國際、創造稅基</w:t>
      </w:r>
    </w:p>
    <w:p w:rsidR="00AF5B98" w:rsidRPr="00AD17CF" w:rsidRDefault="00AF5B98" w:rsidP="00B13BEC">
      <w:pPr>
        <w:snapToGrid w:val="0"/>
        <w:spacing w:line="500" w:lineRule="exact"/>
        <w:jc w:val="right"/>
        <w:rPr>
          <w:rFonts w:ascii="Calibri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[</w:t>
      </w:r>
      <w:r w:rsidR="0013534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詹方冠</w:t>
      </w: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/</w:t>
      </w:r>
      <w:r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國家發展委員會</w:t>
      </w:r>
      <w:r w:rsidR="00E44D6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產業發展處處長</w:t>
      </w:r>
      <w:r w:rsidRPr="00AD17CF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，電話：</w:t>
      </w:r>
      <w:r w:rsidR="00E44D6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02-2316</w:t>
      </w:r>
      <w:r w:rsidR="00B13BEC"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-</w:t>
      </w:r>
      <w:r w:rsidR="00E44D66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585</w:t>
      </w:r>
      <w:r w:rsidR="00135348">
        <w:rPr>
          <w:rFonts w:ascii="Calibri" w:eastAsia="標楷體" w:hAnsi="標楷體" w:cs="Times New Roman" w:hint="eastAsia"/>
          <w:bCs/>
          <w:color w:val="000000"/>
          <w:sz w:val="28"/>
          <w:szCs w:val="28"/>
        </w:rPr>
        <w:t>0</w:t>
      </w:r>
      <w:r w:rsidRPr="00AD17CF">
        <w:rPr>
          <w:rFonts w:ascii="Calibri" w:eastAsia="標楷體" w:hAnsi="標楷體" w:cs="Times New Roman"/>
          <w:bCs/>
          <w:color w:val="000000"/>
          <w:sz w:val="28"/>
          <w:szCs w:val="28"/>
        </w:rPr>
        <w:t>]</w:t>
      </w:r>
    </w:p>
    <w:p w:rsidR="003F3254" w:rsidRPr="00AD17CF" w:rsidRDefault="00B13BEC" w:rsidP="003F3254">
      <w:pPr>
        <w:wordWrap w:val="0"/>
        <w:snapToGrid w:val="0"/>
        <w:spacing w:line="500" w:lineRule="exact"/>
        <w:jc w:val="right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103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年</w:t>
      </w:r>
      <w:r w:rsidR="00E44D66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5</w:t>
      </w:r>
      <w:r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月</w:t>
      </w:r>
      <w:r w:rsidR="00135348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9</w:t>
      </w:r>
      <w:r w:rsidR="00AF5B98" w:rsidRPr="00AD17C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日</w:t>
      </w:r>
    </w:p>
    <w:p w:rsidR="00AF5B98" w:rsidRPr="003F3254" w:rsidRDefault="00D120F7" w:rsidP="00D120F7">
      <w:pPr>
        <w:widowControl/>
        <w:snapToGrid w:val="0"/>
        <w:spacing w:beforeLines="50" w:before="180" w:line="440" w:lineRule="exact"/>
        <w:ind w:firstLineChars="175" w:firstLine="56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有關</w:t>
      </w: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5</w:t>
      </w: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月</w:t>
      </w:r>
      <w:r w:rsidR="0013534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9</w:t>
      </w: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日國內</w:t>
      </w:r>
      <w:r w:rsid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媒體報導</w:t>
      </w:r>
      <w:r w:rsidR="0013534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部分</w:t>
      </w:r>
      <w:r w:rsid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人士</w:t>
      </w:r>
      <w:r w:rsidR="0013534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針對</w:t>
      </w: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示範區政策</w:t>
      </w:r>
      <w:r w:rsid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有所質疑</w:t>
      </w: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3D04E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皆非事實。</w:t>
      </w:r>
      <w:r w:rsidRPr="00D120F7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國家發展委員會說明如下。</w:t>
      </w:r>
    </w:p>
    <w:p w:rsidR="00E83C4A" w:rsidRPr="00E83C4A" w:rsidRDefault="00E83C4A" w:rsidP="00DB359C">
      <w:pPr>
        <w:widowControl/>
        <w:snapToGrid w:val="0"/>
        <w:spacing w:before="120" w:line="440" w:lineRule="exact"/>
        <w:ind w:left="567" w:hangingChars="177" w:hanging="567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E83C4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一、</w:t>
      </w:r>
      <w:r w:rsidR="00967241" w:rsidRPr="00967241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示範區是面對國際</w:t>
      </w:r>
      <w:r w:rsidR="00DB359C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，且只有</w:t>
      </w:r>
      <w:r w:rsidR="003D04E8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部分開放</w:t>
      </w:r>
    </w:p>
    <w:p w:rsidR="00AF5B98" w:rsidRDefault="00967241" w:rsidP="00967241">
      <w:pPr>
        <w:widowControl/>
        <w:snapToGrid w:val="0"/>
        <w:spacing w:before="120" w:line="440" w:lineRule="exact"/>
        <w:ind w:firstLineChars="175" w:firstLine="560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少數人士質疑示範區是要促成「兩岸經濟一體化」</w:t>
      </w:r>
      <w:r w:rsidR="001F2C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絕非事實。實際上，</w:t>
      </w:r>
      <w:r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示範區是面對國際，目標也是國際，而非僅是兩岸。示範產業中的「智慧物流」已有新加坡與日本企業詢問；「金融服務」有英國、香港與新加坡業者</w:t>
      </w:r>
      <w:r w:rsidR="001F2C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表達</w:t>
      </w:r>
      <w:r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興趣。歐洲商會也對「教育創新」興致勃勃，想引進歐洲的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一流</w:t>
      </w:r>
      <w:r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學校培育</w:t>
      </w:r>
      <w:r w:rsidR="0084216A"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臺灣</w:t>
      </w:r>
      <w:r w:rsidR="001F2C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優質</w:t>
      </w:r>
      <w:r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人才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1F2C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這些徵詢者中都沒有大陸業者。</w:t>
      </w:r>
    </w:p>
    <w:p w:rsidR="00E44D66" w:rsidRDefault="003D04E8" w:rsidP="006F135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 w:rsidRPr="003D04E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另一方面，</w:t>
      </w:r>
      <w:r w:rsidR="00967241" w:rsidRPr="003D04E8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示範區是部分開放，而非全面開放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967241"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示範區考量社會對全面開放尚有疑慮，決定只先部分開放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967241"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目前僅是「六海一空</w:t>
      </w:r>
      <w:r w:rsidR="002135E5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加屏東農業生技園區</w:t>
      </w:r>
      <w:r w:rsidR="00967241"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」與「試點開放」，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並</w:t>
      </w:r>
      <w:r w:rsidR="00967241"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非</w:t>
      </w:r>
      <w:r w:rsid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兩岸</w:t>
      </w:r>
      <w:r w:rsidR="00967241" w:rsidRPr="0096724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貨貿與服貿一步到位的全面開放。</w:t>
      </w:r>
    </w:p>
    <w:p w:rsidR="003566E4" w:rsidRPr="002621B3" w:rsidRDefault="00DB359C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二、</w:t>
      </w:r>
      <w:r w:rsid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俟</w:t>
      </w:r>
      <w:r w:rsidR="001F2C19" w:rsidRP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服貿協議</w:t>
      </w:r>
      <w:r w:rsidR="00B5120C" w:rsidRP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生效</w:t>
      </w:r>
      <w:r w:rsid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，</w:t>
      </w:r>
      <w:r w:rsidR="002621B3" w:rsidRP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</w:t>
      </w:r>
      <w:r w:rsidR="001F2C19" w:rsidRPr="002621B3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才會開放陸資投資服務業</w:t>
      </w:r>
    </w:p>
    <w:p w:rsidR="001F2C19" w:rsidRDefault="00E718FC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 w:rsidR="00E421F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少數人士質疑服貿未通過，示範區就開放陸資經營敏感性產業，亦非事實。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政府再三重申，</w:t>
      </w:r>
      <w:r w:rsidR="001C760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對於陸資投資示範區服務業，決不會在服貿通過前偷跑，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必須</w:t>
      </w:r>
      <w:r w:rsidR="00B5120C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等服貿協議生效後，</w:t>
      </w:r>
      <w:r w:rsidR="002621B3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才會開放陸資投資示範區服務業，且前提是</w:t>
      </w:r>
      <w:r w:rsidR="002621B3" w:rsidRPr="002621B3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不影響國家安全，政府亦訂有嚴格管理機制，並未放寬任何實質審查程序。</w:t>
      </w:r>
    </w:p>
    <w:p w:rsidR="001F2C19" w:rsidRPr="008636FA" w:rsidRDefault="001F2C19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8636F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三、</w:t>
      </w:r>
      <w:r w:rsidR="00C515B8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</w:t>
      </w:r>
      <w:r w:rsidR="00C515B8" w:rsidRPr="008636F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輸入</w:t>
      </w:r>
      <w:r w:rsidR="00C515B8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國外</w:t>
      </w:r>
      <w:r w:rsidR="008636FA" w:rsidRPr="008636F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原物料免稅</w:t>
      </w:r>
      <w:r w:rsidR="0084216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是</w:t>
      </w:r>
      <w:r w:rsidR="00C515B8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自貿港區既有</w:t>
      </w:r>
      <w:r w:rsidR="008636FA" w:rsidRPr="008636F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做法</w:t>
      </w:r>
    </w:p>
    <w:p w:rsidR="003D04E8" w:rsidRDefault="00EB4D36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少數人士質疑示範區主動對全世界片面實施零關稅，造成</w:t>
      </w:r>
      <w:r w:rsidR="001F2C19" w:rsidRPr="001F2C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談判籌碼盡失</w:t>
      </w:r>
      <w:r w:rsidR="001F2C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絕非</w:t>
      </w:r>
      <w:r w:rsidR="006368C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事實。示範區</w:t>
      </w:r>
      <w:r w:rsidR="00B45C3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是</w:t>
      </w:r>
      <w:r w:rsidR="006368CD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「境內關外」概念，</w:t>
      </w:r>
      <w:r w:rsidR="00A95C2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lastRenderedPageBreak/>
        <w:t>提供原物料輸入免進口稅費，係為讓產品再行出口時免除稅務處理困擾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A95C2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此係國際上的普遍做法，國內的加工出口區、自由貿易港區、科學園區等也是如此，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並無</w:t>
      </w:r>
      <w:r w:rsidR="00A95C2B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談判籌碼</w:t>
      </w:r>
      <w:r w:rsidR="00B45C31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喪失的疑慮。</w:t>
      </w:r>
    </w:p>
    <w:p w:rsidR="001F2C19" w:rsidRPr="00DD1819" w:rsidRDefault="008636FA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DD181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四、</w:t>
      </w:r>
      <w:r w:rsidR="00223DFA" w:rsidRPr="00DD181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</w:t>
      </w:r>
      <w:r w:rsidR="0084216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是</w:t>
      </w:r>
      <w:r w:rsidR="00DD1819" w:rsidRPr="00DD1819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提供「差異化」醫療服務</w:t>
      </w:r>
    </w:p>
    <w:p w:rsidR="001F2C19" w:rsidRDefault="00223DFA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少數人士質疑示範區造成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醫療商品化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，絕非事實。示範區提供的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醫療服務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，是透過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「差異化」提供多元醫療選擇，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並非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「商品化」</w:t>
      </w:r>
      <w:r w:rsid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現行健保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制度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早已存在醫療差異化</w:t>
      </w:r>
      <w:r w:rsid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，如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病房</w:t>
      </w:r>
      <w:r w:rsid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差額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、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自費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醫材等，此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種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自費醫療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即為醫療</w:t>
      </w:r>
      <w:r w:rsid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差異化</w:t>
      </w:r>
      <w:r w:rsidRPr="00223DF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  <w:r w:rsid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且由於</w:t>
      </w:r>
      <w:r w:rsidR="00DD1819" w:rsidRP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健保制度依然存在，國人仍可使用健保就醫，而示範區之國際醫療機構則不可使用健保，不會影響國人就醫權益及就醫之可近性</w:t>
      </w:r>
      <w:r w:rsid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</w:p>
    <w:p w:rsidR="00223DFA" w:rsidRPr="0084216A" w:rsidRDefault="00DD1819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/>
          <w:bCs/>
          <w:color w:val="000000" w:themeColor="text1"/>
          <w:kern w:val="0"/>
          <w:sz w:val="32"/>
          <w:szCs w:val="32"/>
        </w:rPr>
      </w:pPr>
      <w:r w:rsidRPr="0084216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五、</w:t>
      </w:r>
      <w:r w:rsidR="0084216A" w:rsidRPr="0084216A">
        <w:rPr>
          <w:rFonts w:ascii="Calibri" w:eastAsia="標楷體" w:hAnsi="Calibri" w:cs="Times New Roman" w:hint="eastAsia"/>
          <w:b/>
          <w:bCs/>
          <w:color w:val="000000" w:themeColor="text1"/>
          <w:kern w:val="0"/>
          <w:sz w:val="32"/>
          <w:szCs w:val="32"/>
        </w:rPr>
        <w:t>示範區是在創造稅基</w:t>
      </w:r>
    </w:p>
    <w:p w:rsidR="0084216A" w:rsidRDefault="0084216A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少數人士質疑示範區租稅獎勵是瘋狂減稅、造成區內外不公之質疑，亦與事實不符。</w:t>
      </w:r>
      <w:r w:rsidR="00DD1819" w:rsidRP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示範區提供的租稅獎勵措施，主要係因應國際租稅競爭，吸引更多商機，讓原本不會在臺灣發生的商業活動能夠產生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；</w:t>
      </w:r>
      <w:r w:rsidR="00DD1819" w:rsidRP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這些措施是在創造</w:t>
      </w:r>
      <w:bookmarkStart w:id="0" w:name="_GoBack"/>
      <w:bookmarkEnd w:id="0"/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原先不存在的商業機會，擴大</w:t>
      </w:r>
      <w:r w:rsidR="00DD1819" w:rsidRPr="00DD1819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稅基，而非在現有的租稅基礎上減稅。</w:t>
      </w:r>
    </w:p>
    <w:p w:rsidR="00DD1819" w:rsidRPr="00DD1819" w:rsidRDefault="0084216A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示範區也</w:t>
      </w:r>
      <w:r w:rsidRPr="0084216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不會造成區內外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租稅不公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。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國內企業如成為</w:t>
      </w:r>
      <w:r w:rsidRPr="0084216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示範事業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 w:rsidRPr="0084216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進口國外原物料雖可免徵進口稅費，但</w:t>
      </w:r>
      <w:r w:rsidR="00D73C74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若</w:t>
      </w:r>
      <w:r w:rsidRPr="0084216A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要從示範區內銷國內市場，均須依現行規定補徵進口稅費，並無任何租稅優惠。</w:t>
      </w:r>
    </w:p>
    <w:p w:rsidR="0084216A" w:rsidRDefault="000A06EC" w:rsidP="000A06EC">
      <w:pPr>
        <w:widowControl/>
        <w:snapToGrid w:val="0"/>
        <w:spacing w:before="24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最後，針對近期國內各界對於示範區的</w:t>
      </w:r>
      <w:r w:rsid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指教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與鞭策，</w:t>
      </w:r>
      <w:r w:rsid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都是為了讓政策更為完善、週延，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國發會均表感謝之意</w:t>
      </w:r>
      <w:r w:rsid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，</w:t>
      </w:r>
      <w:r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也籲請國人在深入瞭解政策內涵後，全力支持本項重大經濟政策，</w:t>
      </w:r>
      <w:r w:rsid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促使臺灣經濟再次邁向高峰，</w:t>
      </w:r>
      <w:r w:rsidR="0082283E" w:rsidRP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讓</w:t>
      </w:r>
      <w:r w:rsid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全民共</w:t>
      </w:r>
      <w:r w:rsidR="0082283E" w:rsidRP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享經濟成長</w:t>
      </w:r>
      <w:r w:rsidR="0082283E">
        <w:rPr>
          <w:rFonts w:ascii="Calibri" w:eastAsia="標楷體" w:hAnsi="Calibri" w:cs="Times New Roman" w:hint="eastAsia"/>
          <w:bCs/>
          <w:color w:val="000000" w:themeColor="text1"/>
          <w:kern w:val="0"/>
          <w:sz w:val="32"/>
          <w:szCs w:val="32"/>
        </w:rPr>
        <w:t>的豐碩成果。</w:t>
      </w:r>
    </w:p>
    <w:p w:rsidR="000A06EC" w:rsidRPr="001F2C19" w:rsidRDefault="000A06EC" w:rsidP="003566E4">
      <w:pPr>
        <w:widowControl/>
        <w:snapToGrid w:val="0"/>
        <w:spacing w:before="120" w:line="440" w:lineRule="exact"/>
        <w:jc w:val="both"/>
        <w:textAlignment w:val="top"/>
        <w:rPr>
          <w:rFonts w:ascii="Calibri" w:eastAsia="標楷體" w:hAnsi="Calibri" w:cs="Times New Roman"/>
          <w:bCs/>
          <w:color w:val="000000" w:themeColor="text1"/>
          <w:kern w:val="0"/>
          <w:sz w:val="32"/>
          <w:szCs w:val="32"/>
        </w:rPr>
      </w:pPr>
    </w:p>
    <w:sectPr w:rsidR="000A06EC" w:rsidRPr="001F2C19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A0" w:rsidRDefault="006233A0" w:rsidP="00AD17CF">
      <w:r>
        <w:separator/>
      </w:r>
    </w:p>
  </w:endnote>
  <w:endnote w:type="continuationSeparator" w:id="0">
    <w:p w:rsidR="006233A0" w:rsidRDefault="006233A0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363070"/>
      <w:docPartObj>
        <w:docPartGallery w:val="Page Numbers (Bottom of Page)"/>
        <w:docPartUnique/>
      </w:docPartObj>
    </w:sdtPr>
    <w:sdtEndPr/>
    <w:sdtContent>
      <w:p w:rsidR="000A617D" w:rsidRDefault="000A61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DF4" w:rsidRPr="00E00DF4">
          <w:rPr>
            <w:noProof/>
            <w:lang w:val="zh-TW"/>
          </w:rPr>
          <w:t>2</w:t>
        </w:r>
        <w:r>
          <w:fldChar w:fldCharType="end"/>
        </w:r>
      </w:p>
    </w:sdtContent>
  </w:sdt>
  <w:p w:rsidR="000A617D" w:rsidRDefault="000A61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A0" w:rsidRDefault="006233A0" w:rsidP="00AD17CF">
      <w:r>
        <w:separator/>
      </w:r>
    </w:p>
  </w:footnote>
  <w:footnote w:type="continuationSeparator" w:id="0">
    <w:p w:rsidR="006233A0" w:rsidRDefault="006233A0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F42FF"/>
    <w:multiLevelType w:val="hybridMultilevel"/>
    <w:tmpl w:val="E774DD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68FA9962">
      <w:start w:val="1"/>
      <w:numFmt w:val="taiwaneseCountingThousand"/>
      <w:lvlText w:val="(%2)"/>
      <w:lvlJc w:val="left"/>
      <w:pPr>
        <w:ind w:left="1360" w:hanging="144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</w:abstractNum>
  <w:abstractNum w:abstractNumId="1">
    <w:nsid w:val="43B652C2"/>
    <w:multiLevelType w:val="hybridMultilevel"/>
    <w:tmpl w:val="67548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1F52C9C"/>
    <w:multiLevelType w:val="hybridMultilevel"/>
    <w:tmpl w:val="27DCA2EA"/>
    <w:lvl w:ilvl="0" w:tplc="5E86AD2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27639"/>
    <w:rsid w:val="000A06EC"/>
    <w:rsid w:val="000A617D"/>
    <w:rsid w:val="00135348"/>
    <w:rsid w:val="00137836"/>
    <w:rsid w:val="001A0971"/>
    <w:rsid w:val="001C760B"/>
    <w:rsid w:val="001D50D7"/>
    <w:rsid w:val="001E30D9"/>
    <w:rsid w:val="001F2C19"/>
    <w:rsid w:val="00201104"/>
    <w:rsid w:val="002135E5"/>
    <w:rsid w:val="00223DFA"/>
    <w:rsid w:val="00243C42"/>
    <w:rsid w:val="002621B3"/>
    <w:rsid w:val="002F337E"/>
    <w:rsid w:val="0035067D"/>
    <w:rsid w:val="003566E4"/>
    <w:rsid w:val="003917F9"/>
    <w:rsid w:val="003D04E8"/>
    <w:rsid w:val="003D45D5"/>
    <w:rsid w:val="003E26B1"/>
    <w:rsid w:val="003F3254"/>
    <w:rsid w:val="004305AB"/>
    <w:rsid w:val="0043077A"/>
    <w:rsid w:val="00436413"/>
    <w:rsid w:val="004547B8"/>
    <w:rsid w:val="004604A3"/>
    <w:rsid w:val="00485CB2"/>
    <w:rsid w:val="004C7648"/>
    <w:rsid w:val="004E0F27"/>
    <w:rsid w:val="00514EB6"/>
    <w:rsid w:val="0054677C"/>
    <w:rsid w:val="00586423"/>
    <w:rsid w:val="005C6813"/>
    <w:rsid w:val="00614CA0"/>
    <w:rsid w:val="006233A0"/>
    <w:rsid w:val="006368CD"/>
    <w:rsid w:val="00660713"/>
    <w:rsid w:val="006D6EA7"/>
    <w:rsid w:val="006F1354"/>
    <w:rsid w:val="00740FC1"/>
    <w:rsid w:val="00797F51"/>
    <w:rsid w:val="007A0A8A"/>
    <w:rsid w:val="00816650"/>
    <w:rsid w:val="0082283E"/>
    <w:rsid w:val="00826C9D"/>
    <w:rsid w:val="0084216A"/>
    <w:rsid w:val="008636FA"/>
    <w:rsid w:val="00865949"/>
    <w:rsid w:val="008B20EB"/>
    <w:rsid w:val="008D5E9A"/>
    <w:rsid w:val="008E1AB8"/>
    <w:rsid w:val="008E68C1"/>
    <w:rsid w:val="00911B4F"/>
    <w:rsid w:val="00935934"/>
    <w:rsid w:val="00954A13"/>
    <w:rsid w:val="00967241"/>
    <w:rsid w:val="00A11A40"/>
    <w:rsid w:val="00A95C2B"/>
    <w:rsid w:val="00AC48C2"/>
    <w:rsid w:val="00AD17CF"/>
    <w:rsid w:val="00AF5B98"/>
    <w:rsid w:val="00B028AF"/>
    <w:rsid w:val="00B13BEC"/>
    <w:rsid w:val="00B20D32"/>
    <w:rsid w:val="00B45C31"/>
    <w:rsid w:val="00B5120C"/>
    <w:rsid w:val="00B637B3"/>
    <w:rsid w:val="00BA1B67"/>
    <w:rsid w:val="00C1613F"/>
    <w:rsid w:val="00C24C9A"/>
    <w:rsid w:val="00C4029F"/>
    <w:rsid w:val="00C515B8"/>
    <w:rsid w:val="00C53318"/>
    <w:rsid w:val="00C565AE"/>
    <w:rsid w:val="00C75028"/>
    <w:rsid w:val="00C76F9C"/>
    <w:rsid w:val="00CA0BCB"/>
    <w:rsid w:val="00CB7D3E"/>
    <w:rsid w:val="00CF037C"/>
    <w:rsid w:val="00D120F7"/>
    <w:rsid w:val="00D3711E"/>
    <w:rsid w:val="00D4058D"/>
    <w:rsid w:val="00D56EAB"/>
    <w:rsid w:val="00D73C74"/>
    <w:rsid w:val="00DB359C"/>
    <w:rsid w:val="00DD1819"/>
    <w:rsid w:val="00DF30E4"/>
    <w:rsid w:val="00E00DF4"/>
    <w:rsid w:val="00E0415A"/>
    <w:rsid w:val="00E14615"/>
    <w:rsid w:val="00E22AE5"/>
    <w:rsid w:val="00E421FC"/>
    <w:rsid w:val="00E44D66"/>
    <w:rsid w:val="00E60EA5"/>
    <w:rsid w:val="00E718FC"/>
    <w:rsid w:val="00E83C4A"/>
    <w:rsid w:val="00E85DCD"/>
    <w:rsid w:val="00EB4D36"/>
    <w:rsid w:val="00EC2C5E"/>
    <w:rsid w:val="00ED655F"/>
    <w:rsid w:val="00EE0300"/>
    <w:rsid w:val="00EE1BE3"/>
    <w:rsid w:val="00EE7F4E"/>
    <w:rsid w:val="00EF77EC"/>
    <w:rsid w:val="00F36DCF"/>
    <w:rsid w:val="00F47192"/>
    <w:rsid w:val="00F816FE"/>
    <w:rsid w:val="00F843A4"/>
    <w:rsid w:val="00FB5394"/>
    <w:rsid w:val="00FC4F8A"/>
    <w:rsid w:val="00F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AC48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AC48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A7C75-AC3E-49A6-A87A-C3B8570D0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劉玟妤</cp:lastModifiedBy>
  <cp:revision>2</cp:revision>
  <cp:lastPrinted>2014-05-09T04:28:00Z</cp:lastPrinted>
  <dcterms:created xsi:type="dcterms:W3CDTF">2014-05-09T07:53:00Z</dcterms:created>
  <dcterms:modified xsi:type="dcterms:W3CDTF">2014-05-09T07:53:00Z</dcterms:modified>
</cp:coreProperties>
</file>