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226552" w:rsidRDefault="009800D0" w:rsidP="009800D0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國家發展委員會新聞稿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發布日期：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10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年</w:t>
      </w:r>
      <w:r w:rsidR="007D598A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月</w:t>
      </w:r>
      <w:r w:rsidR="00763979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6358AB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日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聯絡人：</w:t>
      </w:r>
      <w:r w:rsidR="00325627">
        <w:rPr>
          <w:rFonts w:ascii="Times New Roman" w:eastAsia="標楷體" w:hAnsi="Times New Roman" w:hint="eastAsia"/>
          <w:color w:val="000000" w:themeColor="text1"/>
          <w:szCs w:val="24"/>
        </w:rPr>
        <w:t>羅清榮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763979">
        <w:rPr>
          <w:rFonts w:ascii="Times New Roman" w:eastAsia="標楷體" w:hAnsi="Times New Roman" w:hint="eastAsia"/>
          <w:color w:val="000000" w:themeColor="text1"/>
          <w:szCs w:val="24"/>
        </w:rPr>
        <w:t>吳家林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聯絡電話：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2316-5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32562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2316-5966</w:t>
      </w:r>
    </w:p>
    <w:p w:rsidR="007D598A" w:rsidRPr="00351561" w:rsidRDefault="00763979" w:rsidP="00FE090D">
      <w:pPr>
        <w:snapToGrid w:val="0"/>
        <w:spacing w:before="100" w:beforeAutospacing="1" w:afterLines="50" w:after="18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51561">
        <w:rPr>
          <w:rFonts w:ascii="Times New Roman" w:eastAsia="標楷體" w:hAnsi="Times New Roman" w:hint="eastAsia"/>
          <w:b/>
          <w:sz w:val="32"/>
          <w:szCs w:val="32"/>
        </w:rPr>
        <w:t>全球經商環境評比</w:t>
      </w:r>
      <w:r w:rsidR="00DA4923" w:rsidRPr="00351561">
        <w:rPr>
          <w:rFonts w:ascii="Times New Roman" w:eastAsia="標楷體" w:hAnsi="Times New Roman" w:hint="eastAsia"/>
          <w:b/>
          <w:sz w:val="32"/>
          <w:szCs w:val="32"/>
        </w:rPr>
        <w:t>，臺灣</w:t>
      </w:r>
      <w:r w:rsidR="00AB1B6A">
        <w:rPr>
          <w:rFonts w:ascii="Times New Roman" w:eastAsia="標楷體" w:hAnsi="Times New Roman" w:hint="eastAsia"/>
          <w:b/>
          <w:sz w:val="32"/>
          <w:szCs w:val="32"/>
        </w:rPr>
        <w:t>創歷年最佳</w:t>
      </w:r>
      <w:r w:rsidR="00DA4923" w:rsidRPr="00351561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="00ED4B2F" w:rsidRPr="00351561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AB1B6A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DA4923" w:rsidRPr="00351561">
        <w:rPr>
          <w:rFonts w:ascii="Times New Roman" w:eastAsia="標楷體" w:hAnsi="Times New Roman" w:hint="eastAsia"/>
          <w:b/>
          <w:sz w:val="32"/>
          <w:szCs w:val="32"/>
        </w:rPr>
        <w:t>名</w:t>
      </w:r>
    </w:p>
    <w:p w:rsidR="00AD68A9" w:rsidRPr="00D630D2" w:rsidRDefault="00603786" w:rsidP="00FE090D">
      <w:pPr>
        <w:snapToGrid w:val="0"/>
        <w:spacing w:beforeLines="50" w:before="180" w:afterLines="50" w:after="180" w:line="500" w:lineRule="exact"/>
        <w:ind w:firstLineChars="221" w:firstLine="663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世界銀行於</w:t>
      </w:r>
      <w:r w:rsidR="00DA4923" w:rsidRPr="00D630D2">
        <w:rPr>
          <w:rFonts w:ascii="Times New Roman" w:eastAsia="標楷體" w:hAnsi="標楷體"/>
          <w:color w:val="000000"/>
          <w:sz w:val="30"/>
          <w:szCs w:val="30"/>
        </w:rPr>
        <w:t>今</w:t>
      </w:r>
      <w:r w:rsidR="00DA4923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AF37EE" w:rsidRPr="00D630D2">
        <w:rPr>
          <w:rFonts w:ascii="Times New Roman" w:eastAsia="標楷體" w:hAnsi="Times New Roman"/>
          <w:color w:val="000000"/>
          <w:sz w:val="30"/>
          <w:szCs w:val="30"/>
        </w:rPr>
        <w:t>201</w:t>
      </w:r>
      <w:r w:rsidR="006358AB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DA4923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DA4923"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6358AB" w:rsidRPr="00D630D2">
        <w:rPr>
          <w:rFonts w:ascii="Times New Roman" w:eastAsia="標楷體" w:hAnsi="Times New Roman"/>
          <w:color w:val="000000"/>
          <w:sz w:val="30"/>
          <w:szCs w:val="30"/>
        </w:rPr>
        <w:t>28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日發布《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201</w:t>
      </w:r>
      <w:r w:rsidR="00D8293A"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經商環境報告》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(Doing Business 201</w:t>
      </w:r>
      <w:r w:rsidR="003C4135"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，於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189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個經濟體中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3C4135" w:rsidRPr="00D630D2">
        <w:rPr>
          <w:rFonts w:ascii="Times New Roman" w:eastAsia="標楷體" w:hAnsi="標楷體"/>
          <w:color w:val="000000"/>
          <w:sz w:val="30"/>
          <w:szCs w:val="30"/>
        </w:rPr>
        <w:t>我國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經商便利度</w:t>
      </w:r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 xml:space="preserve">(Ease of Doing Business, </w:t>
      </w:r>
      <w:proofErr w:type="spellStart"/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EoDB</w:t>
      </w:r>
      <w:proofErr w:type="spellEnd"/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AD68A9" w:rsidRPr="00D630D2">
        <w:rPr>
          <w:rFonts w:ascii="Times New Roman" w:eastAsia="標楷體" w:hAnsi="標楷體"/>
          <w:color w:val="000000"/>
          <w:sz w:val="30"/>
          <w:szCs w:val="30"/>
        </w:rPr>
        <w:t>全球</w:t>
      </w:r>
      <w:r w:rsidR="00D8293A" w:rsidRPr="00D630D2">
        <w:rPr>
          <w:rFonts w:ascii="Times New Roman" w:eastAsia="標楷體" w:hAnsi="標楷體"/>
          <w:color w:val="000000"/>
          <w:sz w:val="30"/>
          <w:szCs w:val="30"/>
        </w:rPr>
        <w:t>排名第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11</w:t>
      </w:r>
      <w:r w:rsidR="00261FEE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4E4D16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ED4B2F" w:rsidRPr="00D630D2">
        <w:rPr>
          <w:rFonts w:ascii="Times New Roman" w:eastAsia="標楷體" w:hAnsi="標楷體"/>
          <w:color w:val="000000"/>
          <w:sz w:val="30"/>
          <w:szCs w:val="30"/>
        </w:rPr>
        <w:t>較去年</w:t>
      </w:r>
      <w:r w:rsidR="00FD1CB2">
        <w:rPr>
          <w:rFonts w:ascii="Times New Roman" w:eastAsia="標楷體" w:hAnsi="標楷體" w:hint="eastAsia"/>
          <w:color w:val="000000"/>
          <w:sz w:val="30"/>
          <w:szCs w:val="30"/>
        </w:rPr>
        <w:t>發布評比</w:t>
      </w:r>
      <w:r w:rsidR="007B34A3">
        <w:rPr>
          <w:rFonts w:ascii="Times New Roman" w:eastAsia="標楷體" w:hAnsi="標楷體" w:hint="eastAsia"/>
          <w:color w:val="000000"/>
          <w:sz w:val="30"/>
          <w:szCs w:val="30"/>
        </w:rPr>
        <w:t>(</w:t>
      </w:r>
      <w:r w:rsidR="007B34A3">
        <w:rPr>
          <w:rFonts w:ascii="Times New Roman" w:eastAsia="標楷體" w:hAnsi="標楷體" w:hint="eastAsia"/>
          <w:color w:val="000000"/>
          <w:sz w:val="30"/>
          <w:szCs w:val="30"/>
        </w:rPr>
        <w:t>第</w:t>
      </w:r>
      <w:r w:rsidR="007B34A3">
        <w:rPr>
          <w:rFonts w:ascii="Times New Roman" w:eastAsia="標楷體" w:hAnsi="標楷體" w:hint="eastAsia"/>
          <w:color w:val="000000"/>
          <w:sz w:val="30"/>
          <w:szCs w:val="30"/>
        </w:rPr>
        <w:t>19</w:t>
      </w:r>
      <w:r w:rsidR="007B34A3">
        <w:rPr>
          <w:rFonts w:ascii="Times New Roman" w:eastAsia="標楷體" w:hAnsi="標楷體" w:hint="eastAsia"/>
          <w:color w:val="000000"/>
          <w:sz w:val="30"/>
          <w:szCs w:val="30"/>
        </w:rPr>
        <w:t>名</w:t>
      </w:r>
      <w:r w:rsidR="007B34A3">
        <w:rPr>
          <w:rFonts w:ascii="Times New Roman" w:eastAsia="標楷體" w:hAnsi="標楷體" w:hint="eastAsia"/>
          <w:color w:val="000000"/>
          <w:sz w:val="30"/>
          <w:szCs w:val="30"/>
        </w:rPr>
        <w:t>)</w:t>
      </w:r>
      <w:r w:rsidR="00FD1CB2">
        <w:rPr>
          <w:rFonts w:ascii="Times New Roman" w:eastAsia="標楷體" w:hAnsi="標楷體" w:hint="eastAsia"/>
          <w:color w:val="000000"/>
          <w:sz w:val="30"/>
          <w:szCs w:val="30"/>
        </w:rPr>
        <w:t>進步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8</w:t>
      </w:r>
      <w:r w:rsidR="00ED4B2F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A124C6">
        <w:rPr>
          <w:rFonts w:ascii="Times New Roman" w:eastAsia="標楷體" w:hAnsi="標楷體" w:hint="eastAsia"/>
          <w:color w:val="000000"/>
          <w:sz w:val="30"/>
          <w:szCs w:val="30"/>
        </w:rPr>
        <w:t>，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為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我國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政府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2008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宣示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推動改革以來</w:t>
      </w:r>
      <w:r w:rsidR="00A13ADB" w:rsidRPr="00D630D2">
        <w:rPr>
          <w:rFonts w:ascii="Times New Roman" w:eastAsia="標楷體" w:hAnsi="標楷體"/>
          <w:color w:val="000000"/>
          <w:sz w:val="30"/>
          <w:szCs w:val="30"/>
        </w:rPr>
        <w:t>全球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最佳排名</w:t>
      </w:r>
      <w:r w:rsidR="00AD68A9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7</w:t>
      </w:r>
      <w:r w:rsidR="00AD68A9" w:rsidRPr="00D630D2">
        <w:rPr>
          <w:rFonts w:ascii="Times New Roman" w:eastAsia="標楷體" w:hAnsi="標楷體"/>
          <w:color w:val="000000"/>
          <w:sz w:val="30"/>
          <w:szCs w:val="30"/>
        </w:rPr>
        <w:t>年改革共推進</w:t>
      </w:r>
      <w:r w:rsidR="00AD68A9" w:rsidRPr="00D630D2">
        <w:rPr>
          <w:rFonts w:ascii="Times New Roman" w:eastAsia="標楷體" w:hAnsi="Times New Roman"/>
          <w:color w:val="000000"/>
          <w:sz w:val="30"/>
          <w:szCs w:val="30"/>
        </w:rPr>
        <w:t>50</w:t>
      </w:r>
      <w:r w:rsidR="00AD68A9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E74FE4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AB1B6A" w:rsidRPr="00D630D2" w:rsidRDefault="00AD68A9" w:rsidP="00FE090D">
      <w:pPr>
        <w:snapToGrid w:val="0"/>
        <w:spacing w:beforeLines="50" w:before="180" w:afterLines="50" w:after="180" w:line="500" w:lineRule="exact"/>
        <w:ind w:firstLineChars="221" w:firstLine="663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今年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全球排名前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名經濟體分別為：新加坡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(1)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、紐西蘭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(2)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、丹麥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(3)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、韓國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(4)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、香港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(5)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、英國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(6)</w:t>
      </w:r>
      <w:r w:rsidR="00AB1B6A" w:rsidRPr="00D630D2">
        <w:rPr>
          <w:rFonts w:ascii="Times New Roman" w:eastAsia="標楷體" w:hAnsi="標楷體"/>
          <w:color w:val="000000"/>
          <w:sz w:val="30"/>
          <w:szCs w:val="30"/>
        </w:rPr>
        <w:t>、美國</w:t>
      </w:r>
      <w:r w:rsidR="00AB1B6A" w:rsidRPr="00D630D2">
        <w:rPr>
          <w:rFonts w:ascii="Times New Roman" w:eastAsia="標楷體" w:hAnsi="Times New Roman"/>
          <w:color w:val="000000"/>
          <w:sz w:val="30"/>
          <w:szCs w:val="30"/>
        </w:rPr>
        <w:t>(7)</w:t>
      </w:r>
      <w:r w:rsidR="00E74FE4" w:rsidRPr="00D630D2">
        <w:rPr>
          <w:rFonts w:ascii="Times New Roman" w:eastAsia="標楷體" w:hAnsi="標楷體"/>
          <w:color w:val="000000"/>
          <w:sz w:val="30"/>
          <w:szCs w:val="30"/>
        </w:rPr>
        <w:t>、瑞典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(8)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、挪威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(9)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、芬蘭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(10)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。我國排名第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11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名，優於澳洲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(13)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、加拿大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(14)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、德國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(15)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、馬來西亞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(18)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、法國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(27)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、日本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(34)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及中國大陸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(84)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FE090D" w:rsidRPr="00A933D9" w:rsidRDefault="00A933D9" w:rsidP="00A933D9">
      <w:pPr>
        <w:snapToGrid w:val="0"/>
        <w:spacing w:beforeLines="50" w:before="180" w:afterLines="50" w:after="180" w:line="500" w:lineRule="exact"/>
        <w:ind w:leftChars="177" w:left="425" w:rightChars="117" w:right="281"/>
        <w:jc w:val="center"/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Times New Roman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66E0AB56" wp14:editId="5419F1A9">
            <wp:simplePos x="0" y="0"/>
            <wp:positionH relativeFrom="column">
              <wp:posOffset>306070</wp:posOffset>
            </wp:positionH>
            <wp:positionV relativeFrom="paragraph">
              <wp:posOffset>540385</wp:posOffset>
            </wp:positionV>
            <wp:extent cx="5303520" cy="287083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3D9">
        <w:rPr>
          <w:rFonts w:ascii="Times New Roman" w:eastAsia="標楷體" w:hAnsi="Times New Roman" w:hint="eastAsia"/>
          <w:color w:val="000000"/>
          <w:sz w:val="30"/>
          <w:szCs w:val="30"/>
        </w:rPr>
        <w:t>圖</w:t>
      </w:r>
      <w:r w:rsidRPr="00A933D9">
        <w:rPr>
          <w:rFonts w:ascii="Times New Roman" w:eastAsia="標楷體" w:hAnsi="Times New Roman" w:hint="eastAsia"/>
          <w:color w:val="000000"/>
          <w:sz w:val="30"/>
          <w:szCs w:val="30"/>
        </w:rPr>
        <w:t>1</w:t>
      </w:r>
      <w:r w:rsidRPr="00A933D9">
        <w:rPr>
          <w:rFonts w:ascii="Times New Roman" w:eastAsia="標楷體" w:hAnsi="Times New Roman" w:hint="eastAsia"/>
          <w:color w:val="000000"/>
          <w:sz w:val="30"/>
          <w:szCs w:val="30"/>
        </w:rPr>
        <w:t>、臺灣歷年於世界銀行《經商環境報告》排名變動</w:t>
      </w:r>
    </w:p>
    <w:p w:rsidR="00FE090D" w:rsidRPr="00A933D9" w:rsidRDefault="00A933D9" w:rsidP="00FE090D">
      <w:pPr>
        <w:snapToGrid w:val="0"/>
        <w:spacing w:beforeLines="50" w:before="180" w:afterLines="50" w:after="180" w:line="500" w:lineRule="exact"/>
        <w:ind w:leftChars="177" w:left="425" w:rightChars="117" w:right="281"/>
        <w:jc w:val="both"/>
        <w:rPr>
          <w:rFonts w:ascii="Times New Roman" w:eastAsia="標楷體" w:hAnsi="Times New Roman"/>
          <w:color w:val="000000"/>
          <w:szCs w:val="24"/>
        </w:rPr>
      </w:pPr>
      <w:r w:rsidRPr="00A933D9">
        <w:rPr>
          <w:rFonts w:ascii="Times New Roman" w:eastAsia="標楷體" w:hAnsi="Times New Roman" w:hint="eastAsia"/>
          <w:color w:val="000000"/>
          <w:szCs w:val="24"/>
        </w:rPr>
        <w:t>附註：世界銀行《經商環境報告》自</w:t>
      </w:r>
      <w:r w:rsidRPr="00A933D9">
        <w:rPr>
          <w:rFonts w:ascii="Times New Roman" w:eastAsia="標楷體" w:hAnsi="Times New Roman" w:hint="eastAsia"/>
          <w:color w:val="000000"/>
          <w:szCs w:val="24"/>
        </w:rPr>
        <w:t>2005</w:t>
      </w:r>
      <w:r w:rsidRPr="00A933D9">
        <w:rPr>
          <w:rFonts w:ascii="Times New Roman" w:eastAsia="標楷體" w:hAnsi="Times New Roman" w:hint="eastAsia"/>
          <w:color w:val="000000"/>
          <w:szCs w:val="24"/>
        </w:rPr>
        <w:t>年</w:t>
      </w:r>
      <w:r w:rsidR="00A13ADB">
        <w:rPr>
          <w:rFonts w:ascii="Times New Roman" w:eastAsia="標楷體" w:hAnsi="Times New Roman" w:hint="eastAsia"/>
          <w:color w:val="000000"/>
          <w:szCs w:val="24"/>
        </w:rPr>
        <w:t>開</w:t>
      </w:r>
      <w:r w:rsidRPr="00A933D9">
        <w:rPr>
          <w:rFonts w:ascii="Times New Roman" w:eastAsia="標楷體" w:hAnsi="Times New Roman" w:hint="eastAsia"/>
          <w:color w:val="000000"/>
          <w:szCs w:val="24"/>
        </w:rPr>
        <w:t>始進行</w:t>
      </w:r>
      <w:r w:rsidR="008F1F66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4pt;margin-top:205.6pt;width:23.55pt;height:25pt;z-index:251660288;mso-position-horizontal-relative:text;mso-position-vertical-relative:text" filled="f" strokecolor="white [3212]">
            <v:fill opacity="0"/>
            <v:textbox>
              <w:txbxContent>
                <w:p w:rsidR="00FE090D" w:rsidRPr="00FE090D" w:rsidRDefault="00FE090D" w:rsidP="00FE090D">
                  <w:pPr>
                    <w:rPr>
                      <w:rFonts w:ascii="標楷體" w:eastAsia="標楷體" w:hAnsi="標楷體"/>
                    </w:rPr>
                  </w:pPr>
                  <w:r w:rsidRPr="00FE090D">
                    <w:rPr>
                      <w:rFonts w:ascii="標楷體" w:eastAsia="標楷體" w:hAnsi="標楷體" w:hint="eastAsia"/>
                    </w:rPr>
                    <w:t>年</w:t>
                  </w:r>
                </w:p>
              </w:txbxContent>
            </v:textbox>
          </v:shape>
        </w:pict>
      </w:r>
      <w:proofErr w:type="spellStart"/>
      <w:r w:rsidRPr="00A933D9">
        <w:rPr>
          <w:rFonts w:ascii="Times New Roman" w:eastAsia="標楷體" w:hAnsi="Times New Roman" w:hint="eastAsia"/>
          <w:color w:val="000000"/>
          <w:szCs w:val="24"/>
        </w:rPr>
        <w:t>EoDB</w:t>
      </w:r>
      <w:proofErr w:type="spellEnd"/>
      <w:r w:rsidRPr="00A933D9">
        <w:rPr>
          <w:rFonts w:ascii="Times New Roman" w:eastAsia="標楷體" w:hAnsi="Times New Roman" w:hint="eastAsia"/>
          <w:color w:val="000000"/>
          <w:szCs w:val="24"/>
        </w:rPr>
        <w:t>全球排名。</w:t>
      </w:r>
    </w:p>
    <w:p w:rsidR="006560A8" w:rsidRPr="00D630D2" w:rsidRDefault="00D50537" w:rsidP="00FE090D">
      <w:pPr>
        <w:snapToGrid w:val="0"/>
        <w:spacing w:beforeLines="50" w:before="180" w:afterLines="50" w:after="180" w:line="500" w:lineRule="exact"/>
        <w:jc w:val="both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b/>
          <w:color w:val="000000"/>
          <w:sz w:val="30"/>
          <w:szCs w:val="30"/>
        </w:rPr>
        <w:lastRenderedPageBreak/>
        <w:t>一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、我國</w:t>
      </w:r>
      <w:r w:rsidR="00EE55D3" w:rsidRPr="00D630D2">
        <w:rPr>
          <w:rFonts w:ascii="Times New Roman" w:eastAsia="標楷體" w:hAnsi="標楷體"/>
          <w:b/>
          <w:color w:val="000000"/>
          <w:sz w:val="30"/>
          <w:szCs w:val="30"/>
        </w:rPr>
        <w:t>今年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經商環境評比簡析</w:t>
      </w:r>
    </w:p>
    <w:p w:rsidR="00EE0DB3" w:rsidRPr="00D630D2" w:rsidRDefault="00FC17C7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今年世界銀行公布《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201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經商環境報告》，我國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項評比指標排名，分別為：開辦企業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22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、申請建築許可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、電力取得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6E6E07" w:rsidRPr="00D630D2">
        <w:rPr>
          <w:rFonts w:ascii="Times New Roman" w:eastAsia="標楷體" w:hAnsi="Times New Roman"/>
          <w:color w:val="000000"/>
          <w:sz w:val="30"/>
          <w:szCs w:val="30"/>
        </w:rPr>
        <w:t>2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、財產登記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18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、獲得信貸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59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保護</w:t>
      </w:r>
      <w:r w:rsidR="008F3E7A" w:rsidRPr="00D630D2">
        <w:rPr>
          <w:rFonts w:ascii="Times New Roman" w:eastAsia="標楷體" w:hAnsi="標楷體"/>
          <w:color w:val="000000"/>
          <w:sz w:val="30"/>
          <w:szCs w:val="30"/>
        </w:rPr>
        <w:t>少數股東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25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、繳納稅款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39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、跨境貿易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65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、執行契約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16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及破產處理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21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D50537" w:rsidRPr="00D630D2" w:rsidRDefault="00A13ADB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國發會分析，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今年評比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項目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，共有</w:t>
      </w:r>
      <w:r w:rsidR="00EE0DB3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項指標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改變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細項評比內容。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其中，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申請建築許可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電力取得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財產登記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、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執行契約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等</w:t>
      </w:r>
      <w:r w:rsidR="00EC136D" w:rsidRPr="00D630D2">
        <w:rPr>
          <w:rFonts w:ascii="Times New Roman" w:eastAsia="標楷體" w:hAnsi="Times New Roman"/>
          <w:color w:val="000000"/>
          <w:sz w:val="30"/>
          <w:szCs w:val="30"/>
        </w:rPr>
        <w:t>4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項指標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EC136D" w:rsidRPr="00D630D2">
        <w:rPr>
          <w:rFonts w:ascii="Times New Roman" w:eastAsia="標楷體" w:hAnsi="標楷體"/>
          <w:color w:val="000000"/>
          <w:sz w:val="30"/>
          <w:szCs w:val="30"/>
        </w:rPr>
        <w:t>增加品質調查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評比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另「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執行契約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指標刪除程序個數調查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而「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跨境貿易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指標刪除</w:t>
      </w:r>
      <w:r w:rsidR="00B90A3D" w:rsidRPr="00D630D2">
        <w:rPr>
          <w:rFonts w:ascii="Times New Roman" w:eastAsia="標楷體" w:hAnsi="標楷體"/>
          <w:color w:val="000000"/>
          <w:sz w:val="30"/>
          <w:szCs w:val="30"/>
        </w:rPr>
        <w:t>進出口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文件數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，並將</w:t>
      </w:r>
      <w:r w:rsidR="00B90A3D" w:rsidRPr="00D630D2">
        <w:rPr>
          <w:rFonts w:ascii="Times New Roman" w:eastAsia="標楷體" w:hAnsi="標楷體"/>
          <w:color w:val="000000"/>
          <w:sz w:val="30"/>
          <w:szCs w:val="30"/>
        </w:rPr>
        <w:t>進出口天數改以小時計算</w:t>
      </w:r>
      <w:r w:rsidR="00EE0DB3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C81C26" w:rsidRPr="00D630D2" w:rsidRDefault="005F6743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今年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項評比指標中，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我國在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「電力取得」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指標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被世界銀行</w:t>
      </w:r>
      <w:proofErr w:type="gramStart"/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採</w:t>
      </w:r>
      <w:proofErr w:type="gramEnd"/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認為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「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正向改革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」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指標</w:t>
      </w:r>
      <w:r w:rsidR="00B90A3D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維持全球第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2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，並在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供電可靠及費率透明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細項獲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得滿分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8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另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排名進步指標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共有</w:t>
      </w:r>
      <w:r w:rsidR="00B666E3" w:rsidRPr="00D630D2">
        <w:rPr>
          <w:rFonts w:ascii="Times New Roman" w:eastAsia="標楷體" w:hAnsi="Times New Roman"/>
          <w:color w:val="000000"/>
          <w:sz w:val="30"/>
          <w:szCs w:val="30"/>
        </w:rPr>
        <w:t>4</w:t>
      </w:r>
      <w:r w:rsidR="00A13ADB">
        <w:rPr>
          <w:rFonts w:ascii="Times New Roman" w:eastAsia="標楷體" w:hAnsi="Times New Roman" w:hint="eastAsia"/>
          <w:color w:val="000000"/>
          <w:sz w:val="30"/>
          <w:szCs w:val="30"/>
        </w:rPr>
        <w:t>項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：「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申請建築許可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進步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11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1"/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主要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是建築物品質控制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細項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滿分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15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得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13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；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財產登記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進步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22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40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1"/>
      </w:r>
      <w:r w:rsidR="00321D0A" w:rsidRPr="00D630D2">
        <w:rPr>
          <w:rFonts w:ascii="Times New Roman" w:eastAsia="標楷體" w:hAnsi="Times New Roman"/>
          <w:color w:val="000000"/>
          <w:sz w:val="30"/>
          <w:szCs w:val="30"/>
        </w:rPr>
        <w:t>18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，</w:t>
      </w:r>
      <w:r w:rsidR="00D50537" w:rsidRPr="00D630D2">
        <w:rPr>
          <w:rFonts w:ascii="Times New Roman" w:eastAsia="標楷體" w:hAnsi="標楷體"/>
          <w:color w:val="000000"/>
          <w:sz w:val="30"/>
          <w:szCs w:val="30"/>
        </w:rPr>
        <w:t>主要</w:t>
      </w:r>
      <w:r w:rsidR="00321D0A" w:rsidRPr="00D630D2">
        <w:rPr>
          <w:rFonts w:ascii="Times New Roman" w:eastAsia="標楷體" w:hAnsi="標楷體"/>
          <w:color w:val="000000"/>
          <w:sz w:val="30"/>
          <w:szCs w:val="30"/>
        </w:rPr>
        <w:t>是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土地登記管理品質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細項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滿分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30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得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28.5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分；「執行契約」進步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77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(93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1"/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16)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幅度最大，主要是今年刪除不利我國評比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表現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的</w:t>
      </w:r>
      <w:r w:rsidR="00A13ADB" w:rsidRPr="00D630D2">
        <w:rPr>
          <w:rFonts w:ascii="Times New Roman" w:eastAsia="標楷體" w:hAnsi="標楷體"/>
          <w:color w:val="000000"/>
          <w:sz w:val="30"/>
          <w:szCs w:val="30"/>
        </w:rPr>
        <w:t>程序個數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調查，另法院訴訟品質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細項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滿分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18)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我國得</w:t>
      </w:r>
      <w:r w:rsidR="00317023" w:rsidRPr="00D630D2">
        <w:rPr>
          <w:rFonts w:ascii="Times New Roman" w:eastAsia="標楷體" w:hAnsi="Times New Roman"/>
          <w:color w:val="000000"/>
          <w:sz w:val="30"/>
          <w:szCs w:val="30"/>
        </w:rPr>
        <w:t>13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；「保護少數股東」進步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(30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1"/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25)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，主要是我國股東治理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細項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得分</w:t>
      </w:r>
      <w:r w:rsidR="00997501">
        <w:rPr>
          <w:rFonts w:ascii="Times New Roman" w:eastAsia="標楷體" w:hAnsi="標楷體" w:hint="eastAsia"/>
          <w:color w:val="000000"/>
          <w:sz w:val="30"/>
          <w:szCs w:val="30"/>
        </w:rPr>
        <w:t>增加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(6.2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1"/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6.7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分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C81C26" w:rsidRDefault="00A13ADB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標楷體"/>
          <w:color w:val="000000"/>
          <w:sz w:val="30"/>
          <w:szCs w:val="30"/>
        </w:rPr>
      </w:pPr>
      <w:r>
        <w:rPr>
          <w:rFonts w:ascii="Times New Roman" w:eastAsia="標楷體" w:hAnsi="標楷體" w:hint="eastAsia"/>
          <w:color w:val="000000"/>
          <w:sz w:val="30"/>
          <w:szCs w:val="30"/>
        </w:rPr>
        <w:t>我國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小幅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排名退步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有</w:t>
      </w:r>
      <w:r w:rsidR="00B666E3" w:rsidRPr="00D630D2">
        <w:rPr>
          <w:rFonts w:ascii="Times New Roman" w:eastAsia="標楷體" w:hAnsi="Times New Roman"/>
          <w:color w:val="000000"/>
          <w:sz w:val="30"/>
          <w:szCs w:val="30"/>
        </w:rPr>
        <w:t>4</w:t>
      </w:r>
      <w:r w:rsidR="00997501">
        <w:rPr>
          <w:rFonts w:ascii="Times New Roman" w:eastAsia="標楷體" w:hAnsi="Times New Roman" w:hint="eastAsia"/>
          <w:color w:val="000000"/>
          <w:sz w:val="30"/>
          <w:szCs w:val="30"/>
        </w:rPr>
        <w:t>項</w:t>
      </w:r>
      <w:r w:rsidR="000764CB" w:rsidRPr="00D630D2">
        <w:rPr>
          <w:rFonts w:ascii="Times New Roman" w:eastAsia="標楷體" w:hAnsi="標楷體"/>
          <w:color w:val="000000"/>
          <w:sz w:val="30"/>
          <w:szCs w:val="30"/>
        </w:rPr>
        <w:t>指標：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「</w:t>
      </w:r>
      <w:r w:rsidR="00317023" w:rsidRPr="00D630D2">
        <w:rPr>
          <w:rFonts w:ascii="Times New Roman" w:eastAsia="標楷體" w:hAnsi="標楷體"/>
          <w:color w:val="000000"/>
          <w:sz w:val="30"/>
          <w:szCs w:val="30"/>
        </w:rPr>
        <w:t>開辦企業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」退步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7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(1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2"/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22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、「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獲得信貸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」退步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7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52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2"/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59</w:t>
      </w:r>
      <w:r w:rsidR="000D2D92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7B1B30" w:rsidRPr="00D630D2">
        <w:rPr>
          <w:rFonts w:ascii="Times New Roman" w:eastAsia="標楷體" w:hAnsi="標楷體"/>
          <w:color w:val="000000"/>
          <w:sz w:val="30"/>
          <w:szCs w:val="30"/>
        </w:rPr>
        <w:t>、「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繳納稅款</w:t>
      </w:r>
      <w:r w:rsidR="007B1B30" w:rsidRPr="00D630D2">
        <w:rPr>
          <w:rFonts w:ascii="Times New Roman" w:eastAsia="標楷體" w:hAnsi="標楷體"/>
          <w:color w:val="000000"/>
          <w:sz w:val="30"/>
          <w:szCs w:val="30"/>
        </w:rPr>
        <w:t>」</w:t>
      </w:r>
      <w:r w:rsidR="00532029" w:rsidRPr="00D630D2">
        <w:rPr>
          <w:rFonts w:ascii="Times New Roman" w:eastAsia="標楷體" w:hAnsi="標楷體"/>
          <w:color w:val="000000"/>
          <w:sz w:val="30"/>
          <w:szCs w:val="30"/>
        </w:rPr>
        <w:t>退步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2</w:t>
      </w:r>
      <w:r w:rsidR="00532029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7B1B30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37</w:t>
      </w:r>
      <w:r w:rsidR="007B1B30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2"/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39</w:t>
      </w:r>
      <w:r w:rsidR="007B1B30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、「破產處理」退步</w:t>
      </w:r>
      <w:r w:rsidR="00A71849" w:rsidRPr="00D630D2">
        <w:rPr>
          <w:rFonts w:ascii="Times New Roman" w:eastAsia="標楷體" w:hAnsi="Times New Roman"/>
          <w:color w:val="000000"/>
          <w:sz w:val="30"/>
          <w:szCs w:val="30"/>
        </w:rPr>
        <w:t>3</w:t>
      </w:r>
      <w:r w:rsidR="00A71849" w:rsidRPr="00D630D2">
        <w:rPr>
          <w:rFonts w:ascii="Times New Roman" w:eastAsia="標楷體" w:hAnsi="標楷體"/>
          <w:color w:val="000000"/>
          <w:sz w:val="30"/>
          <w:szCs w:val="30"/>
        </w:rPr>
        <w:t>名</w:t>
      </w:r>
      <w:r w:rsidR="00B666E3" w:rsidRPr="00D630D2">
        <w:rPr>
          <w:rFonts w:ascii="Times New Roman" w:eastAsia="標楷體" w:hAnsi="Times New Roman"/>
          <w:color w:val="000000"/>
          <w:sz w:val="30"/>
          <w:szCs w:val="30"/>
        </w:rPr>
        <w:t>(18</w:t>
      </w:r>
      <w:r w:rsidR="00B666E3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2"/>
      </w:r>
      <w:r w:rsidR="00B666E3" w:rsidRPr="00D630D2">
        <w:rPr>
          <w:rFonts w:ascii="Times New Roman" w:eastAsia="標楷體" w:hAnsi="Times New Roman"/>
          <w:color w:val="000000"/>
          <w:sz w:val="30"/>
          <w:szCs w:val="30"/>
        </w:rPr>
        <w:t>21)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，主要是其他經濟體改革推進而</w:t>
      </w:r>
      <w:r>
        <w:rPr>
          <w:rFonts w:ascii="Times New Roman" w:eastAsia="標楷體" w:hAnsi="標楷體" w:hint="eastAsia"/>
          <w:color w:val="000000"/>
          <w:sz w:val="30"/>
          <w:szCs w:val="30"/>
        </w:rPr>
        <w:t>影響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我國排名</w:t>
      </w:r>
      <w:r w:rsidR="000D2D92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  <w:r w:rsidR="00B666E3" w:rsidRPr="00D630D2">
        <w:rPr>
          <w:rFonts w:ascii="Times New Roman" w:eastAsia="標楷體" w:hAnsi="標楷體"/>
          <w:color w:val="000000"/>
          <w:sz w:val="30"/>
          <w:szCs w:val="30"/>
        </w:rPr>
        <w:t>另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「跨境貿易」</w:t>
      </w:r>
      <w:r w:rsidR="003D18C9" w:rsidRPr="00D630D2">
        <w:rPr>
          <w:rFonts w:ascii="Times New Roman" w:eastAsia="標楷體" w:hAnsi="標楷體"/>
          <w:color w:val="000000"/>
          <w:sz w:val="30"/>
          <w:szCs w:val="30"/>
        </w:rPr>
        <w:t>指標今年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評比方法改變，是我國此項排名</w:t>
      </w:r>
      <w:bookmarkStart w:id="0" w:name="_GoBack"/>
      <w:bookmarkEnd w:id="0"/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退步</w:t>
      </w:r>
      <w:r w:rsidR="0071676C" w:rsidRPr="00D630D2">
        <w:rPr>
          <w:rFonts w:ascii="Times New Roman" w:eastAsia="標楷體" w:hAnsi="Times New Roman"/>
          <w:color w:val="000000"/>
          <w:sz w:val="30"/>
          <w:szCs w:val="30"/>
        </w:rPr>
        <w:t>(32</w:t>
      </w:r>
      <w:r w:rsidR="0071676C" w:rsidRPr="00D630D2">
        <w:rPr>
          <w:rFonts w:ascii="Times New Roman" w:eastAsia="標楷體" w:hAnsi="Times New Roman"/>
          <w:color w:val="000000"/>
          <w:sz w:val="30"/>
          <w:szCs w:val="30"/>
        </w:rPr>
        <w:sym w:font="Wingdings" w:char="F0E2"/>
      </w:r>
      <w:r w:rsidR="0071676C" w:rsidRPr="00D630D2">
        <w:rPr>
          <w:rFonts w:ascii="Times New Roman" w:eastAsia="標楷體" w:hAnsi="Times New Roman"/>
          <w:color w:val="000000"/>
          <w:sz w:val="30"/>
          <w:szCs w:val="30"/>
        </w:rPr>
        <w:t>65)</w:t>
      </w:r>
      <w:r w:rsidR="0071676C" w:rsidRPr="00D630D2">
        <w:rPr>
          <w:rFonts w:ascii="Times New Roman" w:eastAsia="標楷體" w:hAnsi="標楷體"/>
          <w:color w:val="000000"/>
          <w:sz w:val="30"/>
          <w:szCs w:val="30"/>
        </w:rPr>
        <w:t>之主因</w:t>
      </w:r>
      <w:r w:rsidR="00C81C26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A933D9" w:rsidRPr="00D630D2" w:rsidRDefault="00A933D9" w:rsidP="00FE090D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color w:val="000000"/>
          <w:sz w:val="30"/>
          <w:szCs w:val="30"/>
        </w:rPr>
      </w:pPr>
    </w:p>
    <w:p w:rsidR="006560A8" w:rsidRPr="00D630D2" w:rsidRDefault="00D50537" w:rsidP="00FE090D">
      <w:pPr>
        <w:snapToGrid w:val="0"/>
        <w:spacing w:beforeLines="50" w:before="180" w:afterLines="50" w:after="180" w:line="500" w:lineRule="exact"/>
        <w:jc w:val="both"/>
        <w:rPr>
          <w:rFonts w:ascii="Times New Roman" w:eastAsia="標楷體" w:hAnsi="Times New Roman"/>
          <w:b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b/>
          <w:color w:val="000000"/>
          <w:sz w:val="30"/>
          <w:szCs w:val="30"/>
        </w:rPr>
        <w:lastRenderedPageBreak/>
        <w:t>二</w:t>
      </w:r>
      <w:r w:rsidR="006560A8" w:rsidRPr="00D630D2">
        <w:rPr>
          <w:rFonts w:ascii="Times New Roman" w:eastAsia="標楷體" w:hAnsi="標楷體"/>
          <w:b/>
          <w:color w:val="000000"/>
          <w:sz w:val="30"/>
          <w:szCs w:val="30"/>
        </w:rPr>
        <w:t>、</w:t>
      </w:r>
      <w:r w:rsidR="00A13ADB">
        <w:rPr>
          <w:rFonts w:ascii="Times New Roman" w:eastAsia="標楷體" w:hAnsi="標楷體" w:hint="eastAsia"/>
          <w:b/>
          <w:color w:val="000000"/>
          <w:sz w:val="30"/>
          <w:szCs w:val="30"/>
        </w:rPr>
        <w:t>改革推動情形</w:t>
      </w:r>
    </w:p>
    <w:p w:rsidR="00A13ADB" w:rsidRDefault="0060158D" w:rsidP="00FE090D">
      <w:pPr>
        <w:snapToGrid w:val="0"/>
        <w:spacing w:beforeLines="50" w:before="180" w:afterLines="50" w:after="180" w:line="500" w:lineRule="exact"/>
        <w:ind w:left="1" w:firstLineChars="236" w:firstLine="708"/>
        <w:jc w:val="both"/>
        <w:rPr>
          <w:rFonts w:ascii="Times New Roman" w:eastAsia="標楷體" w:hAnsi="標楷體"/>
          <w:color w:val="000000"/>
          <w:sz w:val="30"/>
          <w:szCs w:val="30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t>世界銀行發布《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2016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經商環境報告》是評比我國去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(2014)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6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月至今年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的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改革內容。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國發會表示，經商環境改革是長期工作，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且難度愈來愈高，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司法院及行政院各部會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將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持續依規劃進程推動各項工作，包括：</w:t>
      </w:r>
    </w:p>
    <w:p w:rsidR="00DB6240" w:rsidRPr="00D630D2" w:rsidRDefault="00DB6240" w:rsidP="00FE090D">
      <w:pPr>
        <w:snapToGrid w:val="0"/>
        <w:spacing w:beforeLines="50" w:before="180" w:afterLines="50" w:after="180" w:line="500" w:lineRule="exact"/>
        <w:ind w:left="567" w:hangingChars="189" w:hanging="567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一</w:t>
      </w:r>
      <w:proofErr w:type="gramEnd"/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「破產處理」：司法院參考聯合國國際貿易法委員會《破產法立法指南》及先進國家債務清理立法例，整合我國現行「公司法」重整章及「破產法」於單一法典完成「債務清理法」草案，目前已送行政院表示意見。</w:t>
      </w:r>
    </w:p>
    <w:p w:rsidR="00530932" w:rsidRPr="00D630D2" w:rsidRDefault="00530932" w:rsidP="00FE090D">
      <w:pPr>
        <w:snapToGrid w:val="0"/>
        <w:spacing w:beforeLines="50" w:before="180" w:afterLines="50" w:after="180" w:line="500" w:lineRule="exact"/>
        <w:ind w:left="567" w:hangingChars="189" w:hanging="567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二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「開辦企業」：經濟部預計於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30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日提供「工作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規則線上檢核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系統」上線服務。透過此無紙化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電子化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作業線上服務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，將有效降低企業報核工作規則負擔，並縮短行政審核時間。</w:t>
      </w:r>
    </w:p>
    <w:p w:rsidR="00530932" w:rsidRPr="00D630D2" w:rsidRDefault="00530932" w:rsidP="00FE090D">
      <w:pPr>
        <w:snapToGrid w:val="0"/>
        <w:spacing w:beforeLines="50" w:before="180" w:afterLines="50" w:after="180" w:line="500" w:lineRule="exact"/>
        <w:ind w:left="567" w:hangingChars="189" w:hanging="567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三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「獲得信貸」：經濟部</w:t>
      </w:r>
      <w:r w:rsidR="00A13ADB">
        <w:rPr>
          <w:rFonts w:ascii="Times New Roman" w:eastAsia="標楷體" w:hAnsi="標楷體" w:hint="eastAsia"/>
          <w:color w:val="000000"/>
          <w:sz w:val="30"/>
          <w:szCs w:val="30"/>
        </w:rPr>
        <w:t>將於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12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月底完成「動產擔保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交易線上登記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及公示查詢」系統第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階段建置計畫</w:t>
      </w:r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，並全面</w:t>
      </w:r>
      <w:proofErr w:type="gramStart"/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提供</w:t>
      </w:r>
      <w:r w:rsidR="00A13ADB" w:rsidRPr="00D630D2">
        <w:rPr>
          <w:rFonts w:ascii="Times New Roman" w:eastAsia="標楷體" w:hAnsi="標楷體"/>
          <w:color w:val="000000"/>
          <w:sz w:val="30"/>
          <w:szCs w:val="30"/>
        </w:rPr>
        <w:t>線</w:t>
      </w:r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上服務</w:t>
      </w:r>
      <w:proofErr w:type="gramEnd"/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；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金管會預計於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12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月前發布修正「動產擔保交易法施行細則」，廢除擔保標的物品表、明文得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採線上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申請登記方式，及登記機關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採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形式審查。</w:t>
      </w:r>
    </w:p>
    <w:p w:rsidR="00530932" w:rsidRPr="00D630D2" w:rsidRDefault="00530932" w:rsidP="00FE090D">
      <w:pPr>
        <w:snapToGrid w:val="0"/>
        <w:spacing w:beforeLines="50" w:before="180" w:afterLines="50" w:after="180" w:line="500" w:lineRule="exact"/>
        <w:ind w:left="567" w:hangingChars="189" w:hanging="567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DB6240" w:rsidRPr="00D630D2">
        <w:rPr>
          <w:rFonts w:ascii="Times New Roman" w:eastAsia="標楷體" w:hAnsi="標楷體"/>
          <w:color w:val="000000"/>
          <w:sz w:val="30"/>
          <w:szCs w:val="30"/>
        </w:rPr>
        <w:t>四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「跨境貿易」：財政部出口貨物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C2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報單無紙化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電子化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作業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9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8E7289" w:rsidRPr="00D630D2">
        <w:rPr>
          <w:rFonts w:ascii="Times New Roman" w:eastAsia="標楷體" w:hAnsi="標楷體"/>
          <w:color w:val="000000"/>
          <w:sz w:val="30"/>
          <w:szCs w:val="30"/>
        </w:rPr>
        <w:t>已提供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上線</w:t>
      </w:r>
      <w:r w:rsidR="008E7289" w:rsidRPr="00D630D2">
        <w:rPr>
          <w:rFonts w:ascii="Times New Roman" w:eastAsia="標楷體" w:hAnsi="標楷體"/>
          <w:color w:val="000000"/>
          <w:sz w:val="30"/>
          <w:szCs w:val="30"/>
        </w:rPr>
        <w:t>服務，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業者得以即時連線方式，透過通關網路傳送裝箱單、商業發票等文件</w:t>
      </w:r>
      <w:proofErr w:type="gramStart"/>
      <w:r w:rsidRPr="00D630D2">
        <w:rPr>
          <w:rFonts w:ascii="Times New Roman" w:eastAsia="標楷體" w:hAnsi="標楷體"/>
          <w:color w:val="000000"/>
          <w:sz w:val="30"/>
          <w:szCs w:val="30"/>
        </w:rPr>
        <w:t>電子檔予海關</w:t>
      </w:r>
      <w:proofErr w:type="gramEnd"/>
      <w:r w:rsidRPr="00D630D2">
        <w:rPr>
          <w:rFonts w:ascii="Times New Roman" w:eastAsia="標楷體" w:hAnsi="標楷體"/>
          <w:color w:val="000000"/>
          <w:sz w:val="30"/>
          <w:szCs w:val="30"/>
        </w:rPr>
        <w:t>，進一步減省業者成本及通關時間。</w:t>
      </w:r>
    </w:p>
    <w:p w:rsidR="00530932" w:rsidRPr="00D630D2" w:rsidRDefault="00DB6240" w:rsidP="00FE090D">
      <w:pPr>
        <w:snapToGrid w:val="0"/>
        <w:spacing w:beforeLines="50" w:before="180" w:afterLines="50" w:after="180" w:line="500" w:lineRule="exact"/>
        <w:ind w:left="567" w:hangingChars="189" w:hanging="567"/>
        <w:jc w:val="both"/>
        <w:rPr>
          <w:rFonts w:ascii="Times New Roman" w:eastAsia="標楷體" w:hAnsi="Times New Roman"/>
          <w:color w:val="000000"/>
          <w:sz w:val="30"/>
          <w:szCs w:val="30"/>
        </w:rPr>
      </w:pPr>
      <w:r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984731">
        <w:rPr>
          <w:rFonts w:ascii="Times New Roman" w:eastAsia="標楷體" w:hAnsi="Times New Roman" w:hint="eastAsia"/>
          <w:color w:val="000000"/>
          <w:sz w:val="30"/>
          <w:szCs w:val="30"/>
        </w:rPr>
        <w:t>五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「獲得信貸」：</w:t>
      </w:r>
      <w:r w:rsidR="00530932" w:rsidRPr="00D630D2">
        <w:rPr>
          <w:rFonts w:ascii="Times New Roman" w:eastAsia="標楷體" w:hAnsi="標楷體"/>
          <w:color w:val="000000"/>
          <w:sz w:val="30"/>
          <w:szCs w:val="30"/>
        </w:rPr>
        <w:t>金管會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現</w:t>
      </w:r>
      <w:r w:rsidR="00530932" w:rsidRPr="00D630D2">
        <w:rPr>
          <w:rFonts w:ascii="Times New Roman" w:eastAsia="標楷體" w:hAnsi="標楷體"/>
          <w:color w:val="000000"/>
          <w:sz w:val="30"/>
          <w:szCs w:val="30"/>
        </w:rPr>
        <w:t>正</w:t>
      </w:r>
      <w:proofErr w:type="gramStart"/>
      <w:r w:rsidR="00530932" w:rsidRPr="00D630D2">
        <w:rPr>
          <w:rFonts w:ascii="Times New Roman" w:eastAsia="標楷體" w:hAnsi="標楷體"/>
          <w:color w:val="000000"/>
          <w:sz w:val="30"/>
          <w:szCs w:val="30"/>
        </w:rPr>
        <w:t>研</w:t>
      </w:r>
      <w:proofErr w:type="gramEnd"/>
      <w:r w:rsidR="00530932" w:rsidRPr="00D630D2">
        <w:rPr>
          <w:rFonts w:ascii="Times New Roman" w:eastAsia="標楷體" w:hAnsi="標楷體"/>
          <w:color w:val="000000"/>
          <w:sz w:val="30"/>
          <w:szCs w:val="30"/>
        </w:rPr>
        <w:t>修「動產擔保交易法」修正草案，引進英美法系浮動抵押制度，擴大擔保標的物及於債權或未來取得資產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可能，以強化我國企業</w:t>
      </w:r>
      <w:r w:rsidR="008139B6" w:rsidRPr="00D630D2">
        <w:rPr>
          <w:rFonts w:ascii="Times New Roman" w:eastAsia="標楷體" w:hAnsi="Times New Roman"/>
          <w:color w:val="000000"/>
          <w:sz w:val="30"/>
          <w:szCs w:val="30"/>
        </w:rPr>
        <w:t>(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尤其中小企業</w:t>
      </w:r>
      <w:r w:rsidR="008139B6" w:rsidRPr="00D630D2">
        <w:rPr>
          <w:rFonts w:ascii="Times New Roman" w:eastAsia="標楷體" w:hAnsi="Times New Roman"/>
          <w:color w:val="000000"/>
          <w:sz w:val="30"/>
          <w:szCs w:val="30"/>
        </w:rPr>
        <w:t>)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利用動產取得擔保融資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的</w:t>
      </w:r>
      <w:r w:rsidR="008139B6" w:rsidRPr="00D630D2">
        <w:rPr>
          <w:rFonts w:ascii="Times New Roman" w:eastAsia="標楷體" w:hAnsi="標楷體"/>
          <w:color w:val="000000"/>
          <w:sz w:val="30"/>
          <w:szCs w:val="30"/>
        </w:rPr>
        <w:t>彈性</w:t>
      </w:r>
      <w:r w:rsidR="00530932" w:rsidRPr="00D630D2">
        <w:rPr>
          <w:rFonts w:ascii="Times New Roman" w:eastAsia="標楷體" w:hAnsi="標楷體"/>
          <w:color w:val="000000"/>
          <w:sz w:val="30"/>
          <w:szCs w:val="30"/>
        </w:rPr>
        <w:t>。</w:t>
      </w:r>
    </w:p>
    <w:p w:rsidR="007B7ABB" w:rsidRPr="00824898" w:rsidRDefault="007B7ABB" w:rsidP="00FE090D">
      <w:pPr>
        <w:snapToGrid w:val="0"/>
        <w:spacing w:beforeLines="50" w:before="180" w:afterLines="50" w:after="180" w:line="500" w:lineRule="exact"/>
        <w:ind w:left="1" w:firstLineChars="283" w:firstLine="849"/>
        <w:jc w:val="both"/>
        <w:rPr>
          <w:rFonts w:ascii="Times New Roman" w:eastAsia="標楷體" w:hAnsi="Times New Roman"/>
          <w:sz w:val="28"/>
          <w:szCs w:val="28"/>
        </w:rPr>
      </w:pPr>
      <w:r w:rsidRPr="00D630D2">
        <w:rPr>
          <w:rFonts w:ascii="Times New Roman" w:eastAsia="標楷體" w:hAnsi="標楷體"/>
          <w:color w:val="000000"/>
          <w:sz w:val="30"/>
          <w:szCs w:val="30"/>
        </w:rPr>
        <w:lastRenderedPageBreak/>
        <w:t>國發會表示，我國自</w:t>
      </w:r>
      <w:r w:rsidRPr="00D630D2">
        <w:rPr>
          <w:rFonts w:ascii="Times New Roman" w:eastAsia="標楷體" w:hAnsi="Times New Roman"/>
          <w:color w:val="000000"/>
          <w:sz w:val="30"/>
          <w:szCs w:val="30"/>
        </w:rPr>
        <w:t>2008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="0037774D" w:rsidRPr="00D630D2">
        <w:rPr>
          <w:rFonts w:ascii="Times New Roman" w:eastAsia="標楷體" w:hAnsi="Times New Roman"/>
          <w:color w:val="000000"/>
          <w:sz w:val="30"/>
          <w:szCs w:val="30"/>
        </w:rPr>
        <w:t>10</w:t>
      </w:r>
      <w:r w:rsidR="0037774D" w:rsidRPr="00D630D2">
        <w:rPr>
          <w:rFonts w:ascii="Times New Roman" w:eastAsia="標楷體" w:hAnsi="標楷體"/>
          <w:color w:val="000000"/>
          <w:sz w:val="30"/>
          <w:szCs w:val="30"/>
        </w:rPr>
        <w:t>月</w:t>
      </w:r>
      <w:r w:rsidR="00824898" w:rsidRPr="00D630D2">
        <w:rPr>
          <w:rFonts w:ascii="Times New Roman" w:eastAsia="標楷體" w:hAnsi="標楷體"/>
          <w:color w:val="000000"/>
          <w:sz w:val="30"/>
          <w:szCs w:val="30"/>
        </w:rPr>
        <w:t>起至今年</w:t>
      </w:r>
      <w:r w:rsidR="00824898" w:rsidRPr="00D630D2">
        <w:rPr>
          <w:rFonts w:ascii="Times New Roman" w:eastAsia="標楷體" w:hAnsi="Times New Roman"/>
          <w:color w:val="000000"/>
          <w:sz w:val="30"/>
          <w:szCs w:val="30"/>
        </w:rPr>
        <w:t>5</w:t>
      </w:r>
      <w:r w:rsidR="00824898" w:rsidRPr="00D630D2">
        <w:rPr>
          <w:rFonts w:ascii="Times New Roman" w:eastAsia="標楷體" w:hAnsi="標楷體"/>
          <w:color w:val="000000"/>
          <w:sz w:val="30"/>
          <w:szCs w:val="30"/>
        </w:rPr>
        <w:t>月，已連續推動</w:t>
      </w:r>
      <w:r w:rsidR="00824898" w:rsidRPr="00D630D2">
        <w:rPr>
          <w:rFonts w:ascii="Times New Roman" w:eastAsia="標楷體" w:hAnsi="Times New Roman"/>
          <w:color w:val="000000"/>
          <w:sz w:val="30"/>
          <w:szCs w:val="30"/>
        </w:rPr>
        <w:t>7</w:t>
      </w:r>
      <w:r w:rsidR="00824898" w:rsidRPr="00D630D2">
        <w:rPr>
          <w:rFonts w:ascii="Times New Roman" w:eastAsia="標楷體" w:hAnsi="標楷體"/>
          <w:color w:val="000000"/>
          <w:sz w:val="30"/>
          <w:szCs w:val="30"/>
        </w:rPr>
        <w:t>年</w:t>
      </w:r>
      <w:r w:rsidRPr="00D630D2">
        <w:rPr>
          <w:rFonts w:ascii="Times New Roman" w:eastAsia="標楷體" w:hAnsi="標楷體"/>
          <w:color w:val="000000"/>
          <w:sz w:val="30"/>
          <w:szCs w:val="30"/>
        </w:rPr>
        <w:t>世界銀行</w:t>
      </w:r>
      <w:r w:rsidR="008E7289" w:rsidRPr="00D630D2">
        <w:rPr>
          <w:rFonts w:ascii="Times New Roman" w:eastAsia="標楷體" w:hAnsi="標楷體"/>
          <w:color w:val="000000"/>
          <w:sz w:val="30"/>
          <w:szCs w:val="30"/>
        </w:rPr>
        <w:t>經商環境評比改革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，</w:t>
      </w:r>
      <w:r w:rsidR="00824898" w:rsidRPr="00D630D2">
        <w:rPr>
          <w:rFonts w:ascii="Times New Roman" w:eastAsia="標楷體" w:hAnsi="標楷體"/>
          <w:color w:val="000000"/>
          <w:sz w:val="30"/>
          <w:szCs w:val="30"/>
        </w:rPr>
        <w:t>除大幅提升我國經商便利度外，其最重要的意義是：</w:t>
      </w:r>
      <w:r w:rsidR="00984731">
        <w:rPr>
          <w:rFonts w:ascii="Times New Roman" w:eastAsia="標楷體" w:hAnsi="標楷體" w:hint="eastAsia"/>
          <w:color w:val="000000"/>
          <w:sz w:val="30"/>
          <w:szCs w:val="30"/>
        </w:rPr>
        <w:t>因應</w:t>
      </w:r>
      <w:r w:rsidR="00824898" w:rsidRPr="00D630D2">
        <w:rPr>
          <w:rFonts w:ascii="Times New Roman" w:eastAsia="標楷體" w:hAnsi="標楷體"/>
          <w:color w:val="000000"/>
          <w:sz w:val="30"/>
          <w:szCs w:val="30"/>
        </w:rPr>
        <w:t>國際組織改革趨勢，調適我國經商法制與國際接軌，並建置一站式單一窗口網站，以提升政府效能及網路整備度。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國發會將</w:t>
      </w:r>
      <w:r w:rsidR="00D53CFA">
        <w:rPr>
          <w:rFonts w:ascii="Times New Roman" w:eastAsia="標楷體" w:hAnsi="標楷體" w:hint="eastAsia"/>
          <w:color w:val="000000"/>
          <w:sz w:val="30"/>
          <w:szCs w:val="30"/>
        </w:rPr>
        <w:t>再接再厲，</w:t>
      </w:r>
      <w:r w:rsidR="00984731">
        <w:rPr>
          <w:rFonts w:ascii="Times New Roman" w:eastAsia="標楷體" w:hAnsi="標楷體" w:hint="eastAsia"/>
          <w:color w:val="000000"/>
          <w:sz w:val="30"/>
          <w:szCs w:val="30"/>
        </w:rPr>
        <w:t>依今年評比內容及結果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著手</w:t>
      </w:r>
      <w:proofErr w:type="gramStart"/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研</w:t>
      </w:r>
      <w:proofErr w:type="gramEnd"/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擬「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2016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年我國經商環境改革方案」，並預計於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11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月底邀集司法院及相關部會召開</w:t>
      </w:r>
      <w:proofErr w:type="gramStart"/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研</w:t>
      </w:r>
      <w:proofErr w:type="gramEnd"/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商會議，以期能</w:t>
      </w:r>
      <w:r w:rsidR="00853AD4">
        <w:rPr>
          <w:rFonts w:ascii="Times New Roman" w:eastAsia="標楷體" w:hAnsi="標楷體" w:hint="eastAsia"/>
          <w:color w:val="000000"/>
          <w:sz w:val="30"/>
          <w:szCs w:val="30"/>
        </w:rPr>
        <w:t>達成</w:t>
      </w:r>
      <w:r w:rsidR="00530A83">
        <w:rPr>
          <w:rFonts w:ascii="Times New Roman" w:eastAsia="標楷體" w:hAnsi="標楷體" w:hint="eastAsia"/>
          <w:color w:val="000000"/>
          <w:sz w:val="30"/>
          <w:szCs w:val="30"/>
        </w:rPr>
        <w:t>行政院</w:t>
      </w:r>
      <w:r w:rsidR="00A124C6">
        <w:rPr>
          <w:rFonts w:ascii="Times New Roman" w:eastAsia="標楷體" w:hAnsi="標楷體" w:hint="eastAsia"/>
          <w:color w:val="000000"/>
          <w:sz w:val="30"/>
          <w:szCs w:val="30"/>
        </w:rPr>
        <w:t>設定</w:t>
      </w:r>
      <w:r w:rsidR="0085238F">
        <w:rPr>
          <w:rFonts w:ascii="Times New Roman" w:eastAsia="標楷體" w:hAnsi="標楷體" w:hint="eastAsia"/>
          <w:color w:val="000000"/>
          <w:sz w:val="30"/>
          <w:szCs w:val="30"/>
        </w:rPr>
        <w:t>我國於明</w:t>
      </w:r>
      <w:r w:rsidR="0085238F">
        <w:rPr>
          <w:rFonts w:ascii="Times New Roman" w:eastAsia="標楷體" w:hAnsi="標楷體" w:hint="eastAsia"/>
          <w:color w:val="000000"/>
          <w:sz w:val="30"/>
          <w:szCs w:val="30"/>
        </w:rPr>
        <w:t>(2016)</w:t>
      </w:r>
      <w:r w:rsidR="0085238F">
        <w:rPr>
          <w:rFonts w:ascii="Times New Roman" w:eastAsia="標楷體" w:hAnsi="標楷體" w:hint="eastAsia"/>
          <w:color w:val="000000"/>
          <w:sz w:val="30"/>
          <w:szCs w:val="30"/>
        </w:rPr>
        <w:t>年進入</w:t>
      </w:r>
      <w:r w:rsidR="00A933D9">
        <w:rPr>
          <w:rFonts w:ascii="Times New Roman" w:eastAsia="標楷體" w:hAnsi="標楷體" w:hint="eastAsia"/>
          <w:color w:val="000000"/>
          <w:sz w:val="30"/>
          <w:szCs w:val="30"/>
        </w:rPr>
        <w:t>全球</w:t>
      </w:r>
      <w:r w:rsidR="00DD0214" w:rsidRPr="00D630D2">
        <w:rPr>
          <w:rFonts w:ascii="Times New Roman" w:eastAsia="標楷體" w:hAnsi="標楷體"/>
          <w:color w:val="000000"/>
          <w:sz w:val="30"/>
          <w:szCs w:val="30"/>
        </w:rPr>
        <w:t>經商便利度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10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名內</w:t>
      </w:r>
      <w:r w:rsidR="0051403F">
        <w:rPr>
          <w:rFonts w:ascii="Times New Roman" w:eastAsia="標楷體" w:hAnsi="標楷體" w:hint="eastAsia"/>
          <w:color w:val="000000"/>
          <w:sz w:val="30"/>
          <w:szCs w:val="30"/>
        </w:rPr>
        <w:t>的</w:t>
      </w:r>
      <w:r w:rsidR="00DD0214">
        <w:rPr>
          <w:rFonts w:ascii="Times New Roman" w:eastAsia="標楷體" w:hAnsi="標楷體" w:hint="eastAsia"/>
          <w:color w:val="000000"/>
          <w:sz w:val="30"/>
          <w:szCs w:val="30"/>
        </w:rPr>
        <w:t>目標。</w:t>
      </w:r>
    </w:p>
    <w:p w:rsidR="00FA46F4" w:rsidRPr="008721BF" w:rsidRDefault="00F32AC9" w:rsidP="00FE090D">
      <w:pPr>
        <w:snapToGrid w:val="0"/>
        <w:spacing w:afterLines="50" w:after="180" w:line="400" w:lineRule="exact"/>
        <w:ind w:right="-301"/>
        <w:jc w:val="center"/>
        <w:outlineLvl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sz w:val="30"/>
          <w:szCs w:val="30"/>
        </w:rPr>
        <w:br w:type="page"/>
      </w:r>
      <w:r w:rsidR="00FA46F4" w:rsidRPr="008721BF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表</w:t>
      </w:r>
      <w:r w:rsidR="00FA46F4" w:rsidRPr="008721BF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1</w:t>
      </w:r>
      <w:r w:rsidR="00FA46F4" w:rsidRPr="008721BF">
        <w:rPr>
          <w:rFonts w:ascii="Times New Roman" w:eastAsia="標楷體" w:hAnsi="Times New Roman" w:hint="eastAsia"/>
          <w:b/>
          <w:color w:val="000000"/>
          <w:sz w:val="32"/>
          <w:szCs w:val="32"/>
        </w:rPr>
        <w:t>《</w:t>
      </w:r>
      <w:r w:rsidR="00FA46F4" w:rsidRPr="008721BF">
        <w:rPr>
          <w:rFonts w:ascii="Times New Roman" w:eastAsia="標楷體" w:hAnsi="Times New Roman"/>
          <w:b/>
          <w:color w:val="000000"/>
          <w:sz w:val="32"/>
          <w:szCs w:val="32"/>
        </w:rPr>
        <w:t>2</w:t>
      </w:r>
      <w:r w:rsidR="00FA46F4" w:rsidRPr="008721BF">
        <w:rPr>
          <w:rFonts w:ascii="Times New Roman" w:eastAsia="標楷體" w:hAnsi="Times New Roman" w:hint="eastAsia"/>
          <w:b/>
          <w:color w:val="000000"/>
          <w:sz w:val="32"/>
          <w:szCs w:val="32"/>
        </w:rPr>
        <w:t>01</w:t>
      </w:r>
      <w:r w:rsidR="009D6E74">
        <w:rPr>
          <w:rFonts w:ascii="Times New Roman" w:eastAsia="標楷體" w:hAnsi="Times New Roman" w:hint="eastAsia"/>
          <w:b/>
          <w:color w:val="000000"/>
          <w:sz w:val="32"/>
          <w:szCs w:val="32"/>
        </w:rPr>
        <w:t>6</w:t>
      </w:r>
      <w:r w:rsidR="00FA46F4" w:rsidRPr="008721BF">
        <w:rPr>
          <w:rFonts w:ascii="Times New Roman" w:eastAsia="標楷體" w:hAnsi="Times New Roman" w:hint="eastAsia"/>
          <w:b/>
          <w:color w:val="000000"/>
          <w:sz w:val="32"/>
          <w:szCs w:val="32"/>
        </w:rPr>
        <w:t>經商環境報告》</w:t>
      </w:r>
      <w:r w:rsidR="00FA46F4" w:rsidRPr="008721BF">
        <w:rPr>
          <w:rFonts w:ascii="Times New Roman" w:eastAsia="標楷體" w:hAnsi="標楷體" w:hint="eastAsia"/>
          <w:b/>
          <w:color w:val="000000"/>
          <w:sz w:val="32"/>
          <w:szCs w:val="32"/>
        </w:rPr>
        <w:t>前</w:t>
      </w:r>
      <w:r w:rsidR="00FA46F4" w:rsidRPr="008721BF">
        <w:rPr>
          <w:rFonts w:ascii="Times New Roman" w:eastAsia="標楷體" w:hAnsi="標楷體" w:hint="eastAsia"/>
          <w:b/>
          <w:color w:val="000000"/>
          <w:sz w:val="32"/>
          <w:szCs w:val="32"/>
        </w:rPr>
        <w:t>30</w:t>
      </w:r>
      <w:r w:rsidR="00FA46F4" w:rsidRPr="008721BF">
        <w:rPr>
          <w:rFonts w:ascii="Times New Roman" w:eastAsia="標楷體" w:hAnsi="標楷體" w:hint="eastAsia"/>
          <w:b/>
          <w:color w:val="000000"/>
          <w:sz w:val="32"/>
          <w:szCs w:val="32"/>
        </w:rPr>
        <w:t>名經濟體</w:t>
      </w:r>
      <w:r w:rsidR="00FA46F4" w:rsidRPr="008721BF">
        <w:rPr>
          <w:rFonts w:ascii="Times New Roman" w:eastAsia="標楷體" w:hAnsi="Times New Roman" w:hint="eastAsia"/>
          <w:b/>
          <w:color w:val="000000"/>
          <w:sz w:val="32"/>
          <w:szCs w:val="32"/>
        </w:rPr>
        <w:t>排名變動</w:t>
      </w:r>
    </w:p>
    <w:tbl>
      <w:tblPr>
        <w:tblW w:w="8221" w:type="dxa"/>
        <w:tblInd w:w="534" w:type="dxa"/>
        <w:tblLook w:val="01E0" w:firstRow="1" w:lastRow="1" w:firstColumn="1" w:lastColumn="1" w:noHBand="0" w:noVBand="0"/>
      </w:tblPr>
      <w:tblGrid>
        <w:gridCol w:w="2112"/>
        <w:gridCol w:w="3591"/>
        <w:gridCol w:w="2518"/>
      </w:tblGrid>
      <w:tr w:rsidR="00FA46F4" w:rsidRPr="00FA46F4" w:rsidTr="0026578D">
        <w:trPr>
          <w:trHeight w:val="252"/>
        </w:trPr>
        <w:tc>
          <w:tcPr>
            <w:tcW w:w="21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543995" w:rsidRDefault="00FA46F4" w:rsidP="009D6E74">
            <w:pPr>
              <w:snapToGrid w:val="0"/>
              <w:spacing w:line="36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43995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EoDB</w:t>
            </w:r>
            <w:proofErr w:type="spellEnd"/>
            <w:r w:rsidRPr="00543995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543995" w:rsidRDefault="00FA46F4" w:rsidP="00543995">
            <w:pPr>
              <w:snapToGrid w:val="0"/>
              <w:spacing w:line="36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543995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經濟體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543995" w:rsidRDefault="00FA46F4" w:rsidP="00543995">
            <w:pPr>
              <w:snapToGrid w:val="0"/>
              <w:spacing w:line="360" w:lineRule="exact"/>
              <w:ind w:firstLineChars="221" w:firstLine="619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543995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變動</w:t>
            </w:r>
          </w:p>
        </w:tc>
      </w:tr>
      <w:tr w:rsidR="00FA46F4" w:rsidRPr="00FA46F4" w:rsidTr="0026578D">
        <w:trPr>
          <w:trHeight w:val="326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新加坡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維持</w:t>
            </w:r>
          </w:p>
        </w:tc>
      </w:tr>
      <w:tr w:rsidR="00FA46F4" w:rsidRPr="00FA46F4" w:rsidTr="0026578D">
        <w:trPr>
          <w:trHeight w:val="316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紐西蘭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維持</w:t>
            </w:r>
          </w:p>
        </w:tc>
      </w:tr>
      <w:tr w:rsidR="00FA46F4" w:rsidRPr="00FA46F4" w:rsidTr="0026578D">
        <w:trPr>
          <w:trHeight w:val="43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丹麥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770CED">
        <w:trPr>
          <w:trHeight w:val="369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韓國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770CED">
        <w:trPr>
          <w:trHeight w:val="389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香港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2</w:t>
            </w:r>
          </w:p>
        </w:tc>
      </w:tr>
      <w:tr w:rsidR="00FA46F4" w:rsidRPr="00FA46F4" w:rsidTr="00770CED">
        <w:trPr>
          <w:trHeight w:val="253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英國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2</w:t>
            </w:r>
          </w:p>
        </w:tc>
      </w:tr>
      <w:tr w:rsidR="00FA46F4" w:rsidRPr="00FA46F4" w:rsidTr="0026578D">
        <w:trPr>
          <w:trHeight w:val="27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美國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維持</w:t>
            </w:r>
          </w:p>
        </w:tc>
      </w:tr>
      <w:tr w:rsidR="00FA46F4" w:rsidRPr="00FA46F4" w:rsidTr="0026578D">
        <w:trPr>
          <w:trHeight w:val="29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瑞典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3</w:t>
            </w:r>
          </w:p>
        </w:tc>
      </w:tr>
      <w:tr w:rsidR="00FA46F4" w:rsidRPr="00FA46F4" w:rsidTr="00770CED">
        <w:trPr>
          <w:trHeight w:val="15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挪威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3</w:t>
            </w:r>
          </w:p>
        </w:tc>
      </w:tr>
      <w:tr w:rsidR="00FA46F4" w:rsidRPr="00FA46F4" w:rsidTr="00770CED">
        <w:trPr>
          <w:trHeight w:val="311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芬蘭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770CED">
        <w:trPr>
          <w:trHeight w:val="18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46F4" w:rsidRPr="00FA46F4" w:rsidRDefault="00FD1CB2" w:rsidP="00436786">
            <w:pPr>
              <w:snapToGrid w:val="0"/>
              <w:spacing w:line="400" w:lineRule="exact"/>
              <w:ind w:leftChars="-39" w:left="-55" w:right="-301" w:hangingChars="14" w:hanging="39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臺灣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8</w:t>
            </w:r>
          </w:p>
        </w:tc>
      </w:tr>
      <w:tr w:rsidR="00FA46F4" w:rsidRPr="00FA46F4" w:rsidTr="0026578D">
        <w:trPr>
          <w:trHeight w:val="275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7B34A3" w:rsidP="007B34A3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馬其頓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18</w:t>
            </w:r>
          </w:p>
        </w:tc>
      </w:tr>
      <w:tr w:rsidR="00FA46F4" w:rsidRPr="00FA46F4" w:rsidTr="0026578D">
        <w:trPr>
          <w:trHeight w:val="15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澳洲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3</w:t>
            </w:r>
          </w:p>
        </w:tc>
      </w:tr>
      <w:tr w:rsidR="00FA46F4" w:rsidRPr="00FA46F4" w:rsidTr="00770CED">
        <w:trPr>
          <w:trHeight w:val="17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14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加拿大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2</w:t>
            </w:r>
          </w:p>
        </w:tc>
      </w:tr>
      <w:tr w:rsidR="00FA46F4" w:rsidRPr="00FA46F4" w:rsidTr="00770CED">
        <w:trPr>
          <w:trHeight w:val="179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德國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770CED">
        <w:trPr>
          <w:trHeight w:val="241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愛沙尼亞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26578D">
        <w:trPr>
          <w:trHeight w:val="24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17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愛爾蘭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C07BF7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4</w:t>
            </w:r>
          </w:p>
        </w:tc>
      </w:tr>
      <w:tr w:rsidR="00FA46F4" w:rsidRPr="00FA46F4" w:rsidTr="0026578D">
        <w:trPr>
          <w:trHeight w:val="26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18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馬來西亞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維持</w:t>
            </w:r>
          </w:p>
        </w:tc>
      </w:tr>
      <w:tr w:rsidR="00FA46F4" w:rsidRPr="00FA46F4" w:rsidTr="00770CED">
        <w:trPr>
          <w:trHeight w:val="28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192A7C" w:rsidRDefault="00FA46F4" w:rsidP="00192A7C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192A7C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19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192A7C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192A7C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冰島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192A7C" w:rsidRDefault="00C07BF7" w:rsidP="00192A7C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7</w:t>
            </w:r>
          </w:p>
        </w:tc>
      </w:tr>
      <w:tr w:rsidR="00FA46F4" w:rsidRPr="00FA46F4" w:rsidTr="00770CED">
        <w:trPr>
          <w:trHeight w:val="252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立陶宛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4</w:t>
            </w:r>
          </w:p>
        </w:tc>
      </w:tr>
      <w:tr w:rsidR="00FA46F4" w:rsidRPr="00FA46F4" w:rsidTr="00770CED">
        <w:trPr>
          <w:trHeight w:val="303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奧地利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C07BF7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維持</w:t>
            </w:r>
          </w:p>
        </w:tc>
      </w:tr>
      <w:tr w:rsidR="00FA46F4" w:rsidRPr="00FA46F4" w:rsidTr="0026578D">
        <w:trPr>
          <w:trHeight w:val="319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拉脫維亞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26578D">
        <w:trPr>
          <w:trHeight w:val="19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23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葡萄牙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2</w:t>
            </w:r>
          </w:p>
        </w:tc>
      </w:tr>
      <w:tr w:rsidR="00FA46F4" w:rsidRPr="00FA46F4" w:rsidTr="00770CED">
        <w:trPr>
          <w:trHeight w:val="203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24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喬治亞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9</w:t>
            </w:r>
          </w:p>
        </w:tc>
      </w:tr>
      <w:tr w:rsidR="00FA46F4" w:rsidRPr="00FA46F4" w:rsidTr="00770CED">
        <w:trPr>
          <w:trHeight w:val="223"/>
        </w:trPr>
        <w:tc>
          <w:tcPr>
            <w:tcW w:w="2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25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波蘭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7</w:t>
            </w:r>
          </w:p>
        </w:tc>
      </w:tr>
      <w:tr w:rsidR="00FA46F4" w:rsidRPr="00FA46F4" w:rsidTr="00770CED">
        <w:trPr>
          <w:trHeight w:val="243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瑞士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6</w:t>
            </w:r>
          </w:p>
        </w:tc>
      </w:tr>
      <w:tr w:rsidR="00FA46F4" w:rsidRPr="00FA46F4" w:rsidTr="0026578D">
        <w:trPr>
          <w:trHeight w:val="249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FA46F4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27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法國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4</w:t>
            </w:r>
          </w:p>
        </w:tc>
      </w:tr>
      <w:tr w:rsidR="00FA46F4" w:rsidRPr="00FA46F4" w:rsidTr="0026578D">
        <w:trPr>
          <w:trHeight w:val="269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8721BF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28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荷蘭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2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1</w:t>
            </w:r>
          </w:p>
        </w:tc>
      </w:tr>
      <w:tr w:rsidR="00FA46F4" w:rsidRPr="00FA46F4" w:rsidTr="0026578D">
        <w:trPr>
          <w:trHeight w:val="148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FA46F4" w:rsidP="008721BF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 w:rsidRPr="00FA46F4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29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斯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洛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伐克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8</w:t>
            </w:r>
          </w:p>
        </w:tc>
      </w:tr>
      <w:tr w:rsidR="00FA46F4" w:rsidRPr="00FA46F4" w:rsidTr="0026578D">
        <w:trPr>
          <w:trHeight w:val="295"/>
        </w:trPr>
        <w:tc>
          <w:tcPr>
            <w:tcW w:w="211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3B5C25" w:rsidP="008721BF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29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F4" w:rsidRPr="00FA46F4" w:rsidRDefault="00192A7C" w:rsidP="00436786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>斯洛維尼亞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A46F4" w:rsidRPr="00FA46F4" w:rsidRDefault="003B5C25" w:rsidP="00582FE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4"/>
              </w:rPr>
              <w:sym w:font="Wingdings" w:char="F0E1"/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4"/>
              </w:rPr>
              <w:t xml:space="preserve"> 22</w:t>
            </w:r>
          </w:p>
        </w:tc>
      </w:tr>
    </w:tbl>
    <w:p w:rsidR="0026578D" w:rsidRDefault="00FA46F4" w:rsidP="005E3FBF">
      <w:pPr>
        <w:spacing w:line="440" w:lineRule="exact"/>
        <w:rPr>
          <w:rFonts w:ascii="Times New Roman" w:eastAsia="標楷體" w:hAnsi="Times New Roman"/>
          <w:szCs w:val="24"/>
        </w:rPr>
      </w:pPr>
      <w:r w:rsidRPr="00FA46F4">
        <w:rPr>
          <w:rFonts w:ascii="Times New Roman" w:eastAsia="標楷體" w:hAnsi="標楷體"/>
          <w:szCs w:val="24"/>
        </w:rPr>
        <w:t>資料來源：</w:t>
      </w:r>
      <w:r w:rsidRPr="00FA46F4">
        <w:rPr>
          <w:rFonts w:ascii="Times New Roman" w:eastAsia="標楷體" w:hAnsi="Times New Roman"/>
          <w:szCs w:val="24"/>
        </w:rPr>
        <w:t>World Bank, “Doing Business 201</w:t>
      </w:r>
      <w:r w:rsidR="009D6E74">
        <w:rPr>
          <w:rFonts w:ascii="Times New Roman" w:eastAsia="標楷體" w:hAnsi="Times New Roman" w:hint="eastAsia"/>
          <w:szCs w:val="24"/>
        </w:rPr>
        <w:t>6</w:t>
      </w:r>
      <w:r w:rsidRPr="00FA46F4">
        <w:rPr>
          <w:rFonts w:ascii="Times New Roman" w:eastAsia="標楷體" w:hAnsi="Times New Roman"/>
          <w:szCs w:val="24"/>
        </w:rPr>
        <w:t>”</w:t>
      </w:r>
      <w:r w:rsidR="00E26637">
        <w:rPr>
          <w:rFonts w:ascii="Times New Roman" w:eastAsia="標楷體" w:hAnsi="Times New Roman" w:hint="eastAsia"/>
          <w:szCs w:val="24"/>
        </w:rPr>
        <w:t>&amp;</w:t>
      </w:r>
      <w:r w:rsidR="007B34A3" w:rsidRPr="00FA46F4">
        <w:rPr>
          <w:rFonts w:ascii="Times New Roman" w:eastAsia="標楷體" w:hAnsi="Times New Roman"/>
          <w:szCs w:val="24"/>
        </w:rPr>
        <w:t>“Doing Business 201</w:t>
      </w:r>
      <w:r w:rsidR="00192A7C">
        <w:rPr>
          <w:rFonts w:ascii="Times New Roman" w:eastAsia="標楷體" w:hAnsi="Times New Roman" w:hint="eastAsia"/>
          <w:szCs w:val="24"/>
        </w:rPr>
        <w:t>5</w:t>
      </w:r>
      <w:r w:rsidR="007B34A3" w:rsidRPr="00FA46F4">
        <w:rPr>
          <w:rFonts w:ascii="Times New Roman" w:eastAsia="標楷體" w:hAnsi="Times New Roman"/>
          <w:szCs w:val="24"/>
        </w:rPr>
        <w:t>”</w:t>
      </w:r>
    </w:p>
    <w:p w:rsidR="0026578D" w:rsidRDefault="0026578D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FA46F4" w:rsidRPr="00FA46F4" w:rsidRDefault="00FA46F4" w:rsidP="005E3FBF">
      <w:pPr>
        <w:spacing w:afterLines="50" w:after="180" w:line="440" w:lineRule="exact"/>
        <w:jc w:val="center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FA46F4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lastRenderedPageBreak/>
        <w:t>表</w:t>
      </w:r>
      <w:r w:rsidRPr="00FA46F4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 xml:space="preserve">2 </w:t>
      </w:r>
      <w:r w:rsidRPr="00FA46F4">
        <w:rPr>
          <w:rFonts w:ascii="Times New Roman" w:eastAsia="標楷體" w:hAnsi="標楷體"/>
          <w:b/>
          <w:bCs/>
          <w:color w:val="000000"/>
          <w:sz w:val="32"/>
          <w:szCs w:val="32"/>
        </w:rPr>
        <w:t>《</w:t>
      </w:r>
      <w:r w:rsidRPr="00FA46F4">
        <w:rPr>
          <w:rFonts w:ascii="Times New Roman" w:eastAsia="標楷體" w:hAnsi="Times New Roman"/>
          <w:b/>
          <w:bCs/>
          <w:color w:val="000000"/>
          <w:sz w:val="32"/>
          <w:szCs w:val="32"/>
        </w:rPr>
        <w:t>201</w:t>
      </w:r>
      <w:r w:rsidR="00436786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6</w:t>
      </w:r>
      <w:r w:rsidRPr="00FA46F4">
        <w:rPr>
          <w:rFonts w:ascii="Times New Roman" w:eastAsia="標楷體" w:hAnsi="標楷體"/>
          <w:b/>
          <w:bCs/>
          <w:color w:val="000000"/>
          <w:sz w:val="32"/>
          <w:szCs w:val="32"/>
        </w:rPr>
        <w:t>經商環境報告》</w:t>
      </w:r>
      <w:r w:rsidRPr="00FA46F4">
        <w:rPr>
          <w:rFonts w:ascii="Times New Roman" w:eastAsia="標楷體" w:hAnsi="標楷體" w:hint="eastAsia"/>
          <w:b/>
          <w:bCs/>
          <w:color w:val="000000"/>
          <w:sz w:val="32"/>
          <w:szCs w:val="32"/>
        </w:rPr>
        <w:t>臺灣指標</w:t>
      </w:r>
      <w:r w:rsidRPr="00FA46F4">
        <w:rPr>
          <w:rFonts w:ascii="Times New Roman" w:eastAsia="標楷體" w:hAnsi="標楷體"/>
          <w:b/>
          <w:bCs/>
          <w:color w:val="000000"/>
          <w:sz w:val="32"/>
          <w:szCs w:val="32"/>
        </w:rPr>
        <w:t>排名變動</w:t>
      </w:r>
    </w:p>
    <w:tbl>
      <w:tblPr>
        <w:tblStyle w:val="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"/>
        <w:gridCol w:w="2707"/>
        <w:gridCol w:w="1814"/>
        <w:gridCol w:w="1815"/>
        <w:gridCol w:w="1815"/>
      </w:tblGrid>
      <w:tr w:rsidR="00F777C6" w:rsidRPr="00FA46F4" w:rsidTr="00436786">
        <w:trPr>
          <w:trHeight w:val="679"/>
        </w:trPr>
        <w:tc>
          <w:tcPr>
            <w:tcW w:w="320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F4" w:rsidRPr="00FA46F4" w:rsidRDefault="00FA46F4" w:rsidP="00F777C6">
            <w:pPr>
              <w:spacing w:line="380" w:lineRule="exact"/>
              <w:ind w:leftChars="-104" w:left="-25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 w:hint="eastAsia"/>
                <w:b/>
                <w:color w:val="000000"/>
                <w:spacing w:val="-20"/>
                <w:sz w:val="28"/>
                <w:szCs w:val="28"/>
              </w:rPr>
              <w:t>經商環境報告</w:t>
            </w:r>
            <w:r w:rsidRPr="00FA46F4">
              <w:rPr>
                <w:rFonts w:ascii="Times New Roman" w:eastAsia="標楷體" w:hAnsi="Times New Roman" w:hint="eastAsia"/>
                <w:b/>
                <w:color w:val="000000"/>
                <w:spacing w:val="-20"/>
                <w:sz w:val="28"/>
                <w:szCs w:val="28"/>
              </w:rPr>
              <w:t>(</w:t>
            </w:r>
            <w:r w:rsidRPr="00FA46F4">
              <w:rPr>
                <w:rFonts w:ascii="Times New Roman" w:eastAsia="標楷體" w:hAnsi="Times New Roman" w:hint="eastAsia"/>
                <w:b/>
                <w:color w:val="000000"/>
                <w:spacing w:val="-20"/>
                <w:sz w:val="28"/>
                <w:szCs w:val="28"/>
              </w:rPr>
              <w:t>發布年</w:t>
            </w:r>
            <w:r w:rsidRPr="00FA46F4">
              <w:rPr>
                <w:rFonts w:ascii="Times New Roman" w:eastAsia="標楷體" w:hAnsi="Times New Roman" w:hint="eastAsia"/>
                <w:b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F4" w:rsidRPr="00CC4A7D" w:rsidRDefault="00436786" w:rsidP="00FA46F4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2015</w:t>
            </w: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F4" w:rsidRPr="00FA46F4" w:rsidRDefault="00436786" w:rsidP="00FA46F4">
            <w:pPr>
              <w:spacing w:line="380" w:lineRule="exact"/>
              <w:jc w:val="center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6F4" w:rsidRPr="00FA46F4" w:rsidRDefault="00436786" w:rsidP="00FA46F4">
            <w:pPr>
              <w:spacing w:line="380" w:lineRule="exact"/>
              <w:jc w:val="center"/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8"/>
                <w:szCs w:val="28"/>
              </w:rPr>
              <w:t>變動</w:t>
            </w:r>
          </w:p>
        </w:tc>
      </w:tr>
      <w:tr w:rsidR="00436786" w:rsidRPr="00FA46F4" w:rsidTr="00436786">
        <w:trPr>
          <w:trHeight w:val="910"/>
        </w:trPr>
        <w:tc>
          <w:tcPr>
            <w:tcW w:w="3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6786" w:rsidRPr="00FA46F4" w:rsidRDefault="00436786" w:rsidP="00FA46F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經商</w:t>
            </w:r>
            <w:r w:rsidRPr="00FA46F4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容易度總體排名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6786" w:rsidRPr="00CC4A7D" w:rsidRDefault="00E26637" w:rsidP="00FA46F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6786" w:rsidRPr="00FA46F4" w:rsidRDefault="00E26637" w:rsidP="00FA46F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436786" w:rsidRPr="00AF1CEF" w:rsidRDefault="00AF1CEF" w:rsidP="00FA46F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AF1CEF"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  <w:sym w:font="Wingdings" w:char="F0E1"/>
            </w:r>
            <w:r w:rsidRPr="00AF1CEF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 xml:space="preserve"> 8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開辦企業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786" w:rsidRPr="00CC4A7D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sym w:font="Wingdings" w:char="F0E2"/>
            </w:r>
            <w:r w:rsidRPr="00CC4A7D">
              <w:rPr>
                <w:rFonts w:ascii="Times New Roman" w:eastAsia="標楷體" w:hAnsi="Times New Roman" w:hint="eastAsia"/>
                <w:color w:val="C00000"/>
                <w:sz w:val="28"/>
                <w:szCs w:val="28"/>
              </w:rPr>
              <w:t xml:space="preserve"> 7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申請建築許可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AF1CEF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CC"/>
                <w:sz w:val="28"/>
                <w:szCs w:val="28"/>
              </w:rPr>
            </w:pPr>
            <w:r w:rsidRPr="00AF1CEF">
              <w:rPr>
                <w:rFonts w:ascii="Times New Roman" w:eastAsia="標楷體" w:hAnsi="Times New Roman"/>
                <w:color w:val="0000CC"/>
                <w:sz w:val="28"/>
                <w:szCs w:val="28"/>
              </w:rPr>
              <w:sym w:font="Wingdings" w:char="F0E1"/>
            </w:r>
            <w:r w:rsidRPr="00AF1CEF">
              <w:rPr>
                <w:rFonts w:ascii="Times New Roman" w:eastAsia="標楷體" w:hAnsi="Times New Roman" w:hint="eastAsia"/>
                <w:color w:val="0000CC"/>
                <w:sz w:val="28"/>
                <w:szCs w:val="28"/>
              </w:rPr>
              <w:t xml:space="preserve"> 5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電力取得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持平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財產登記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AF1CEF" w:rsidRDefault="00AF1CEF" w:rsidP="00AF1CE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CC"/>
                <w:sz w:val="28"/>
                <w:szCs w:val="28"/>
              </w:rPr>
            </w:pPr>
            <w:r w:rsidRPr="00AF1CEF">
              <w:rPr>
                <w:rFonts w:ascii="Times New Roman" w:eastAsia="標楷體" w:hAnsi="Times New Roman"/>
                <w:color w:val="0000CC"/>
                <w:sz w:val="28"/>
                <w:szCs w:val="28"/>
              </w:rPr>
              <w:sym w:font="Wingdings" w:char="F0E1"/>
            </w:r>
            <w:r w:rsidRPr="00AF1CEF">
              <w:rPr>
                <w:rFonts w:ascii="Times New Roman" w:eastAsia="標楷體" w:hAnsi="Times New Roman" w:hint="eastAsia"/>
                <w:color w:val="0000CC"/>
                <w:sz w:val="28"/>
                <w:szCs w:val="28"/>
              </w:rPr>
              <w:t xml:space="preserve"> 22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獲得信貸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59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CC4A7D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sym w:font="Wingdings" w:char="F0E2"/>
            </w:r>
            <w:r w:rsidRPr="00CC4A7D">
              <w:rPr>
                <w:rFonts w:ascii="Times New Roman" w:eastAsia="標楷體" w:hAnsi="Times New Roman" w:hint="eastAsia"/>
                <w:color w:val="C00000"/>
                <w:sz w:val="28"/>
                <w:szCs w:val="28"/>
              </w:rPr>
              <w:t xml:space="preserve"> 7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少數股東保護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AF1CEF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CC"/>
                <w:sz w:val="28"/>
                <w:szCs w:val="28"/>
              </w:rPr>
            </w:pPr>
            <w:r w:rsidRPr="00AF1CEF">
              <w:rPr>
                <w:rFonts w:ascii="Times New Roman" w:eastAsia="標楷體" w:hAnsi="Times New Roman"/>
                <w:color w:val="0000CC"/>
                <w:sz w:val="28"/>
                <w:szCs w:val="28"/>
              </w:rPr>
              <w:sym w:font="Wingdings" w:char="F0E1"/>
            </w:r>
            <w:r w:rsidRPr="00AF1CEF">
              <w:rPr>
                <w:rFonts w:ascii="Times New Roman" w:eastAsia="標楷體" w:hAnsi="Times New Roman" w:hint="eastAsia"/>
                <w:color w:val="0000CC"/>
                <w:sz w:val="28"/>
                <w:szCs w:val="28"/>
              </w:rPr>
              <w:t xml:space="preserve"> 5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繳納稅款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39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CC4A7D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sym w:font="Wingdings" w:char="F0E2"/>
            </w:r>
            <w:r w:rsidRPr="00CC4A7D">
              <w:rPr>
                <w:rFonts w:ascii="Times New Roman" w:eastAsia="標楷體" w:hAnsi="Times New Roman" w:hint="eastAsia"/>
                <w:color w:val="C00000"/>
                <w:sz w:val="28"/>
                <w:szCs w:val="28"/>
              </w:rPr>
              <w:t xml:space="preserve"> 2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跨境貿易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65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CC4A7D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sym w:font="Wingdings" w:char="F0E2"/>
            </w:r>
            <w:r w:rsidRPr="00CC4A7D">
              <w:rPr>
                <w:rFonts w:ascii="Times New Roman" w:eastAsia="標楷體" w:hAnsi="Times New Roman" w:hint="eastAsia"/>
                <w:color w:val="C00000"/>
                <w:sz w:val="28"/>
                <w:szCs w:val="28"/>
              </w:rPr>
              <w:t xml:space="preserve"> 33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標楷體"/>
                <w:color w:val="000000"/>
                <w:sz w:val="28"/>
                <w:szCs w:val="28"/>
              </w:rPr>
              <w:t>執行契約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436786" w:rsidRPr="00AF1CEF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CC"/>
                <w:sz w:val="28"/>
                <w:szCs w:val="28"/>
              </w:rPr>
            </w:pPr>
            <w:r w:rsidRPr="00AF1CEF">
              <w:rPr>
                <w:rFonts w:ascii="Times New Roman" w:eastAsia="標楷體" w:hAnsi="Times New Roman"/>
                <w:color w:val="0000CC"/>
                <w:sz w:val="28"/>
                <w:szCs w:val="28"/>
              </w:rPr>
              <w:sym w:font="Wingdings" w:char="F0E1"/>
            </w:r>
            <w:r w:rsidRPr="00AF1CEF">
              <w:rPr>
                <w:rFonts w:ascii="Times New Roman" w:eastAsia="標楷體" w:hAnsi="Times New Roman" w:hint="eastAsia"/>
                <w:color w:val="0000CC"/>
                <w:sz w:val="28"/>
                <w:szCs w:val="28"/>
              </w:rPr>
              <w:t xml:space="preserve"> 77</w:t>
            </w:r>
          </w:p>
        </w:tc>
      </w:tr>
      <w:tr w:rsidR="00436786" w:rsidRPr="00FA46F4" w:rsidTr="00436786">
        <w:trPr>
          <w:trHeight w:val="924"/>
        </w:trPr>
        <w:tc>
          <w:tcPr>
            <w:tcW w:w="496" w:type="dxa"/>
            <w:tcBorders>
              <w:bottom w:val="single" w:sz="8" w:space="0" w:color="auto"/>
            </w:tcBorders>
            <w:vAlign w:val="center"/>
          </w:tcPr>
          <w:p w:rsidR="00436786" w:rsidRPr="00FA46F4" w:rsidRDefault="00436786" w:rsidP="00FA46F4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A46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36786" w:rsidRPr="00FA46F4" w:rsidRDefault="00FD1CB2" w:rsidP="00FA46F4">
            <w:pPr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破產處理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786" w:rsidRPr="00CC4A7D" w:rsidRDefault="00E26637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786" w:rsidRPr="00FA46F4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36786" w:rsidRPr="00CC4A7D" w:rsidRDefault="00AF1CEF" w:rsidP="00FA46F4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28"/>
                <w:szCs w:val="28"/>
              </w:rPr>
            </w:pPr>
            <w:r w:rsidRPr="00CC4A7D">
              <w:rPr>
                <w:rFonts w:ascii="Times New Roman" w:eastAsia="標楷體" w:hAnsi="Times New Roman"/>
                <w:color w:val="C00000"/>
                <w:sz w:val="28"/>
                <w:szCs w:val="28"/>
              </w:rPr>
              <w:sym w:font="Wingdings" w:char="F0E2"/>
            </w:r>
            <w:r w:rsidRPr="00CC4A7D">
              <w:rPr>
                <w:rFonts w:ascii="Times New Roman" w:eastAsia="標楷體" w:hAnsi="Times New Roman" w:hint="eastAsia"/>
                <w:color w:val="C00000"/>
                <w:sz w:val="28"/>
                <w:szCs w:val="28"/>
              </w:rPr>
              <w:t xml:space="preserve"> 3</w:t>
            </w:r>
          </w:p>
        </w:tc>
      </w:tr>
    </w:tbl>
    <w:p w:rsidR="00FA46F4" w:rsidRPr="00FA46F4" w:rsidRDefault="00FA46F4" w:rsidP="00FA46F4">
      <w:pPr>
        <w:spacing w:line="440" w:lineRule="exact"/>
        <w:rPr>
          <w:rFonts w:ascii="Times New Roman" w:hAnsi="Times New Roman"/>
          <w:color w:val="000000"/>
          <w:szCs w:val="24"/>
        </w:rPr>
      </w:pPr>
      <w:r w:rsidRPr="00FA46F4">
        <w:rPr>
          <w:rFonts w:ascii="Times New Roman" w:eastAsia="標楷體" w:hAnsi="標楷體"/>
          <w:color w:val="000000"/>
          <w:szCs w:val="24"/>
        </w:rPr>
        <w:t>資料來源：</w:t>
      </w:r>
      <w:r w:rsidRPr="00FA46F4">
        <w:rPr>
          <w:rFonts w:ascii="Times New Roman" w:eastAsia="標楷體" w:hAnsi="Times New Roman"/>
          <w:color w:val="000000"/>
          <w:szCs w:val="24"/>
        </w:rPr>
        <w:t>World Bank, “Doing Business 201</w:t>
      </w:r>
      <w:r w:rsidR="00FD1CB2">
        <w:rPr>
          <w:rFonts w:ascii="Times New Roman" w:eastAsia="標楷體" w:hAnsi="Times New Roman" w:hint="eastAsia"/>
          <w:color w:val="000000"/>
          <w:szCs w:val="24"/>
        </w:rPr>
        <w:t>6</w:t>
      </w:r>
      <w:r w:rsidRPr="00FA46F4">
        <w:rPr>
          <w:rFonts w:ascii="Times New Roman" w:eastAsia="標楷體" w:hAnsi="Times New Roman"/>
          <w:color w:val="000000"/>
          <w:szCs w:val="24"/>
        </w:rPr>
        <w:t>”</w:t>
      </w:r>
      <w:r w:rsidR="00E26637">
        <w:rPr>
          <w:rFonts w:ascii="Times New Roman" w:eastAsia="標楷體" w:hAnsi="Times New Roman" w:hint="eastAsia"/>
          <w:color w:val="000000"/>
          <w:szCs w:val="24"/>
        </w:rPr>
        <w:t>&amp;</w:t>
      </w:r>
      <w:proofErr w:type="gramStart"/>
      <w:r w:rsidR="00E26637">
        <w:rPr>
          <w:rFonts w:ascii="Times New Roman" w:eastAsia="標楷體" w:hAnsi="Times New Roman" w:hint="eastAsia"/>
          <w:color w:val="000000"/>
          <w:szCs w:val="24"/>
        </w:rPr>
        <w:t>“</w:t>
      </w:r>
      <w:proofErr w:type="gramEnd"/>
      <w:r w:rsidR="00E26637" w:rsidRPr="00FA46F4">
        <w:rPr>
          <w:rFonts w:ascii="Times New Roman" w:eastAsia="標楷體" w:hAnsi="Times New Roman"/>
          <w:color w:val="000000"/>
          <w:szCs w:val="24"/>
        </w:rPr>
        <w:t>“Doing Business 201</w:t>
      </w:r>
      <w:r w:rsidR="00E26637">
        <w:rPr>
          <w:rFonts w:ascii="Times New Roman" w:eastAsia="標楷體" w:hAnsi="Times New Roman" w:hint="eastAsia"/>
          <w:color w:val="000000"/>
          <w:szCs w:val="24"/>
        </w:rPr>
        <w:t>5</w:t>
      </w:r>
      <w:r w:rsidR="00E26637">
        <w:rPr>
          <w:rFonts w:ascii="Times New Roman" w:eastAsia="標楷體" w:hAnsi="Times New Roman" w:hint="eastAsia"/>
          <w:color w:val="000000"/>
          <w:szCs w:val="24"/>
        </w:rPr>
        <w:t>”</w:t>
      </w:r>
    </w:p>
    <w:p w:rsidR="006560A8" w:rsidRPr="00351561" w:rsidRDefault="006560A8" w:rsidP="004C0A99">
      <w:pPr>
        <w:snapToGrid w:val="0"/>
        <w:spacing w:beforeLines="50" w:before="180" w:afterLines="50" w:after="180" w:line="500" w:lineRule="exact"/>
        <w:ind w:firstLineChars="177" w:firstLine="531"/>
        <w:jc w:val="both"/>
        <w:rPr>
          <w:rFonts w:ascii="Times New Roman" w:eastAsia="標楷體" w:hAnsi="Times New Roman"/>
          <w:sz w:val="30"/>
          <w:szCs w:val="30"/>
        </w:rPr>
      </w:pPr>
    </w:p>
    <w:sectPr w:rsidR="006560A8" w:rsidRPr="00351561" w:rsidSect="006A7B98"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F7" w:rsidRDefault="00C07BF7" w:rsidP="00D753B4">
      <w:r>
        <w:separator/>
      </w:r>
    </w:p>
  </w:endnote>
  <w:endnote w:type="continuationSeparator" w:id="0">
    <w:p w:rsidR="00C07BF7" w:rsidRDefault="00C07BF7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964923"/>
      <w:docPartObj>
        <w:docPartGallery w:val="Page Numbers (Bottom of Page)"/>
        <w:docPartUnique/>
      </w:docPartObj>
    </w:sdtPr>
    <w:sdtEndPr/>
    <w:sdtContent>
      <w:p w:rsidR="00C07BF7" w:rsidRDefault="00111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66" w:rsidRPr="008F1F6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07BF7" w:rsidRDefault="00C07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F7" w:rsidRDefault="00C07BF7" w:rsidP="00D753B4">
      <w:r>
        <w:separator/>
      </w:r>
    </w:p>
  </w:footnote>
  <w:footnote w:type="continuationSeparator" w:id="0">
    <w:p w:rsidR="00C07BF7" w:rsidRDefault="00C07BF7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54_"/>
      </v:shape>
    </w:pict>
  </w:numPicBullet>
  <w:abstractNum w:abstractNumId="0">
    <w:nsid w:val="101368B0"/>
    <w:multiLevelType w:val="hybridMultilevel"/>
    <w:tmpl w:val="065EAA0A"/>
    <w:lvl w:ilvl="0" w:tplc="0409000B">
      <w:start w:val="1"/>
      <w:numFmt w:val="bullet"/>
      <w:lvlText w:val="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F84D9E"/>
    <w:multiLevelType w:val="hybridMultilevel"/>
    <w:tmpl w:val="BA62D562"/>
    <w:lvl w:ilvl="0" w:tplc="874E66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AA07C4"/>
    <w:multiLevelType w:val="hybridMultilevel"/>
    <w:tmpl w:val="6E2A9E10"/>
    <w:lvl w:ilvl="0" w:tplc="FB94FD9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740510"/>
    <w:multiLevelType w:val="hybridMultilevel"/>
    <w:tmpl w:val="0D840158"/>
    <w:lvl w:ilvl="0" w:tplc="356E0BFC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48517CA2"/>
    <w:multiLevelType w:val="hybridMultilevel"/>
    <w:tmpl w:val="0AA4A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6A66D3"/>
    <w:multiLevelType w:val="hybridMultilevel"/>
    <w:tmpl w:val="9A16E7A8"/>
    <w:lvl w:ilvl="0" w:tplc="4C40A05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0D0"/>
    <w:rsid w:val="00002E79"/>
    <w:rsid w:val="00006DC9"/>
    <w:rsid w:val="00006F20"/>
    <w:rsid w:val="00007135"/>
    <w:rsid w:val="00020E22"/>
    <w:rsid w:val="00021CB6"/>
    <w:rsid w:val="00023FE3"/>
    <w:rsid w:val="000255E6"/>
    <w:rsid w:val="000336AA"/>
    <w:rsid w:val="0003697A"/>
    <w:rsid w:val="000371B3"/>
    <w:rsid w:val="000427A7"/>
    <w:rsid w:val="00051C6B"/>
    <w:rsid w:val="00052314"/>
    <w:rsid w:val="0006513C"/>
    <w:rsid w:val="00070709"/>
    <w:rsid w:val="000764CB"/>
    <w:rsid w:val="0008066A"/>
    <w:rsid w:val="0008111A"/>
    <w:rsid w:val="0008142C"/>
    <w:rsid w:val="000955EE"/>
    <w:rsid w:val="000A14DA"/>
    <w:rsid w:val="000A1F0B"/>
    <w:rsid w:val="000A3B83"/>
    <w:rsid w:val="000A46F4"/>
    <w:rsid w:val="000B0BC5"/>
    <w:rsid w:val="000C00D7"/>
    <w:rsid w:val="000C625D"/>
    <w:rsid w:val="000D2D92"/>
    <w:rsid w:val="000D7D08"/>
    <w:rsid w:val="000E2C46"/>
    <w:rsid w:val="000F14D3"/>
    <w:rsid w:val="000F216C"/>
    <w:rsid w:val="000F744C"/>
    <w:rsid w:val="00103C76"/>
    <w:rsid w:val="00111A5B"/>
    <w:rsid w:val="001122BE"/>
    <w:rsid w:val="00124D0D"/>
    <w:rsid w:val="001535C5"/>
    <w:rsid w:val="001540C7"/>
    <w:rsid w:val="00154EE8"/>
    <w:rsid w:val="00155242"/>
    <w:rsid w:val="00160A46"/>
    <w:rsid w:val="00162128"/>
    <w:rsid w:val="001625C5"/>
    <w:rsid w:val="001642D3"/>
    <w:rsid w:val="00164375"/>
    <w:rsid w:val="0018068F"/>
    <w:rsid w:val="00186A85"/>
    <w:rsid w:val="00192A7C"/>
    <w:rsid w:val="00193A50"/>
    <w:rsid w:val="00194670"/>
    <w:rsid w:val="001A624A"/>
    <w:rsid w:val="001B7059"/>
    <w:rsid w:val="001C33E1"/>
    <w:rsid w:val="001C6B4F"/>
    <w:rsid w:val="001D02A0"/>
    <w:rsid w:val="001F4026"/>
    <w:rsid w:val="002112A3"/>
    <w:rsid w:val="00220B78"/>
    <w:rsid w:val="002244C4"/>
    <w:rsid w:val="00231216"/>
    <w:rsid w:val="00231598"/>
    <w:rsid w:val="002327CC"/>
    <w:rsid w:val="00233EEC"/>
    <w:rsid w:val="00243D70"/>
    <w:rsid w:val="00247953"/>
    <w:rsid w:val="00253A50"/>
    <w:rsid w:val="00260931"/>
    <w:rsid w:val="00261FEE"/>
    <w:rsid w:val="0026488A"/>
    <w:rsid w:val="0026578D"/>
    <w:rsid w:val="00272415"/>
    <w:rsid w:val="002776B0"/>
    <w:rsid w:val="0028440A"/>
    <w:rsid w:val="002851F2"/>
    <w:rsid w:val="00285AFD"/>
    <w:rsid w:val="00293BBF"/>
    <w:rsid w:val="0029733E"/>
    <w:rsid w:val="002A37D3"/>
    <w:rsid w:val="002A6C64"/>
    <w:rsid w:val="002B0A1A"/>
    <w:rsid w:val="002B32E4"/>
    <w:rsid w:val="002C2E6A"/>
    <w:rsid w:val="002E28A6"/>
    <w:rsid w:val="002E7898"/>
    <w:rsid w:val="002E795C"/>
    <w:rsid w:val="003111D5"/>
    <w:rsid w:val="00317023"/>
    <w:rsid w:val="00321D0A"/>
    <w:rsid w:val="00325627"/>
    <w:rsid w:val="0032595F"/>
    <w:rsid w:val="00332804"/>
    <w:rsid w:val="00332F8F"/>
    <w:rsid w:val="00351561"/>
    <w:rsid w:val="003530DB"/>
    <w:rsid w:val="00356DC0"/>
    <w:rsid w:val="00361FD0"/>
    <w:rsid w:val="003630B4"/>
    <w:rsid w:val="00363BE7"/>
    <w:rsid w:val="003769D5"/>
    <w:rsid w:val="0037774D"/>
    <w:rsid w:val="003811FB"/>
    <w:rsid w:val="00384D08"/>
    <w:rsid w:val="0039224C"/>
    <w:rsid w:val="00395851"/>
    <w:rsid w:val="00397A64"/>
    <w:rsid w:val="003B2E20"/>
    <w:rsid w:val="003B5C25"/>
    <w:rsid w:val="003B6A7E"/>
    <w:rsid w:val="003B728D"/>
    <w:rsid w:val="003C3379"/>
    <w:rsid w:val="003C4135"/>
    <w:rsid w:val="003D18C9"/>
    <w:rsid w:val="003D7BE1"/>
    <w:rsid w:val="003E7DB9"/>
    <w:rsid w:val="003F3243"/>
    <w:rsid w:val="003F6963"/>
    <w:rsid w:val="00401DF2"/>
    <w:rsid w:val="00414941"/>
    <w:rsid w:val="0041667A"/>
    <w:rsid w:val="0041680C"/>
    <w:rsid w:val="00417AE2"/>
    <w:rsid w:val="004241CC"/>
    <w:rsid w:val="00424E54"/>
    <w:rsid w:val="00430D1C"/>
    <w:rsid w:val="00430EE4"/>
    <w:rsid w:val="00436786"/>
    <w:rsid w:val="00451AD4"/>
    <w:rsid w:val="00453941"/>
    <w:rsid w:val="0045480E"/>
    <w:rsid w:val="00460E30"/>
    <w:rsid w:val="00462687"/>
    <w:rsid w:val="004738F5"/>
    <w:rsid w:val="0047449D"/>
    <w:rsid w:val="004964EC"/>
    <w:rsid w:val="004A25B7"/>
    <w:rsid w:val="004A303C"/>
    <w:rsid w:val="004A51F0"/>
    <w:rsid w:val="004A5666"/>
    <w:rsid w:val="004C0A99"/>
    <w:rsid w:val="004C7C49"/>
    <w:rsid w:val="004D4253"/>
    <w:rsid w:val="004D5C5A"/>
    <w:rsid w:val="004E4D16"/>
    <w:rsid w:val="004F3348"/>
    <w:rsid w:val="0051403F"/>
    <w:rsid w:val="0051582C"/>
    <w:rsid w:val="00516448"/>
    <w:rsid w:val="00516453"/>
    <w:rsid w:val="0051783C"/>
    <w:rsid w:val="0052494E"/>
    <w:rsid w:val="00524CE7"/>
    <w:rsid w:val="00530932"/>
    <w:rsid w:val="00530A83"/>
    <w:rsid w:val="0053104A"/>
    <w:rsid w:val="00532029"/>
    <w:rsid w:val="00532BDE"/>
    <w:rsid w:val="0053472A"/>
    <w:rsid w:val="00535BCF"/>
    <w:rsid w:val="005401B4"/>
    <w:rsid w:val="00540648"/>
    <w:rsid w:val="00543995"/>
    <w:rsid w:val="005451E9"/>
    <w:rsid w:val="0056334E"/>
    <w:rsid w:val="00566FBE"/>
    <w:rsid w:val="00570677"/>
    <w:rsid w:val="00571F84"/>
    <w:rsid w:val="00582FE3"/>
    <w:rsid w:val="00583005"/>
    <w:rsid w:val="00584BB0"/>
    <w:rsid w:val="00587D10"/>
    <w:rsid w:val="00593F7E"/>
    <w:rsid w:val="005A4E6D"/>
    <w:rsid w:val="005A6FC8"/>
    <w:rsid w:val="005B4827"/>
    <w:rsid w:val="005B596E"/>
    <w:rsid w:val="005B7FE2"/>
    <w:rsid w:val="005C1EF0"/>
    <w:rsid w:val="005C4A5C"/>
    <w:rsid w:val="005D7106"/>
    <w:rsid w:val="005E3FBF"/>
    <w:rsid w:val="005F0F8D"/>
    <w:rsid w:val="005F3842"/>
    <w:rsid w:val="005F6743"/>
    <w:rsid w:val="0060158D"/>
    <w:rsid w:val="0060219F"/>
    <w:rsid w:val="00603786"/>
    <w:rsid w:val="006115FB"/>
    <w:rsid w:val="006162B4"/>
    <w:rsid w:val="00625AF5"/>
    <w:rsid w:val="00625C0E"/>
    <w:rsid w:val="00634103"/>
    <w:rsid w:val="006358AB"/>
    <w:rsid w:val="006372B6"/>
    <w:rsid w:val="00643E9B"/>
    <w:rsid w:val="00645469"/>
    <w:rsid w:val="00647B1C"/>
    <w:rsid w:val="00650D09"/>
    <w:rsid w:val="00653F08"/>
    <w:rsid w:val="006560A8"/>
    <w:rsid w:val="00660636"/>
    <w:rsid w:val="00683394"/>
    <w:rsid w:val="006834C1"/>
    <w:rsid w:val="00684103"/>
    <w:rsid w:val="0068628D"/>
    <w:rsid w:val="00696DEE"/>
    <w:rsid w:val="006A7B98"/>
    <w:rsid w:val="006B0436"/>
    <w:rsid w:val="006B0B23"/>
    <w:rsid w:val="006C49DF"/>
    <w:rsid w:val="006C5E85"/>
    <w:rsid w:val="006C5F06"/>
    <w:rsid w:val="006C737C"/>
    <w:rsid w:val="006C7ED4"/>
    <w:rsid w:val="006D0EB7"/>
    <w:rsid w:val="006D6B08"/>
    <w:rsid w:val="006E6E07"/>
    <w:rsid w:val="006F20B7"/>
    <w:rsid w:val="006F5236"/>
    <w:rsid w:val="0070695C"/>
    <w:rsid w:val="00712FDF"/>
    <w:rsid w:val="00715724"/>
    <w:rsid w:val="0071676C"/>
    <w:rsid w:val="00716B4A"/>
    <w:rsid w:val="0073736A"/>
    <w:rsid w:val="007455B2"/>
    <w:rsid w:val="00760709"/>
    <w:rsid w:val="00763979"/>
    <w:rsid w:val="00766536"/>
    <w:rsid w:val="00770CED"/>
    <w:rsid w:val="00773B35"/>
    <w:rsid w:val="00786DD9"/>
    <w:rsid w:val="00793644"/>
    <w:rsid w:val="007943AB"/>
    <w:rsid w:val="00795DE2"/>
    <w:rsid w:val="007A04DF"/>
    <w:rsid w:val="007A66BB"/>
    <w:rsid w:val="007B17DB"/>
    <w:rsid w:val="007B1B30"/>
    <w:rsid w:val="007B2960"/>
    <w:rsid w:val="007B34A3"/>
    <w:rsid w:val="007B35FE"/>
    <w:rsid w:val="007B7ABB"/>
    <w:rsid w:val="007C03FF"/>
    <w:rsid w:val="007D4F2E"/>
    <w:rsid w:val="007D53EE"/>
    <w:rsid w:val="007D544F"/>
    <w:rsid w:val="007D598A"/>
    <w:rsid w:val="007E01F5"/>
    <w:rsid w:val="007E4382"/>
    <w:rsid w:val="007E6266"/>
    <w:rsid w:val="007F193B"/>
    <w:rsid w:val="007F334C"/>
    <w:rsid w:val="0080245E"/>
    <w:rsid w:val="0080481A"/>
    <w:rsid w:val="00812365"/>
    <w:rsid w:val="008139B6"/>
    <w:rsid w:val="0081740A"/>
    <w:rsid w:val="00824898"/>
    <w:rsid w:val="0084037F"/>
    <w:rsid w:val="0085238F"/>
    <w:rsid w:val="00853AD4"/>
    <w:rsid w:val="0087157D"/>
    <w:rsid w:val="008721BF"/>
    <w:rsid w:val="0087473E"/>
    <w:rsid w:val="008815C7"/>
    <w:rsid w:val="00885C1B"/>
    <w:rsid w:val="00894161"/>
    <w:rsid w:val="00894708"/>
    <w:rsid w:val="008975B3"/>
    <w:rsid w:val="008B07B3"/>
    <w:rsid w:val="008C3CA9"/>
    <w:rsid w:val="008C6CC7"/>
    <w:rsid w:val="008C78C9"/>
    <w:rsid w:val="008D547D"/>
    <w:rsid w:val="008D5A80"/>
    <w:rsid w:val="008D6204"/>
    <w:rsid w:val="008E0FE4"/>
    <w:rsid w:val="008E7289"/>
    <w:rsid w:val="008F1F66"/>
    <w:rsid w:val="008F3E7A"/>
    <w:rsid w:val="008F5FBF"/>
    <w:rsid w:val="0090264D"/>
    <w:rsid w:val="00902FBF"/>
    <w:rsid w:val="009068FA"/>
    <w:rsid w:val="00910478"/>
    <w:rsid w:val="00910A7A"/>
    <w:rsid w:val="00912944"/>
    <w:rsid w:val="0092138B"/>
    <w:rsid w:val="009218EA"/>
    <w:rsid w:val="009377C2"/>
    <w:rsid w:val="00937BEB"/>
    <w:rsid w:val="00943D4C"/>
    <w:rsid w:val="00945554"/>
    <w:rsid w:val="009473C3"/>
    <w:rsid w:val="00950535"/>
    <w:rsid w:val="00952B7E"/>
    <w:rsid w:val="00953EF5"/>
    <w:rsid w:val="00954F5C"/>
    <w:rsid w:val="009560D3"/>
    <w:rsid w:val="00966808"/>
    <w:rsid w:val="009725A7"/>
    <w:rsid w:val="00972D8C"/>
    <w:rsid w:val="00973E73"/>
    <w:rsid w:val="009800D0"/>
    <w:rsid w:val="009806BB"/>
    <w:rsid w:val="00984353"/>
    <w:rsid w:val="00984731"/>
    <w:rsid w:val="00995514"/>
    <w:rsid w:val="00997501"/>
    <w:rsid w:val="009C6D05"/>
    <w:rsid w:val="009D0574"/>
    <w:rsid w:val="009D6E74"/>
    <w:rsid w:val="009D7B5D"/>
    <w:rsid w:val="009E217E"/>
    <w:rsid w:val="009E5130"/>
    <w:rsid w:val="009E5EE2"/>
    <w:rsid w:val="009E77B9"/>
    <w:rsid w:val="009F3247"/>
    <w:rsid w:val="00A01158"/>
    <w:rsid w:val="00A10D42"/>
    <w:rsid w:val="00A124C6"/>
    <w:rsid w:val="00A12D1B"/>
    <w:rsid w:val="00A13ADB"/>
    <w:rsid w:val="00A26BDA"/>
    <w:rsid w:val="00A32B6E"/>
    <w:rsid w:val="00A334B5"/>
    <w:rsid w:val="00A350DF"/>
    <w:rsid w:val="00A373F9"/>
    <w:rsid w:val="00A37CD5"/>
    <w:rsid w:val="00A4375B"/>
    <w:rsid w:val="00A45258"/>
    <w:rsid w:val="00A45CBE"/>
    <w:rsid w:val="00A623D2"/>
    <w:rsid w:val="00A63A98"/>
    <w:rsid w:val="00A70EF3"/>
    <w:rsid w:val="00A71849"/>
    <w:rsid w:val="00A72128"/>
    <w:rsid w:val="00A84567"/>
    <w:rsid w:val="00A933D9"/>
    <w:rsid w:val="00A9483F"/>
    <w:rsid w:val="00A957D9"/>
    <w:rsid w:val="00A95C79"/>
    <w:rsid w:val="00A96A68"/>
    <w:rsid w:val="00AA41F8"/>
    <w:rsid w:val="00AA4BA3"/>
    <w:rsid w:val="00AA5837"/>
    <w:rsid w:val="00AA6069"/>
    <w:rsid w:val="00AA71CE"/>
    <w:rsid w:val="00AB044E"/>
    <w:rsid w:val="00AB1B6A"/>
    <w:rsid w:val="00AB24EA"/>
    <w:rsid w:val="00AB559C"/>
    <w:rsid w:val="00AC71F8"/>
    <w:rsid w:val="00AC73E8"/>
    <w:rsid w:val="00AD68A9"/>
    <w:rsid w:val="00AD75C3"/>
    <w:rsid w:val="00AD79E9"/>
    <w:rsid w:val="00AE3821"/>
    <w:rsid w:val="00AF1CEF"/>
    <w:rsid w:val="00AF37EE"/>
    <w:rsid w:val="00B0626F"/>
    <w:rsid w:val="00B07657"/>
    <w:rsid w:val="00B12689"/>
    <w:rsid w:val="00B157F4"/>
    <w:rsid w:val="00B17030"/>
    <w:rsid w:val="00B20D7C"/>
    <w:rsid w:val="00B24386"/>
    <w:rsid w:val="00B25AD2"/>
    <w:rsid w:val="00B27BDF"/>
    <w:rsid w:val="00B30EAA"/>
    <w:rsid w:val="00B32381"/>
    <w:rsid w:val="00B35E42"/>
    <w:rsid w:val="00B42383"/>
    <w:rsid w:val="00B43E05"/>
    <w:rsid w:val="00B666E3"/>
    <w:rsid w:val="00B711BF"/>
    <w:rsid w:val="00B76004"/>
    <w:rsid w:val="00B90A3D"/>
    <w:rsid w:val="00B9564A"/>
    <w:rsid w:val="00BA712A"/>
    <w:rsid w:val="00BA7F4D"/>
    <w:rsid w:val="00BB72B9"/>
    <w:rsid w:val="00BB772A"/>
    <w:rsid w:val="00BC06A4"/>
    <w:rsid w:val="00BC4C52"/>
    <w:rsid w:val="00BC51A0"/>
    <w:rsid w:val="00BD72FB"/>
    <w:rsid w:val="00BE0548"/>
    <w:rsid w:val="00BE1256"/>
    <w:rsid w:val="00BE4B31"/>
    <w:rsid w:val="00BE4E60"/>
    <w:rsid w:val="00BF6C66"/>
    <w:rsid w:val="00C00214"/>
    <w:rsid w:val="00C02BE1"/>
    <w:rsid w:val="00C045EC"/>
    <w:rsid w:val="00C07BF7"/>
    <w:rsid w:val="00C117F4"/>
    <w:rsid w:val="00C154C4"/>
    <w:rsid w:val="00C21D09"/>
    <w:rsid w:val="00C347CA"/>
    <w:rsid w:val="00C35BCB"/>
    <w:rsid w:val="00C36DA0"/>
    <w:rsid w:val="00C41B1D"/>
    <w:rsid w:val="00C53B1E"/>
    <w:rsid w:val="00C54A8F"/>
    <w:rsid w:val="00C71FD6"/>
    <w:rsid w:val="00C761D9"/>
    <w:rsid w:val="00C76487"/>
    <w:rsid w:val="00C81C26"/>
    <w:rsid w:val="00C90BC2"/>
    <w:rsid w:val="00C92806"/>
    <w:rsid w:val="00CA72A1"/>
    <w:rsid w:val="00CB2D93"/>
    <w:rsid w:val="00CB4FA9"/>
    <w:rsid w:val="00CC35D6"/>
    <w:rsid w:val="00CC4505"/>
    <w:rsid w:val="00CC4A7D"/>
    <w:rsid w:val="00CC6798"/>
    <w:rsid w:val="00CE207B"/>
    <w:rsid w:val="00CF279C"/>
    <w:rsid w:val="00CF39D4"/>
    <w:rsid w:val="00D02300"/>
    <w:rsid w:val="00D143B0"/>
    <w:rsid w:val="00D226A9"/>
    <w:rsid w:val="00D316F2"/>
    <w:rsid w:val="00D3490B"/>
    <w:rsid w:val="00D37540"/>
    <w:rsid w:val="00D4102D"/>
    <w:rsid w:val="00D50537"/>
    <w:rsid w:val="00D52ABB"/>
    <w:rsid w:val="00D53CFA"/>
    <w:rsid w:val="00D630D2"/>
    <w:rsid w:val="00D65EDC"/>
    <w:rsid w:val="00D677D1"/>
    <w:rsid w:val="00D72787"/>
    <w:rsid w:val="00D753B4"/>
    <w:rsid w:val="00D80E7B"/>
    <w:rsid w:val="00D8293A"/>
    <w:rsid w:val="00D97C19"/>
    <w:rsid w:val="00DA1C6E"/>
    <w:rsid w:val="00DA4923"/>
    <w:rsid w:val="00DB4BC7"/>
    <w:rsid w:val="00DB6240"/>
    <w:rsid w:val="00DD0214"/>
    <w:rsid w:val="00DE503F"/>
    <w:rsid w:val="00DF3C6F"/>
    <w:rsid w:val="00E01038"/>
    <w:rsid w:val="00E035C7"/>
    <w:rsid w:val="00E136DC"/>
    <w:rsid w:val="00E208D2"/>
    <w:rsid w:val="00E26637"/>
    <w:rsid w:val="00E47A6B"/>
    <w:rsid w:val="00E507C1"/>
    <w:rsid w:val="00E52180"/>
    <w:rsid w:val="00E60FD7"/>
    <w:rsid w:val="00E638A3"/>
    <w:rsid w:val="00E74FE4"/>
    <w:rsid w:val="00E90D9E"/>
    <w:rsid w:val="00E94F4C"/>
    <w:rsid w:val="00EB7DD8"/>
    <w:rsid w:val="00EC136D"/>
    <w:rsid w:val="00EC20EA"/>
    <w:rsid w:val="00ED4B2F"/>
    <w:rsid w:val="00ED4E0A"/>
    <w:rsid w:val="00ED555D"/>
    <w:rsid w:val="00ED7C76"/>
    <w:rsid w:val="00ED7D9D"/>
    <w:rsid w:val="00EE0DB3"/>
    <w:rsid w:val="00EE2C88"/>
    <w:rsid w:val="00EE2E90"/>
    <w:rsid w:val="00EE55D3"/>
    <w:rsid w:val="00EF0151"/>
    <w:rsid w:val="00EF1DD5"/>
    <w:rsid w:val="00EF2D98"/>
    <w:rsid w:val="00EF4236"/>
    <w:rsid w:val="00EF5C46"/>
    <w:rsid w:val="00F00DD4"/>
    <w:rsid w:val="00F0302E"/>
    <w:rsid w:val="00F1601A"/>
    <w:rsid w:val="00F2159C"/>
    <w:rsid w:val="00F2759F"/>
    <w:rsid w:val="00F3032E"/>
    <w:rsid w:val="00F32AC9"/>
    <w:rsid w:val="00F348B9"/>
    <w:rsid w:val="00F3665C"/>
    <w:rsid w:val="00F4052B"/>
    <w:rsid w:val="00F40B3F"/>
    <w:rsid w:val="00F46C2E"/>
    <w:rsid w:val="00F552F3"/>
    <w:rsid w:val="00F60C7B"/>
    <w:rsid w:val="00F646FE"/>
    <w:rsid w:val="00F64E44"/>
    <w:rsid w:val="00F65402"/>
    <w:rsid w:val="00F71B80"/>
    <w:rsid w:val="00F71EAE"/>
    <w:rsid w:val="00F72EFE"/>
    <w:rsid w:val="00F7633B"/>
    <w:rsid w:val="00F777C6"/>
    <w:rsid w:val="00F830B1"/>
    <w:rsid w:val="00F95F85"/>
    <w:rsid w:val="00F97E67"/>
    <w:rsid w:val="00FA2319"/>
    <w:rsid w:val="00FA46F4"/>
    <w:rsid w:val="00FB2D84"/>
    <w:rsid w:val="00FC17C7"/>
    <w:rsid w:val="00FC30C7"/>
    <w:rsid w:val="00FC773E"/>
    <w:rsid w:val="00FD1CB2"/>
    <w:rsid w:val="00FD1FA1"/>
    <w:rsid w:val="00FD4915"/>
    <w:rsid w:val="00FD76F2"/>
    <w:rsid w:val="00FE090D"/>
    <w:rsid w:val="00FE353D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uiPriority w:val="39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E990-C760-470C-BAD4-C5FE8C4B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410</Words>
  <Characters>2343</Characters>
  <Application>Microsoft Office Word</Application>
  <DocSecurity>0</DocSecurity>
  <Lines>19</Lines>
  <Paragraphs>5</Paragraphs>
  <ScaleCrop>false</ScaleCrop>
  <Company>RDEC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ACER</cp:lastModifiedBy>
  <cp:revision>221</cp:revision>
  <cp:lastPrinted>2015-10-28T04:38:00Z</cp:lastPrinted>
  <dcterms:created xsi:type="dcterms:W3CDTF">2014-10-14T03:44:00Z</dcterms:created>
  <dcterms:modified xsi:type="dcterms:W3CDTF">2015-10-28T04:43:00Z</dcterms:modified>
</cp:coreProperties>
</file>