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B9F1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390129D8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7CAF0E65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62C82B1B" w14:textId="27F10028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9A27BB">
        <w:rPr>
          <w:rFonts w:ascii="微軟正黑體" w:eastAsia="微軟正黑體" w:hAnsi="微軟正黑體" w:hint="eastAsia"/>
          <w:b/>
          <w:sz w:val="56"/>
        </w:rPr>
        <w:t>11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9A27BB">
        <w:rPr>
          <w:rFonts w:ascii="微軟正黑體" w:eastAsia="微軟正黑體" w:hAnsi="微軟正黑體" w:hint="eastAsia"/>
          <w:b/>
          <w:sz w:val="56"/>
        </w:rPr>
        <w:t>3</w:t>
      </w:r>
      <w:r>
        <w:rPr>
          <w:rFonts w:ascii="微軟正黑體" w:eastAsia="微軟正黑體" w:hAnsi="微軟正黑體" w:hint="eastAsia"/>
          <w:b/>
          <w:sz w:val="56"/>
        </w:rPr>
        <w:t>年</w:t>
      </w:r>
    </w:p>
    <w:p w14:paraId="342A92BC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14:paraId="604C0DA9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14:paraId="60B504A7" w14:textId="77777777" w:rsidR="00AF4431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1B8068F7" w14:textId="77777777" w:rsidR="00AF4431" w:rsidRPr="00914902" w:rsidRDefault="00AF4431" w:rsidP="00AF4431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28478D98" w14:textId="4FB827C8" w:rsidR="00AF4431" w:rsidRPr="00DC439E" w:rsidRDefault="009A27BB" w:rsidP="00AF4431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智慧農</w:t>
      </w:r>
      <w:r w:rsidR="00AF4431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14:paraId="5C0FCD18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53BF97E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48DF4691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38A302D1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0AFD31B" w14:textId="77777777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5442A214" w14:textId="77777777" w:rsidR="00AF4431" w:rsidRPr="00290413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B50A8FE" w14:textId="3A2E8872" w:rsidR="00AF4431" w:rsidRDefault="00AF4431" w:rsidP="00AF4431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AF4431" w:rsidSect="00824CA2">
          <w:footerReference w:type="default" r:id="rId7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辦理機</w:t>
      </w:r>
      <w:r>
        <w:rPr>
          <w:rFonts w:ascii="微軟正黑體" w:eastAsia="微軟正黑體" w:hAnsi="微軟正黑體" w:hint="eastAsia"/>
          <w:sz w:val="32"/>
          <w:szCs w:val="32"/>
        </w:rPr>
        <w:t>關：</w:t>
      </w:r>
      <w:r w:rsidR="009A27BB">
        <w:rPr>
          <w:rFonts w:ascii="微軟正黑體" w:eastAsia="微軟正黑體" w:hAnsi="微軟正黑體" w:hint="eastAsia"/>
          <w:sz w:val="32"/>
          <w:szCs w:val="32"/>
        </w:rPr>
        <w:t>行政院農業委員會農業試驗所</w:t>
      </w:r>
    </w:p>
    <w:p w14:paraId="48D6A702" w14:textId="7EDB1FAF" w:rsidR="009A27BB" w:rsidRDefault="00AF4431" w:rsidP="00822845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14:paraId="21B80778" w14:textId="596B6F67" w:rsidR="00E67024" w:rsidRDefault="002F1C36" w:rsidP="002F1C36">
      <w:pPr>
        <w:pStyle w:val="af3"/>
        <w:snapToGrid w:val="0"/>
        <w:spacing w:beforeLines="30" w:before="108" w:after="18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由於</w:t>
      </w:r>
      <w:proofErr w:type="gramStart"/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智慧化資通</w:t>
      </w:r>
      <w:proofErr w:type="gramEnd"/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技術為所有產業領域皆可應用之技術，</w:t>
      </w:r>
      <w:r>
        <w:rPr>
          <w:rFonts w:ascii="微軟正黑體" w:eastAsia="微軟正黑體" w:hAnsi="微軟正黑體" w:hint="eastAsia"/>
          <w:sz w:val="26"/>
          <w:szCs w:val="26"/>
        </w:rPr>
        <w:t>智慧農業之</w:t>
      </w:r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產業範疇難以界定，本調查乃</w:t>
      </w:r>
      <w:proofErr w:type="gramStart"/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美國商務部新興科技產業調查方式，</w:t>
      </w:r>
      <w:r w:rsidRPr="002F1C36">
        <w:rPr>
          <w:rFonts w:ascii="微軟正黑體" w:eastAsia="微軟正黑體" w:hAnsi="微軟正黑體" w:hint="eastAsia"/>
          <w:sz w:val="26"/>
          <w:szCs w:val="26"/>
        </w:rPr>
        <w:t>廠商調查母體包含上市櫃</w:t>
      </w:r>
      <w:proofErr w:type="gramStart"/>
      <w:r w:rsidRPr="002F1C36">
        <w:rPr>
          <w:rFonts w:ascii="微軟正黑體" w:eastAsia="微軟正黑體" w:hAnsi="微軟正黑體" w:hint="eastAsia"/>
          <w:sz w:val="26"/>
          <w:szCs w:val="26"/>
        </w:rPr>
        <w:t>及興櫃生技</w:t>
      </w:r>
      <w:proofErr w:type="gramEnd"/>
      <w:r w:rsidRPr="002F1C36">
        <w:rPr>
          <w:rFonts w:ascii="微軟正黑體" w:eastAsia="微軟正黑體" w:hAnsi="微軟正黑體" w:hint="eastAsia"/>
          <w:sz w:val="26"/>
          <w:szCs w:val="26"/>
        </w:rPr>
        <w:t>相關公司、園區進駐廠商名單及農委會輔導農企業名單</w:t>
      </w:r>
      <w:r>
        <w:rPr>
          <w:rFonts w:ascii="微軟正黑體" w:eastAsia="微軟正黑體" w:hAnsi="微軟正黑體" w:hint="eastAsia"/>
          <w:sz w:val="26"/>
          <w:szCs w:val="26"/>
        </w:rPr>
        <w:t>，並</w:t>
      </w:r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由受調業者自行認定是否導入及</w:t>
      </w:r>
      <w:proofErr w:type="gramStart"/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應用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IoT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、資通訊技術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ICT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或人工智慧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AI</w:t>
      </w:r>
      <w:r>
        <w:rPr>
          <w:rFonts w:ascii="微軟正黑體" w:eastAsia="微軟正黑體" w:hAnsi="微軟正黑體" w:hint="eastAsia"/>
          <w:sz w:val="26"/>
          <w:szCs w:val="26"/>
        </w:rPr>
        <w:t>）等</w:t>
      </w:r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新興科技</w:t>
      </w:r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針對農田及植栽環境的變異給予最適當的耕作決策與處理，以減少資源之耗費，增加收益及減輕環境衝擊的經營管理手段</w:t>
      </w:r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因此</w:t>
      </w:r>
      <w:r w:rsidR="00E67024" w:rsidRPr="00E67024">
        <w:rPr>
          <w:rFonts w:ascii="微軟正黑體" w:eastAsia="微軟正黑體" w:hAnsi="微軟正黑體" w:hint="eastAsia"/>
          <w:sz w:val="26"/>
          <w:szCs w:val="26"/>
        </w:rPr>
        <w:t>勾選於農業領域發展新興科技之有效樣本即具母體代表性</w:t>
      </w:r>
      <w:r w:rsidR="00D00062">
        <w:rPr>
          <w:rFonts w:ascii="微軟正黑體" w:eastAsia="微軟正黑體" w:hAnsi="微軟正黑體" w:hint="eastAsia"/>
          <w:sz w:val="26"/>
          <w:szCs w:val="26"/>
        </w:rPr>
        <w:t>，並透過問卷調查、實地訪查及人力銀行資料庫動態資料彙總，取得調查資料並進行相關分析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5D6F44D5" w14:textId="6D051573" w:rsidR="00AF4431" w:rsidRPr="00EE28B3" w:rsidRDefault="009A27BB" w:rsidP="002F1C36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A27BB">
        <w:rPr>
          <w:rFonts w:ascii="微軟正黑體" w:eastAsia="微軟正黑體" w:hAnsi="微軟正黑體" w:hint="eastAsia"/>
          <w:sz w:val="26"/>
          <w:szCs w:val="26"/>
        </w:rPr>
        <w:t>本</w:t>
      </w:r>
      <w:r w:rsidR="002F1C36">
        <w:rPr>
          <w:rFonts w:ascii="微軟正黑體" w:eastAsia="微軟正黑體" w:hAnsi="微軟正黑體" w:hint="eastAsia"/>
          <w:sz w:val="26"/>
          <w:szCs w:val="26"/>
        </w:rPr>
        <w:t>次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調查範疇依據主計總處110年第11次修正「行業統計分類」屬「稻作栽培業」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0111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、「雜糧栽培業」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 w:rsidR="005F4599">
        <w:rPr>
          <w:rFonts w:ascii="微軟正黑體" w:eastAsia="微軟正黑體" w:hAnsi="微軟正黑體" w:hint="eastAsia"/>
          <w:sz w:val="26"/>
          <w:szCs w:val="26"/>
        </w:rPr>
        <w:t>2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、「特用作物栽培業」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>
        <w:rPr>
          <w:rFonts w:ascii="微軟正黑體" w:eastAsia="微軟正黑體" w:hAnsi="微軟正黑體" w:hint="eastAsia"/>
          <w:sz w:val="26"/>
          <w:szCs w:val="26"/>
        </w:rPr>
        <w:t>3）、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「蔬菜栽培業」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>
        <w:rPr>
          <w:rFonts w:ascii="微軟正黑體" w:eastAsia="微軟正黑體" w:hAnsi="微軟正黑體" w:hint="eastAsia"/>
          <w:sz w:val="26"/>
          <w:szCs w:val="26"/>
        </w:rPr>
        <w:t>4）、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「果樹栽培業」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>
        <w:rPr>
          <w:rFonts w:ascii="微軟正黑體" w:eastAsia="微軟正黑體" w:hAnsi="微軟正黑體" w:hint="eastAsia"/>
          <w:sz w:val="26"/>
          <w:szCs w:val="26"/>
        </w:rPr>
        <w:t>5）、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「食用</w:t>
      </w:r>
      <w:proofErr w:type="gramStart"/>
      <w:r w:rsidRPr="009A27BB">
        <w:rPr>
          <w:rFonts w:ascii="微軟正黑體" w:eastAsia="微軟正黑體" w:hAnsi="微軟正黑體" w:hint="eastAsia"/>
          <w:sz w:val="26"/>
          <w:szCs w:val="26"/>
        </w:rPr>
        <w:t>菇蕈栽培</w:t>
      </w:r>
      <w:proofErr w:type="gramEnd"/>
      <w:r w:rsidRPr="009A27BB">
        <w:rPr>
          <w:rFonts w:ascii="微軟正黑體" w:eastAsia="微軟正黑體" w:hAnsi="微軟正黑體" w:hint="eastAsia"/>
          <w:sz w:val="26"/>
          <w:szCs w:val="26"/>
        </w:rPr>
        <w:t>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>
        <w:rPr>
          <w:rFonts w:ascii="微軟正黑體" w:eastAsia="微軟正黑體" w:hAnsi="微軟正黑體" w:hint="eastAsia"/>
          <w:sz w:val="26"/>
          <w:szCs w:val="26"/>
        </w:rPr>
        <w:t>6）、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「花卉栽培業」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>
        <w:rPr>
          <w:rFonts w:ascii="微軟正黑體" w:eastAsia="微軟正黑體" w:hAnsi="微軟正黑體" w:hint="eastAsia"/>
          <w:sz w:val="26"/>
          <w:szCs w:val="26"/>
        </w:rPr>
        <w:t>7）、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「其他農作物栽培業」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011</w:t>
      </w:r>
      <w:r>
        <w:rPr>
          <w:rFonts w:ascii="微軟正黑體" w:eastAsia="微軟正黑體" w:hAnsi="微軟正黑體" w:hint="eastAsia"/>
          <w:sz w:val="26"/>
          <w:szCs w:val="26"/>
        </w:rPr>
        <w:t>9）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、「農用及林用機械設備製造業」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2921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、「電腦程式設計業」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6201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、「其他通訊傳播設備製造業」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2729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Pr="009A27BB">
        <w:rPr>
          <w:rFonts w:ascii="微軟正黑體" w:eastAsia="微軟正黑體" w:hAnsi="微軟正黑體" w:hint="eastAsia"/>
          <w:sz w:val="26"/>
          <w:szCs w:val="26"/>
        </w:rPr>
        <w:t>等。</w:t>
      </w:r>
    </w:p>
    <w:p w14:paraId="10B087C2" w14:textId="77777777" w:rsidR="00AF4431" w:rsidRPr="00EE28B3" w:rsidRDefault="00AF4431" w:rsidP="00AF4431">
      <w:pPr>
        <w:pStyle w:val="aff3"/>
      </w:pPr>
      <w:r w:rsidRPr="00EE28B3">
        <w:rPr>
          <w:rFonts w:hint="eastAsia"/>
        </w:rPr>
        <w:t>二、產業發展趨勢</w:t>
      </w:r>
    </w:p>
    <w:p w14:paraId="5970B94E" w14:textId="03D781E6" w:rsidR="00707A89" w:rsidRPr="00822845" w:rsidRDefault="00822845" w:rsidP="00822845">
      <w:pPr>
        <w:pStyle w:val="a3"/>
        <w:numPr>
          <w:ilvl w:val="0"/>
          <w:numId w:val="40"/>
        </w:numPr>
        <w:snapToGrid w:val="0"/>
        <w:spacing w:beforeLines="30" w:before="108" w:line="42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依據</w:t>
      </w:r>
      <w:proofErr w:type="spellStart"/>
      <w:r w:rsidRPr="00822845">
        <w:rPr>
          <w:rFonts w:ascii="微軟正黑體" w:eastAsia="微軟正黑體" w:hAnsi="微軟正黑體" w:hint="eastAsia"/>
          <w:sz w:val="26"/>
          <w:szCs w:val="26"/>
        </w:rPr>
        <w:t>MarketsandMarkets</w:t>
      </w:r>
      <w:proofErr w:type="spellEnd"/>
      <w:r w:rsidRPr="00822845">
        <w:rPr>
          <w:rFonts w:ascii="微軟正黑體" w:eastAsia="微軟正黑體" w:hAnsi="微軟正黑體" w:hint="eastAsia"/>
          <w:sz w:val="26"/>
          <w:szCs w:val="26"/>
        </w:rPr>
        <w:t xml:space="preserve"> 在2020年的預測統計報告中指出，智慧農業的市場價值將以9.8%的年均複合增長率成長，預計到2025年將成長至220億美元。</w:t>
      </w:r>
    </w:p>
    <w:p w14:paraId="1AB66A2A" w14:textId="2299F36E" w:rsidR="00822845" w:rsidRDefault="00822845" w:rsidP="00707A89">
      <w:pPr>
        <w:pStyle w:val="a3"/>
        <w:keepNext/>
        <w:numPr>
          <w:ilvl w:val="0"/>
          <w:numId w:val="40"/>
        </w:numPr>
        <w:snapToGrid w:val="0"/>
        <w:spacing w:beforeLines="30" w:before="108" w:line="420" w:lineRule="exact"/>
        <w:ind w:leftChars="0" w:left="523" w:hangingChars="201" w:hanging="523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影響產業的正面因素包含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：</w:t>
      </w:r>
    </w:p>
    <w:p w14:paraId="37639DC1" w14:textId="03A7B867" w:rsidR="00822845" w:rsidRDefault="00822845" w:rsidP="00822845">
      <w:pPr>
        <w:pStyle w:val="a3"/>
        <w:keepNext/>
        <w:numPr>
          <w:ilvl w:val="0"/>
          <w:numId w:val="43"/>
        </w:numPr>
        <w:snapToGrid w:val="0"/>
        <w:spacing w:beforeLines="30" w:before="108" w:line="42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全球社會趨勢</w:t>
      </w:r>
    </w:p>
    <w:p w14:paraId="361FC8E2" w14:textId="77777777" w:rsidR="00822845" w:rsidRDefault="00822845" w:rsidP="00E67024">
      <w:pPr>
        <w:pStyle w:val="a3"/>
        <w:keepNext/>
        <w:numPr>
          <w:ilvl w:val="0"/>
          <w:numId w:val="43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國內社會環境變遷</w:t>
      </w:r>
    </w:p>
    <w:p w14:paraId="7BCE51B5" w14:textId="77777777" w:rsidR="00822845" w:rsidRDefault="00822845" w:rsidP="00E67024">
      <w:pPr>
        <w:pStyle w:val="a3"/>
        <w:keepNext/>
        <w:numPr>
          <w:ilvl w:val="0"/>
          <w:numId w:val="43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政府農業政策影響</w:t>
      </w:r>
    </w:p>
    <w:p w14:paraId="5DB496C0" w14:textId="77777777" w:rsidR="00822845" w:rsidRDefault="00822845" w:rsidP="00E67024">
      <w:pPr>
        <w:pStyle w:val="a3"/>
        <w:keepNext/>
        <w:numPr>
          <w:ilvl w:val="0"/>
          <w:numId w:val="43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國外技術引進或國內研發技術突破</w:t>
      </w:r>
    </w:p>
    <w:p w14:paraId="002CE7BB" w14:textId="62E747A6" w:rsidR="00822845" w:rsidRDefault="00822845" w:rsidP="00E67024">
      <w:pPr>
        <w:pStyle w:val="a3"/>
        <w:keepNext/>
        <w:numPr>
          <w:ilvl w:val="0"/>
          <w:numId w:val="43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氣候變遷</w:t>
      </w:r>
    </w:p>
    <w:p w14:paraId="33455CF9" w14:textId="65ADF3B8" w:rsidR="00822845" w:rsidRDefault="00822845" w:rsidP="00707A89">
      <w:pPr>
        <w:pStyle w:val="a3"/>
        <w:keepNext/>
        <w:numPr>
          <w:ilvl w:val="0"/>
          <w:numId w:val="40"/>
        </w:numPr>
        <w:snapToGrid w:val="0"/>
        <w:spacing w:beforeLines="30" w:before="108" w:line="420" w:lineRule="exact"/>
        <w:ind w:leftChars="0" w:left="523" w:hangingChars="201" w:hanging="523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影響產業的負面因素包含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：</w:t>
      </w:r>
    </w:p>
    <w:p w14:paraId="62E3BBF9" w14:textId="77777777" w:rsidR="00822845" w:rsidRDefault="00822845" w:rsidP="00822845">
      <w:pPr>
        <w:pStyle w:val="a3"/>
        <w:keepNext/>
        <w:numPr>
          <w:ilvl w:val="0"/>
          <w:numId w:val="44"/>
        </w:numPr>
        <w:snapToGrid w:val="0"/>
        <w:spacing w:beforeLines="30" w:before="108" w:line="42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國際貿易競爭</w:t>
      </w:r>
    </w:p>
    <w:p w14:paraId="2587949B" w14:textId="77777777" w:rsidR="00822845" w:rsidRDefault="00822845" w:rsidP="00E67024">
      <w:pPr>
        <w:pStyle w:val="a3"/>
        <w:keepNext/>
        <w:numPr>
          <w:ilvl w:val="0"/>
          <w:numId w:val="44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農業資訊整合性低</w:t>
      </w:r>
    </w:p>
    <w:p w14:paraId="4DBE26E3" w14:textId="77777777" w:rsidR="00822845" w:rsidRDefault="00822845" w:rsidP="00E67024">
      <w:pPr>
        <w:pStyle w:val="a3"/>
        <w:keepNext/>
        <w:numPr>
          <w:ilvl w:val="0"/>
          <w:numId w:val="44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智慧設備的前期建置成本高</w:t>
      </w:r>
    </w:p>
    <w:p w14:paraId="094AAF25" w14:textId="1A676C07" w:rsidR="00822845" w:rsidRDefault="00822845" w:rsidP="00E67024">
      <w:pPr>
        <w:pStyle w:val="a3"/>
        <w:keepNext/>
        <w:numPr>
          <w:ilvl w:val="0"/>
          <w:numId w:val="44"/>
        </w:numPr>
        <w:snapToGrid w:val="0"/>
        <w:spacing w:line="420" w:lineRule="exact"/>
        <w:ind w:leftChars="0" w:left="879" w:hanging="357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農民仍對完整的智</w:t>
      </w:r>
      <w:r w:rsidR="005F4599">
        <w:rPr>
          <w:rFonts w:ascii="微軟正黑體" w:eastAsia="微軟正黑體" w:hAnsi="微軟正黑體" w:hint="eastAsia"/>
          <w:sz w:val="26"/>
          <w:szCs w:val="26"/>
        </w:rPr>
        <w:t>慧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農業耕作方式的操作和技術優勢沒有充分的認識與</w:t>
      </w:r>
      <w:r w:rsidR="00E67024">
        <w:rPr>
          <w:rFonts w:ascii="微軟正黑體" w:eastAsia="微軟正黑體" w:hAnsi="微軟正黑體" w:hint="eastAsia"/>
          <w:sz w:val="26"/>
          <w:szCs w:val="26"/>
        </w:rPr>
        <w:lastRenderedPageBreak/>
        <w:t>瞭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解</w:t>
      </w:r>
    </w:p>
    <w:p w14:paraId="3AADBBFB" w14:textId="2D5B6BE6" w:rsidR="00AF4431" w:rsidRDefault="00822845" w:rsidP="00822845">
      <w:pPr>
        <w:pStyle w:val="a3"/>
        <w:keepNext/>
        <w:numPr>
          <w:ilvl w:val="0"/>
          <w:numId w:val="40"/>
        </w:numPr>
        <w:snapToGrid w:val="0"/>
        <w:spacing w:beforeLines="30" w:before="108" w:line="420" w:lineRule="exact"/>
        <w:ind w:leftChars="0" w:left="523" w:hangingChars="201" w:hanging="523"/>
        <w:jc w:val="both"/>
        <w:rPr>
          <w:rFonts w:ascii="微軟正黑體" w:eastAsia="微軟正黑體" w:hAnsi="微軟正黑體"/>
          <w:sz w:val="26"/>
          <w:szCs w:val="26"/>
        </w:rPr>
      </w:pPr>
      <w:r w:rsidRPr="00822845">
        <w:rPr>
          <w:rFonts w:ascii="微軟正黑體" w:eastAsia="微軟正黑體" w:hAnsi="微軟正黑體" w:hint="eastAsia"/>
          <w:sz w:val="26"/>
          <w:szCs w:val="26"/>
        </w:rPr>
        <w:t>現階段的智慧農業結合資通訊技術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（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ICT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）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Pr="00822845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="00E67024">
        <w:rPr>
          <w:rFonts w:ascii="微軟正黑體" w:eastAsia="微軟正黑體" w:hAnsi="微軟正黑體" w:hint="eastAsia"/>
          <w:sz w:val="26"/>
          <w:szCs w:val="26"/>
        </w:rPr>
        <w:t>（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IoT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）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、大數據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（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Big Data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）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分析、</w:t>
      </w:r>
      <w:proofErr w:type="gramStart"/>
      <w:r w:rsidRPr="00822845">
        <w:rPr>
          <w:rFonts w:ascii="微軟正黑體" w:eastAsia="微軟正黑體" w:hAnsi="微軟正黑體" w:hint="eastAsia"/>
          <w:sz w:val="26"/>
          <w:szCs w:val="26"/>
        </w:rPr>
        <w:t>區塊鏈</w:t>
      </w:r>
      <w:proofErr w:type="gramEnd"/>
      <w:r w:rsidR="00E67024">
        <w:rPr>
          <w:rFonts w:ascii="微軟正黑體" w:eastAsia="微軟正黑體" w:hAnsi="微軟正黑體" w:hint="eastAsia"/>
          <w:sz w:val="26"/>
          <w:szCs w:val="26"/>
        </w:rPr>
        <w:t>（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Block Chain</w:t>
      </w:r>
      <w:r w:rsidR="00E67024">
        <w:rPr>
          <w:rFonts w:ascii="微軟正黑體" w:eastAsia="微軟正黑體" w:hAnsi="微軟正黑體" w:hint="eastAsia"/>
          <w:sz w:val="26"/>
          <w:szCs w:val="26"/>
        </w:rPr>
        <w:t>）</w:t>
      </w:r>
      <w:r w:rsidRPr="00822845">
        <w:rPr>
          <w:rFonts w:ascii="微軟正黑體" w:eastAsia="微軟正黑體" w:hAnsi="微軟正黑體" w:hint="eastAsia"/>
          <w:sz w:val="26"/>
          <w:szCs w:val="26"/>
        </w:rPr>
        <w:t>等跨領域前瞻技術，導入機械及感測元件，觀測環境溫度、濕度、光度、土壤水含量、營養成分、病蟲害，並將數據傳送至農民手機以判斷使用，讓農民可以不用隨時巡訪田地；配合機械播種、施肥、</w:t>
      </w:r>
      <w:proofErr w:type="gramStart"/>
      <w:r w:rsidRPr="00822845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Pr="00822845">
        <w:rPr>
          <w:rFonts w:ascii="微軟正黑體" w:eastAsia="微軟正黑體" w:hAnsi="微軟正黑體" w:hint="eastAsia"/>
          <w:sz w:val="26"/>
          <w:szCs w:val="26"/>
        </w:rPr>
        <w:t>收更能降低勞動力負擔。</w:t>
      </w:r>
    </w:p>
    <w:p w14:paraId="79A7B0EC" w14:textId="2A4648B4" w:rsidR="004A5A61" w:rsidRPr="00822845" w:rsidRDefault="004A5A61" w:rsidP="00822845">
      <w:pPr>
        <w:pStyle w:val="a3"/>
        <w:keepNext/>
        <w:numPr>
          <w:ilvl w:val="0"/>
          <w:numId w:val="40"/>
        </w:numPr>
        <w:snapToGrid w:val="0"/>
        <w:spacing w:beforeLines="30" w:before="108" w:line="420" w:lineRule="exact"/>
        <w:ind w:leftChars="0" w:left="523" w:hangingChars="201" w:hanging="523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未來可能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隨著5G的發展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AR技術與AI邊緣計算的結合，將帶動農業未來的走向，</w:t>
      </w:r>
      <w:r>
        <w:rPr>
          <w:rFonts w:ascii="微軟正黑體" w:eastAsia="微軟正黑體" w:hAnsi="微軟正黑體" w:hint="eastAsia"/>
          <w:sz w:val="26"/>
          <w:szCs w:val="26"/>
        </w:rPr>
        <w:t>科技</w:t>
      </w:r>
      <w:r w:rsidR="004B6211">
        <w:rPr>
          <w:rFonts w:ascii="微軟正黑體" w:eastAsia="微軟正黑體" w:hAnsi="微軟正黑體" w:hint="eastAsia"/>
          <w:sz w:val="26"/>
          <w:szCs w:val="26"/>
        </w:rPr>
        <w:t>於農業範疇的</w:t>
      </w:r>
      <w:r>
        <w:rPr>
          <w:rFonts w:ascii="微軟正黑體" w:eastAsia="微軟正黑體" w:hAnsi="微軟正黑體" w:hint="eastAsia"/>
          <w:sz w:val="26"/>
          <w:szCs w:val="26"/>
        </w:rPr>
        <w:t>結合及應用</w:t>
      </w:r>
      <w:r w:rsidR="004B6211">
        <w:rPr>
          <w:rFonts w:ascii="微軟正黑體" w:eastAsia="微軟正黑體" w:hAnsi="微軟正黑體" w:hint="eastAsia"/>
          <w:sz w:val="26"/>
          <w:szCs w:val="26"/>
        </w:rPr>
        <w:t>例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如</w:t>
      </w:r>
      <w:r w:rsidR="00EB31D8">
        <w:rPr>
          <w:rFonts w:ascii="微軟正黑體" w:eastAsia="微軟正黑體" w:hAnsi="微軟正黑體" w:hint="eastAsia"/>
          <w:sz w:val="26"/>
          <w:szCs w:val="26"/>
        </w:rPr>
        <w:t>：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5G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4K超高</w:t>
      </w:r>
      <w:proofErr w:type="gramStart"/>
      <w:r w:rsidRPr="004A5A61">
        <w:rPr>
          <w:rFonts w:ascii="微軟正黑體" w:eastAsia="微軟正黑體" w:hAnsi="微軟正黑體" w:hint="eastAsia"/>
          <w:sz w:val="26"/>
          <w:szCs w:val="26"/>
        </w:rPr>
        <w:t>清晰攝影機</w:t>
      </w:r>
      <w:proofErr w:type="gramEnd"/>
      <w:r w:rsidRPr="004A5A61">
        <w:rPr>
          <w:rFonts w:ascii="微軟正黑體" w:eastAsia="微軟正黑體" w:hAnsi="微軟正黑體" w:hint="eastAsia"/>
          <w:sz w:val="26"/>
          <w:szCs w:val="26"/>
        </w:rPr>
        <w:t>用於病害防治</w:t>
      </w:r>
      <w:r>
        <w:rPr>
          <w:rFonts w:ascii="微軟正黑體" w:eastAsia="微軟正黑體" w:hAnsi="微軟正黑體" w:hint="eastAsia"/>
          <w:sz w:val="26"/>
          <w:szCs w:val="26"/>
        </w:rPr>
        <w:t>，以及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5G自走車</w:t>
      </w:r>
      <w:r>
        <w:rPr>
          <w:rFonts w:ascii="微軟正黑體" w:eastAsia="微軟正黑體" w:hAnsi="微軟正黑體" w:hint="eastAsia"/>
          <w:sz w:val="26"/>
          <w:szCs w:val="26"/>
        </w:rPr>
        <w:t>用</w:t>
      </w:r>
      <w:r w:rsidRPr="004A5A61">
        <w:rPr>
          <w:rFonts w:ascii="微軟正黑體" w:eastAsia="微軟正黑體" w:hAnsi="微軟正黑體" w:hint="eastAsia"/>
          <w:sz w:val="26"/>
          <w:szCs w:val="26"/>
        </w:rPr>
        <w:t>於</w:t>
      </w:r>
      <w:proofErr w:type="gramStart"/>
      <w:r w:rsidRPr="004A5A61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Pr="004A5A61">
        <w:rPr>
          <w:rFonts w:ascii="微軟正黑體" w:eastAsia="微軟正黑體" w:hAnsi="微軟正黑體" w:hint="eastAsia"/>
          <w:sz w:val="26"/>
          <w:szCs w:val="26"/>
        </w:rPr>
        <w:t>果、套袋或授粉等。</w:t>
      </w:r>
    </w:p>
    <w:p w14:paraId="36114C66" w14:textId="77777777" w:rsidR="00AF4431" w:rsidRDefault="00AF4431" w:rsidP="00AF4431">
      <w:pPr>
        <w:pStyle w:val="aff3"/>
      </w:pPr>
      <w:r w:rsidRPr="00CC4444">
        <w:rPr>
          <w:rFonts w:hint="eastAsia"/>
        </w:rPr>
        <w:t>三、人才量化供需推估</w:t>
      </w:r>
    </w:p>
    <w:p w14:paraId="50ACB215" w14:textId="60F4CA7F" w:rsidR="00E11E4E" w:rsidRDefault="00E11E4E" w:rsidP="00E11E4E">
      <w:pPr>
        <w:snapToGrid w:val="0"/>
        <w:spacing w:beforeLines="30" w:before="108" w:line="42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190D3C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190D3C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3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年有關</w:t>
      </w:r>
      <w:r w:rsidR="00190D3C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智慧農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業專業人才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新增需求占總就業人數比、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新增供給推估結果，惟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14:paraId="0C389EFB" w14:textId="379EE307" w:rsidR="00E11E4E" w:rsidRPr="00E11E4E" w:rsidRDefault="00E11E4E" w:rsidP="000F14D7">
      <w:pPr>
        <w:snapToGrid w:val="0"/>
        <w:spacing w:beforeLines="30" w:before="108" w:afterLines="30" w:after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A87384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2F3EDE">
        <w:rPr>
          <w:rFonts w:ascii="微軟正黑體" w:eastAsia="微軟正黑體" w:hAnsi="微軟正黑體" w:hint="eastAsia"/>
          <w:sz w:val="26"/>
          <w:szCs w:val="26"/>
        </w:rPr>
        <w:t>智慧農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業所需人才每年平均新增需求為</w:t>
      </w:r>
      <w:r w:rsidR="002F3EDE">
        <w:rPr>
          <w:rFonts w:ascii="微軟正黑體" w:eastAsia="微軟正黑體" w:hAnsi="微軟正黑體" w:hint="eastAsia"/>
          <w:sz w:val="26"/>
          <w:szCs w:val="26"/>
        </w:rPr>
        <w:t>465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~</w:t>
      </w:r>
      <w:r w:rsidR="002F3EDE">
        <w:rPr>
          <w:rFonts w:ascii="微軟正黑體" w:eastAsia="微軟正黑體" w:hAnsi="微軟正黑體" w:hint="eastAsia"/>
          <w:sz w:val="26"/>
          <w:szCs w:val="26"/>
        </w:rPr>
        <w:t>568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人、每年平均新增需求占總就業人數比例為3.8</w:t>
      </w:r>
      <w:r w:rsidRPr="007F5A5B">
        <w:rPr>
          <w:rFonts w:ascii="微軟正黑體" w:eastAsia="微軟正黑體" w:hAnsi="微軟正黑體" w:hint="eastAsia"/>
          <w:sz w:val="26"/>
          <w:szCs w:val="26"/>
        </w:rPr>
        <w:t>~</w:t>
      </w:r>
      <w:r w:rsidR="002F3EDE">
        <w:rPr>
          <w:rFonts w:ascii="微軟正黑體" w:eastAsia="微軟正黑體" w:hAnsi="微軟正黑體" w:hint="eastAsia"/>
          <w:sz w:val="26"/>
          <w:szCs w:val="26"/>
        </w:rPr>
        <w:t>4.6</w:t>
      </w:r>
      <w:r w:rsidRPr="007F5A5B">
        <w:rPr>
          <w:rFonts w:ascii="微軟正黑體" w:eastAsia="微軟正黑體" w:hAnsi="微軟正黑體" w:hint="eastAsia"/>
          <w:sz w:val="26"/>
          <w:szCs w:val="26"/>
        </w:rPr>
        <w:t>%、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每年平均新增供給為</w:t>
      </w:r>
      <w:r w:rsidR="00495586">
        <w:rPr>
          <w:rFonts w:ascii="微軟正黑體" w:eastAsia="微軟正黑體" w:hAnsi="微軟正黑體" w:hint="eastAsia"/>
          <w:sz w:val="26"/>
          <w:szCs w:val="26"/>
        </w:rPr>
        <w:t>430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人</w:t>
      </w:r>
      <w:r w:rsidR="00FF4EBA">
        <w:rPr>
          <w:rFonts w:ascii="微軟正黑體" w:eastAsia="微軟正黑體" w:hAnsi="微軟正黑體" w:hint="eastAsia"/>
          <w:sz w:val="26"/>
          <w:szCs w:val="26"/>
        </w:rPr>
        <w:t>（人才</w:t>
      </w:r>
      <w:r w:rsidR="00495586">
        <w:rPr>
          <w:rFonts w:ascii="微軟正黑體" w:eastAsia="微軟正黑體" w:hAnsi="微軟正黑體" w:hint="eastAsia"/>
          <w:sz w:val="26"/>
          <w:szCs w:val="26"/>
        </w:rPr>
        <w:t>新增</w:t>
      </w:r>
      <w:r w:rsidR="00FF4EBA">
        <w:rPr>
          <w:rFonts w:ascii="微軟正黑體" w:eastAsia="微軟正黑體" w:hAnsi="微軟正黑體" w:hint="eastAsia"/>
          <w:sz w:val="26"/>
          <w:szCs w:val="26"/>
        </w:rPr>
        <w:t>供給部分僅以全國大專院校相關科系人數估算，未納入其他人才供給來源）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。</w:t>
      </w:r>
      <w:r w:rsidR="007D24AF">
        <w:rPr>
          <w:rFonts w:ascii="微軟正黑體" w:eastAsia="微軟正黑體" w:hAnsi="微軟正黑體" w:hint="eastAsia"/>
          <w:sz w:val="26"/>
          <w:szCs w:val="26"/>
        </w:rPr>
        <w:t>另依調查結果觀之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，</w:t>
      </w:r>
      <w:r w:rsidR="00BA2D8E">
        <w:rPr>
          <w:rFonts w:ascii="微軟正黑體" w:eastAsia="微軟正黑體" w:hAnsi="微軟正黑體" w:hint="eastAsia"/>
          <w:sz w:val="26"/>
          <w:szCs w:val="26"/>
        </w:rPr>
        <w:t>約有42.4%的業者反映人才供給不足，36%反映人才供需尚屬均衡</w:t>
      </w:r>
      <w:r w:rsidRPr="00A87384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E11E4E" w:rsidRPr="007608D1" w14:paraId="44F34241" w14:textId="77777777" w:rsidTr="0051042D">
        <w:trPr>
          <w:trHeight w:val="183"/>
        </w:trPr>
        <w:tc>
          <w:tcPr>
            <w:tcW w:w="95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D754B66" w14:textId="77777777" w:rsidR="00E11E4E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14:paraId="57DA6EA1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1D309E0" w14:textId="5AC88BE3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532D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09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82ECC16" w14:textId="7B3E49F8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532D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6584F9E" w14:textId="26177FD3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532D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E11E4E" w:rsidRPr="007608D1" w14:paraId="5BC7898F" w14:textId="77777777" w:rsidTr="0051042D"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34199FF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6BD9212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1998C7C" w14:textId="3D9EC574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42AF0" w:rsidRP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AAF69FC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681A29E" w14:textId="02A571EA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42AF0" w:rsidRP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6485878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3076E1F7" w14:textId="1C5CB746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42AF0" w:rsidRP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E11E4E" w:rsidRPr="007608D1" w14:paraId="6730056E" w14:textId="77777777" w:rsidTr="008032CF">
        <w:trPr>
          <w:trHeight w:val="265"/>
        </w:trPr>
        <w:tc>
          <w:tcPr>
            <w:tcW w:w="952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0F52212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728CE54" w14:textId="07C5A6C1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42AF0" w:rsidRP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44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380326C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62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81B4522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937F268" w14:textId="0F09B65B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42AF0" w:rsidRP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28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25B5D71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8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61C93D7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1606623" w14:textId="200FE1F8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A42AF0" w:rsidRP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  <w:r w:rsidR="00A42A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A3B2E0C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B625A53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E11E4E" w:rsidRPr="007608D1" w14:paraId="1907BF0A" w14:textId="77777777" w:rsidTr="00271EA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384D40A7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06B60B88" w14:textId="36459642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538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10E5111D" w14:textId="5096D2CE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4.5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CE3B8F" w14:textId="5D5C0A44" w:rsidR="00E11E4E" w:rsidRPr="007608D1" w:rsidRDefault="00FF4EBA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379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08CFB55E" w14:textId="02AB90A9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568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236D9784" w14:textId="7EC98B5B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4.6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5A578E" w14:textId="4F22EB1F" w:rsidR="00E11E4E" w:rsidRPr="007608D1" w:rsidRDefault="00683753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450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ADDA9B2" w14:textId="6BC05B4A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598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4C3D39B" w14:textId="50E1FBB0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4.7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998ECA" w14:textId="49BA7F9B" w:rsidR="00E11E4E" w:rsidRPr="007608D1" w:rsidRDefault="00683753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462</w:t>
            </w:r>
          </w:p>
        </w:tc>
      </w:tr>
      <w:tr w:rsidR="00E11E4E" w:rsidRPr="007608D1" w14:paraId="2B1122F8" w14:textId="77777777" w:rsidTr="00271EA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5938AC70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6E3C1B4D" w14:textId="75DA9D93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489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12F05847" w14:textId="3F1E8F8E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4.1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297766A6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64A9B363" w14:textId="1F098A12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516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5D53C8EF" w14:textId="1B41B5E1" w:rsidR="00532DD6" w:rsidRPr="007608D1" w:rsidRDefault="00532DD6" w:rsidP="00532DD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4.2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72506F35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12C74429" w14:textId="1BB58BCB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544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018E8EC6" w14:textId="7B99E51B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4.3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5507E60B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11E4E" w:rsidRPr="007608D1" w14:paraId="7ED31AFF" w14:textId="77777777" w:rsidTr="00271EA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4B774368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961D947" w14:textId="3E9196A9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440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79D9533A" w14:textId="485E1C1F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3.7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215AE17E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6895758" w14:textId="30DCFC5D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464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4DE8AA21" w14:textId="45180D90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3.8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71D381B0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5A2324A3" w14:textId="3C4B8822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1416A0B" w14:textId="4A6885F5" w:rsidR="00E11E4E" w:rsidRPr="007608D1" w:rsidRDefault="00532DD6" w:rsidP="00271EAB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3.8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158DDFE5" w14:textId="77777777" w:rsidR="00E11E4E" w:rsidRPr="007608D1" w:rsidRDefault="00E11E4E" w:rsidP="00271EAB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03BF9B6E" w14:textId="165C5832" w:rsidR="00AF4431" w:rsidRDefault="00AF4431" w:rsidP="00AF4431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1348B9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1348B9">
        <w:rPr>
          <w:rFonts w:ascii="微軟正黑體" w:eastAsia="微軟正黑體" w:hAnsi="微軟正黑體" w:hint="eastAsia"/>
          <w:sz w:val="18"/>
        </w:rPr>
        <w:t>：</w:t>
      </w:r>
      <w:r>
        <w:rPr>
          <w:rFonts w:ascii="微軟正黑體" w:eastAsia="微軟正黑體" w:hAnsi="微軟正黑體" w:hint="eastAsia"/>
          <w:sz w:val="18"/>
        </w:rPr>
        <w:t>1.</w:t>
      </w:r>
      <w:r w:rsidR="002F3EDE">
        <w:rPr>
          <w:rFonts w:ascii="微軟正黑體" w:eastAsia="微軟正黑體" w:hAnsi="微軟正黑體" w:hint="eastAsia"/>
          <w:sz w:val="18"/>
        </w:rPr>
        <w:t>持平</w:t>
      </w:r>
      <w:r w:rsidR="00BB190A">
        <w:rPr>
          <w:rFonts w:ascii="微軟正黑體" w:eastAsia="微軟正黑體" w:hAnsi="微軟正黑體" w:hint="eastAsia"/>
          <w:sz w:val="18"/>
        </w:rPr>
        <w:t>景氣情勢下之新增需求</w:t>
      </w:r>
      <w:r w:rsidR="002F3EDE">
        <w:rPr>
          <w:rFonts w:ascii="微軟正黑體" w:eastAsia="微軟正黑體" w:hAnsi="微軟正黑體" w:hint="eastAsia"/>
          <w:sz w:val="18"/>
        </w:rPr>
        <w:t>係依據人均產值計算、</w:t>
      </w:r>
      <w:r w:rsidRPr="00743C35">
        <w:rPr>
          <w:rFonts w:ascii="微軟正黑體" w:eastAsia="微軟正黑體" w:hAnsi="微軟正黑體" w:hint="eastAsia"/>
          <w:sz w:val="18"/>
        </w:rPr>
        <w:t>樂觀</w:t>
      </w:r>
      <w:r w:rsidR="002F3EDE">
        <w:rPr>
          <w:rFonts w:ascii="微軟正黑體" w:eastAsia="微軟正黑體" w:hAnsi="微軟正黑體" w:hint="eastAsia"/>
          <w:sz w:val="18"/>
        </w:rPr>
        <w:t>=</w:t>
      </w:r>
      <w:r w:rsidR="002F3EDE" w:rsidRPr="002F3EDE">
        <w:rPr>
          <w:rFonts w:ascii="微軟正黑體" w:eastAsia="微軟正黑體" w:hAnsi="微軟正黑體" w:hint="eastAsia"/>
          <w:sz w:val="18"/>
        </w:rPr>
        <w:t>持平推估人數* 1.1</w:t>
      </w:r>
      <w:r>
        <w:rPr>
          <w:rFonts w:ascii="微軟正黑體" w:eastAsia="微軟正黑體" w:hAnsi="微軟正黑體" w:hint="eastAsia"/>
          <w:sz w:val="18"/>
        </w:rPr>
        <w:t>、</w:t>
      </w:r>
      <w:r w:rsidRPr="00743C35">
        <w:rPr>
          <w:rFonts w:ascii="微軟正黑體" w:eastAsia="微軟正黑體" w:hAnsi="微軟正黑體" w:hint="eastAsia"/>
          <w:sz w:val="18"/>
        </w:rPr>
        <w:t>保守</w:t>
      </w:r>
      <w:r w:rsidR="002F3EDE">
        <w:rPr>
          <w:rFonts w:ascii="微軟正黑體" w:eastAsia="微軟正黑體" w:hAnsi="微軟正黑體" w:hint="eastAsia"/>
          <w:sz w:val="18"/>
        </w:rPr>
        <w:t>=</w:t>
      </w:r>
      <w:r w:rsidR="002F3EDE" w:rsidRPr="002F3EDE">
        <w:rPr>
          <w:rFonts w:ascii="微軟正黑體" w:eastAsia="微軟正黑體" w:hAnsi="微軟正黑體" w:hint="eastAsia"/>
          <w:sz w:val="18"/>
        </w:rPr>
        <w:t xml:space="preserve">持平推估人數* </w:t>
      </w:r>
      <w:r w:rsidR="002F3EDE">
        <w:rPr>
          <w:rFonts w:ascii="微軟正黑體" w:eastAsia="微軟正黑體" w:hAnsi="微軟正黑體" w:hint="eastAsia"/>
          <w:sz w:val="18"/>
        </w:rPr>
        <w:t>0.9</w:t>
      </w:r>
      <w:r w:rsidRPr="00743C35">
        <w:rPr>
          <w:rFonts w:ascii="微軟正黑體" w:eastAsia="微軟正黑體" w:hAnsi="微軟正黑體" w:hint="eastAsia"/>
          <w:sz w:val="18"/>
        </w:rPr>
        <w:t>。</w:t>
      </w:r>
    </w:p>
    <w:p w14:paraId="36C2DB7E" w14:textId="12D9A88E" w:rsidR="00FF4EBA" w:rsidRPr="003C7420" w:rsidRDefault="00AF4431" w:rsidP="003C7420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14:paraId="5723CE41" w14:textId="37171D05" w:rsidR="00AF4431" w:rsidRDefault="00AF4431" w:rsidP="00AF4431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2F3EDE">
        <w:rPr>
          <w:rFonts w:ascii="微軟正黑體" w:eastAsia="微軟正黑體" w:hAnsi="微軟正黑體" w:hint="eastAsia"/>
          <w:sz w:val="18"/>
          <w:szCs w:val="18"/>
        </w:rPr>
        <w:t>行政院農委會</w:t>
      </w:r>
      <w:r w:rsidR="004C7A7B">
        <w:rPr>
          <w:rFonts w:ascii="微軟正黑體" w:eastAsia="微軟正黑體" w:hAnsi="微軟正黑體" w:hint="eastAsia"/>
          <w:sz w:val="18"/>
          <w:szCs w:val="18"/>
        </w:rPr>
        <w:t>農試所</w:t>
      </w:r>
      <w:r>
        <w:rPr>
          <w:rFonts w:ascii="微軟正黑體" w:eastAsia="微軟正黑體" w:hAnsi="微軟正黑體" w:hint="eastAsia"/>
          <w:sz w:val="18"/>
          <w:szCs w:val="18"/>
        </w:rPr>
        <w:t>（202</w:t>
      </w:r>
      <w:r w:rsidR="002F3EDE">
        <w:rPr>
          <w:rFonts w:ascii="微軟正黑體" w:eastAsia="微軟正黑體" w:hAnsi="微軟正黑體" w:hint="eastAsia"/>
          <w:sz w:val="18"/>
          <w:szCs w:val="18"/>
        </w:rPr>
        <w:t>1</w:t>
      </w:r>
      <w:r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</w:t>
      </w:r>
      <w:r w:rsidR="002F3EDE" w:rsidRPr="002F3EDE">
        <w:rPr>
          <w:rFonts w:ascii="微軟正黑體" w:eastAsia="微軟正黑體" w:hAnsi="微軟正黑體" w:hint="eastAsia"/>
          <w:sz w:val="18"/>
          <w:szCs w:val="18"/>
        </w:rPr>
        <w:t>智慧農業產業人才供需調查及分析報告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13AC6B82" w14:textId="77777777" w:rsidR="00AF4431" w:rsidRPr="00CC4444" w:rsidRDefault="00AF4431" w:rsidP="00AF4431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14:paraId="58A5102C" w14:textId="756C4612" w:rsidR="00AF4431" w:rsidRPr="008D189A" w:rsidRDefault="00AF4431" w:rsidP="00AF4431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8D189A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A3342B">
        <w:rPr>
          <w:rFonts w:ascii="微軟正黑體" w:eastAsia="微軟正黑體" w:hAnsi="微軟正黑體" w:hint="eastAsia"/>
          <w:sz w:val="26"/>
          <w:szCs w:val="26"/>
        </w:rPr>
        <w:t>智慧農</w:t>
      </w:r>
      <w:r>
        <w:rPr>
          <w:rFonts w:ascii="微軟正黑體" w:eastAsia="微軟正黑體" w:hAnsi="微軟正黑體" w:hint="eastAsia"/>
          <w:sz w:val="26"/>
          <w:szCs w:val="26"/>
        </w:rPr>
        <w:t>業專業人才質性需求調查結果，詳細之各職務人才需求條件彙總如下表。</w:t>
      </w:r>
    </w:p>
    <w:p w14:paraId="4F6A5FCB" w14:textId="328A5A80" w:rsidR="004E32BF" w:rsidRDefault="00AF4431" w:rsidP="004E32BF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4E32BF">
        <w:rPr>
          <w:rFonts w:ascii="微軟正黑體" w:eastAsia="微軟正黑體" w:hAnsi="微軟正黑體" w:hint="eastAsia"/>
          <w:sz w:val="26"/>
          <w:szCs w:val="26"/>
        </w:rPr>
        <w:t>欠缺之專業人才包括：</w:t>
      </w:r>
      <w:r w:rsidR="00A3342B" w:rsidRPr="00A3342B">
        <w:rPr>
          <w:rFonts w:ascii="微軟正黑體" w:eastAsia="微軟正黑體" w:hAnsi="微軟正黑體" w:hint="eastAsia"/>
          <w:sz w:val="26"/>
          <w:szCs w:val="26"/>
        </w:rPr>
        <w:t>MIS</w:t>
      </w:r>
      <w:r w:rsidR="00A3342B">
        <w:rPr>
          <w:rFonts w:ascii="微軟正黑體" w:eastAsia="微軟正黑體" w:hAnsi="微軟正黑體" w:hint="eastAsia"/>
          <w:sz w:val="26"/>
          <w:szCs w:val="26"/>
        </w:rPr>
        <w:t>／</w:t>
      </w:r>
      <w:proofErr w:type="gramStart"/>
      <w:r w:rsidR="00A3342B" w:rsidRPr="00A3342B">
        <w:rPr>
          <w:rFonts w:ascii="微軟正黑體" w:eastAsia="微軟正黑體" w:hAnsi="微軟正黑體" w:hint="eastAsia"/>
          <w:sz w:val="26"/>
          <w:szCs w:val="26"/>
        </w:rPr>
        <w:t>網管類人員</w:t>
      </w:r>
      <w:proofErr w:type="gramEnd"/>
      <w:r w:rsidRPr="004E32BF">
        <w:rPr>
          <w:rFonts w:ascii="微軟正黑體" w:eastAsia="微軟正黑體" w:hAnsi="微軟正黑體" w:hint="eastAsia"/>
          <w:sz w:val="26"/>
          <w:szCs w:val="26"/>
        </w:rPr>
        <w:t>及</w:t>
      </w:r>
      <w:r w:rsidR="00A3342B">
        <w:rPr>
          <w:rFonts w:ascii="微軟正黑體" w:eastAsia="微軟正黑體" w:hAnsi="微軟正黑體" w:hint="eastAsia"/>
          <w:sz w:val="26"/>
          <w:szCs w:val="26"/>
        </w:rPr>
        <w:t>軟體設計工程師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等</w:t>
      </w:r>
      <w:r w:rsidR="00A3342B">
        <w:rPr>
          <w:rFonts w:ascii="微軟正黑體" w:eastAsia="微軟正黑體" w:hAnsi="微軟正黑體" w:hint="eastAsia"/>
          <w:sz w:val="26"/>
          <w:szCs w:val="26"/>
        </w:rPr>
        <w:t>2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類人才，而人才</w:t>
      </w:r>
      <w:proofErr w:type="gramStart"/>
      <w:r w:rsidRPr="004E32BF">
        <w:rPr>
          <w:rFonts w:ascii="微軟正黑體" w:eastAsia="微軟正黑體" w:hAnsi="微軟正黑體" w:hint="eastAsia"/>
          <w:sz w:val="26"/>
          <w:szCs w:val="26"/>
        </w:rPr>
        <w:t>欠缺主</w:t>
      </w:r>
      <w:proofErr w:type="gramEnd"/>
      <w:r w:rsidRPr="004E32BF">
        <w:rPr>
          <w:rFonts w:ascii="微軟正黑體" w:eastAsia="微軟正黑體" w:hAnsi="微軟正黑體" w:hint="eastAsia"/>
          <w:sz w:val="26"/>
          <w:szCs w:val="26"/>
        </w:rPr>
        <w:t>因</w:t>
      </w:r>
      <w:r w:rsidR="006201D3">
        <w:rPr>
          <w:rFonts w:ascii="微軟正黑體" w:eastAsia="微軟正黑體" w:hAnsi="微軟正黑體" w:hint="eastAsia"/>
          <w:sz w:val="26"/>
          <w:szCs w:val="26"/>
        </w:rPr>
        <w:t>為「</w:t>
      </w:r>
      <w:r w:rsidR="00A3342B">
        <w:rPr>
          <w:rFonts w:ascii="微軟正黑體" w:eastAsia="微軟正黑體" w:hAnsi="微軟正黑體" w:hint="eastAsia"/>
          <w:sz w:val="26"/>
          <w:szCs w:val="26"/>
        </w:rPr>
        <w:t>在職人員技能或素質不符</w:t>
      </w:r>
      <w:r w:rsidR="006201D3">
        <w:rPr>
          <w:rFonts w:ascii="微軟正黑體" w:eastAsia="微軟正黑體" w:hAnsi="微軟正黑體" w:hint="eastAsia"/>
          <w:sz w:val="26"/>
          <w:szCs w:val="26"/>
        </w:rPr>
        <w:t>」</w:t>
      </w:r>
      <w:r w:rsidR="00A3342B">
        <w:rPr>
          <w:rFonts w:ascii="微軟正黑體" w:eastAsia="微軟正黑體" w:hAnsi="微軟正黑體" w:hint="eastAsia"/>
          <w:sz w:val="26"/>
          <w:szCs w:val="26"/>
        </w:rPr>
        <w:t>、</w:t>
      </w:r>
      <w:r w:rsidR="006201D3">
        <w:rPr>
          <w:rFonts w:ascii="微軟正黑體" w:eastAsia="微軟正黑體" w:hAnsi="微軟正黑體" w:hint="eastAsia"/>
          <w:sz w:val="26"/>
          <w:szCs w:val="26"/>
        </w:rPr>
        <w:t>「</w:t>
      </w:r>
      <w:r w:rsidR="00A3342B">
        <w:rPr>
          <w:rFonts w:ascii="微軟正黑體" w:eastAsia="微軟正黑體" w:hAnsi="微軟正黑體" w:hint="eastAsia"/>
          <w:sz w:val="26"/>
          <w:szCs w:val="26"/>
        </w:rPr>
        <w:t>勞動條件不佳</w:t>
      </w:r>
      <w:r w:rsidR="006201D3">
        <w:rPr>
          <w:rFonts w:ascii="微軟正黑體" w:eastAsia="微軟正黑體" w:hAnsi="微軟正黑體" w:hint="eastAsia"/>
          <w:sz w:val="26"/>
          <w:szCs w:val="26"/>
        </w:rPr>
        <w:t>」</w:t>
      </w:r>
      <w:r w:rsidR="00A3342B">
        <w:rPr>
          <w:rFonts w:ascii="微軟正黑體" w:eastAsia="微軟正黑體" w:hAnsi="微軟正黑體" w:hint="eastAsia"/>
          <w:sz w:val="26"/>
          <w:szCs w:val="26"/>
        </w:rPr>
        <w:t>及</w:t>
      </w:r>
      <w:r w:rsidR="006201D3">
        <w:rPr>
          <w:rFonts w:ascii="微軟正黑體" w:eastAsia="微軟正黑體" w:hAnsi="微軟正黑體" w:hint="eastAsia"/>
          <w:sz w:val="26"/>
          <w:szCs w:val="26"/>
        </w:rPr>
        <w:t>「</w:t>
      </w:r>
      <w:r w:rsidR="00A3342B">
        <w:rPr>
          <w:rFonts w:ascii="微軟正黑體" w:eastAsia="微軟正黑體" w:hAnsi="微軟正黑體" w:hint="eastAsia"/>
          <w:sz w:val="26"/>
          <w:szCs w:val="26"/>
        </w:rPr>
        <w:t>薪資較</w:t>
      </w:r>
      <w:r w:rsidR="00A3342B">
        <w:rPr>
          <w:rFonts w:ascii="微軟正黑體" w:eastAsia="微軟正黑體" w:hAnsi="微軟正黑體" w:hint="eastAsia"/>
          <w:sz w:val="26"/>
          <w:szCs w:val="26"/>
        </w:rPr>
        <w:lastRenderedPageBreak/>
        <w:t>低不具誘因</w:t>
      </w:r>
      <w:r w:rsidR="006201D3">
        <w:rPr>
          <w:rFonts w:ascii="微軟正黑體" w:eastAsia="微軟正黑體" w:hAnsi="微軟正黑體" w:hint="eastAsia"/>
          <w:sz w:val="26"/>
          <w:szCs w:val="26"/>
        </w:rPr>
        <w:t>」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3EE9D998" w14:textId="38C53ABE" w:rsidR="004E32BF" w:rsidRDefault="00AF4431" w:rsidP="004E32BF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4E32BF">
        <w:rPr>
          <w:rFonts w:ascii="微軟正黑體" w:eastAsia="微軟正黑體" w:hAnsi="微軟正黑體" w:hint="eastAsia"/>
          <w:sz w:val="26"/>
          <w:szCs w:val="26"/>
        </w:rPr>
        <w:t>在學歷要求方面</w:t>
      </w:r>
      <w:r w:rsidR="00A3342B">
        <w:rPr>
          <w:rFonts w:ascii="微軟正黑體" w:eastAsia="微軟正黑體" w:hAnsi="微軟正黑體" w:hint="eastAsia"/>
          <w:sz w:val="26"/>
          <w:szCs w:val="26"/>
        </w:rPr>
        <w:t>，2項職</w:t>
      </w:r>
      <w:proofErr w:type="gramStart"/>
      <w:r w:rsidR="00A3342B">
        <w:rPr>
          <w:rFonts w:ascii="微軟正黑體" w:eastAsia="微軟正黑體" w:hAnsi="微軟正黑體" w:hint="eastAsia"/>
          <w:sz w:val="26"/>
          <w:szCs w:val="26"/>
        </w:rPr>
        <w:t>缺均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需大專</w:t>
      </w:r>
      <w:proofErr w:type="gramEnd"/>
      <w:r w:rsidRPr="004E32BF">
        <w:rPr>
          <w:rFonts w:ascii="微軟正黑體" w:eastAsia="微軟正黑體" w:hAnsi="微軟正黑體" w:hint="eastAsia"/>
          <w:sz w:val="26"/>
          <w:szCs w:val="26"/>
        </w:rPr>
        <w:t>學歷；科系背景方面，以</w:t>
      </w:r>
      <w:r w:rsidR="00A3342B">
        <w:rPr>
          <w:rFonts w:ascii="微軟正黑體" w:eastAsia="微軟正黑體" w:hAnsi="微軟正黑體" w:hint="eastAsia"/>
          <w:sz w:val="26"/>
          <w:szCs w:val="26"/>
        </w:rPr>
        <w:t>具備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「</w:t>
      </w:r>
      <w:r w:rsidR="00A3342B">
        <w:rPr>
          <w:rFonts w:ascii="微軟正黑體" w:eastAsia="微軟正黑體" w:hAnsi="微軟正黑體" w:hint="eastAsia"/>
          <w:sz w:val="26"/>
          <w:szCs w:val="26"/>
        </w:rPr>
        <w:t>軟體開發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」</w:t>
      </w:r>
      <w:r w:rsidR="00A3342B">
        <w:rPr>
          <w:rFonts w:ascii="微軟正黑體" w:eastAsia="微軟正黑體" w:hAnsi="微軟正黑體" w:hint="eastAsia"/>
          <w:sz w:val="26"/>
          <w:szCs w:val="26"/>
        </w:rPr>
        <w:t>、</w:t>
      </w:r>
      <w:r w:rsidR="00A3342B" w:rsidRPr="004E32BF">
        <w:rPr>
          <w:rFonts w:ascii="微軟正黑體" w:eastAsia="微軟正黑體" w:hAnsi="微軟正黑體" w:hint="eastAsia"/>
          <w:sz w:val="26"/>
          <w:szCs w:val="26"/>
        </w:rPr>
        <w:t>「</w:t>
      </w:r>
      <w:r w:rsidR="00A3342B">
        <w:rPr>
          <w:rFonts w:ascii="微軟正黑體" w:eastAsia="微軟正黑體" w:hAnsi="微軟正黑體" w:hint="eastAsia"/>
          <w:sz w:val="26"/>
          <w:szCs w:val="26"/>
        </w:rPr>
        <w:t>資訊技術</w:t>
      </w:r>
      <w:r w:rsidR="00A3342B" w:rsidRPr="004E32BF">
        <w:rPr>
          <w:rFonts w:ascii="微軟正黑體" w:eastAsia="微軟正黑體" w:hAnsi="微軟正黑體" w:hint="eastAsia"/>
          <w:sz w:val="26"/>
          <w:szCs w:val="26"/>
        </w:rPr>
        <w:t>」</w:t>
      </w:r>
      <w:r w:rsidR="00A3342B">
        <w:rPr>
          <w:rFonts w:ascii="微軟正黑體" w:eastAsia="微軟正黑體" w:hAnsi="微軟正黑體" w:hint="eastAsia"/>
          <w:sz w:val="26"/>
          <w:szCs w:val="26"/>
        </w:rPr>
        <w:t>及</w:t>
      </w:r>
      <w:r w:rsidR="00A3342B" w:rsidRPr="004E32BF">
        <w:rPr>
          <w:rFonts w:ascii="微軟正黑體" w:eastAsia="微軟正黑體" w:hAnsi="微軟正黑體" w:hint="eastAsia"/>
          <w:sz w:val="26"/>
          <w:szCs w:val="26"/>
        </w:rPr>
        <w:t>「</w:t>
      </w:r>
      <w:r w:rsidR="00A3342B">
        <w:rPr>
          <w:rFonts w:ascii="微軟正黑體" w:eastAsia="微軟正黑體" w:hAnsi="微軟正黑體" w:hint="eastAsia"/>
          <w:sz w:val="26"/>
          <w:szCs w:val="26"/>
        </w:rPr>
        <w:t>電機與電子工程</w:t>
      </w:r>
      <w:r w:rsidR="00A3342B" w:rsidRPr="004E32BF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A3342B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="00A3342B">
        <w:rPr>
          <w:rFonts w:ascii="微軟正黑體" w:eastAsia="微軟正黑體" w:hAnsi="微軟正黑體" w:hint="eastAsia"/>
          <w:sz w:val="26"/>
          <w:szCs w:val="26"/>
        </w:rPr>
        <w:t>背景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者為佳</w:t>
      </w:r>
      <w:r w:rsidR="00A3342B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2C4D76CF" w14:textId="38B128A2" w:rsidR="004E32BF" w:rsidRDefault="00AF4431" w:rsidP="004E32BF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4E32BF">
        <w:rPr>
          <w:rFonts w:ascii="微軟正黑體" w:eastAsia="微軟正黑體" w:hAnsi="微軟正黑體" w:hint="eastAsia"/>
          <w:sz w:val="26"/>
          <w:szCs w:val="26"/>
        </w:rPr>
        <w:t>在工作年資要求方面，</w:t>
      </w:r>
      <w:r w:rsidR="00A3342B">
        <w:rPr>
          <w:rFonts w:ascii="微軟正黑體" w:eastAsia="微軟正黑體" w:hAnsi="微軟正黑體" w:hint="eastAsia"/>
          <w:sz w:val="26"/>
          <w:szCs w:val="26"/>
        </w:rPr>
        <w:t>2項職</w:t>
      </w:r>
      <w:proofErr w:type="gramStart"/>
      <w:r w:rsidR="00A3342B">
        <w:rPr>
          <w:rFonts w:ascii="微軟正黑體" w:eastAsia="微軟正黑體" w:hAnsi="微軟正黑體" w:hint="eastAsia"/>
          <w:sz w:val="26"/>
          <w:szCs w:val="26"/>
        </w:rPr>
        <w:t>缺均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無工作</w:t>
      </w:r>
      <w:proofErr w:type="gramEnd"/>
      <w:r w:rsidRPr="004E32BF">
        <w:rPr>
          <w:rFonts w:ascii="微軟正黑體" w:eastAsia="微軟正黑體" w:hAnsi="微軟正黑體" w:hint="eastAsia"/>
          <w:sz w:val="26"/>
          <w:szCs w:val="26"/>
        </w:rPr>
        <w:t>經驗要求。</w:t>
      </w:r>
    </w:p>
    <w:p w14:paraId="60671C53" w14:textId="233E4C92" w:rsidR="00986078" w:rsidRPr="00A14740" w:rsidRDefault="00AF4431" w:rsidP="000F14D7">
      <w:pPr>
        <w:pStyle w:val="a3"/>
        <w:numPr>
          <w:ilvl w:val="0"/>
          <w:numId w:val="2"/>
        </w:numPr>
        <w:snapToGrid w:val="0"/>
        <w:spacing w:beforeLines="30" w:before="108" w:afterLines="30" w:after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4E32BF">
        <w:rPr>
          <w:rFonts w:ascii="微軟正黑體" w:eastAsia="微軟正黑體" w:hAnsi="微軟正黑體" w:hint="eastAsia"/>
          <w:sz w:val="26"/>
          <w:szCs w:val="26"/>
        </w:rPr>
        <w:t>在人員招募上，</w:t>
      </w:r>
      <w:r w:rsidR="00A3342B">
        <w:rPr>
          <w:rFonts w:ascii="微軟正黑體" w:eastAsia="微軟正黑體" w:hAnsi="微軟正黑體" w:hint="eastAsia"/>
          <w:sz w:val="26"/>
          <w:szCs w:val="26"/>
        </w:rPr>
        <w:t>2項職</w:t>
      </w:r>
      <w:proofErr w:type="gramStart"/>
      <w:r w:rsidR="00A3342B">
        <w:rPr>
          <w:rFonts w:ascii="微軟正黑體" w:eastAsia="微軟正黑體" w:hAnsi="微軟正黑體" w:hint="eastAsia"/>
          <w:sz w:val="26"/>
          <w:szCs w:val="26"/>
        </w:rPr>
        <w:t>缺均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屬普通</w:t>
      </w:r>
      <w:proofErr w:type="gramEnd"/>
      <w:r w:rsidRPr="004E32BF">
        <w:rPr>
          <w:rFonts w:ascii="微軟正黑體" w:eastAsia="微軟正黑體" w:hAnsi="微軟正黑體" w:hint="eastAsia"/>
          <w:sz w:val="26"/>
          <w:szCs w:val="26"/>
        </w:rPr>
        <w:t>，</w:t>
      </w:r>
      <w:r w:rsidR="00A3342B">
        <w:rPr>
          <w:rFonts w:ascii="微軟正黑體" w:eastAsia="微軟正黑體" w:hAnsi="微軟正黑體" w:hint="eastAsia"/>
          <w:sz w:val="26"/>
          <w:szCs w:val="26"/>
        </w:rPr>
        <w:t>且</w:t>
      </w:r>
      <w:r w:rsidRPr="004E32BF">
        <w:rPr>
          <w:rFonts w:ascii="微軟正黑體" w:eastAsia="微軟正黑體" w:hAnsi="微軟正黑體" w:hint="eastAsia"/>
          <w:sz w:val="26"/>
          <w:szCs w:val="26"/>
        </w:rPr>
        <w:t>無</w:t>
      </w:r>
      <w:proofErr w:type="gramStart"/>
      <w:r w:rsidRPr="004E32BF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Pr="004E32BF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652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6"/>
        <w:gridCol w:w="1567"/>
        <w:gridCol w:w="1842"/>
        <w:gridCol w:w="2550"/>
        <w:gridCol w:w="426"/>
        <w:gridCol w:w="426"/>
        <w:gridCol w:w="426"/>
        <w:gridCol w:w="1501"/>
        <w:gridCol w:w="428"/>
      </w:tblGrid>
      <w:tr w:rsidR="00AF4431" w:rsidRPr="005E2FD2" w14:paraId="5F8BEE5C" w14:textId="77777777" w:rsidTr="008032CF">
        <w:trPr>
          <w:tblHeader/>
          <w:jc w:val="center"/>
        </w:trPr>
        <w:tc>
          <w:tcPr>
            <w:tcW w:w="586" w:type="pct"/>
            <w:vMerge w:val="restart"/>
            <w:shd w:val="clear" w:color="auto" w:fill="DAEEF3" w:themeFill="accent5" w:themeFillTint="33"/>
            <w:vAlign w:val="center"/>
          </w:tcPr>
          <w:p w14:paraId="7DC0748E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所欠缺之</w:t>
            </w:r>
          </w:p>
          <w:p w14:paraId="0192FA9F" w14:textId="77777777" w:rsidR="00986078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人才職</w:t>
            </w:r>
            <w:r w:rsidR="0091398C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業</w:t>
            </w:r>
          </w:p>
          <w:p w14:paraId="5B4463EB" w14:textId="6DF12BEA" w:rsidR="00AF4431" w:rsidRPr="002B6997" w:rsidRDefault="00986078" w:rsidP="00723F5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(代碼)</w:t>
            </w:r>
          </w:p>
        </w:tc>
        <w:tc>
          <w:tcPr>
            <w:tcW w:w="307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BA23C8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4FBA1B3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招募難易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771509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6EDF46" w14:textId="77777777" w:rsidR="00AF4431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人才欠缺</w:t>
            </w:r>
          </w:p>
          <w:p w14:paraId="03785494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主要原因</w:t>
            </w:r>
          </w:p>
        </w:tc>
        <w:tc>
          <w:tcPr>
            <w:tcW w:w="206" w:type="pct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A516491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職能基準級別</w:t>
            </w:r>
          </w:p>
        </w:tc>
      </w:tr>
      <w:tr w:rsidR="00AF4431" w:rsidRPr="005E2FD2" w14:paraId="6E4C34BC" w14:textId="77777777" w:rsidTr="008032CF">
        <w:trPr>
          <w:tblHeader/>
          <w:jc w:val="center"/>
        </w:trPr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44178A" w14:textId="77777777" w:rsidR="00AF4431" w:rsidRPr="005E2FD2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47D3FC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9C55FE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基本學歷/</w:t>
            </w:r>
          </w:p>
          <w:p w14:paraId="239BDD3F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8389E9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4E892F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工作</w:t>
            </w:r>
          </w:p>
          <w:p w14:paraId="21F1AC3D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B6997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年資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6963AC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218A37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01375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7412E" w14:textId="77777777" w:rsidR="00AF4431" w:rsidRPr="002B6997" w:rsidRDefault="00AF4431" w:rsidP="00271EAB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F4431" w:rsidRPr="005E2FD2" w14:paraId="754119B3" w14:textId="77777777" w:rsidTr="00181A97">
        <w:trPr>
          <w:trHeight w:val="97"/>
          <w:jc w:val="center"/>
        </w:trPr>
        <w:tc>
          <w:tcPr>
            <w:tcW w:w="586" w:type="pct"/>
          </w:tcPr>
          <w:p w14:paraId="7C9004E2" w14:textId="6FB919E7" w:rsidR="00AF4431" w:rsidRPr="00444849" w:rsidRDefault="00986078" w:rsidP="00181A97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6078">
              <w:rPr>
                <w:rFonts w:ascii="微軟正黑體" w:eastAsia="微軟正黑體" w:hAnsi="微軟正黑體" w:hint="eastAsia"/>
                <w:sz w:val="20"/>
                <w:szCs w:val="20"/>
              </w:rPr>
              <w:t>MIS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proofErr w:type="gramStart"/>
            <w:r w:rsidRPr="00986078">
              <w:rPr>
                <w:rFonts w:ascii="微軟正黑體" w:eastAsia="微軟正黑體" w:hAnsi="微軟正黑體" w:hint="eastAsia"/>
                <w:sz w:val="20"/>
                <w:szCs w:val="20"/>
              </w:rPr>
              <w:t>網管類人員</w:t>
            </w:r>
            <w:proofErr w:type="gramEnd"/>
            <w:r w:rsidRPr="00986078">
              <w:rPr>
                <w:rFonts w:ascii="微軟正黑體" w:eastAsia="微軟正黑體" w:hAnsi="微軟正黑體"/>
                <w:sz w:val="20"/>
                <w:szCs w:val="20"/>
              </w:rPr>
              <w:t>(080306)</w:t>
            </w:r>
          </w:p>
        </w:tc>
        <w:tc>
          <w:tcPr>
            <w:tcW w:w="755" w:type="pct"/>
          </w:tcPr>
          <w:p w14:paraId="3C185B4C" w14:textId="7C89B6E8" w:rsidR="00AF4431" w:rsidRPr="00444849" w:rsidRDefault="00E85413" w:rsidP="00181A9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負責將原始資料轉化為可供分析的格式，熟悉資料儲存環境系統結構，協助蒐集、分類與處理資料</w:t>
            </w:r>
          </w:p>
        </w:tc>
        <w:tc>
          <w:tcPr>
            <w:tcW w:w="887" w:type="pct"/>
          </w:tcPr>
          <w:p w14:paraId="0D733C91" w14:textId="1FD6DA63" w:rsidR="00AF4431" w:rsidRPr="00635143" w:rsidRDefault="00E85413" w:rsidP="00181A97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大專</w:t>
            </w:r>
            <w:r w:rsidR="00AF4431" w:rsidRPr="0063514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094833A5" w14:textId="77777777" w:rsidR="00AF4431" w:rsidRDefault="00E85413" w:rsidP="00181A97">
            <w:pPr>
              <w:keepNext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軟體開發細學類</w:t>
            </w:r>
            <w:proofErr w:type="gramEnd"/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(06132)</w:t>
            </w:r>
          </w:p>
          <w:p w14:paraId="36176471" w14:textId="77777777" w:rsidR="00E85413" w:rsidRDefault="00E85413" w:rsidP="00181A97">
            <w:pPr>
              <w:keepNext/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14:paraId="18E744DE" w14:textId="10A64691" w:rsidR="00E85413" w:rsidRPr="00D0095C" w:rsidRDefault="00E85413" w:rsidP="00181A97">
            <w:pPr>
              <w:keepNext/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  <w:highlight w:val="yellow"/>
              </w:rPr>
            </w:pPr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(07141)</w:t>
            </w:r>
          </w:p>
        </w:tc>
        <w:tc>
          <w:tcPr>
            <w:tcW w:w="1228" w:type="pct"/>
          </w:tcPr>
          <w:p w14:paraId="1255E6EC" w14:textId="77777777" w:rsidR="00E85413" w:rsidRDefault="00E85413" w:rsidP="00181A97">
            <w:pPr>
              <w:pStyle w:val="cjk"/>
              <w:numPr>
                <w:ilvl w:val="0"/>
                <w:numId w:val="17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作業系統基本操作</w:t>
            </w:r>
          </w:p>
          <w:p w14:paraId="44FD28BF" w14:textId="77777777" w:rsidR="00E85413" w:rsidRDefault="00E85413" w:rsidP="00181A97">
            <w:pPr>
              <w:pStyle w:val="cjk"/>
              <w:numPr>
                <w:ilvl w:val="0"/>
                <w:numId w:val="17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資料備份與復原</w:t>
            </w:r>
          </w:p>
          <w:p w14:paraId="7A301EB5" w14:textId="77777777" w:rsidR="00E85413" w:rsidRDefault="00E85413" w:rsidP="00181A97">
            <w:pPr>
              <w:pStyle w:val="cjk"/>
              <w:numPr>
                <w:ilvl w:val="0"/>
                <w:numId w:val="17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電腦設備裝配</w:t>
            </w:r>
          </w:p>
          <w:p w14:paraId="0DE642D5" w14:textId="77777777" w:rsidR="00E85413" w:rsidRDefault="00E85413" w:rsidP="00181A97">
            <w:pPr>
              <w:pStyle w:val="cjk"/>
              <w:numPr>
                <w:ilvl w:val="0"/>
                <w:numId w:val="17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資訊設備環境設定</w:t>
            </w:r>
          </w:p>
          <w:p w14:paraId="625732F1" w14:textId="77777777" w:rsidR="00E85413" w:rsidRDefault="00E85413" w:rsidP="00181A97">
            <w:pPr>
              <w:pStyle w:val="cjk"/>
              <w:numPr>
                <w:ilvl w:val="0"/>
                <w:numId w:val="17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安裝與維護網安全系統</w:t>
            </w:r>
          </w:p>
          <w:p w14:paraId="7B49C958" w14:textId="43EFD1FA" w:rsidR="00AF4431" w:rsidRPr="00635143" w:rsidRDefault="00E85413" w:rsidP="00181A97">
            <w:pPr>
              <w:pStyle w:val="cjk"/>
              <w:numPr>
                <w:ilvl w:val="0"/>
                <w:numId w:val="17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規劃與管理防火牆</w:t>
            </w:r>
          </w:p>
        </w:tc>
        <w:tc>
          <w:tcPr>
            <w:tcW w:w="205" w:type="pct"/>
          </w:tcPr>
          <w:p w14:paraId="11E5A35C" w14:textId="2CB3BB37" w:rsidR="00AF4431" w:rsidRPr="005E2FD2" w:rsidRDefault="00E85413" w:rsidP="00181A97">
            <w:pPr>
              <w:pStyle w:val="TableParagraph"/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無經驗可</w:t>
            </w:r>
          </w:p>
        </w:tc>
        <w:tc>
          <w:tcPr>
            <w:tcW w:w="205" w:type="pct"/>
          </w:tcPr>
          <w:p w14:paraId="31B8C74E" w14:textId="080BF978" w:rsidR="00AF4431" w:rsidRPr="00444849" w:rsidRDefault="00E85413" w:rsidP="00181A97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18C2CEBC" w14:textId="77777777" w:rsidR="00AF4431" w:rsidRPr="00444849" w:rsidRDefault="00AF4431" w:rsidP="00181A97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4484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723" w:type="pct"/>
          </w:tcPr>
          <w:p w14:paraId="0481BC25" w14:textId="77777777" w:rsidR="00AF4431" w:rsidRDefault="00AF4431" w:rsidP="00181A97">
            <w:pPr>
              <w:pStyle w:val="a3"/>
              <w:numPr>
                <w:ilvl w:val="0"/>
                <w:numId w:val="37"/>
              </w:numPr>
              <w:snapToGrid w:val="0"/>
              <w:spacing w:line="30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E449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35ACE1B7" w14:textId="77777777" w:rsidR="00AF4431" w:rsidRDefault="00E85413" w:rsidP="00181A97">
            <w:pPr>
              <w:pStyle w:val="a3"/>
              <w:numPr>
                <w:ilvl w:val="0"/>
                <w:numId w:val="37"/>
              </w:numPr>
              <w:snapToGrid w:val="0"/>
              <w:spacing w:line="30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  <w:p w14:paraId="001B939D" w14:textId="15B26FA6" w:rsidR="00E85413" w:rsidRPr="002E4490" w:rsidRDefault="00E85413" w:rsidP="00181A97">
            <w:pPr>
              <w:pStyle w:val="a3"/>
              <w:numPr>
                <w:ilvl w:val="0"/>
                <w:numId w:val="37"/>
              </w:numPr>
              <w:snapToGrid w:val="0"/>
              <w:spacing w:line="30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薪資較低不具誘因</w:t>
            </w:r>
          </w:p>
        </w:tc>
        <w:tc>
          <w:tcPr>
            <w:tcW w:w="206" w:type="pct"/>
          </w:tcPr>
          <w:p w14:paraId="3CFA9C0B" w14:textId="6010336B" w:rsidR="00AF4431" w:rsidRPr="00D0095C" w:rsidRDefault="00E85413" w:rsidP="00181A97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15FB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>4</w:t>
            </w:r>
          </w:p>
        </w:tc>
      </w:tr>
      <w:tr w:rsidR="00E85413" w:rsidRPr="005E2FD2" w14:paraId="358E76C8" w14:textId="77777777" w:rsidTr="00181A97">
        <w:trPr>
          <w:trHeight w:val="97"/>
          <w:jc w:val="center"/>
        </w:trPr>
        <w:tc>
          <w:tcPr>
            <w:tcW w:w="586" w:type="pct"/>
          </w:tcPr>
          <w:p w14:paraId="5D83F018" w14:textId="46C5B7E4" w:rsidR="00E85413" w:rsidRPr="00444849" w:rsidRDefault="00E85413" w:rsidP="00181A97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6078">
              <w:rPr>
                <w:rFonts w:ascii="微軟正黑體" w:eastAsia="微軟正黑體" w:hAnsi="微軟正黑體" w:hint="eastAsia"/>
                <w:sz w:val="20"/>
                <w:szCs w:val="20"/>
              </w:rPr>
              <w:t>軟體設計工程師(080202)</w:t>
            </w:r>
          </w:p>
        </w:tc>
        <w:tc>
          <w:tcPr>
            <w:tcW w:w="755" w:type="pct"/>
          </w:tcPr>
          <w:p w14:paraId="299EC387" w14:textId="4E452086" w:rsidR="00E85413" w:rsidRPr="00444849" w:rsidRDefault="00E85413" w:rsidP="00181A9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專職與應用端的技術提供與對接，包括可行性評估、產品實際的問題排除、提供售後服務，以及對於客戶、其他部門或現場進行技術支援等</w:t>
            </w:r>
          </w:p>
        </w:tc>
        <w:tc>
          <w:tcPr>
            <w:tcW w:w="887" w:type="pct"/>
          </w:tcPr>
          <w:p w14:paraId="4ABFE0B8" w14:textId="77777777" w:rsidR="00E85413" w:rsidRDefault="00E85413" w:rsidP="00181A97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Pr="0063514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14:paraId="09A67459" w14:textId="77777777" w:rsidR="00E85413" w:rsidRDefault="00E85413" w:rsidP="00181A97">
            <w:pPr>
              <w:keepNext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軟體開發細學類</w:t>
            </w:r>
            <w:proofErr w:type="gramEnd"/>
            <w:r w:rsidRPr="00E85413">
              <w:rPr>
                <w:rFonts w:ascii="微軟正黑體" w:eastAsia="微軟正黑體" w:hAnsi="微軟正黑體" w:hint="eastAsia"/>
                <w:sz w:val="20"/>
                <w:szCs w:val="20"/>
              </w:rPr>
              <w:t>(06132)</w:t>
            </w:r>
          </w:p>
          <w:p w14:paraId="51CA33BA" w14:textId="77777777" w:rsidR="00E85413" w:rsidRDefault="00E85413" w:rsidP="00181A97">
            <w:pPr>
              <w:keepNext/>
              <w:snapToGrid w:val="0"/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14:paraId="145D3C0C" w14:textId="797826E9" w:rsidR="00E85413" w:rsidRPr="00D0095C" w:rsidRDefault="00E85413" w:rsidP="00181A97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E854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1228" w:type="pct"/>
          </w:tcPr>
          <w:p w14:paraId="5D4DDC1E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網路資料傳輸</w:t>
            </w:r>
          </w:p>
          <w:p w14:paraId="13E0F6F7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信號與系統設計</w:t>
            </w:r>
          </w:p>
          <w:p w14:paraId="3A52FAE1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無線通訊技術開發</w:t>
            </w:r>
          </w:p>
          <w:p w14:paraId="63FA22FB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資料通訊與網路應用</w:t>
            </w:r>
          </w:p>
          <w:p w14:paraId="0278DBFB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韌體程式設計與整合</w:t>
            </w:r>
          </w:p>
          <w:p w14:paraId="12989865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網路程式設計</w:t>
            </w:r>
          </w:p>
          <w:p w14:paraId="4FA22D43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軟體程式設計</w:t>
            </w:r>
          </w:p>
          <w:p w14:paraId="669966CC" w14:textId="77777777" w:rsidR="00E85413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網路程式設計</w:t>
            </w:r>
          </w:p>
          <w:p w14:paraId="51A22A7D" w14:textId="77777777" w:rsidR="00181A97" w:rsidRDefault="00E85413" w:rsidP="00181A97">
            <w:pPr>
              <w:pStyle w:val="cjk"/>
              <w:numPr>
                <w:ilvl w:val="0"/>
                <w:numId w:val="45"/>
              </w:numPr>
              <w:spacing w:after="0" w:line="300" w:lineRule="exact"/>
              <w:ind w:left="200" w:hangingChars="100" w:hanging="20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資料庫系統管理維護</w:t>
            </w:r>
          </w:p>
          <w:p w14:paraId="6B2E47B4" w14:textId="7E85FD27" w:rsidR="00E85413" w:rsidRPr="00181A97" w:rsidRDefault="00181A97" w:rsidP="00181A97">
            <w:pPr>
              <w:pStyle w:val="cjk"/>
              <w:spacing w:before="0" w:beforeAutospacing="0" w:after="0" w:line="30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10.</w:t>
            </w:r>
            <w:r w:rsidR="00E85413" w:rsidRPr="00181A97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網頁軟體操作</w:t>
            </w:r>
          </w:p>
          <w:p w14:paraId="4436A0BC" w14:textId="175F6769" w:rsidR="00E85413" w:rsidRDefault="00181A97" w:rsidP="00181A97">
            <w:pPr>
              <w:pStyle w:val="cjk"/>
              <w:spacing w:before="0" w:beforeAutospacing="0" w:after="0" w:line="30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11.</w:t>
            </w:r>
            <w:r w:rsidR="00E85413"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網頁語法撰寫</w:t>
            </w:r>
          </w:p>
          <w:p w14:paraId="032C9388" w14:textId="77777777" w:rsidR="00181A97" w:rsidRDefault="00181A97" w:rsidP="00181A97">
            <w:pPr>
              <w:pStyle w:val="cjk"/>
              <w:spacing w:before="0" w:beforeAutospacing="0" w:after="0" w:line="30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12.</w:t>
            </w:r>
            <w:r w:rsidR="00E85413"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功能測試</w:t>
            </w:r>
          </w:p>
          <w:p w14:paraId="7C26F3C0" w14:textId="468362DC" w:rsidR="00E85413" w:rsidRDefault="00181A97" w:rsidP="00181A97">
            <w:pPr>
              <w:pStyle w:val="cjk"/>
              <w:spacing w:before="0" w:beforeAutospacing="0" w:after="0" w:line="30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13.</w:t>
            </w:r>
            <w:r w:rsidR="00E85413"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使用者測試</w:t>
            </w:r>
          </w:p>
          <w:p w14:paraId="69FA8621" w14:textId="4381DC10" w:rsidR="00E85413" w:rsidRDefault="00181A97" w:rsidP="00181A97">
            <w:pPr>
              <w:pStyle w:val="cjk"/>
              <w:spacing w:before="0" w:beforeAutospacing="0" w:after="0" w:line="30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14.</w:t>
            </w:r>
            <w:r w:rsidR="00E85413"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問題追蹤處理</w:t>
            </w:r>
          </w:p>
          <w:p w14:paraId="29622474" w14:textId="365D437F" w:rsidR="00E85413" w:rsidRDefault="00181A97" w:rsidP="00181A97">
            <w:pPr>
              <w:pStyle w:val="cjk"/>
              <w:spacing w:before="0" w:beforeAutospacing="0" w:after="0" w:line="300" w:lineRule="exact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15.</w:t>
            </w:r>
            <w:r w:rsidR="00E85413"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測試環境建置規劃</w:t>
            </w:r>
          </w:p>
          <w:p w14:paraId="2BA5EF9B" w14:textId="385C1ACD" w:rsidR="00E85413" w:rsidRPr="00444849" w:rsidRDefault="00181A97" w:rsidP="00181A97">
            <w:pPr>
              <w:pStyle w:val="cjk"/>
              <w:spacing w:before="0" w:beforeAutospacing="0" w:after="0" w:line="300" w:lineRule="exact"/>
              <w:ind w:left="280" w:hangingChars="140" w:hanging="280"/>
              <w:rPr>
                <w:rFonts w:ascii="微軟正黑體" w:eastAsia="微軟正黑體" w:hAnsi="微軟正黑體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16.</w:t>
            </w:r>
            <w:r w:rsidR="00E85413" w:rsidRPr="00E85413">
              <w:rPr>
                <w:rFonts w:ascii="微軟正黑體" w:eastAsia="微軟正黑體" w:hAnsi="微軟正黑體" w:cstheme="minorBidi" w:hint="eastAsia"/>
                <w:color w:val="auto"/>
                <w:kern w:val="2"/>
                <w:sz w:val="20"/>
                <w:szCs w:val="20"/>
              </w:rPr>
              <w:t>測試計劃及測試報告書撰寫</w:t>
            </w:r>
          </w:p>
        </w:tc>
        <w:tc>
          <w:tcPr>
            <w:tcW w:w="205" w:type="pct"/>
          </w:tcPr>
          <w:p w14:paraId="17E5E50D" w14:textId="52ED46FA" w:rsidR="00E85413" w:rsidRPr="005E2FD2" w:rsidRDefault="00E85413" w:rsidP="00181A97">
            <w:pPr>
              <w:pStyle w:val="TableParagraph"/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無經驗可</w:t>
            </w:r>
          </w:p>
        </w:tc>
        <w:tc>
          <w:tcPr>
            <w:tcW w:w="205" w:type="pct"/>
          </w:tcPr>
          <w:p w14:paraId="6990F218" w14:textId="77192D22" w:rsidR="00E85413" w:rsidRPr="00444849" w:rsidRDefault="00E85413" w:rsidP="00181A97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5" w:type="pct"/>
          </w:tcPr>
          <w:p w14:paraId="78A482C5" w14:textId="77777777" w:rsidR="00E85413" w:rsidRPr="00444849" w:rsidRDefault="00E85413" w:rsidP="00181A97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4484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723" w:type="pct"/>
          </w:tcPr>
          <w:p w14:paraId="13552260" w14:textId="77777777" w:rsidR="00E85413" w:rsidRPr="00E85413" w:rsidRDefault="00E85413" w:rsidP="00181A97">
            <w:pPr>
              <w:pStyle w:val="a3"/>
              <w:numPr>
                <w:ilvl w:val="0"/>
                <w:numId w:val="27"/>
              </w:numPr>
              <w:snapToGrid w:val="0"/>
              <w:spacing w:line="30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在職人員技能或素質不符</w:t>
            </w:r>
          </w:p>
          <w:p w14:paraId="441480C3" w14:textId="77777777" w:rsidR="00E85413" w:rsidRPr="00E85413" w:rsidRDefault="00E85413" w:rsidP="00181A97">
            <w:pPr>
              <w:pStyle w:val="a3"/>
              <w:numPr>
                <w:ilvl w:val="0"/>
                <w:numId w:val="27"/>
              </w:numPr>
              <w:snapToGrid w:val="0"/>
              <w:spacing w:line="30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勞動條件不佳</w:t>
            </w:r>
          </w:p>
          <w:p w14:paraId="712EC063" w14:textId="619C820B" w:rsidR="00E85413" w:rsidRPr="00815FBB" w:rsidRDefault="00E85413" w:rsidP="00181A97">
            <w:pPr>
              <w:pStyle w:val="a3"/>
              <w:numPr>
                <w:ilvl w:val="0"/>
                <w:numId w:val="27"/>
              </w:numPr>
              <w:snapToGrid w:val="0"/>
              <w:spacing w:line="300" w:lineRule="exact"/>
              <w:ind w:leftChars="0" w:left="200" w:rightChars="-20" w:right="-48" w:hangingChars="100" w:hanging="20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8541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薪資較低不具誘因</w:t>
            </w:r>
          </w:p>
        </w:tc>
        <w:tc>
          <w:tcPr>
            <w:tcW w:w="206" w:type="pct"/>
          </w:tcPr>
          <w:p w14:paraId="299789CE" w14:textId="77777777" w:rsidR="00E85413" w:rsidRPr="00815FBB" w:rsidRDefault="00E85413" w:rsidP="00181A97">
            <w:pPr>
              <w:snapToGrid w:val="0"/>
              <w:spacing w:line="30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815FB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>4</w:t>
            </w:r>
          </w:p>
        </w:tc>
      </w:tr>
    </w:tbl>
    <w:p w14:paraId="1F842DD2" w14:textId="7914A73D" w:rsidR="00817165" w:rsidRDefault="00AF4431" w:rsidP="00595D45">
      <w:pPr>
        <w:keepNext/>
        <w:snapToGrid w:val="0"/>
        <w:spacing w:line="250" w:lineRule="exact"/>
        <w:ind w:leftChars="-225" w:left="-94" w:hangingChars="248" w:hanging="446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</w:t>
      </w:r>
      <w:r>
        <w:rPr>
          <w:rFonts w:ascii="微軟正黑體" w:eastAsia="微軟正黑體" w:hAnsi="微軟正黑體" w:hint="eastAsia"/>
          <w:sz w:val="18"/>
          <w:szCs w:val="18"/>
        </w:rPr>
        <w:t>1.</w:t>
      </w:r>
      <w:r w:rsidR="000E207B">
        <w:rPr>
          <w:rFonts w:ascii="微軟正黑體" w:eastAsia="微軟正黑體" w:hAnsi="微軟正黑體" w:hint="eastAsia"/>
          <w:sz w:val="18"/>
          <w:szCs w:val="18"/>
        </w:rPr>
        <w:t>欠缺人才職業係呈現部會調查、廠商反映之</w:t>
      </w:r>
      <w:r w:rsidR="00E10927">
        <w:rPr>
          <w:rFonts w:ascii="微軟正黑體" w:eastAsia="微軟正黑體" w:hAnsi="微軟正黑體" w:hint="eastAsia"/>
          <w:sz w:val="18"/>
          <w:szCs w:val="18"/>
        </w:rPr>
        <w:t>原始</w:t>
      </w:r>
      <w:r w:rsidR="000E207B">
        <w:rPr>
          <w:rFonts w:ascii="微軟正黑體" w:eastAsia="微軟正黑體" w:hAnsi="微軟正黑體" w:hint="eastAsia"/>
          <w:sz w:val="18"/>
          <w:szCs w:val="18"/>
        </w:rPr>
        <w:t>職缺名稱；代碼則係由部會參考勞動部</w:t>
      </w:r>
      <w:r w:rsidR="000E207B" w:rsidRPr="000E207B">
        <w:rPr>
          <w:rFonts w:ascii="微軟正黑體" w:eastAsia="微軟正黑體" w:hAnsi="微軟正黑體" w:hint="eastAsia"/>
          <w:sz w:val="18"/>
          <w:szCs w:val="18"/>
        </w:rPr>
        <w:t>勞動力發展署</w:t>
      </w:r>
      <w:r w:rsidR="00723F5E">
        <w:rPr>
          <w:rFonts w:ascii="微軟正黑體" w:eastAsia="微軟正黑體" w:hAnsi="微軟正黑體" w:hint="eastAsia"/>
          <w:sz w:val="18"/>
          <w:szCs w:val="18"/>
        </w:rPr>
        <w:t>「通俗職業分類」</w:t>
      </w:r>
      <w:r w:rsidR="000E207B">
        <w:rPr>
          <w:rFonts w:ascii="微軟正黑體" w:eastAsia="微軟正黑體" w:hAnsi="微軟正黑體" w:hint="eastAsia"/>
          <w:sz w:val="18"/>
          <w:szCs w:val="18"/>
        </w:rPr>
        <w:t>後</w:t>
      </w:r>
      <w:r w:rsidR="006729CB">
        <w:rPr>
          <w:rFonts w:ascii="微軟正黑體" w:eastAsia="微軟正黑體" w:hAnsi="微軟正黑體" w:hint="eastAsia"/>
          <w:sz w:val="18"/>
          <w:szCs w:val="18"/>
        </w:rPr>
        <w:t>，</w:t>
      </w:r>
      <w:r w:rsidR="00210B07">
        <w:rPr>
          <w:rFonts w:ascii="微軟正黑體" w:eastAsia="微軟正黑體" w:hAnsi="微軟正黑體" w:hint="eastAsia"/>
          <w:sz w:val="18"/>
          <w:szCs w:val="18"/>
        </w:rPr>
        <w:t>對應</w:t>
      </w:r>
      <w:r w:rsidR="000E207B" w:rsidRPr="000E207B">
        <w:rPr>
          <w:rFonts w:ascii="微軟正黑體" w:eastAsia="微軟正黑體" w:hAnsi="微軟正黑體" w:hint="eastAsia"/>
          <w:sz w:val="18"/>
          <w:szCs w:val="18"/>
        </w:rPr>
        <w:t>歸類</w:t>
      </w:r>
      <w:r w:rsidR="000E207B">
        <w:rPr>
          <w:rFonts w:ascii="微軟正黑體" w:eastAsia="微軟正黑體" w:hAnsi="微軟正黑體" w:hint="eastAsia"/>
          <w:sz w:val="18"/>
          <w:szCs w:val="18"/>
        </w:rPr>
        <w:t>而得。</w:t>
      </w:r>
    </w:p>
    <w:p w14:paraId="560D5281" w14:textId="11C1397C" w:rsidR="002B1305" w:rsidRDefault="000E207B" w:rsidP="008A2D89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2.學類</w:t>
      </w:r>
      <w:r w:rsidR="00AF4431">
        <w:rPr>
          <w:rFonts w:ascii="微軟正黑體" w:eastAsia="微軟正黑體" w:hAnsi="微軟正黑體" w:hint="eastAsia"/>
          <w:sz w:val="18"/>
          <w:szCs w:val="18"/>
        </w:rPr>
        <w:t>代碼</w:t>
      </w:r>
      <w:r>
        <w:rPr>
          <w:rFonts w:ascii="微軟正黑體" w:eastAsia="微軟正黑體" w:hAnsi="微軟正黑體" w:hint="eastAsia"/>
          <w:sz w:val="18"/>
          <w:szCs w:val="18"/>
        </w:rPr>
        <w:t>係</w:t>
      </w:r>
      <w:r w:rsidR="00AF4431">
        <w:rPr>
          <w:rFonts w:ascii="微軟正黑體" w:eastAsia="微軟正黑體" w:hAnsi="微軟正黑體" w:hint="eastAsia"/>
          <w:sz w:val="18"/>
          <w:szCs w:val="18"/>
        </w:rPr>
        <w:t>依據教育部</w:t>
      </w:r>
      <w:r w:rsidR="00AF4431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14:paraId="0E6A4492" w14:textId="3ED4A615" w:rsidR="002B1305" w:rsidRDefault="000E207B" w:rsidP="008A2D89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3</w:t>
      </w:r>
      <w:r w:rsidR="00AF4431">
        <w:rPr>
          <w:rFonts w:ascii="微軟正黑體" w:eastAsia="微軟正黑體" w:hAnsi="微軟正黑體" w:hint="eastAsia"/>
          <w:sz w:val="18"/>
          <w:szCs w:val="18"/>
        </w:rPr>
        <w:t>.基本學歷分為高中以下、大專、碩士以上；工作年資分為無經驗、2年以下、2-5年、5年以上。</w:t>
      </w:r>
    </w:p>
    <w:p w14:paraId="57CE9A63" w14:textId="28EA89E9" w:rsidR="00AF4431" w:rsidRPr="002B1305" w:rsidRDefault="000E207B" w:rsidP="008A2D89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kern w:val="0"/>
          <w:sz w:val="18"/>
        </w:rPr>
        <w:t>4</w:t>
      </w:r>
      <w:r w:rsidR="00AF4431">
        <w:rPr>
          <w:rFonts w:ascii="微軟正黑體" w:eastAsia="微軟正黑體" w:hAnsi="微軟正黑體" w:hint="eastAsia"/>
          <w:kern w:val="0"/>
          <w:sz w:val="18"/>
        </w:rPr>
        <w:t>.職能基準級別依據勞動部勞動力發展署</w:t>
      </w:r>
      <w:proofErr w:type="spellStart"/>
      <w:r w:rsidR="00AF4431"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 w:rsidR="00AF4431"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 w:rsidR="00AF4431"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 w:rsidR="00AF4431"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 w:rsidR="00AF4431"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 w:rsidR="00AF4431"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14:paraId="2C059A76" w14:textId="6DCE5DF6" w:rsidR="00707A89" w:rsidRDefault="00AF4431" w:rsidP="00AF4431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CC4444">
        <w:rPr>
          <w:rFonts w:ascii="微軟正黑體" w:eastAsia="微軟正黑體" w:hAnsi="微軟正黑體" w:hint="eastAsia"/>
          <w:sz w:val="18"/>
        </w:rPr>
        <w:t>來源：</w:t>
      </w:r>
      <w:r w:rsidR="004C7A7B">
        <w:rPr>
          <w:rFonts w:ascii="微軟正黑體" w:eastAsia="微軟正黑體" w:hAnsi="微軟正黑體" w:hint="eastAsia"/>
          <w:sz w:val="18"/>
        </w:rPr>
        <w:t>行政院農委會農試所</w:t>
      </w:r>
      <w:r>
        <w:rPr>
          <w:rFonts w:ascii="微軟正黑體" w:eastAsia="微軟正黑體" w:hAnsi="微軟正黑體" w:hint="eastAsia"/>
          <w:sz w:val="18"/>
          <w:szCs w:val="18"/>
        </w:rPr>
        <w:t>（</w:t>
      </w:r>
      <w:r w:rsidRPr="005912BD">
        <w:rPr>
          <w:rFonts w:ascii="微軟正黑體" w:eastAsia="微軟正黑體" w:hAnsi="微軟正黑體" w:hint="eastAsia"/>
          <w:sz w:val="18"/>
          <w:szCs w:val="18"/>
        </w:rPr>
        <w:t>20</w:t>
      </w:r>
      <w:r>
        <w:rPr>
          <w:rFonts w:ascii="微軟正黑體" w:eastAsia="微軟正黑體" w:hAnsi="微軟正黑體" w:hint="eastAsia"/>
          <w:sz w:val="18"/>
          <w:szCs w:val="18"/>
        </w:rPr>
        <w:t>2</w:t>
      </w:r>
      <w:r w:rsidR="000E207B">
        <w:rPr>
          <w:rFonts w:ascii="微軟正黑體" w:eastAsia="微軟正黑體" w:hAnsi="微軟正黑體" w:hint="eastAsia"/>
          <w:sz w:val="18"/>
          <w:szCs w:val="18"/>
        </w:rPr>
        <w:t>1</w:t>
      </w:r>
      <w:r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6E037A2E" w14:textId="77777777" w:rsidR="00AF4431" w:rsidRPr="00707A89" w:rsidRDefault="00707A89" w:rsidP="00707A89">
      <w:pPr>
        <w:widowControl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14:paraId="16732455" w14:textId="77777777" w:rsidR="00AF4431" w:rsidRPr="00CC4444" w:rsidRDefault="00AF4431" w:rsidP="00AF4431">
      <w:pPr>
        <w:pStyle w:val="aff3"/>
      </w:pPr>
      <w:r w:rsidRPr="00CC4444">
        <w:rPr>
          <w:rFonts w:hint="eastAsia"/>
        </w:rPr>
        <w:lastRenderedPageBreak/>
        <w:t>五、</w:t>
      </w:r>
      <w:r>
        <w:rPr>
          <w:rFonts w:hint="eastAsia"/>
        </w:rPr>
        <w:t>跨部會人才協商議題</w:t>
      </w:r>
    </w:p>
    <w:p w14:paraId="5A45A0D3" w14:textId="77777777" w:rsidR="00AF4431" w:rsidRDefault="00AF4431" w:rsidP="000F14D7">
      <w:pPr>
        <w:pStyle w:val="af3"/>
        <w:snapToGrid w:val="0"/>
        <w:spacing w:beforeLines="30" w:before="108" w:afterLines="30" w:after="108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D189A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出需跨部會協商解決之人才問題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4966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1184"/>
      </w:tblGrid>
      <w:tr w:rsidR="00AF4431" w:rsidRPr="005E2FD2" w14:paraId="2937F66E" w14:textId="77777777" w:rsidTr="00A24216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EE"/>
            <w:vAlign w:val="center"/>
            <w:hideMark/>
          </w:tcPr>
          <w:p w14:paraId="3C37B796" w14:textId="77777777" w:rsidR="00AF4431" w:rsidRDefault="00AF4431" w:rsidP="00271EAB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需跨部會協商解決之人才問題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EE"/>
            <w:vAlign w:val="center"/>
            <w:hideMark/>
          </w:tcPr>
          <w:p w14:paraId="408AD5C6" w14:textId="77777777" w:rsidR="00AF4431" w:rsidRDefault="00AF4431" w:rsidP="00271EAB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涉及之部會</w:t>
            </w:r>
          </w:p>
        </w:tc>
      </w:tr>
      <w:tr w:rsidR="00AF4431" w:rsidRPr="005E2FD2" w14:paraId="723B1FD3" w14:textId="77777777" w:rsidTr="00271EAB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F1B" w14:textId="5121872E" w:rsidR="00932C73" w:rsidRPr="00932C73" w:rsidRDefault="00932C73" w:rsidP="00932C73">
            <w:pPr>
              <w:pStyle w:val="a3"/>
              <w:numPr>
                <w:ilvl w:val="0"/>
                <w:numId w:val="46"/>
              </w:numPr>
              <w:snapToGrid w:val="0"/>
              <w:spacing w:line="27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生產面面臨缺工及人力老化問題，具有資訊軟體之人才對於農業的工作環境認知上有落差，人員無法適應農業之工作環境。資通訊及工程領域背景的人才，對農業知識的不足，使得產學知識落差大，難以招收符合業界需求之專業人才。</w:t>
            </w:r>
          </w:p>
          <w:p w14:paraId="0C8821CE" w14:textId="77777777" w:rsidR="00932C73" w:rsidRDefault="00932C73" w:rsidP="00932C73">
            <w:pPr>
              <w:pStyle w:val="a3"/>
              <w:numPr>
                <w:ilvl w:val="0"/>
                <w:numId w:val="46"/>
              </w:numPr>
              <w:snapToGrid w:val="0"/>
              <w:spacing w:line="27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需增加農業專業、推廣教師員額，並</w:t>
            </w:r>
            <w:proofErr w:type="gramStart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研</w:t>
            </w:r>
            <w:proofErr w:type="gramEnd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議教師與農委會</w:t>
            </w:r>
            <w:proofErr w:type="gramStart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合聘及公</w:t>
            </w:r>
            <w:proofErr w:type="gramEnd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/教職等待遇轉換制度，共同解決研究教學人才斷層問題。</w:t>
            </w:r>
          </w:p>
          <w:p w14:paraId="62F5AA35" w14:textId="5F319759" w:rsidR="00AF4431" w:rsidRPr="00932C73" w:rsidRDefault="00932C73" w:rsidP="00932C73">
            <w:pPr>
              <w:pStyle w:val="a3"/>
              <w:numPr>
                <w:ilvl w:val="0"/>
                <w:numId w:val="46"/>
              </w:numPr>
              <w:snapToGrid w:val="0"/>
              <w:spacing w:line="27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共同強化農業教育推廣合作機制，增加領導人才碩士專班名額，深化農學教育對接農民輔導體系，激化大學農業推廣中心功能。建立產學合作中心或是相關產學合作計畫，以及根據不同職務面向提供培訓課程及相關證照之考核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966" w14:textId="1F2E04D8" w:rsidR="00AF4431" w:rsidRDefault="00AF4431" w:rsidP="00271EA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教育部</w:t>
            </w:r>
          </w:p>
          <w:p w14:paraId="437C9F1F" w14:textId="17560947" w:rsidR="006201D3" w:rsidRDefault="006201D3" w:rsidP="00271EA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農委會</w:t>
            </w:r>
          </w:p>
          <w:p w14:paraId="2D834A67" w14:textId="77777777" w:rsidR="00932C73" w:rsidRPr="00932C73" w:rsidRDefault="00932C73" w:rsidP="00932C7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勞動部</w:t>
            </w:r>
          </w:p>
          <w:p w14:paraId="058FA1B4" w14:textId="20CA1F45" w:rsidR="00932C73" w:rsidRPr="00320859" w:rsidRDefault="00932C73" w:rsidP="00932C73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科技部</w:t>
            </w:r>
          </w:p>
        </w:tc>
      </w:tr>
      <w:tr w:rsidR="00AF4431" w:rsidRPr="005E2FD2" w14:paraId="7A1281C3" w14:textId="77777777" w:rsidTr="00271EAB">
        <w:trPr>
          <w:trHeight w:val="139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CA6" w14:textId="4BF129E9" w:rsidR="00AF4431" w:rsidRPr="00932C73" w:rsidRDefault="00932C73" w:rsidP="00271EA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智慧農業的推動，其重點著重於資訊分析與應用，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</w:t>
            </w: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農民了解資訊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如何</w:t>
            </w: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使用，是智慧農業發展的關鍵環節，準確的了解需求，才能開發解決農民問題的設備，因此應培養能與農業和資訊產業雙向溝通之人才。隨著5G的發展，AR技術與AI邊緣計算的結合，將帶動農業未來的走向，如5G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4K超高</w:t>
            </w:r>
            <w:proofErr w:type="gramStart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清晰攝影機</w:t>
            </w:r>
            <w:proofErr w:type="gramEnd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用於病害防治；5G自走車用於</w:t>
            </w:r>
            <w:proofErr w:type="gramStart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果、套袋或授粉，因此相關技術產品開發人才也是未來的需求。共同培育農業科技解題人才，成立農業科技解題聯盟，並檢討前瞻與基礎類計畫之平衡性。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420" w14:textId="5AAEB12C" w:rsidR="00AF4431" w:rsidRDefault="00AF4431" w:rsidP="00271EA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教育部</w:t>
            </w:r>
          </w:p>
          <w:p w14:paraId="7ACFD0A7" w14:textId="71ED648A" w:rsidR="006201D3" w:rsidRDefault="006201D3" w:rsidP="00271EA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農委會</w:t>
            </w:r>
          </w:p>
          <w:p w14:paraId="0DF7E4D5" w14:textId="798C43C6" w:rsidR="00932C73" w:rsidRPr="00FB7DDC" w:rsidRDefault="00932C73" w:rsidP="00271EA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科技部</w:t>
            </w:r>
          </w:p>
        </w:tc>
      </w:tr>
      <w:tr w:rsidR="00932C73" w:rsidRPr="005E2FD2" w14:paraId="31B439B4" w14:textId="77777777" w:rsidTr="00271EAB">
        <w:trPr>
          <w:trHeight w:val="139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239" w14:textId="54D2AEB6" w:rsidR="00932C73" w:rsidRPr="00932C73" w:rsidRDefault="00932C73" w:rsidP="00271EAB">
            <w:pPr>
              <w:pStyle w:val="a3"/>
              <w:snapToGrid w:val="0"/>
              <w:spacing w:line="270" w:lineRule="exact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智慧農業產業相較其他產業的智慧科技人才薪資上的落差，也影響智慧農業人才的招募。</w:t>
            </w:r>
            <w:proofErr w:type="gramStart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此外，</w:t>
            </w:r>
            <w:r w:rsidR="0066057E"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具</w:t>
            </w: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資</w:t>
            </w:r>
            <w:proofErr w:type="gramEnd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通訊及工程領域背景較仍偏好</w:t>
            </w:r>
            <w:r w:rsidR="0066057E">
              <w:rPr>
                <w:rFonts w:ascii="微軟正黑體" w:eastAsia="微軟正黑體" w:hAnsi="微軟正黑體" w:hint="eastAsia"/>
                <w:sz w:val="20"/>
                <w:szCs w:val="20"/>
              </w:rPr>
              <w:t>工業</w:t>
            </w:r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領域，就算業者提供薪資達到同等水平也常受限於工作環境較屬鄉下</w:t>
            </w:r>
            <w:proofErr w:type="gramStart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難以攬才</w:t>
            </w:r>
            <w:proofErr w:type="gramEnd"/>
            <w:r w:rsidRPr="00932C73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8B5" w14:textId="77777777" w:rsidR="00932C73" w:rsidRDefault="00932C73" w:rsidP="00271EA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經濟部</w:t>
            </w:r>
          </w:p>
          <w:p w14:paraId="44ACD9AB" w14:textId="77777777" w:rsidR="00932C73" w:rsidRDefault="00932C73" w:rsidP="00271EA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勞動部</w:t>
            </w:r>
          </w:p>
          <w:p w14:paraId="5201FF84" w14:textId="58DDCEA3" w:rsidR="006201D3" w:rsidRDefault="006201D3" w:rsidP="00271EAB">
            <w:pPr>
              <w:pStyle w:val="a3"/>
              <w:widowControl/>
              <w:suppressAutoHyphens/>
              <w:snapToGrid w:val="0"/>
              <w:spacing w:line="270" w:lineRule="exact"/>
              <w:ind w:leftChars="0" w:left="0" w:right="119"/>
              <w:jc w:val="both"/>
              <w:textAlignment w:val="baselin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農委會</w:t>
            </w:r>
          </w:p>
        </w:tc>
      </w:tr>
    </w:tbl>
    <w:p w14:paraId="3309137F" w14:textId="7BD9E298" w:rsidR="0081090A" w:rsidRPr="0091398C" w:rsidRDefault="00AF4431" w:rsidP="0091398C">
      <w:pPr>
        <w:snapToGrid w:val="0"/>
        <w:spacing w:line="250" w:lineRule="exact"/>
        <w:ind w:left="1276" w:hangingChars="709" w:hanging="1276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2D003D">
        <w:rPr>
          <w:rFonts w:ascii="微軟正黑體" w:eastAsia="微軟正黑體" w:hAnsi="微軟正黑體" w:hint="eastAsia"/>
          <w:sz w:val="18"/>
          <w:szCs w:val="18"/>
        </w:rPr>
        <w:t>行政院</w:t>
      </w:r>
      <w:r w:rsidR="00447904">
        <w:rPr>
          <w:rFonts w:ascii="微軟正黑體" w:eastAsia="微軟正黑體" w:hAnsi="微軟正黑體" w:hint="eastAsia"/>
          <w:sz w:val="18"/>
          <w:szCs w:val="18"/>
        </w:rPr>
        <w:t>農委會農試所</w:t>
      </w:r>
      <w:r>
        <w:rPr>
          <w:rFonts w:ascii="微軟正黑體" w:eastAsia="微軟正黑體" w:hAnsi="微軟正黑體" w:hint="eastAsia"/>
          <w:sz w:val="18"/>
          <w:szCs w:val="18"/>
        </w:rPr>
        <w:t>（</w:t>
      </w:r>
      <w:r w:rsidRPr="005912BD">
        <w:rPr>
          <w:rFonts w:ascii="微軟正黑體" w:eastAsia="微軟正黑體" w:hAnsi="微軟正黑體" w:hint="eastAsia"/>
          <w:sz w:val="18"/>
          <w:szCs w:val="18"/>
        </w:rPr>
        <w:t>20</w:t>
      </w:r>
      <w:r>
        <w:rPr>
          <w:rFonts w:ascii="微軟正黑體" w:eastAsia="微軟正黑體" w:hAnsi="微軟正黑體" w:hint="eastAsia"/>
          <w:sz w:val="18"/>
          <w:szCs w:val="18"/>
        </w:rPr>
        <w:t>2</w:t>
      </w:r>
      <w:r w:rsidR="00447904">
        <w:rPr>
          <w:rFonts w:ascii="微軟正黑體" w:eastAsia="微軟正黑體" w:hAnsi="微軟正黑體" w:hint="eastAsia"/>
          <w:sz w:val="18"/>
          <w:szCs w:val="18"/>
        </w:rPr>
        <w:t>1</w:t>
      </w:r>
      <w:r>
        <w:rPr>
          <w:rFonts w:ascii="微軟正黑體" w:eastAsia="微軟正黑體" w:hAnsi="微軟正黑體" w:hint="eastAsia"/>
          <w:sz w:val="18"/>
          <w:szCs w:val="18"/>
        </w:rPr>
        <w:t>）</w:t>
      </w:r>
      <w:r w:rsidRPr="005912BD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1090A" w:rsidRPr="0091398C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65BC" w14:textId="77777777" w:rsidR="00AF4431" w:rsidRDefault="00AF4431" w:rsidP="00AF4431">
      <w:r>
        <w:separator/>
      </w:r>
    </w:p>
  </w:endnote>
  <w:endnote w:type="continuationSeparator" w:id="0">
    <w:p w14:paraId="22FC2A14" w14:textId="77777777" w:rsidR="00AF4431" w:rsidRDefault="00AF4431" w:rsidP="00AF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28569"/>
      <w:docPartObj>
        <w:docPartGallery w:val="Page Numbers (Bottom of Page)"/>
        <w:docPartUnique/>
      </w:docPartObj>
    </w:sdtPr>
    <w:sdtEndPr/>
    <w:sdtContent>
      <w:p w14:paraId="41895DAE" w14:textId="77777777" w:rsidR="00AF4431" w:rsidRDefault="00AF44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89" w:rsidRPr="00707A89">
          <w:rPr>
            <w:noProof/>
            <w:lang w:val="zh-TW"/>
          </w:rPr>
          <w:t>5</w:t>
        </w:r>
        <w:r>
          <w:fldChar w:fldCharType="end"/>
        </w:r>
      </w:p>
    </w:sdtContent>
  </w:sdt>
  <w:p w14:paraId="4DDBC09D" w14:textId="77777777" w:rsidR="00AF4431" w:rsidRDefault="00AF44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BA23" w14:textId="77777777" w:rsidR="00AF4431" w:rsidRDefault="00AF4431" w:rsidP="00AF4431">
      <w:r>
        <w:separator/>
      </w:r>
    </w:p>
  </w:footnote>
  <w:footnote w:type="continuationSeparator" w:id="0">
    <w:p w14:paraId="1BC804D0" w14:textId="77777777" w:rsidR="00AF4431" w:rsidRDefault="00AF4431" w:rsidP="00AF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048"/>
    <w:multiLevelType w:val="hybridMultilevel"/>
    <w:tmpl w:val="EC5620E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73D47"/>
    <w:multiLevelType w:val="hybridMultilevel"/>
    <w:tmpl w:val="78445596"/>
    <w:lvl w:ilvl="0" w:tplc="F29839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" w15:restartNumberingAfterBreak="0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B0D99"/>
    <w:multiLevelType w:val="hybridMultilevel"/>
    <w:tmpl w:val="537C3C62"/>
    <w:lvl w:ilvl="0" w:tplc="3362957C">
      <w:start w:val="1"/>
      <w:numFmt w:val="decimal"/>
      <w:lvlText w:val="%1."/>
      <w:lvlJc w:val="left"/>
      <w:pPr>
        <w:ind w:left="170" w:hanging="2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8" w15:restartNumberingAfterBreak="0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 w15:restartNumberingAfterBreak="0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 w15:restartNumberingAfterBreak="0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5" w15:restartNumberingAfterBreak="0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 w15:restartNumberingAfterBreak="0">
    <w:nsid w:val="240C118B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8" w15:restartNumberingAfterBreak="0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2" w15:restartNumberingAfterBreak="0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5" w15:restartNumberingAfterBreak="0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6" w15:restartNumberingAfterBreak="0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8" w15:restartNumberingAfterBreak="0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2" w15:restartNumberingAfterBreak="0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3" w15:restartNumberingAfterBreak="0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4" w15:restartNumberingAfterBreak="0">
    <w:nsid w:val="50B73123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267855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7" w15:restartNumberingAfterBreak="0">
    <w:nsid w:val="54591BA1"/>
    <w:multiLevelType w:val="hybridMultilevel"/>
    <w:tmpl w:val="78445596"/>
    <w:lvl w:ilvl="0" w:tplc="F298397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38" w15:restartNumberingAfterBreak="0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0" w15:restartNumberingAfterBreak="0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2" w15:restartNumberingAfterBreak="0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3" w15:restartNumberingAfterBreak="0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 w15:restartNumberingAfterBreak="0">
    <w:nsid w:val="704A1F32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5" w15:restartNumberingAfterBreak="0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26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23"/>
  </w:num>
  <w:num w:numId="8">
    <w:abstractNumId w:val="5"/>
  </w:num>
  <w:num w:numId="9">
    <w:abstractNumId w:val="38"/>
  </w:num>
  <w:num w:numId="10">
    <w:abstractNumId w:val="28"/>
  </w:num>
  <w:num w:numId="11">
    <w:abstractNumId w:val="20"/>
  </w:num>
  <w:num w:numId="12">
    <w:abstractNumId w:val="11"/>
  </w:num>
  <w:num w:numId="13">
    <w:abstractNumId w:val="45"/>
  </w:num>
  <w:num w:numId="14">
    <w:abstractNumId w:val="22"/>
  </w:num>
  <w:num w:numId="15">
    <w:abstractNumId w:val="2"/>
  </w:num>
  <w:num w:numId="16">
    <w:abstractNumId w:val="8"/>
  </w:num>
  <w:num w:numId="17">
    <w:abstractNumId w:val="30"/>
  </w:num>
  <w:num w:numId="18">
    <w:abstractNumId w:val="40"/>
  </w:num>
  <w:num w:numId="19">
    <w:abstractNumId w:val="36"/>
  </w:num>
  <w:num w:numId="20">
    <w:abstractNumId w:val="24"/>
  </w:num>
  <w:num w:numId="21">
    <w:abstractNumId w:val="41"/>
  </w:num>
  <w:num w:numId="22">
    <w:abstractNumId w:val="10"/>
  </w:num>
  <w:num w:numId="23">
    <w:abstractNumId w:val="39"/>
  </w:num>
  <w:num w:numId="24">
    <w:abstractNumId w:val="13"/>
  </w:num>
  <w:num w:numId="25">
    <w:abstractNumId w:val="17"/>
  </w:num>
  <w:num w:numId="26">
    <w:abstractNumId w:val="15"/>
  </w:num>
  <w:num w:numId="27">
    <w:abstractNumId w:val="14"/>
  </w:num>
  <w:num w:numId="28">
    <w:abstractNumId w:val="25"/>
  </w:num>
  <w:num w:numId="29">
    <w:abstractNumId w:val="32"/>
  </w:num>
  <w:num w:numId="30">
    <w:abstractNumId w:val="27"/>
  </w:num>
  <w:num w:numId="31">
    <w:abstractNumId w:val="21"/>
  </w:num>
  <w:num w:numId="32">
    <w:abstractNumId w:val="33"/>
  </w:num>
  <w:num w:numId="33">
    <w:abstractNumId w:val="31"/>
  </w:num>
  <w:num w:numId="34">
    <w:abstractNumId w:val="42"/>
  </w:num>
  <w:num w:numId="35">
    <w:abstractNumId w:val="18"/>
  </w:num>
  <w:num w:numId="36">
    <w:abstractNumId w:val="7"/>
  </w:num>
  <w:num w:numId="37">
    <w:abstractNumId w:val="29"/>
  </w:num>
  <w:num w:numId="38">
    <w:abstractNumId w:val="19"/>
  </w:num>
  <w:num w:numId="39">
    <w:abstractNumId w:val="16"/>
  </w:num>
  <w:num w:numId="40">
    <w:abstractNumId w:val="44"/>
  </w:num>
  <w:num w:numId="41">
    <w:abstractNumId w:val="35"/>
  </w:num>
  <w:num w:numId="42">
    <w:abstractNumId w:val="0"/>
  </w:num>
  <w:num w:numId="43">
    <w:abstractNumId w:val="37"/>
  </w:num>
  <w:num w:numId="44">
    <w:abstractNumId w:val="3"/>
  </w:num>
  <w:num w:numId="45">
    <w:abstractNumId w:val="34"/>
  </w:num>
  <w:num w:numId="4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31"/>
    <w:rsid w:val="00092658"/>
    <w:rsid w:val="000E207B"/>
    <w:rsid w:val="000F14D7"/>
    <w:rsid w:val="00181A97"/>
    <w:rsid w:val="00190D3C"/>
    <w:rsid w:val="00210B07"/>
    <w:rsid w:val="00257243"/>
    <w:rsid w:val="002644F1"/>
    <w:rsid w:val="002B1305"/>
    <w:rsid w:val="002D003D"/>
    <w:rsid w:val="002F1C36"/>
    <w:rsid w:val="002F3EDE"/>
    <w:rsid w:val="003040AB"/>
    <w:rsid w:val="003C7420"/>
    <w:rsid w:val="00447904"/>
    <w:rsid w:val="00495586"/>
    <w:rsid w:val="004A5A61"/>
    <w:rsid w:val="004B6211"/>
    <w:rsid w:val="004C7A7B"/>
    <w:rsid w:val="004E32BF"/>
    <w:rsid w:val="0051042D"/>
    <w:rsid w:val="00532DD6"/>
    <w:rsid w:val="00595D45"/>
    <w:rsid w:val="005F4599"/>
    <w:rsid w:val="006201D3"/>
    <w:rsid w:val="0066057E"/>
    <w:rsid w:val="006729CB"/>
    <w:rsid w:val="00683753"/>
    <w:rsid w:val="00707A89"/>
    <w:rsid w:val="00723F5E"/>
    <w:rsid w:val="00737217"/>
    <w:rsid w:val="007D24AF"/>
    <w:rsid w:val="007E46D9"/>
    <w:rsid w:val="008032CF"/>
    <w:rsid w:val="0081090A"/>
    <w:rsid w:val="00817165"/>
    <w:rsid w:val="00822845"/>
    <w:rsid w:val="008A2D89"/>
    <w:rsid w:val="0091398C"/>
    <w:rsid w:val="00932C73"/>
    <w:rsid w:val="00986078"/>
    <w:rsid w:val="009A27BB"/>
    <w:rsid w:val="00A14740"/>
    <w:rsid w:val="00A24216"/>
    <w:rsid w:val="00A3342B"/>
    <w:rsid w:val="00A42AF0"/>
    <w:rsid w:val="00AF4431"/>
    <w:rsid w:val="00B348C9"/>
    <w:rsid w:val="00B91EFE"/>
    <w:rsid w:val="00BA2D8E"/>
    <w:rsid w:val="00BB190A"/>
    <w:rsid w:val="00C826C9"/>
    <w:rsid w:val="00D00062"/>
    <w:rsid w:val="00E10927"/>
    <w:rsid w:val="00E11E4E"/>
    <w:rsid w:val="00E67024"/>
    <w:rsid w:val="00E77F94"/>
    <w:rsid w:val="00E85413"/>
    <w:rsid w:val="00EA30B1"/>
    <w:rsid w:val="00EB10F4"/>
    <w:rsid w:val="00EB31D8"/>
    <w:rsid w:val="00F23EDB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D51199"/>
  <w15:docId w15:val="{C32F8AD0-111E-4E02-B32D-33053DD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44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44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F443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AF4431"/>
  </w:style>
  <w:style w:type="table" w:styleId="a5">
    <w:name w:val="Table Grid"/>
    <w:basedOn w:val="a1"/>
    <w:uiPriority w:val="59"/>
    <w:rsid w:val="00AF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44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4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443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4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4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AF4431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AF4431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AF443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AF4431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AF4431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F4431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AF443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F4431"/>
    <w:rPr>
      <w:vertAlign w:val="superscript"/>
    </w:rPr>
  </w:style>
  <w:style w:type="character" w:styleId="af">
    <w:name w:val="Hyperlink"/>
    <w:basedOn w:val="a0"/>
    <w:uiPriority w:val="99"/>
    <w:unhideWhenUsed/>
    <w:rsid w:val="00AF4431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AF4431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F4431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AF4431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AF4431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AF4431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AF4431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AF4431"/>
  </w:style>
  <w:style w:type="paragraph" w:styleId="Web">
    <w:name w:val="Normal (Web)"/>
    <w:basedOn w:val="a"/>
    <w:uiPriority w:val="99"/>
    <w:unhideWhenUsed/>
    <w:rsid w:val="00AF4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AF443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F4431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F4431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AF4431"/>
    <w:pPr>
      <w:ind w:leftChars="400" w:left="960"/>
    </w:pPr>
  </w:style>
  <w:style w:type="character" w:styleId="af7">
    <w:name w:val="annotation reference"/>
    <w:basedOn w:val="a0"/>
    <w:uiPriority w:val="99"/>
    <w:semiHidden/>
    <w:unhideWhenUsed/>
    <w:rsid w:val="00AF443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F4431"/>
  </w:style>
  <w:style w:type="character" w:customStyle="1" w:styleId="af9">
    <w:name w:val="註解文字 字元"/>
    <w:basedOn w:val="a0"/>
    <w:link w:val="af8"/>
    <w:uiPriority w:val="99"/>
    <w:semiHidden/>
    <w:rsid w:val="00AF443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F4431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AF4431"/>
    <w:rPr>
      <w:b/>
      <w:bCs/>
    </w:rPr>
  </w:style>
  <w:style w:type="paragraph" w:customStyle="1" w:styleId="afc">
    <w:name w:val="資料來源"/>
    <w:basedOn w:val="a"/>
    <w:link w:val="afd"/>
    <w:autoRedefine/>
    <w:rsid w:val="00AF4431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AF4431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AF443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AF4431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AF443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AF4431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AF4431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AF4431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AF4431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AF4431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AF4431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F44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F44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AF4431"/>
    <w:pPr>
      <w:ind w:leftChars="400" w:left="400" w:hangingChars="200" w:hanging="200"/>
    </w:pPr>
  </w:style>
  <w:style w:type="paragraph" w:customStyle="1" w:styleId="Standard">
    <w:name w:val="Standard"/>
    <w:rsid w:val="00AF4431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AF4431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AF4431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吳彥緯</dc:creator>
  <cp:lastModifiedBy>吳彥緯</cp:lastModifiedBy>
  <cp:revision>57</cp:revision>
  <dcterms:created xsi:type="dcterms:W3CDTF">2021-03-29T03:23:00Z</dcterms:created>
  <dcterms:modified xsi:type="dcterms:W3CDTF">2022-04-18T08:54:00Z</dcterms:modified>
</cp:coreProperties>
</file>