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F9" w:rsidRPr="009D0F91" w:rsidRDefault="00DE58F9" w:rsidP="00DE58F9">
      <w:pPr>
        <w:rPr>
          <w:rFonts w:ascii="Calibri" w:eastAsia="標楷體" w:hAnsi="Calibri" w:cs="Times New Roman"/>
          <w:b/>
          <w:sz w:val="27"/>
        </w:rPr>
      </w:pPr>
      <w:r w:rsidRPr="009D0F91">
        <w:rPr>
          <w:rFonts w:ascii="Calibri" w:eastAsia="新細明體" w:hAnsi="Calibri" w:cs="Times New Roman"/>
          <w:noProof/>
        </w:rPr>
        <w:drawing>
          <wp:inline distT="0" distB="0" distL="0" distR="0" wp14:anchorId="33C392D4" wp14:editId="70E4984B">
            <wp:extent cx="1132609" cy="226097"/>
            <wp:effectExtent l="0" t="0" r="0" b="254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國發會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3977" cy="268291"/>
                    </a:xfrm>
                    <a:prstGeom prst="rect">
                      <a:avLst/>
                    </a:prstGeom>
                  </pic:spPr>
                </pic:pic>
              </a:graphicData>
            </a:graphic>
          </wp:inline>
        </w:drawing>
      </w:r>
    </w:p>
    <w:p w:rsidR="00DE58F9" w:rsidRPr="009D0F91" w:rsidRDefault="00DE58F9" w:rsidP="00DE58F9">
      <w:pPr>
        <w:spacing w:line="520" w:lineRule="exact"/>
        <w:jc w:val="center"/>
        <w:rPr>
          <w:rFonts w:ascii="Calibri" w:eastAsia="標楷體" w:hAnsi="Calibri" w:cs="Times New Roman"/>
          <w:b/>
          <w:bCs/>
          <w:sz w:val="36"/>
          <w:szCs w:val="36"/>
        </w:rPr>
      </w:pPr>
      <w:r w:rsidRPr="009D0F91">
        <w:rPr>
          <w:rFonts w:ascii="Calibri" w:eastAsia="標楷體" w:hAnsi="Calibri" w:cs="Times New Roman" w:hint="eastAsia"/>
          <w:b/>
          <w:bCs/>
          <w:noProof/>
          <w:sz w:val="36"/>
          <w:szCs w:val="36"/>
        </w:rPr>
        <mc:AlternateContent>
          <mc:Choice Requires="wps">
            <w:drawing>
              <wp:anchor distT="0" distB="0" distL="114300" distR="114300" simplePos="0" relativeHeight="251660288" behindDoc="0" locked="0" layoutInCell="1" allowOverlap="1" wp14:anchorId="0CB367D1" wp14:editId="59A2660F">
                <wp:simplePos x="0" y="0"/>
                <wp:positionH relativeFrom="margin">
                  <wp:align>right</wp:align>
                </wp:positionH>
                <wp:positionV relativeFrom="paragraph">
                  <wp:posOffset>-349885</wp:posOffset>
                </wp:positionV>
                <wp:extent cx="800100" cy="3429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8F9" w:rsidRPr="00896F96" w:rsidRDefault="00DE58F9" w:rsidP="00DE58F9">
                            <w:pPr>
                              <w:spacing w:line="280" w:lineRule="exact"/>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8pt;margin-top:-27.55pt;width:63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" stroked="f">
                <v:textbox>
                  <w:txbxContent>
                    <w:p w:rsidR="00DE58F9" w:rsidRPr="00896F96" w:rsidRDefault="00DE58F9" w:rsidP="00DE58F9">
                      <w:pPr>
                        <w:spacing w:line="280" w:lineRule="exact"/>
                        <w:rPr>
                          <w:sz w:val="32"/>
                          <w:szCs w:val="32"/>
                        </w:rPr>
                      </w:pPr>
                    </w:p>
                  </w:txbxContent>
                </v:textbox>
                <w10:wrap anchorx="margin"/>
              </v:shape>
            </w:pict>
          </mc:Fallback>
        </mc:AlternateContent>
      </w:r>
      <w:r w:rsidRPr="009D0F91">
        <w:rPr>
          <w:rFonts w:ascii="Calibri" w:eastAsia="標楷體" w:hAnsi="Calibri" w:cs="Times New Roman" w:hint="eastAsia"/>
          <w:b/>
          <w:bCs/>
          <w:sz w:val="36"/>
          <w:szCs w:val="36"/>
        </w:rPr>
        <w:t>國家發展</w:t>
      </w:r>
      <w:r w:rsidRPr="009D0F91">
        <w:rPr>
          <w:rFonts w:ascii="Calibri" w:eastAsia="標楷體" w:hAnsi="Calibri" w:cs="Times New Roman"/>
          <w:b/>
          <w:bCs/>
          <w:sz w:val="36"/>
          <w:szCs w:val="36"/>
        </w:rPr>
        <w:t>委員會</w:t>
      </w:r>
      <w:r w:rsidRPr="009D0F91">
        <w:rPr>
          <w:rFonts w:ascii="Calibri" w:eastAsia="標楷體" w:hAnsi="Calibri" w:cs="Times New Roman"/>
          <w:b/>
          <w:bCs/>
          <w:sz w:val="36"/>
          <w:szCs w:val="36"/>
        </w:rPr>
        <w:t xml:space="preserve"> </w:t>
      </w:r>
      <w:r w:rsidRPr="009D0F91">
        <w:rPr>
          <w:rFonts w:ascii="Calibri" w:eastAsia="標楷體" w:hAnsi="Calibri" w:cs="Times New Roman"/>
          <w:b/>
          <w:bCs/>
          <w:sz w:val="36"/>
          <w:szCs w:val="36"/>
        </w:rPr>
        <w:t>新聞稿</w:t>
      </w:r>
    </w:p>
    <w:p w:rsidR="0097146E" w:rsidRDefault="0097146E" w:rsidP="00DE58F9">
      <w:pPr>
        <w:snapToGrid w:val="0"/>
        <w:spacing w:line="340" w:lineRule="exact"/>
        <w:jc w:val="both"/>
        <w:rPr>
          <w:rFonts w:ascii="Times New Roman" w:eastAsia="標楷體" w:hAnsi="Times New Roman" w:cs="Times New Roman" w:hint="eastAsia"/>
          <w:b/>
          <w:sz w:val="28"/>
          <w:szCs w:val="24"/>
        </w:rPr>
      </w:pPr>
    </w:p>
    <w:p w:rsidR="0097146E" w:rsidRDefault="0097146E" w:rsidP="0097146E">
      <w:pPr>
        <w:spacing w:line="0" w:lineRule="atLeast"/>
        <w:jc w:val="both"/>
        <w:rPr>
          <w:rFonts w:ascii="Times New Roman" w:eastAsia="標楷體" w:hAnsi="Times New Roman" w:cs="Times New Roman"/>
          <w:b/>
          <w:sz w:val="28"/>
          <w:szCs w:val="24"/>
        </w:rPr>
      </w:pPr>
      <w:r w:rsidRPr="003043C1">
        <w:rPr>
          <w:rFonts w:ascii="Times New Roman" w:eastAsia="標楷體" w:hAnsi="Times New Roman" w:cs="Times New Roman"/>
          <w:b/>
          <w:sz w:val="28"/>
          <w:szCs w:val="24"/>
        </w:rPr>
        <w:t>Executive Yuan approves the “Contact Taiwan Program”, redoubling the effort to attract global talent</w:t>
      </w:r>
    </w:p>
    <w:p w:rsidR="0097146E" w:rsidRPr="00D768E4" w:rsidRDefault="0097146E" w:rsidP="0097146E">
      <w:pPr>
        <w:spacing w:line="0" w:lineRule="atLeast"/>
        <w:jc w:val="right"/>
        <w:rPr>
          <w:rFonts w:ascii="Times New Roman" w:eastAsia="標楷體" w:hAnsi="Times New Roman" w:cs="Times New Roman"/>
          <w:sz w:val="28"/>
          <w:szCs w:val="24"/>
        </w:rPr>
      </w:pPr>
      <w:r w:rsidRPr="00D768E4">
        <w:rPr>
          <w:rFonts w:ascii="Times New Roman" w:eastAsia="標楷體" w:hAnsi="Times New Roman" w:cs="Times New Roman" w:hint="eastAsia"/>
          <w:sz w:val="28"/>
          <w:szCs w:val="24"/>
        </w:rPr>
        <w:t>Date: Sep. 14, 2015</w:t>
      </w:r>
    </w:p>
    <w:p w:rsidR="00DE58F9" w:rsidRDefault="00DE58F9" w:rsidP="00DE58F9">
      <w:pPr>
        <w:snapToGrid w:val="0"/>
        <w:spacing w:line="340" w:lineRule="exact"/>
        <w:rPr>
          <w:rFonts w:ascii="Times New Roman" w:eastAsia="標楷體" w:hAnsi="Times New Roman" w:cs="Times New Roman"/>
          <w:kern w:val="0"/>
          <w:sz w:val="28"/>
          <w:szCs w:val="24"/>
        </w:rPr>
      </w:pPr>
    </w:p>
    <w:p w:rsidR="00DE58F9" w:rsidRPr="00DE58F9" w:rsidRDefault="00DE58F9" w:rsidP="00DE58F9">
      <w:pPr>
        <w:snapToGrid w:val="0"/>
        <w:spacing w:line="340" w:lineRule="exact"/>
        <w:ind w:firstLine="482"/>
        <w:rPr>
          <w:rFonts w:ascii="Times New Roman" w:eastAsia="標楷體" w:hAnsi="Times New Roman" w:cs="Times New Roman"/>
          <w:kern w:val="0"/>
          <w:sz w:val="28"/>
          <w:szCs w:val="24"/>
        </w:rPr>
      </w:pPr>
      <w:r w:rsidRPr="00DE58F9">
        <w:rPr>
          <w:rFonts w:ascii="Times New Roman" w:eastAsia="標楷體" w:hAnsi="Times New Roman" w:cs="Times New Roman"/>
          <w:kern w:val="0"/>
          <w:sz w:val="28"/>
          <w:szCs w:val="24"/>
        </w:rPr>
        <w:t>The Executive Yuan approved the “Contact Taiwan Program” presented by the National Development Council</w:t>
      </w:r>
      <w:r w:rsidR="00666148" w:rsidRPr="00666148">
        <w:rPr>
          <w:rFonts w:ascii="Times New Roman" w:eastAsia="標楷體" w:hAnsi="Times New Roman" w:cs="Times New Roman" w:hint="eastAsia"/>
          <w:kern w:val="0"/>
          <w:sz w:val="28"/>
          <w:szCs w:val="24"/>
        </w:rPr>
        <w:t xml:space="preserve"> </w:t>
      </w:r>
      <w:r w:rsidR="00666148">
        <w:rPr>
          <w:rFonts w:ascii="Times New Roman" w:eastAsia="標楷體" w:hAnsi="Times New Roman" w:cs="Times New Roman" w:hint="eastAsia"/>
          <w:kern w:val="0"/>
          <w:sz w:val="28"/>
          <w:szCs w:val="24"/>
        </w:rPr>
        <w:t>on September 8</w:t>
      </w:r>
      <w:r w:rsidRPr="00DE58F9">
        <w:rPr>
          <w:rFonts w:ascii="Times New Roman" w:eastAsia="標楷體" w:hAnsi="Times New Roman" w:cs="Times New Roman"/>
          <w:kern w:val="0"/>
          <w:sz w:val="28"/>
          <w:szCs w:val="24"/>
        </w:rPr>
        <w:t>, launching Taiwan’s all-out campaign to attract talent globally.</w:t>
      </w:r>
    </w:p>
    <w:p w:rsidR="00DE58F9" w:rsidRDefault="00DE58F9" w:rsidP="00DE58F9">
      <w:pPr>
        <w:snapToGrid w:val="0"/>
        <w:spacing w:line="340" w:lineRule="exact"/>
        <w:ind w:firstLine="482"/>
        <w:rPr>
          <w:rFonts w:ascii="Times New Roman" w:eastAsia="標楷體" w:hAnsi="Times New Roman" w:cs="Times New Roman"/>
          <w:kern w:val="0"/>
          <w:sz w:val="28"/>
          <w:szCs w:val="24"/>
        </w:rPr>
      </w:pPr>
      <w:r w:rsidRPr="00DE58F9">
        <w:rPr>
          <w:rFonts w:ascii="Times New Roman" w:eastAsia="標楷體" w:hAnsi="Times New Roman" w:cs="Times New Roman"/>
          <w:kern w:val="0"/>
          <w:sz w:val="28"/>
          <w:szCs w:val="24"/>
        </w:rPr>
        <w:t xml:space="preserve">In light of the current trends for globalization and development of the knowledge economy, the movement of international talent can be regarded as the medium for global technological and knowledge exchange. However, in recent years, Taiwan has faced competition for talent from other countries and increasingly serious problem of enterprise headhunting and, after the working population reaches its peak in 2015, the working population will decline by an average of 180,000 people per annum. </w:t>
      </w:r>
    </w:p>
    <w:p w:rsidR="00DE58F9" w:rsidRPr="00DE58F9" w:rsidRDefault="00DE58F9" w:rsidP="00DE58F9">
      <w:pPr>
        <w:snapToGrid w:val="0"/>
        <w:spacing w:line="340" w:lineRule="exact"/>
        <w:ind w:firstLine="482"/>
        <w:rPr>
          <w:rFonts w:ascii="Times New Roman" w:eastAsia="標楷體" w:hAnsi="Times New Roman" w:cs="Times New Roman"/>
          <w:kern w:val="0"/>
          <w:sz w:val="28"/>
          <w:szCs w:val="24"/>
        </w:rPr>
      </w:pPr>
      <w:r w:rsidRPr="00DE58F9">
        <w:rPr>
          <w:rFonts w:ascii="Times New Roman" w:eastAsia="標楷體" w:hAnsi="Times New Roman" w:cs="Times New Roman"/>
          <w:kern w:val="0"/>
          <w:sz w:val="28"/>
          <w:szCs w:val="24"/>
        </w:rPr>
        <w:t>To attract and retain outstanding executive talent to assist Taiwan</w:t>
      </w:r>
      <w:proofErr w:type="gramStart"/>
      <w:r w:rsidRPr="00DE58F9">
        <w:rPr>
          <w:rFonts w:ascii="Times New Roman" w:eastAsia="標楷體" w:hAnsi="Times New Roman" w:cs="Times New Roman"/>
          <w:kern w:val="0"/>
          <w:sz w:val="28"/>
          <w:szCs w:val="24"/>
        </w:rPr>
        <w:t>’</w:t>
      </w:r>
      <w:proofErr w:type="gramEnd"/>
      <w:r w:rsidRPr="00DE58F9">
        <w:rPr>
          <w:rFonts w:ascii="Times New Roman" w:eastAsia="標楷體" w:hAnsi="Times New Roman" w:cs="Times New Roman"/>
          <w:kern w:val="0"/>
          <w:sz w:val="28"/>
          <w:szCs w:val="24"/>
        </w:rPr>
        <w:t>s economy transform and innovate and thus boost domestic employment, Premier Mao instructed that the Executive Yuan Talent Competiveness Strategy Promotion Group be set up during t</w:t>
      </w:r>
      <w:r w:rsidRPr="00DE58F9">
        <w:rPr>
          <w:rFonts w:ascii="Times New Roman" w:eastAsia="標楷體" w:hAnsi="Times New Roman" w:cs="Times New Roman" w:hint="eastAsia"/>
          <w:kern w:val="0"/>
          <w:sz w:val="28"/>
          <w:szCs w:val="24"/>
        </w:rPr>
        <w:t xml:space="preserve">he 4th </w:t>
      </w:r>
      <w:r w:rsidR="00205F5A">
        <w:rPr>
          <w:rFonts w:ascii="Times New Roman" w:eastAsia="標楷體" w:hAnsi="Times New Roman" w:cs="Times New Roman"/>
          <w:kern w:val="0"/>
          <w:sz w:val="28"/>
          <w:szCs w:val="24"/>
        </w:rPr>
        <w:t>“</w:t>
      </w:r>
      <w:r w:rsidRPr="00DE58F9">
        <w:rPr>
          <w:rFonts w:ascii="Times New Roman" w:eastAsia="標楷體" w:hAnsi="Times New Roman" w:cs="Times New Roman" w:hint="eastAsia"/>
          <w:kern w:val="0"/>
          <w:sz w:val="28"/>
          <w:szCs w:val="24"/>
        </w:rPr>
        <w:t>Board of Talent Policy, Executive Yuan</w:t>
      </w:r>
      <w:r w:rsidRPr="00DE58F9">
        <w:rPr>
          <w:rFonts w:ascii="Times New Roman" w:eastAsia="標楷體" w:hAnsi="Times New Roman" w:cs="Times New Roman" w:hint="eastAsia"/>
          <w:kern w:val="0"/>
          <w:sz w:val="28"/>
          <w:szCs w:val="24"/>
        </w:rPr>
        <w:t>”</w:t>
      </w:r>
      <w:r w:rsidRPr="00DE58F9">
        <w:rPr>
          <w:rFonts w:ascii="Times New Roman" w:eastAsia="標楷體" w:hAnsi="Times New Roman" w:cs="Times New Roman" w:hint="eastAsia"/>
          <w:kern w:val="0"/>
          <w:sz w:val="28"/>
          <w:szCs w:val="24"/>
        </w:rPr>
        <w:t xml:space="preserve"> he chaired on January 20 this year; through the four main strategies of attracting global talent </w:t>
      </w:r>
      <w:proofErr w:type="gramStart"/>
      <w:r w:rsidRPr="00DE58F9">
        <w:rPr>
          <w:rFonts w:ascii="Times New Roman" w:eastAsia="標楷體" w:hAnsi="Times New Roman" w:cs="Times New Roman" w:hint="eastAsia"/>
          <w:kern w:val="0"/>
          <w:sz w:val="28"/>
          <w:szCs w:val="24"/>
        </w:rPr>
        <w:t>—</w:t>
      </w:r>
      <w:proofErr w:type="gramEnd"/>
      <w:r w:rsidRPr="00DE58F9">
        <w:rPr>
          <w:rFonts w:ascii="Times New Roman" w:eastAsia="標楷體" w:hAnsi="Times New Roman" w:cs="Times New Roman" w:hint="eastAsia"/>
          <w:kern w:val="0"/>
          <w:sz w:val="28"/>
          <w:szCs w:val="24"/>
        </w:rPr>
        <w:t>establishing a talent recruitment joint service center</w:t>
      </w:r>
      <w:proofErr w:type="gramStart"/>
      <w:r w:rsidRPr="00DE58F9">
        <w:rPr>
          <w:rFonts w:ascii="Times New Roman" w:eastAsia="標楷體" w:hAnsi="Times New Roman" w:cs="Times New Roman" w:hint="eastAsia"/>
          <w:kern w:val="0"/>
          <w:sz w:val="28"/>
          <w:szCs w:val="24"/>
        </w:rPr>
        <w:t>─</w:t>
      </w:r>
      <w:proofErr w:type="gramEnd"/>
      <w:r w:rsidRPr="00DE58F9">
        <w:rPr>
          <w:rFonts w:ascii="Times New Roman" w:eastAsia="標楷體" w:hAnsi="Times New Roman" w:cs="Times New Roman" w:hint="eastAsia"/>
          <w:kern w:val="0"/>
          <w:sz w:val="28"/>
          <w:szCs w:val="24"/>
        </w:rPr>
        <w:t>Contact Taiwan, establishing an integrated overseas tal</w:t>
      </w:r>
      <w:r w:rsidRPr="00DE58F9">
        <w:rPr>
          <w:rFonts w:ascii="Times New Roman" w:eastAsia="標楷體" w:hAnsi="Times New Roman" w:cs="Times New Roman"/>
          <w:kern w:val="0"/>
          <w:sz w:val="28"/>
          <w:szCs w:val="24"/>
        </w:rPr>
        <w:t>ent recruitment network, raising Taiwan</w:t>
      </w:r>
      <w:proofErr w:type="gramStart"/>
      <w:r w:rsidRPr="00DE58F9">
        <w:rPr>
          <w:rFonts w:ascii="Times New Roman" w:eastAsia="標楷體" w:hAnsi="Times New Roman" w:cs="Times New Roman"/>
          <w:kern w:val="0"/>
          <w:sz w:val="28"/>
          <w:szCs w:val="24"/>
        </w:rPr>
        <w:t>’</w:t>
      </w:r>
      <w:proofErr w:type="gramEnd"/>
      <w:r w:rsidRPr="00DE58F9">
        <w:rPr>
          <w:rFonts w:ascii="Times New Roman" w:eastAsia="標楷體" w:hAnsi="Times New Roman" w:cs="Times New Roman"/>
          <w:kern w:val="0"/>
          <w:sz w:val="28"/>
          <w:szCs w:val="24"/>
        </w:rPr>
        <w:t>s talent competitiveness conditions and building a friendly environment for retaining talent, the effort to attract international talent will be redoubled.</w:t>
      </w:r>
    </w:p>
    <w:p w:rsidR="00DE58F9" w:rsidRPr="00DE58F9" w:rsidRDefault="00DE58F9" w:rsidP="00DE58F9">
      <w:pPr>
        <w:snapToGrid w:val="0"/>
        <w:spacing w:line="340" w:lineRule="exact"/>
        <w:ind w:firstLine="482"/>
        <w:rPr>
          <w:rFonts w:ascii="Times New Roman" w:eastAsia="標楷體" w:hAnsi="Times New Roman" w:cs="Times New Roman"/>
          <w:kern w:val="0"/>
          <w:sz w:val="28"/>
          <w:szCs w:val="24"/>
        </w:rPr>
      </w:pPr>
      <w:r w:rsidRPr="00DE58F9">
        <w:rPr>
          <w:rFonts w:ascii="Times New Roman" w:eastAsia="標楷體" w:hAnsi="Times New Roman" w:cs="Times New Roman" w:hint="eastAsia"/>
          <w:kern w:val="0"/>
          <w:sz w:val="28"/>
          <w:szCs w:val="24"/>
        </w:rPr>
        <w:t xml:space="preserve">With respect to attracting global talent, a joint virtual-real promotion method will be adopted; in terms of real services, the </w:t>
      </w:r>
      <w:r w:rsidRPr="00DE58F9">
        <w:rPr>
          <w:rFonts w:ascii="Times New Roman" w:eastAsia="標楷體" w:hAnsi="Times New Roman" w:cs="Times New Roman" w:hint="eastAsia"/>
          <w:b/>
          <w:kern w:val="0"/>
          <w:sz w:val="28"/>
          <w:szCs w:val="24"/>
        </w:rPr>
        <w:t>Executive Yuan Global Business Solicitation and Talent Recruitment Joint Services Center</w:t>
      </w:r>
      <w:proofErr w:type="gramStart"/>
      <w:r w:rsidRPr="00DE58F9">
        <w:rPr>
          <w:rFonts w:ascii="Times New Roman" w:eastAsia="標楷體" w:hAnsi="Times New Roman" w:cs="Times New Roman" w:hint="eastAsia"/>
          <w:b/>
          <w:kern w:val="0"/>
          <w:sz w:val="28"/>
          <w:szCs w:val="24"/>
        </w:rPr>
        <w:t>─</w:t>
      </w:r>
      <w:proofErr w:type="gramEnd"/>
      <w:r w:rsidRPr="00DE58F9">
        <w:rPr>
          <w:rFonts w:ascii="Times New Roman" w:eastAsia="標楷體" w:hAnsi="Times New Roman" w:cs="Times New Roman" w:hint="eastAsia"/>
          <w:b/>
          <w:kern w:val="0"/>
          <w:sz w:val="28"/>
          <w:szCs w:val="24"/>
        </w:rPr>
        <w:t xml:space="preserve">Contact Taiwan </w:t>
      </w:r>
      <w:r w:rsidRPr="00DE58F9">
        <w:rPr>
          <w:rFonts w:ascii="Times New Roman" w:eastAsia="標楷體" w:hAnsi="Times New Roman" w:cs="Times New Roman" w:hint="eastAsia"/>
          <w:kern w:val="0"/>
          <w:sz w:val="28"/>
          <w:szCs w:val="24"/>
        </w:rPr>
        <w:t>was established on Augu</w:t>
      </w:r>
      <w:r w:rsidRPr="00DE58F9">
        <w:rPr>
          <w:rFonts w:ascii="Times New Roman" w:eastAsia="標楷體" w:hAnsi="Times New Roman" w:cs="Times New Roman"/>
          <w:kern w:val="0"/>
          <w:sz w:val="28"/>
          <w:szCs w:val="24"/>
        </w:rPr>
        <w:t xml:space="preserve">st 7 this year; the Center’s dedicated case managers will handle cases through a single service window and use the customized service method to provide </w:t>
      </w:r>
      <w:r w:rsidR="00FC44CB">
        <w:rPr>
          <w:rFonts w:ascii="Times New Roman" w:eastAsia="標楷體" w:hAnsi="Times New Roman" w:cs="Times New Roman" w:hint="eastAsia"/>
          <w:kern w:val="0"/>
          <w:sz w:val="28"/>
          <w:szCs w:val="24"/>
        </w:rPr>
        <w:t>global</w:t>
      </w:r>
      <w:r w:rsidRPr="00DE58F9">
        <w:rPr>
          <w:rFonts w:ascii="Times New Roman" w:eastAsia="標楷體" w:hAnsi="Times New Roman" w:cs="Times New Roman"/>
          <w:kern w:val="0"/>
          <w:sz w:val="28"/>
          <w:szCs w:val="24"/>
        </w:rPr>
        <w:t xml:space="preserve"> talent matching employment services; and provide consulting series to overseas talent with respect to pre-arrival assessment, entry application and life after entering Taiwan etc.; cases will be recorded and the results followed-up.</w:t>
      </w:r>
    </w:p>
    <w:p w:rsidR="00DE58F9" w:rsidRPr="00DE58F9" w:rsidRDefault="00DE58F9" w:rsidP="00DE58F9">
      <w:pPr>
        <w:snapToGrid w:val="0"/>
        <w:spacing w:line="340" w:lineRule="exact"/>
        <w:ind w:firstLine="482"/>
        <w:rPr>
          <w:rFonts w:ascii="Times New Roman" w:eastAsia="標楷體" w:hAnsi="Times New Roman" w:cs="Times New Roman"/>
          <w:kern w:val="0"/>
          <w:sz w:val="28"/>
          <w:szCs w:val="24"/>
        </w:rPr>
      </w:pPr>
      <w:r w:rsidRPr="00DE58F9">
        <w:rPr>
          <w:rFonts w:ascii="Times New Roman" w:eastAsia="標楷體" w:hAnsi="Times New Roman" w:cs="Times New Roman" w:hint="eastAsia"/>
          <w:kern w:val="0"/>
          <w:sz w:val="28"/>
          <w:szCs w:val="24"/>
        </w:rPr>
        <w:t>In addition, this program, for the first time establishes a national level Internet platform</w:t>
      </w:r>
      <w:proofErr w:type="gramStart"/>
      <w:r w:rsidRPr="00DE58F9">
        <w:rPr>
          <w:rFonts w:ascii="Times New Roman" w:eastAsia="標楷體" w:hAnsi="Times New Roman" w:cs="Times New Roman" w:hint="eastAsia"/>
          <w:kern w:val="0"/>
          <w:sz w:val="28"/>
          <w:szCs w:val="24"/>
        </w:rPr>
        <w:t>─</w:t>
      </w:r>
      <w:proofErr w:type="gramEnd"/>
      <w:r w:rsidRPr="00DE58F9">
        <w:rPr>
          <w:rFonts w:ascii="Times New Roman" w:eastAsia="標楷體" w:hAnsi="Times New Roman" w:cs="Times New Roman" w:hint="eastAsia"/>
          <w:b/>
          <w:kern w:val="0"/>
          <w:sz w:val="28"/>
          <w:szCs w:val="24"/>
        </w:rPr>
        <w:t>Contact Taiwan</w:t>
      </w:r>
      <w:r w:rsidRPr="00DE58F9">
        <w:rPr>
          <w:rFonts w:ascii="Times New Roman" w:eastAsia="標楷體" w:hAnsi="Times New Roman" w:cs="Times New Roman" w:hint="eastAsia"/>
          <w:kern w:val="0"/>
          <w:sz w:val="28"/>
          <w:szCs w:val="24"/>
        </w:rPr>
        <w:t xml:space="preserve">, that will provide interactive </w:t>
      </w:r>
      <w:r w:rsidRPr="00DE58F9">
        <w:rPr>
          <w:rFonts w:ascii="Times New Roman" w:eastAsia="標楷體" w:hAnsi="Times New Roman" w:cs="Times New Roman" w:hint="eastAsia"/>
          <w:kern w:val="0"/>
          <w:sz w:val="28"/>
          <w:szCs w:val="24"/>
        </w:rPr>
        <w:lastRenderedPageBreak/>
        <w:t xml:space="preserve">matching services to bring </w:t>
      </w:r>
      <w:r w:rsidR="00FC44CB">
        <w:rPr>
          <w:rFonts w:ascii="Times New Roman" w:eastAsia="標楷體" w:hAnsi="Times New Roman" w:cs="Times New Roman" w:hint="eastAsia"/>
          <w:kern w:val="0"/>
          <w:sz w:val="28"/>
          <w:szCs w:val="24"/>
        </w:rPr>
        <w:t>global</w:t>
      </w:r>
      <w:r w:rsidRPr="00DE58F9">
        <w:rPr>
          <w:rFonts w:ascii="Times New Roman" w:eastAsia="標楷體" w:hAnsi="Times New Roman" w:cs="Times New Roman" w:hint="eastAsia"/>
          <w:kern w:val="0"/>
          <w:sz w:val="28"/>
          <w:szCs w:val="24"/>
        </w:rPr>
        <w:t xml:space="preserve"> talent to Taiwan and also online life and work problem advice to overseas talent w</w:t>
      </w:r>
      <w:r w:rsidRPr="00DE58F9">
        <w:rPr>
          <w:rFonts w:ascii="Times New Roman" w:eastAsia="標楷體" w:hAnsi="Times New Roman" w:cs="Times New Roman"/>
          <w:kern w:val="0"/>
          <w:sz w:val="28"/>
          <w:szCs w:val="24"/>
        </w:rPr>
        <w:t>orking in Taiwan. It is expected that Contact Taiwan will go live in December this year. Also, with respect to improving Taiwan’s talent competitiveness conditions and building a friendly environment for retaining talent, through flexible salaries, reform of the Scientific Research Funds Subsidies plan and deregulation with respect to recruiting and retaining of talent, enterprise talent competiveness conditions will be improved, creating a talent friendly living environment and enhancing enterprise talent retention incentives.</w:t>
      </w:r>
    </w:p>
    <w:p w:rsidR="00DE58F9" w:rsidRPr="00DE58F9" w:rsidRDefault="00DE58F9" w:rsidP="00DE58F9">
      <w:pPr>
        <w:snapToGrid w:val="0"/>
        <w:spacing w:line="340" w:lineRule="exact"/>
        <w:ind w:firstLine="482"/>
        <w:rPr>
          <w:rFonts w:ascii="Times New Roman" w:eastAsia="標楷體" w:hAnsi="Times New Roman" w:cs="Times New Roman"/>
          <w:kern w:val="0"/>
          <w:sz w:val="28"/>
          <w:szCs w:val="24"/>
        </w:rPr>
      </w:pPr>
      <w:r w:rsidRPr="00DE58F9">
        <w:rPr>
          <w:rFonts w:ascii="Times New Roman" w:eastAsia="標楷體" w:hAnsi="Times New Roman" w:cs="Times New Roman"/>
          <w:kern w:val="0"/>
          <w:sz w:val="28"/>
          <w:szCs w:val="24"/>
        </w:rPr>
        <w:t xml:space="preserve">The duration of this program will be one year and rolling review will be carried out each quarter with the aim </w:t>
      </w:r>
      <w:r w:rsidR="00597BA5">
        <w:rPr>
          <w:rFonts w:ascii="Times New Roman" w:eastAsia="標楷體" w:hAnsi="Times New Roman" w:cs="Times New Roman"/>
          <w:kern w:val="0"/>
          <w:sz w:val="28"/>
          <w:szCs w:val="24"/>
        </w:rPr>
        <w:t xml:space="preserve">of achieving the objective of </w:t>
      </w:r>
      <w:r w:rsidR="00ED2412">
        <w:rPr>
          <w:rFonts w:ascii="Times New Roman" w:eastAsia="標楷體" w:hAnsi="Times New Roman" w:cs="Times New Roman" w:hint="eastAsia"/>
          <w:kern w:val="0"/>
          <w:sz w:val="28"/>
          <w:szCs w:val="24"/>
        </w:rPr>
        <w:t xml:space="preserve"> </w:t>
      </w:r>
      <w:bookmarkStart w:id="0" w:name="_GoBack"/>
      <w:bookmarkEnd w:id="0"/>
      <w:r w:rsidRPr="00DE58F9">
        <w:rPr>
          <w:rFonts w:ascii="Times New Roman" w:eastAsia="標楷體" w:hAnsi="Times New Roman" w:cs="Times New Roman"/>
          <w:kern w:val="0"/>
          <w:sz w:val="28"/>
          <w:szCs w:val="24"/>
        </w:rPr>
        <w:t xml:space="preserve">“attract talent to come, make talent stay” boosting Taiwan’s human resources capital and increase international competitiveness. </w:t>
      </w:r>
    </w:p>
    <w:p w:rsidR="00DE58F9" w:rsidRPr="00DE58F9" w:rsidRDefault="00DE58F9" w:rsidP="00DE58F9">
      <w:pPr>
        <w:snapToGrid w:val="0"/>
        <w:spacing w:line="340" w:lineRule="exact"/>
        <w:ind w:firstLine="482"/>
        <w:rPr>
          <w:rFonts w:ascii="Times New Roman" w:eastAsia="標楷體" w:hAnsi="Times New Roman" w:cs="Times New Roman"/>
          <w:kern w:val="0"/>
          <w:sz w:val="28"/>
          <w:szCs w:val="24"/>
        </w:rPr>
      </w:pPr>
      <w:r w:rsidRPr="00DE58F9">
        <w:rPr>
          <w:rFonts w:ascii="Times New Roman" w:eastAsia="標楷體" w:hAnsi="Times New Roman" w:cs="Times New Roman"/>
          <w:kern w:val="0"/>
          <w:sz w:val="28"/>
          <w:szCs w:val="24"/>
        </w:rPr>
        <w:t xml:space="preserve">The key points of promotion in the first quarter will be: To make Taiwan’s efforts to attract international talent objective- oriented and directed and to meet the development needs of the country and industry, the Ministry of Economic Affairs has selected 10 key talent recruitment areas, systematically targeting industry 4.0”, smarter systems integrated applications (including: Big data/ Internet of Things/ cloud services), biotechnology, renewable energy, 5G &amp; forward-looking communication technology, high-level manufacturing equipment, advanced electronic parts and components manufacturing (including IC design and semiconductors), product and user experience design, creative forward-looking research and development, global financial services. In combination with various industry associations, key talent in specific industries in target countries will be recruited. </w:t>
      </w:r>
    </w:p>
    <w:p w:rsidR="00D4724A" w:rsidRPr="00DE58F9" w:rsidRDefault="00DE58F9" w:rsidP="00DE58F9">
      <w:pPr>
        <w:snapToGrid w:val="0"/>
        <w:spacing w:line="340" w:lineRule="exact"/>
        <w:ind w:firstLine="482"/>
        <w:rPr>
          <w:rFonts w:ascii="Times New Roman" w:eastAsia="標楷體" w:hAnsi="Times New Roman" w:cs="Times New Roman"/>
          <w:kern w:val="0"/>
          <w:sz w:val="28"/>
          <w:szCs w:val="24"/>
        </w:rPr>
      </w:pPr>
      <w:r w:rsidRPr="00DE58F9">
        <w:rPr>
          <w:rFonts w:ascii="Times New Roman" w:eastAsia="標楷體" w:hAnsi="Times New Roman" w:cs="Times New Roman"/>
          <w:kern w:val="0"/>
          <w:sz w:val="28"/>
          <w:szCs w:val="24"/>
        </w:rPr>
        <w:t xml:space="preserve">To assist the aforementioned key industries attract international talent, the Contact Taiwan Center has successively visited </w:t>
      </w:r>
      <w:proofErr w:type="spellStart"/>
      <w:r w:rsidRPr="00DE58F9">
        <w:rPr>
          <w:rFonts w:ascii="Times New Roman" w:eastAsia="標楷體" w:hAnsi="Times New Roman" w:cs="Times New Roman"/>
          <w:kern w:val="0"/>
          <w:sz w:val="28"/>
          <w:szCs w:val="24"/>
        </w:rPr>
        <w:t>mittelstand</w:t>
      </w:r>
      <w:proofErr w:type="spellEnd"/>
      <w:r w:rsidRPr="00DE58F9">
        <w:rPr>
          <w:rFonts w:ascii="Times New Roman" w:eastAsia="標楷體" w:hAnsi="Times New Roman" w:cs="Times New Roman"/>
          <w:kern w:val="0"/>
          <w:sz w:val="28"/>
          <w:szCs w:val="24"/>
        </w:rPr>
        <w:t xml:space="preserve"> in various key industries and obtained an understanding of their pressing talent requirements and salary and benefits that can be provided; following up, the plan is to set up an overseas talent network using Taiwan’s overseas representative offices and, through simultaneous effort at home and overseas, widely propagating the Contact Taiwan brand and actually implementing the global talent attraction campaign.</w:t>
      </w:r>
    </w:p>
    <w:sectPr w:rsidR="00D4724A" w:rsidRPr="00DE58F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F9"/>
    <w:rsid w:val="00205F5A"/>
    <w:rsid w:val="00597BA5"/>
    <w:rsid w:val="00666148"/>
    <w:rsid w:val="00903D8A"/>
    <w:rsid w:val="0097146E"/>
    <w:rsid w:val="00D4724A"/>
    <w:rsid w:val="00DE58F9"/>
    <w:rsid w:val="00ED2412"/>
    <w:rsid w:val="00FC4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8F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E58F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8F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E5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高育幸</dc:creator>
  <cp:lastModifiedBy>user</cp:lastModifiedBy>
  <cp:revision>6</cp:revision>
  <dcterms:created xsi:type="dcterms:W3CDTF">2015-09-15T06:26:00Z</dcterms:created>
  <dcterms:modified xsi:type="dcterms:W3CDTF">2015-09-15T06:36:00Z</dcterms:modified>
</cp:coreProperties>
</file>