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19" w:rsidRPr="002F42BC" w:rsidRDefault="00074819" w:rsidP="00E11CCA">
      <w:pPr>
        <w:snapToGrid/>
        <w:spacing w:after="190" w:line="480" w:lineRule="exact"/>
        <w:ind w:firstLineChars="0" w:firstLine="0"/>
        <w:jc w:val="center"/>
        <w:rPr>
          <w:b/>
          <w:sz w:val="32"/>
          <w:szCs w:val="32"/>
        </w:rPr>
      </w:pPr>
      <w:r w:rsidRPr="002F42BC">
        <w:rPr>
          <w:rFonts w:hint="eastAsia"/>
          <w:b/>
          <w:sz w:val="32"/>
          <w:szCs w:val="32"/>
        </w:rPr>
        <w:t>國家發展委員會</w:t>
      </w:r>
      <w:r w:rsidRPr="002F42BC">
        <w:rPr>
          <w:b/>
          <w:sz w:val="32"/>
          <w:szCs w:val="32"/>
        </w:rPr>
        <w:t xml:space="preserve"> </w:t>
      </w:r>
      <w:r w:rsidRPr="002F42BC">
        <w:rPr>
          <w:rFonts w:hint="eastAsia"/>
          <w:b/>
          <w:sz w:val="32"/>
          <w:szCs w:val="32"/>
        </w:rPr>
        <w:t>回應稿</w:t>
      </w:r>
    </w:p>
    <w:p w:rsidR="00074819" w:rsidRPr="002F42BC" w:rsidRDefault="00074819" w:rsidP="002F42BC">
      <w:pPr>
        <w:snapToGrid/>
        <w:spacing w:afterLines="0" w:line="480" w:lineRule="exact"/>
        <w:ind w:firstLineChars="0" w:firstLine="0"/>
        <w:jc w:val="center"/>
        <w:rPr>
          <w:b/>
          <w:sz w:val="32"/>
          <w:szCs w:val="32"/>
        </w:rPr>
      </w:pPr>
      <w:r w:rsidRPr="002F42BC">
        <w:rPr>
          <w:rFonts w:hint="eastAsia"/>
          <w:b/>
          <w:sz w:val="32"/>
          <w:szCs w:val="32"/>
        </w:rPr>
        <w:t>針對</w:t>
      </w:r>
      <w:r>
        <w:rPr>
          <w:rFonts w:hint="eastAsia"/>
          <w:b/>
          <w:sz w:val="32"/>
          <w:szCs w:val="32"/>
        </w:rPr>
        <w:t>媒體就我國</w:t>
      </w:r>
      <w:r>
        <w:rPr>
          <w:b/>
          <w:sz w:val="32"/>
          <w:szCs w:val="32"/>
        </w:rPr>
        <w:t>WEF</w:t>
      </w:r>
      <w:r>
        <w:rPr>
          <w:rFonts w:hint="eastAsia"/>
          <w:b/>
          <w:sz w:val="32"/>
          <w:szCs w:val="32"/>
        </w:rPr>
        <w:t>競爭力排名相關評論</w:t>
      </w:r>
      <w:r w:rsidRPr="002F42BC">
        <w:rPr>
          <w:rFonts w:hint="eastAsia"/>
          <w:b/>
          <w:sz w:val="32"/>
          <w:szCs w:val="32"/>
        </w:rPr>
        <w:t>之說明</w:t>
      </w:r>
    </w:p>
    <w:p w:rsidR="00074819" w:rsidRPr="002F42BC" w:rsidRDefault="00074819" w:rsidP="00132641">
      <w:pPr>
        <w:snapToGrid/>
        <w:spacing w:after="190" w:line="480" w:lineRule="exact"/>
        <w:ind w:firstLineChars="0" w:firstLine="0"/>
        <w:jc w:val="center"/>
        <w:rPr>
          <w:sz w:val="24"/>
          <w:szCs w:val="24"/>
        </w:rPr>
      </w:pPr>
      <w:r w:rsidRPr="002F42BC"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林麗貞</w:t>
      </w:r>
      <w:r w:rsidRPr="002F42BC">
        <w:rPr>
          <w:sz w:val="24"/>
          <w:szCs w:val="24"/>
        </w:rPr>
        <w:t>/</w:t>
      </w:r>
      <w:r w:rsidRPr="002F42BC">
        <w:rPr>
          <w:rFonts w:hint="eastAsia"/>
          <w:sz w:val="24"/>
          <w:szCs w:val="24"/>
        </w:rPr>
        <w:t>國家發展委員會經濟發展處，電話：</w:t>
      </w:r>
      <w:r w:rsidRPr="002F42BC">
        <w:rPr>
          <w:sz w:val="24"/>
          <w:szCs w:val="24"/>
        </w:rPr>
        <w:t>02-2316-5</w:t>
      </w:r>
      <w:r>
        <w:rPr>
          <w:sz w:val="24"/>
          <w:szCs w:val="24"/>
        </w:rPr>
        <w:t>348</w:t>
      </w:r>
      <w:r w:rsidRPr="002F42BC">
        <w:rPr>
          <w:sz w:val="24"/>
          <w:szCs w:val="24"/>
        </w:rPr>
        <w:t>]</w:t>
      </w:r>
    </w:p>
    <w:p w:rsidR="00074819" w:rsidRPr="002F42BC" w:rsidRDefault="00074819" w:rsidP="002F42BC">
      <w:pPr>
        <w:snapToGrid/>
        <w:spacing w:afterLines="0" w:line="480" w:lineRule="exact"/>
        <w:ind w:firstLineChars="0" w:firstLine="0"/>
        <w:jc w:val="right"/>
        <w:rPr>
          <w:sz w:val="24"/>
          <w:szCs w:val="24"/>
        </w:rPr>
      </w:pPr>
      <w:r w:rsidRPr="002F42BC">
        <w:rPr>
          <w:sz w:val="24"/>
          <w:szCs w:val="24"/>
        </w:rPr>
        <w:t>103</w:t>
      </w:r>
      <w:r w:rsidRPr="002F42BC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9</w:t>
      </w:r>
      <w:r w:rsidRPr="002F42BC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4</w:t>
      </w:r>
      <w:r w:rsidRPr="002F42BC">
        <w:rPr>
          <w:rFonts w:hint="eastAsia"/>
          <w:sz w:val="24"/>
          <w:szCs w:val="24"/>
        </w:rPr>
        <w:t>日</w:t>
      </w:r>
    </w:p>
    <w:p w:rsidR="00074819" w:rsidRPr="002F42BC" w:rsidRDefault="00074819" w:rsidP="00943A12">
      <w:pPr>
        <w:snapToGrid/>
        <w:spacing w:afterLines="100" w:line="480" w:lineRule="exact"/>
        <w:ind w:left="31680" w:hangingChars="200" w:firstLine="31680"/>
        <w:rPr>
          <w:szCs w:val="28"/>
        </w:rPr>
      </w:pPr>
      <w:r>
        <w:rPr>
          <w:rFonts w:hint="eastAsia"/>
          <w:szCs w:val="28"/>
        </w:rPr>
        <w:t>一、有關媒體提出「政府影射公民運動拖累我國競爭力評比結果」等評論，本會新聞稿原意在表達</w:t>
      </w:r>
      <w:r>
        <w:rPr>
          <w:szCs w:val="28"/>
        </w:rPr>
        <w:t>WEF</w:t>
      </w:r>
      <w:r>
        <w:rPr>
          <w:rFonts w:hint="eastAsia"/>
          <w:szCs w:val="28"/>
        </w:rPr>
        <w:t>競爭力評比項目，</w:t>
      </w:r>
      <w:r>
        <w:rPr>
          <w:szCs w:val="28"/>
        </w:rPr>
        <w:t>7</w:t>
      </w:r>
      <w:r>
        <w:rPr>
          <w:rFonts w:hint="eastAsia"/>
          <w:szCs w:val="28"/>
        </w:rPr>
        <w:t>成係對企業經理人之問卷結果，易受問卷當下經社環境變化之影響。針對國內政經環境穩定性的信心不足，政府會虛心檢討，讓人民更瞭解政府施政的用心，並以積極性作為，提振民眾與企業的信心。本會日後會特別注意用字遣詞，避免造成誤解。</w:t>
      </w:r>
    </w:p>
    <w:p w:rsidR="00074819" w:rsidRDefault="00074819" w:rsidP="00943A12">
      <w:pPr>
        <w:snapToGrid/>
        <w:spacing w:afterLines="100" w:line="480" w:lineRule="exact"/>
        <w:ind w:left="31680" w:hangingChars="200" w:firstLine="31680"/>
        <w:rPr>
          <w:szCs w:val="28"/>
        </w:rPr>
      </w:pPr>
      <w:r>
        <w:rPr>
          <w:rFonts w:hint="eastAsia"/>
          <w:szCs w:val="28"/>
        </w:rPr>
        <w:t>二、</w:t>
      </w:r>
      <w:r w:rsidRPr="001442A5">
        <w:rPr>
          <w:szCs w:val="28"/>
        </w:rPr>
        <w:t>WEF</w:t>
      </w:r>
      <w:r>
        <w:rPr>
          <w:rFonts w:hint="eastAsia"/>
          <w:szCs w:val="28"/>
        </w:rPr>
        <w:t>肯定</w:t>
      </w:r>
      <w:r w:rsidRPr="001442A5">
        <w:rPr>
          <w:rFonts w:hint="eastAsia"/>
          <w:szCs w:val="28"/>
        </w:rPr>
        <w:t>台灣競爭力</w:t>
      </w:r>
      <w:r>
        <w:rPr>
          <w:rFonts w:hint="eastAsia"/>
          <w:szCs w:val="28"/>
        </w:rPr>
        <w:t>在</w:t>
      </w:r>
      <w:r w:rsidRPr="001442A5">
        <w:rPr>
          <w:rFonts w:hint="eastAsia"/>
          <w:szCs w:val="28"/>
        </w:rPr>
        <w:t>過去</w:t>
      </w:r>
      <w:r w:rsidRPr="001442A5">
        <w:rPr>
          <w:szCs w:val="28"/>
        </w:rPr>
        <w:t>6</w:t>
      </w:r>
      <w:r w:rsidRPr="001442A5">
        <w:rPr>
          <w:rFonts w:hint="eastAsia"/>
          <w:szCs w:val="28"/>
        </w:rPr>
        <w:t>年十分穩定，</w:t>
      </w:r>
      <w:r w:rsidRPr="001442A5">
        <w:rPr>
          <w:szCs w:val="28"/>
        </w:rPr>
        <w:t xml:space="preserve"> 2009</w:t>
      </w:r>
      <w:r w:rsidRPr="001442A5">
        <w:rPr>
          <w:rFonts w:hint="eastAsia"/>
          <w:szCs w:val="28"/>
        </w:rPr>
        <w:t>年台灣競爭力排名，由</w:t>
      </w:r>
      <w:r w:rsidRPr="001442A5">
        <w:rPr>
          <w:szCs w:val="28"/>
        </w:rPr>
        <w:t>2008</w:t>
      </w:r>
      <w:r w:rsidRPr="001442A5">
        <w:rPr>
          <w:rFonts w:hint="eastAsia"/>
          <w:szCs w:val="28"/>
        </w:rPr>
        <w:t>年第</w:t>
      </w:r>
      <w:r w:rsidRPr="001442A5">
        <w:rPr>
          <w:szCs w:val="28"/>
        </w:rPr>
        <w:t>17</w:t>
      </w:r>
      <w:r w:rsidRPr="001442A5">
        <w:rPr>
          <w:rFonts w:hint="eastAsia"/>
          <w:szCs w:val="28"/>
        </w:rPr>
        <w:t>名大幅躍升至第</w:t>
      </w:r>
      <w:r w:rsidRPr="001442A5">
        <w:rPr>
          <w:szCs w:val="28"/>
        </w:rPr>
        <w:t>12</w:t>
      </w:r>
      <w:r>
        <w:rPr>
          <w:rFonts w:hint="eastAsia"/>
          <w:szCs w:val="28"/>
        </w:rPr>
        <w:t>名</w:t>
      </w:r>
      <w:r w:rsidRPr="001442A5">
        <w:rPr>
          <w:rFonts w:hint="eastAsia"/>
          <w:szCs w:val="28"/>
        </w:rPr>
        <w:t>，</w:t>
      </w:r>
      <w:r w:rsidRPr="001442A5">
        <w:rPr>
          <w:szCs w:val="28"/>
        </w:rPr>
        <w:t>2010</w:t>
      </w:r>
      <w:r w:rsidRPr="001442A5">
        <w:rPr>
          <w:rFonts w:hint="eastAsia"/>
          <w:szCs w:val="28"/>
        </w:rPr>
        <w:t>年至</w:t>
      </w:r>
      <w:r w:rsidRPr="001442A5">
        <w:rPr>
          <w:szCs w:val="28"/>
        </w:rPr>
        <w:t>2014</w:t>
      </w:r>
      <w:r w:rsidRPr="001442A5">
        <w:rPr>
          <w:rFonts w:hint="eastAsia"/>
          <w:szCs w:val="28"/>
        </w:rPr>
        <w:t>年</w:t>
      </w:r>
      <w:r>
        <w:rPr>
          <w:rFonts w:hint="eastAsia"/>
          <w:szCs w:val="28"/>
        </w:rPr>
        <w:t>期間</w:t>
      </w:r>
      <w:r w:rsidRPr="001442A5">
        <w:rPr>
          <w:rFonts w:hint="eastAsia"/>
          <w:szCs w:val="28"/>
        </w:rPr>
        <w:t>，一直維持在第</w:t>
      </w:r>
      <w:r w:rsidRPr="001442A5">
        <w:rPr>
          <w:szCs w:val="28"/>
        </w:rPr>
        <w:t>12</w:t>
      </w:r>
      <w:r w:rsidRPr="001442A5">
        <w:rPr>
          <w:rFonts w:hint="eastAsia"/>
          <w:szCs w:val="28"/>
        </w:rPr>
        <w:t>名至第</w:t>
      </w:r>
      <w:r w:rsidRPr="001442A5">
        <w:rPr>
          <w:szCs w:val="28"/>
        </w:rPr>
        <w:t>14</w:t>
      </w:r>
      <w:r w:rsidRPr="001442A5">
        <w:rPr>
          <w:rFonts w:hint="eastAsia"/>
          <w:szCs w:val="28"/>
        </w:rPr>
        <w:t>名之間。</w:t>
      </w:r>
      <w:r>
        <w:rPr>
          <w:rFonts w:hint="eastAsia"/>
          <w:szCs w:val="28"/>
        </w:rPr>
        <w:t>我國競爭力的強項包括：</w:t>
      </w:r>
      <w:r w:rsidRPr="00BD6F71">
        <w:rPr>
          <w:rFonts w:hint="eastAsia"/>
          <w:szCs w:val="28"/>
        </w:rPr>
        <w:t>「商品市場效率</w:t>
      </w:r>
      <w:r w:rsidRPr="00BD6F71">
        <w:rPr>
          <w:szCs w:val="28"/>
        </w:rPr>
        <w:t>(</w:t>
      </w:r>
      <w:r w:rsidRPr="00BD6F71">
        <w:rPr>
          <w:rFonts w:hint="eastAsia"/>
          <w:szCs w:val="28"/>
        </w:rPr>
        <w:t>第</w:t>
      </w:r>
      <w:r w:rsidRPr="00BD6F71">
        <w:rPr>
          <w:szCs w:val="28"/>
        </w:rPr>
        <w:t>11</w:t>
      </w:r>
      <w:r w:rsidRPr="00BD6F71">
        <w:rPr>
          <w:rFonts w:hint="eastAsia"/>
          <w:szCs w:val="28"/>
        </w:rPr>
        <w:t>名</w:t>
      </w:r>
      <w:r w:rsidRPr="00BD6F71">
        <w:rPr>
          <w:szCs w:val="28"/>
        </w:rPr>
        <w:t>)</w:t>
      </w:r>
      <w:r w:rsidRPr="00BD6F71">
        <w:rPr>
          <w:rFonts w:hint="eastAsia"/>
          <w:szCs w:val="28"/>
        </w:rPr>
        <w:t>」、「基礎建設</w:t>
      </w:r>
      <w:r w:rsidRPr="00BD6F71">
        <w:rPr>
          <w:szCs w:val="28"/>
        </w:rPr>
        <w:t>(</w:t>
      </w:r>
      <w:r w:rsidRPr="00BD6F71">
        <w:rPr>
          <w:rFonts w:hint="eastAsia"/>
          <w:szCs w:val="28"/>
        </w:rPr>
        <w:t>第</w:t>
      </w:r>
      <w:r w:rsidRPr="00BD6F71">
        <w:rPr>
          <w:szCs w:val="28"/>
        </w:rPr>
        <w:t>11</w:t>
      </w:r>
      <w:r w:rsidRPr="00BD6F71">
        <w:rPr>
          <w:rFonts w:hint="eastAsia"/>
          <w:szCs w:val="28"/>
        </w:rPr>
        <w:t>名</w:t>
      </w:r>
      <w:r w:rsidRPr="00BD6F71">
        <w:rPr>
          <w:szCs w:val="28"/>
        </w:rPr>
        <w:t>)</w:t>
      </w:r>
      <w:r w:rsidRPr="00BD6F71">
        <w:rPr>
          <w:rFonts w:hint="eastAsia"/>
          <w:szCs w:val="28"/>
        </w:rPr>
        <w:t>」</w:t>
      </w:r>
      <w:r>
        <w:rPr>
          <w:rFonts w:hint="eastAsia"/>
          <w:szCs w:val="28"/>
        </w:rPr>
        <w:t>、</w:t>
      </w:r>
      <w:r w:rsidRPr="00BD6F71">
        <w:rPr>
          <w:rFonts w:hint="eastAsia"/>
          <w:szCs w:val="28"/>
        </w:rPr>
        <w:t>「高等教育與訓練</w:t>
      </w:r>
      <w:r w:rsidRPr="00BD6F71">
        <w:rPr>
          <w:szCs w:val="28"/>
        </w:rPr>
        <w:t>(</w:t>
      </w:r>
      <w:r w:rsidRPr="00BD6F71">
        <w:rPr>
          <w:rFonts w:hint="eastAsia"/>
          <w:szCs w:val="28"/>
        </w:rPr>
        <w:t>第</w:t>
      </w:r>
      <w:r w:rsidRPr="00BD6F71">
        <w:rPr>
          <w:szCs w:val="28"/>
        </w:rPr>
        <w:t>12</w:t>
      </w:r>
      <w:r w:rsidRPr="00BD6F71">
        <w:rPr>
          <w:rFonts w:hint="eastAsia"/>
          <w:szCs w:val="28"/>
        </w:rPr>
        <w:t>名</w:t>
      </w:r>
      <w:r w:rsidRPr="00BD6F71">
        <w:rPr>
          <w:szCs w:val="28"/>
        </w:rPr>
        <w:t>)</w:t>
      </w:r>
      <w:r w:rsidRPr="00BD6F71">
        <w:rPr>
          <w:rFonts w:hint="eastAsia"/>
          <w:szCs w:val="28"/>
        </w:rPr>
        <w:t>」</w:t>
      </w:r>
      <w:r>
        <w:rPr>
          <w:rFonts w:hint="eastAsia"/>
          <w:szCs w:val="28"/>
        </w:rPr>
        <w:t>等中項；細項指標中，以</w:t>
      </w:r>
      <w:r w:rsidRPr="00BD6F71">
        <w:rPr>
          <w:rFonts w:hint="eastAsia"/>
          <w:szCs w:val="28"/>
        </w:rPr>
        <w:t>「當地市場的競爭強度</w:t>
      </w:r>
      <w:r w:rsidRPr="00BD6F71">
        <w:rPr>
          <w:szCs w:val="28"/>
        </w:rPr>
        <w:t>(</w:t>
      </w:r>
      <w:r w:rsidRPr="00BD6F71">
        <w:rPr>
          <w:rFonts w:hint="eastAsia"/>
          <w:szCs w:val="28"/>
        </w:rPr>
        <w:t>第</w:t>
      </w:r>
      <w:r w:rsidRPr="00BD6F71">
        <w:rPr>
          <w:szCs w:val="28"/>
        </w:rPr>
        <w:t>2</w:t>
      </w:r>
      <w:r w:rsidRPr="00BD6F71">
        <w:rPr>
          <w:rFonts w:hint="eastAsia"/>
          <w:szCs w:val="28"/>
        </w:rPr>
        <w:t>名</w:t>
      </w:r>
      <w:r w:rsidRPr="00BD6F71">
        <w:rPr>
          <w:szCs w:val="28"/>
        </w:rPr>
        <w:t>)</w:t>
      </w:r>
      <w:r w:rsidRPr="00BD6F71">
        <w:rPr>
          <w:rFonts w:hint="eastAsia"/>
          <w:szCs w:val="28"/>
        </w:rPr>
        <w:t>」、「企業透過當地股市籌資的容易度</w:t>
      </w:r>
      <w:r w:rsidRPr="00BD6F71">
        <w:rPr>
          <w:szCs w:val="28"/>
        </w:rPr>
        <w:t>(</w:t>
      </w:r>
      <w:r w:rsidRPr="00BD6F71">
        <w:rPr>
          <w:rFonts w:hint="eastAsia"/>
          <w:szCs w:val="28"/>
        </w:rPr>
        <w:t>第</w:t>
      </w:r>
      <w:r w:rsidRPr="00BD6F71">
        <w:rPr>
          <w:szCs w:val="28"/>
        </w:rPr>
        <w:t>2</w:t>
      </w:r>
      <w:r w:rsidRPr="00BD6F71">
        <w:rPr>
          <w:rFonts w:hint="eastAsia"/>
          <w:szCs w:val="28"/>
        </w:rPr>
        <w:t>名</w:t>
      </w:r>
      <w:r w:rsidRPr="00BD6F71">
        <w:rPr>
          <w:szCs w:val="28"/>
        </w:rPr>
        <w:t>)</w:t>
      </w:r>
      <w:r w:rsidRPr="00BD6F71">
        <w:rPr>
          <w:rFonts w:hint="eastAsia"/>
          <w:szCs w:val="28"/>
        </w:rPr>
        <w:t>」、「產業群聚的發展</w:t>
      </w:r>
      <w:r w:rsidRPr="00BD6F71">
        <w:rPr>
          <w:szCs w:val="28"/>
        </w:rPr>
        <w:t>(</w:t>
      </w:r>
      <w:r w:rsidRPr="00BD6F71">
        <w:rPr>
          <w:rFonts w:hint="eastAsia"/>
          <w:szCs w:val="28"/>
        </w:rPr>
        <w:t>第</w:t>
      </w:r>
      <w:r w:rsidRPr="00BD6F71">
        <w:rPr>
          <w:szCs w:val="28"/>
        </w:rPr>
        <w:t>2</w:t>
      </w:r>
      <w:r w:rsidRPr="00BD6F71">
        <w:rPr>
          <w:rFonts w:hint="eastAsia"/>
          <w:szCs w:val="28"/>
        </w:rPr>
        <w:t>名</w:t>
      </w:r>
      <w:r w:rsidRPr="00BD6F71">
        <w:rPr>
          <w:szCs w:val="28"/>
        </w:rPr>
        <w:t>)</w:t>
      </w:r>
      <w:r w:rsidRPr="00BD6F71">
        <w:rPr>
          <w:rFonts w:hint="eastAsia"/>
          <w:szCs w:val="28"/>
        </w:rPr>
        <w:t>」等</w:t>
      </w:r>
      <w:r>
        <w:rPr>
          <w:rFonts w:hint="eastAsia"/>
          <w:szCs w:val="28"/>
        </w:rPr>
        <w:t>表現較強。我國競爭力的弱項則為</w:t>
      </w:r>
      <w:r w:rsidRPr="00BD6F71">
        <w:rPr>
          <w:rFonts w:hint="eastAsia"/>
          <w:szCs w:val="28"/>
        </w:rPr>
        <w:t>「體制</w:t>
      </w:r>
      <w:r w:rsidRPr="00BD6F71">
        <w:rPr>
          <w:szCs w:val="28"/>
        </w:rPr>
        <w:t>(</w:t>
      </w:r>
      <w:r w:rsidRPr="00BD6F71">
        <w:rPr>
          <w:rFonts w:hint="eastAsia"/>
          <w:szCs w:val="28"/>
        </w:rPr>
        <w:t>第</w:t>
      </w:r>
      <w:r w:rsidRPr="00BD6F71">
        <w:rPr>
          <w:szCs w:val="28"/>
        </w:rPr>
        <w:t>27</w:t>
      </w:r>
      <w:r w:rsidRPr="00BD6F71">
        <w:rPr>
          <w:rFonts w:hint="eastAsia"/>
          <w:szCs w:val="28"/>
        </w:rPr>
        <w:t>名</w:t>
      </w:r>
      <w:r w:rsidRPr="00BD6F71">
        <w:rPr>
          <w:szCs w:val="28"/>
        </w:rPr>
        <w:t>)</w:t>
      </w:r>
      <w:r w:rsidRPr="00BD6F71">
        <w:rPr>
          <w:rFonts w:hint="eastAsia"/>
          <w:szCs w:val="28"/>
        </w:rPr>
        <w:t>」</w:t>
      </w:r>
      <w:r>
        <w:rPr>
          <w:rFonts w:hint="eastAsia"/>
          <w:szCs w:val="28"/>
        </w:rPr>
        <w:t>、</w:t>
      </w:r>
      <w:r w:rsidRPr="00BD6F71">
        <w:rPr>
          <w:rFonts w:hint="eastAsia"/>
          <w:szCs w:val="28"/>
        </w:rPr>
        <w:t>「勞動市場效率</w:t>
      </w:r>
      <w:r w:rsidRPr="00BD6F71">
        <w:rPr>
          <w:szCs w:val="28"/>
        </w:rPr>
        <w:t>(</w:t>
      </w:r>
      <w:r w:rsidRPr="00BD6F71">
        <w:rPr>
          <w:rFonts w:hint="eastAsia"/>
          <w:szCs w:val="28"/>
        </w:rPr>
        <w:t>第</w:t>
      </w:r>
      <w:r w:rsidRPr="00BD6F71">
        <w:rPr>
          <w:szCs w:val="28"/>
        </w:rPr>
        <w:t>32</w:t>
      </w:r>
      <w:r w:rsidRPr="00BD6F71">
        <w:rPr>
          <w:rFonts w:hint="eastAsia"/>
          <w:szCs w:val="28"/>
        </w:rPr>
        <w:t>名</w:t>
      </w:r>
      <w:r w:rsidRPr="00BD6F71">
        <w:rPr>
          <w:szCs w:val="28"/>
        </w:rPr>
        <w:t>)</w:t>
      </w:r>
      <w:r w:rsidRPr="00BD6F71">
        <w:rPr>
          <w:rFonts w:hint="eastAsia"/>
          <w:szCs w:val="28"/>
        </w:rPr>
        <w:t>」</w:t>
      </w:r>
      <w:r>
        <w:rPr>
          <w:rFonts w:hint="eastAsia"/>
          <w:szCs w:val="28"/>
        </w:rPr>
        <w:t>等中項；細項指標中，以</w:t>
      </w:r>
      <w:r w:rsidRPr="00BD6F71">
        <w:rPr>
          <w:rFonts w:hint="eastAsia"/>
          <w:szCs w:val="28"/>
        </w:rPr>
        <w:t>「企業由法制來影響政府作為與法規</w:t>
      </w:r>
      <w:r w:rsidRPr="00BD6F71">
        <w:rPr>
          <w:szCs w:val="28"/>
        </w:rPr>
        <w:t>(</w:t>
      </w:r>
      <w:r w:rsidRPr="00BD6F71">
        <w:rPr>
          <w:rFonts w:hint="eastAsia"/>
          <w:szCs w:val="28"/>
        </w:rPr>
        <w:t>第</w:t>
      </w:r>
      <w:r w:rsidRPr="00BD6F71">
        <w:rPr>
          <w:szCs w:val="28"/>
        </w:rPr>
        <w:t>75</w:t>
      </w:r>
      <w:r w:rsidRPr="00BD6F71">
        <w:rPr>
          <w:rFonts w:hint="eastAsia"/>
          <w:szCs w:val="28"/>
        </w:rPr>
        <w:t>名</w:t>
      </w:r>
      <w:r w:rsidRPr="00BD6F71">
        <w:rPr>
          <w:szCs w:val="28"/>
        </w:rPr>
        <w:t>)</w:t>
      </w:r>
      <w:r w:rsidRPr="00BD6F71">
        <w:rPr>
          <w:rFonts w:hint="eastAsia"/>
          <w:szCs w:val="28"/>
        </w:rPr>
        <w:t>」、「婦女勞動參與率</w:t>
      </w:r>
      <w:r w:rsidRPr="00BD6F71">
        <w:rPr>
          <w:szCs w:val="28"/>
        </w:rPr>
        <w:t>(</w:t>
      </w:r>
      <w:r w:rsidRPr="00BD6F71">
        <w:rPr>
          <w:rFonts w:hint="eastAsia"/>
          <w:szCs w:val="28"/>
        </w:rPr>
        <w:t>第</w:t>
      </w:r>
      <w:r w:rsidRPr="00BD6F71">
        <w:rPr>
          <w:szCs w:val="28"/>
        </w:rPr>
        <w:t>89</w:t>
      </w:r>
      <w:r w:rsidRPr="00BD6F71">
        <w:rPr>
          <w:rFonts w:hint="eastAsia"/>
          <w:szCs w:val="28"/>
        </w:rPr>
        <w:t>名</w:t>
      </w:r>
      <w:r w:rsidRPr="00BD6F71">
        <w:rPr>
          <w:szCs w:val="28"/>
        </w:rPr>
        <w:t>)</w:t>
      </w:r>
      <w:r w:rsidRPr="00BD6F71">
        <w:rPr>
          <w:rFonts w:hint="eastAsia"/>
          <w:szCs w:val="28"/>
        </w:rPr>
        <w:t>」等</w:t>
      </w:r>
      <w:r>
        <w:rPr>
          <w:rFonts w:hint="eastAsia"/>
          <w:szCs w:val="28"/>
        </w:rPr>
        <w:t>有待改善。</w:t>
      </w:r>
    </w:p>
    <w:p w:rsidR="00074819" w:rsidRPr="00082255" w:rsidRDefault="00074819" w:rsidP="001969BC">
      <w:pPr>
        <w:snapToGrid/>
        <w:spacing w:afterLines="100" w:line="480" w:lineRule="exact"/>
        <w:ind w:left="31680" w:hangingChars="200" w:firstLine="31680"/>
        <w:rPr>
          <w:szCs w:val="28"/>
        </w:rPr>
      </w:pPr>
      <w:r>
        <w:rPr>
          <w:rFonts w:hint="eastAsia"/>
          <w:szCs w:val="28"/>
        </w:rPr>
        <w:t>三、</w:t>
      </w:r>
      <w:r w:rsidRPr="00C53251">
        <w:rPr>
          <w:rFonts w:hint="eastAsia"/>
          <w:szCs w:val="28"/>
        </w:rPr>
        <w:t>競爭</w:t>
      </w:r>
      <w:r>
        <w:rPr>
          <w:rFonts w:hint="eastAsia"/>
          <w:szCs w:val="28"/>
        </w:rPr>
        <w:t>力評比報告，重點在於讓政府能進一步瞭解施政改善的空間</w:t>
      </w:r>
      <w:r w:rsidRPr="00C53251">
        <w:rPr>
          <w:rFonts w:hint="eastAsia"/>
          <w:szCs w:val="28"/>
        </w:rPr>
        <w:t>。本會刻正針</w:t>
      </w:r>
      <w:r>
        <w:rPr>
          <w:rFonts w:hint="eastAsia"/>
          <w:szCs w:val="28"/>
        </w:rPr>
        <w:t>對今年</w:t>
      </w:r>
      <w:r>
        <w:rPr>
          <w:szCs w:val="28"/>
        </w:rPr>
        <w:t>WEF</w:t>
      </w:r>
      <w:r>
        <w:rPr>
          <w:rFonts w:hint="eastAsia"/>
          <w:szCs w:val="28"/>
        </w:rPr>
        <w:t>評比，分析弱勢和退步項目，供各相關部會針對業管項目</w:t>
      </w:r>
      <w:r w:rsidRPr="00C53251">
        <w:rPr>
          <w:rFonts w:hint="eastAsia"/>
          <w:szCs w:val="28"/>
        </w:rPr>
        <w:t>，確實檢討退步原因、</w:t>
      </w:r>
      <w:r>
        <w:rPr>
          <w:rFonts w:hint="eastAsia"/>
          <w:szCs w:val="28"/>
        </w:rPr>
        <w:t>並</w:t>
      </w:r>
      <w:bookmarkStart w:id="0" w:name="_GoBack"/>
      <w:bookmarkEnd w:id="0"/>
      <w:r w:rsidRPr="00C53251">
        <w:rPr>
          <w:rFonts w:hint="eastAsia"/>
          <w:szCs w:val="28"/>
        </w:rPr>
        <w:t>研提具體改善作法。</w:t>
      </w:r>
    </w:p>
    <w:sectPr w:rsidR="00074819" w:rsidRPr="00082255" w:rsidSect="001326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814" w:bottom="1304" w:left="1814" w:header="113" w:footer="113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819" w:rsidRDefault="00074819" w:rsidP="00943A12">
      <w:pPr>
        <w:spacing w:after="120" w:line="240" w:lineRule="auto"/>
        <w:ind w:firstLine="31680"/>
      </w:pPr>
      <w:r>
        <w:separator/>
      </w:r>
    </w:p>
  </w:endnote>
  <w:endnote w:type="continuationSeparator" w:id="0">
    <w:p w:rsidR="00074819" w:rsidRDefault="00074819" w:rsidP="00943A12">
      <w:pPr>
        <w:spacing w:after="120" w:line="240" w:lineRule="auto"/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819" w:rsidRDefault="00074819" w:rsidP="00943A12">
    <w:pPr>
      <w:pStyle w:val="Footer"/>
      <w:spacing w:after="120"/>
      <w:ind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819" w:rsidRDefault="00074819" w:rsidP="00943A12">
    <w:pPr>
      <w:pStyle w:val="Footer"/>
      <w:spacing w:after="120"/>
      <w:ind w:firstLine="31680"/>
    </w:pPr>
  </w:p>
  <w:p w:rsidR="00074819" w:rsidRDefault="00074819" w:rsidP="00943A12">
    <w:pPr>
      <w:pStyle w:val="Footer"/>
      <w:spacing w:after="120"/>
      <w:ind w:firstLine="316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819" w:rsidRDefault="00074819" w:rsidP="00943A12">
    <w:pPr>
      <w:pStyle w:val="Footer"/>
      <w:spacing w:after="120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819" w:rsidRDefault="00074819" w:rsidP="00943A12">
      <w:pPr>
        <w:spacing w:after="120" w:line="240" w:lineRule="auto"/>
        <w:ind w:firstLine="31680"/>
      </w:pPr>
      <w:r>
        <w:separator/>
      </w:r>
    </w:p>
  </w:footnote>
  <w:footnote w:type="continuationSeparator" w:id="0">
    <w:p w:rsidR="00074819" w:rsidRDefault="00074819" w:rsidP="00943A12">
      <w:pPr>
        <w:spacing w:after="120" w:line="240" w:lineRule="auto"/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819" w:rsidRDefault="00074819" w:rsidP="00943A12">
    <w:pPr>
      <w:pStyle w:val="Header"/>
      <w:spacing w:after="120"/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819" w:rsidRDefault="00074819" w:rsidP="00943A12">
    <w:pPr>
      <w:pStyle w:val="Header"/>
      <w:spacing w:after="120"/>
      <w:ind w:firstLine="316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819" w:rsidRDefault="00074819" w:rsidP="00943A12">
    <w:pPr>
      <w:pStyle w:val="Header"/>
      <w:spacing w:after="120"/>
      <w:ind w:firstLine="316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6A01"/>
    <w:multiLevelType w:val="hybridMultilevel"/>
    <w:tmpl w:val="7FF0C24A"/>
    <w:lvl w:ilvl="0" w:tplc="12382F68">
      <w:start w:val="1"/>
      <w:numFmt w:val="ideographLegalTraditional"/>
      <w:pStyle w:val="Heading1"/>
      <w:lvlText w:val="%1、"/>
      <w:lvlJc w:val="left"/>
      <w:pPr>
        <w:ind w:left="480" w:hanging="480"/>
      </w:pPr>
      <w:rPr>
        <w:rFonts w:cs="Times New Roman"/>
      </w:rPr>
    </w:lvl>
    <w:lvl w:ilvl="1" w:tplc="6EBCC31C">
      <w:start w:val="1"/>
      <w:numFmt w:val="taiwaneseCountingThousand"/>
      <w:pStyle w:val="Heading2"/>
      <w:lvlText w:val="%2、"/>
      <w:lvlJc w:val="left"/>
      <w:pPr>
        <w:ind w:left="960" w:hanging="480"/>
      </w:pPr>
      <w:rPr>
        <w:rFonts w:cs="Times New Roman"/>
      </w:rPr>
    </w:lvl>
    <w:lvl w:ilvl="2" w:tplc="32762268">
      <w:start w:val="1"/>
      <w:numFmt w:val="taiwaneseCountingThousand"/>
      <w:pStyle w:val="Heading3"/>
      <w:lvlText w:val="（%3）"/>
      <w:lvlJc w:val="left"/>
      <w:pPr>
        <w:ind w:left="1440" w:hanging="480"/>
      </w:pPr>
      <w:rPr>
        <w:rFonts w:cs="Times New Roman" w:hint="eastAsia"/>
      </w:rPr>
    </w:lvl>
    <w:lvl w:ilvl="3" w:tplc="AC500E2E">
      <w:start w:val="1"/>
      <w:numFmt w:val="decimal"/>
      <w:pStyle w:val="Heading4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A686FA4"/>
    <w:multiLevelType w:val="hybridMultilevel"/>
    <w:tmpl w:val="4BBE41BE"/>
    <w:lvl w:ilvl="0" w:tplc="32FEAD8E">
      <w:start w:val="1"/>
      <w:numFmt w:val="bullet"/>
      <w:lvlText w:val="−"/>
      <w:lvlJc w:val="left"/>
      <w:pPr>
        <w:ind w:left="960" w:hanging="4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7E2F3241"/>
    <w:multiLevelType w:val="hybridMultilevel"/>
    <w:tmpl w:val="62F023A4"/>
    <w:lvl w:ilvl="0" w:tplc="327ADB4E">
      <w:start w:val="1"/>
      <w:numFmt w:val="taiwaneseCountingThousand"/>
      <w:lvlText w:val="%1、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2C0"/>
    <w:rsid w:val="00010B21"/>
    <w:rsid w:val="000153EC"/>
    <w:rsid w:val="0003351E"/>
    <w:rsid w:val="000608AB"/>
    <w:rsid w:val="00074819"/>
    <w:rsid w:val="00082255"/>
    <w:rsid w:val="00090012"/>
    <w:rsid w:val="000A54ED"/>
    <w:rsid w:val="000A7D94"/>
    <w:rsid w:val="000C588F"/>
    <w:rsid w:val="000F2C1C"/>
    <w:rsid w:val="0011576C"/>
    <w:rsid w:val="00132641"/>
    <w:rsid w:val="00134895"/>
    <w:rsid w:val="001401AD"/>
    <w:rsid w:val="001442A5"/>
    <w:rsid w:val="0017638C"/>
    <w:rsid w:val="00183EF7"/>
    <w:rsid w:val="001969BC"/>
    <w:rsid w:val="001A3D45"/>
    <w:rsid w:val="001B178B"/>
    <w:rsid w:val="001C3C95"/>
    <w:rsid w:val="001E3447"/>
    <w:rsid w:val="00203EC7"/>
    <w:rsid w:val="00226945"/>
    <w:rsid w:val="00227941"/>
    <w:rsid w:val="00265823"/>
    <w:rsid w:val="00277E94"/>
    <w:rsid w:val="002805F0"/>
    <w:rsid w:val="00285E86"/>
    <w:rsid w:val="00291EA6"/>
    <w:rsid w:val="002F42BC"/>
    <w:rsid w:val="003005A0"/>
    <w:rsid w:val="00302E55"/>
    <w:rsid w:val="00337410"/>
    <w:rsid w:val="00350F47"/>
    <w:rsid w:val="00356BF6"/>
    <w:rsid w:val="003859AF"/>
    <w:rsid w:val="003A1C24"/>
    <w:rsid w:val="003A6B70"/>
    <w:rsid w:val="003D1D8C"/>
    <w:rsid w:val="003D5C5F"/>
    <w:rsid w:val="00426A18"/>
    <w:rsid w:val="00441F92"/>
    <w:rsid w:val="00447A4E"/>
    <w:rsid w:val="00473617"/>
    <w:rsid w:val="00490781"/>
    <w:rsid w:val="00496F60"/>
    <w:rsid w:val="004E5006"/>
    <w:rsid w:val="004F07CA"/>
    <w:rsid w:val="004F3679"/>
    <w:rsid w:val="0050355C"/>
    <w:rsid w:val="00527FAB"/>
    <w:rsid w:val="0054158B"/>
    <w:rsid w:val="0058191C"/>
    <w:rsid w:val="00582C62"/>
    <w:rsid w:val="005D41DE"/>
    <w:rsid w:val="005E18F4"/>
    <w:rsid w:val="005E2F1A"/>
    <w:rsid w:val="005F0315"/>
    <w:rsid w:val="006157D5"/>
    <w:rsid w:val="00673F75"/>
    <w:rsid w:val="006B07C2"/>
    <w:rsid w:val="006D34C6"/>
    <w:rsid w:val="006F2EB6"/>
    <w:rsid w:val="006F5068"/>
    <w:rsid w:val="007031A3"/>
    <w:rsid w:val="00716ABF"/>
    <w:rsid w:val="00722265"/>
    <w:rsid w:val="007434D4"/>
    <w:rsid w:val="0075211B"/>
    <w:rsid w:val="00755AF3"/>
    <w:rsid w:val="00792011"/>
    <w:rsid w:val="007B0012"/>
    <w:rsid w:val="007B4C2F"/>
    <w:rsid w:val="007B5D4F"/>
    <w:rsid w:val="007D0AF2"/>
    <w:rsid w:val="0081078D"/>
    <w:rsid w:val="00825FFD"/>
    <w:rsid w:val="00867AAF"/>
    <w:rsid w:val="008857C3"/>
    <w:rsid w:val="0089268C"/>
    <w:rsid w:val="008A7AE0"/>
    <w:rsid w:val="00943A12"/>
    <w:rsid w:val="009648CB"/>
    <w:rsid w:val="00996E4D"/>
    <w:rsid w:val="009B1874"/>
    <w:rsid w:val="009D21BF"/>
    <w:rsid w:val="009D54DF"/>
    <w:rsid w:val="00A05DDA"/>
    <w:rsid w:val="00A36E20"/>
    <w:rsid w:val="00A403B1"/>
    <w:rsid w:val="00A90836"/>
    <w:rsid w:val="00A92B96"/>
    <w:rsid w:val="00AC479B"/>
    <w:rsid w:val="00AD559E"/>
    <w:rsid w:val="00AE4BF5"/>
    <w:rsid w:val="00B15333"/>
    <w:rsid w:val="00B15526"/>
    <w:rsid w:val="00B23B7E"/>
    <w:rsid w:val="00B44E01"/>
    <w:rsid w:val="00B70B8F"/>
    <w:rsid w:val="00B724BA"/>
    <w:rsid w:val="00BA2A3D"/>
    <w:rsid w:val="00BB17F2"/>
    <w:rsid w:val="00BC49EE"/>
    <w:rsid w:val="00BD6F71"/>
    <w:rsid w:val="00BF1519"/>
    <w:rsid w:val="00C01D1D"/>
    <w:rsid w:val="00C224A1"/>
    <w:rsid w:val="00C355FA"/>
    <w:rsid w:val="00C53251"/>
    <w:rsid w:val="00C626DE"/>
    <w:rsid w:val="00C62C42"/>
    <w:rsid w:val="00C8011E"/>
    <w:rsid w:val="00C915E5"/>
    <w:rsid w:val="00C97F8B"/>
    <w:rsid w:val="00CC2423"/>
    <w:rsid w:val="00CE62E8"/>
    <w:rsid w:val="00D00E3C"/>
    <w:rsid w:val="00D11759"/>
    <w:rsid w:val="00D15962"/>
    <w:rsid w:val="00D17652"/>
    <w:rsid w:val="00D44302"/>
    <w:rsid w:val="00D54593"/>
    <w:rsid w:val="00D71B93"/>
    <w:rsid w:val="00D74EB6"/>
    <w:rsid w:val="00D75803"/>
    <w:rsid w:val="00DC17AE"/>
    <w:rsid w:val="00DD1BA2"/>
    <w:rsid w:val="00DE2384"/>
    <w:rsid w:val="00DF0996"/>
    <w:rsid w:val="00E04CE8"/>
    <w:rsid w:val="00E11CCA"/>
    <w:rsid w:val="00E14831"/>
    <w:rsid w:val="00E422EE"/>
    <w:rsid w:val="00E901B6"/>
    <w:rsid w:val="00EA32C0"/>
    <w:rsid w:val="00EA55E8"/>
    <w:rsid w:val="00EA6AD2"/>
    <w:rsid w:val="00EB5588"/>
    <w:rsid w:val="00EE1543"/>
    <w:rsid w:val="00EE1BCE"/>
    <w:rsid w:val="00F12AD0"/>
    <w:rsid w:val="00F15C5C"/>
    <w:rsid w:val="00F16817"/>
    <w:rsid w:val="00F178B8"/>
    <w:rsid w:val="00F37044"/>
    <w:rsid w:val="00F741CC"/>
    <w:rsid w:val="00F91CB2"/>
    <w:rsid w:val="00FB6048"/>
    <w:rsid w:val="00FD7E18"/>
    <w:rsid w:val="00FE6E91"/>
    <w:rsid w:val="00FF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8011E"/>
    <w:pPr>
      <w:widowControl w:val="0"/>
      <w:snapToGrid w:val="0"/>
      <w:spacing w:afterLines="50" w:line="440" w:lineRule="atLeast"/>
      <w:ind w:firstLineChars="200" w:firstLine="200"/>
      <w:jc w:val="both"/>
    </w:pPr>
    <w:rPr>
      <w:rFonts w:ascii="Times New Roman" w:eastAsia="標楷體" w:hAnsi="Times New Roman"/>
      <w:sz w:val="28"/>
      <w:szCs w:val="20"/>
    </w:rPr>
  </w:style>
  <w:style w:type="paragraph" w:styleId="Heading1">
    <w:name w:val="heading 1"/>
    <w:basedOn w:val="ListParagraph"/>
    <w:next w:val="Normal"/>
    <w:link w:val="Heading1Char"/>
    <w:uiPriority w:val="99"/>
    <w:qFormat/>
    <w:rsid w:val="00C8011E"/>
    <w:pPr>
      <w:numPr>
        <w:numId w:val="5"/>
      </w:numPr>
      <w:spacing w:beforeLines="100" w:afterLines="100"/>
      <w:ind w:leftChars="0" w:left="0" w:firstLineChars="0" w:firstLine="0"/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C8011E"/>
    <w:pPr>
      <w:numPr>
        <w:ilvl w:val="1"/>
      </w:numPr>
      <w:spacing w:afterLines="50"/>
      <w:jc w:val="left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C8011E"/>
    <w:pPr>
      <w:numPr>
        <w:ilvl w:val="2"/>
      </w:numPr>
      <w:spacing w:after="18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C8011E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C8011E"/>
    <w:pPr>
      <w:keepNext/>
      <w:spacing w:line="720" w:lineRule="atLeast"/>
      <w:ind w:leftChars="200" w:left="200"/>
      <w:outlineLvl w:val="4"/>
    </w:pPr>
    <w:rPr>
      <w:rFonts w:ascii="Cambria" w:eastAsia="新細明體" w:hAnsi="Cambria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011E"/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011E"/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011E"/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8011E"/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8011E"/>
    <w:rPr>
      <w:rFonts w:ascii="Cambria" w:eastAsia="新細明體" w:hAnsi="Cambria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99"/>
    <w:qFormat/>
    <w:rsid w:val="00C8011E"/>
    <w:pPr>
      <w:ind w:leftChars="200" w:left="480"/>
    </w:pPr>
  </w:style>
  <w:style w:type="paragraph" w:styleId="TOC1">
    <w:name w:val="toc 1"/>
    <w:basedOn w:val="Normal"/>
    <w:next w:val="Normal"/>
    <w:autoRedefine/>
    <w:uiPriority w:val="99"/>
    <w:rsid w:val="00C8011E"/>
    <w:pPr>
      <w:widowControl/>
      <w:tabs>
        <w:tab w:val="left" w:pos="960"/>
        <w:tab w:val="right" w:leader="dot" w:pos="9060"/>
      </w:tabs>
      <w:snapToGrid/>
      <w:spacing w:afterLines="0" w:line="276" w:lineRule="auto"/>
      <w:ind w:firstLineChars="0" w:firstLine="0"/>
      <w:jc w:val="left"/>
    </w:pPr>
    <w:rPr>
      <w:noProof/>
      <w:kern w:val="0"/>
      <w:szCs w:val="28"/>
    </w:rPr>
  </w:style>
  <w:style w:type="paragraph" w:styleId="TOC2">
    <w:name w:val="toc 2"/>
    <w:basedOn w:val="Normal"/>
    <w:next w:val="Normal"/>
    <w:autoRedefine/>
    <w:uiPriority w:val="99"/>
    <w:rsid w:val="00C8011E"/>
    <w:pPr>
      <w:ind w:leftChars="200" w:left="480"/>
    </w:pPr>
  </w:style>
  <w:style w:type="paragraph" w:styleId="TOC3">
    <w:name w:val="toc 3"/>
    <w:basedOn w:val="Normal"/>
    <w:next w:val="Normal"/>
    <w:autoRedefine/>
    <w:uiPriority w:val="99"/>
    <w:rsid w:val="00C8011E"/>
    <w:pPr>
      <w:ind w:leftChars="400" w:left="960"/>
    </w:pPr>
  </w:style>
  <w:style w:type="paragraph" w:styleId="TOCHeading">
    <w:name w:val="TOC Heading"/>
    <w:basedOn w:val="Heading1"/>
    <w:next w:val="Normal"/>
    <w:uiPriority w:val="99"/>
    <w:qFormat/>
    <w:rsid w:val="00C8011E"/>
    <w:pPr>
      <w:keepLines/>
      <w:widowControl/>
      <w:numPr>
        <w:numId w:val="0"/>
      </w:numPr>
      <w:snapToGrid/>
      <w:spacing w:before="480" w:afterLines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A32C0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32C0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02E55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02E55"/>
    <w:rPr>
      <w:rFonts w:ascii="Times New Roman" w:eastAsia="標楷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2E55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02E55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94</Words>
  <Characters>541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國家發展委員會 回應稿</dc:title>
  <dc:subject/>
  <dc:creator>趙文志</dc:creator>
  <cp:keywords/>
  <dc:description/>
  <cp:lastModifiedBy>Jim Chou</cp:lastModifiedBy>
  <cp:revision>2</cp:revision>
  <cp:lastPrinted>2014-09-04T11:41:00Z</cp:lastPrinted>
  <dcterms:created xsi:type="dcterms:W3CDTF">2014-09-04T13:52:00Z</dcterms:created>
  <dcterms:modified xsi:type="dcterms:W3CDTF">2014-09-04T13:52:00Z</dcterms:modified>
</cp:coreProperties>
</file>