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98" w:rsidRPr="003F3254" w:rsidRDefault="00D3711E" w:rsidP="00AF5B98">
      <w:pPr>
        <w:widowControl/>
        <w:spacing w:afterLines="100" w:after="360" w:line="500" w:lineRule="exact"/>
        <w:textAlignment w:val="top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0B973022" wp14:editId="421E3E13">
            <wp:extent cx="1132609" cy="226097"/>
            <wp:effectExtent l="0" t="0" r="0" b="25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836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 </w:t>
      </w:r>
    </w:p>
    <w:p w:rsidR="00AF5B98" w:rsidRPr="00AF5B98" w:rsidRDefault="00AF5B98" w:rsidP="00EC2C5E">
      <w:pPr>
        <w:widowControl/>
        <w:spacing w:afterLines="50" w:after="180" w:line="500" w:lineRule="exact"/>
        <w:jc w:val="center"/>
        <w:textAlignment w:val="top"/>
        <w:rPr>
          <w:rFonts w:ascii="微軟正黑體" w:eastAsia="微軟正黑體" w:hAnsi="微軟正黑體" w:cs="Times New Roman"/>
          <w:b/>
          <w:color w:val="FF0000"/>
          <w:sz w:val="40"/>
          <w:szCs w:val="40"/>
        </w:rPr>
      </w:pP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國家發展委員會 回應稿</w:t>
      </w:r>
    </w:p>
    <w:p w:rsidR="00E44D66" w:rsidRPr="00913C69" w:rsidRDefault="00913C69" w:rsidP="00E44D66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b/>
          <w:sz w:val="36"/>
          <w:szCs w:val="36"/>
        </w:rPr>
      </w:pPr>
      <w:r w:rsidRPr="00913C69">
        <w:rPr>
          <w:rFonts w:ascii="標楷體" w:eastAsia="標楷體" w:hAnsi="標楷體" w:cs="Times New Roman" w:hint="eastAsia"/>
          <w:b/>
          <w:sz w:val="36"/>
          <w:szCs w:val="36"/>
        </w:rPr>
        <w:t>針對</w:t>
      </w:r>
      <w:r w:rsidR="00382060">
        <w:rPr>
          <w:rFonts w:ascii="標楷體" w:eastAsia="標楷體" w:hAnsi="標楷體" w:cs="Times New Roman" w:hint="eastAsia"/>
          <w:b/>
          <w:sz w:val="36"/>
          <w:szCs w:val="36"/>
        </w:rPr>
        <w:t>部分團體質疑</w:t>
      </w:r>
      <w:r w:rsidR="00137836" w:rsidRPr="00913C69">
        <w:rPr>
          <w:rFonts w:ascii="標楷體" w:eastAsia="標楷體" w:hAnsi="標楷體" w:cs="Times New Roman" w:hint="eastAsia"/>
          <w:b/>
          <w:sz w:val="36"/>
          <w:szCs w:val="36"/>
        </w:rPr>
        <w:t>示範區</w:t>
      </w:r>
      <w:r w:rsidR="00382060">
        <w:rPr>
          <w:rFonts w:ascii="標楷體" w:eastAsia="標楷體" w:hAnsi="標楷體" w:cs="Times New Roman" w:hint="eastAsia"/>
          <w:b/>
          <w:sz w:val="36"/>
          <w:szCs w:val="36"/>
        </w:rPr>
        <w:t>政策</w:t>
      </w:r>
      <w:r w:rsidRPr="00913C69">
        <w:rPr>
          <w:rFonts w:ascii="標楷體" w:eastAsia="標楷體" w:hAnsi="標楷體" w:cs="Times New Roman" w:hint="eastAsia"/>
          <w:b/>
          <w:sz w:val="36"/>
          <w:szCs w:val="36"/>
        </w:rPr>
        <w:t>之回應</w:t>
      </w:r>
    </w:p>
    <w:p w:rsidR="00AF5B98" w:rsidRPr="00AD17CF" w:rsidRDefault="00AF5B98" w:rsidP="00B13BEC">
      <w:pPr>
        <w:snapToGrid w:val="0"/>
        <w:spacing w:line="500" w:lineRule="exact"/>
        <w:jc w:val="right"/>
        <w:rPr>
          <w:rFonts w:ascii="Calibri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[</w:t>
      </w:r>
      <w:r w:rsidR="0013534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詹方冠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/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國家發展委員會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產業發展處處長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，電話：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02-2316</w:t>
      </w:r>
      <w:r w:rsidR="00B13BEC"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-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585</w:t>
      </w:r>
      <w:r w:rsidR="0013534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0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]</w:t>
      </w:r>
    </w:p>
    <w:p w:rsidR="003F3254" w:rsidRPr="00AD17CF" w:rsidRDefault="00B13BEC" w:rsidP="003029D0">
      <w:pPr>
        <w:snapToGrid w:val="0"/>
        <w:spacing w:line="440" w:lineRule="exact"/>
        <w:jc w:val="righ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103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年</w:t>
      </w:r>
      <w:r w:rsidR="00E44D6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5</w:t>
      </w: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382060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14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</w:p>
    <w:p w:rsidR="00AF5B98" w:rsidRPr="003F3254" w:rsidRDefault="00382060" w:rsidP="003029D0">
      <w:pPr>
        <w:widowControl/>
        <w:snapToGrid w:val="0"/>
        <w:spacing w:beforeLines="50" w:before="180" w:line="44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部分團體</w:t>
      </w:r>
      <w:r w:rsidR="00C23A0D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="00C23A0D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月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14</w:t>
      </w:r>
      <w:r w:rsidR="00C23A0D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日</w:t>
      </w:r>
      <w:r w:rsid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提出</w:t>
      </w:r>
      <w:r w:rsidR="00D120F7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示範區政策</w:t>
      </w:r>
      <w:r w:rsid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的</w:t>
      </w:r>
      <w:r w:rsidR="00E64A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8</w:t>
      </w:r>
      <w:r w:rsidR="00E64A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項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疑義，</w:t>
      </w:r>
      <w:r w:rsidR="00E64A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皆與事實不符，</w:t>
      </w:r>
      <w:r w:rsid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本</w:t>
      </w:r>
      <w:r w:rsidR="00D120F7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會</w:t>
      </w:r>
      <w:r w:rsidR="00E64A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之澄清內容如後附表，並</w:t>
      </w:r>
      <w:r w:rsidR="00D120F7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說明如下。</w:t>
      </w:r>
    </w:p>
    <w:p w:rsidR="00E83C4A" w:rsidRPr="00E83C4A" w:rsidRDefault="00E83C4A" w:rsidP="003029D0">
      <w:pPr>
        <w:widowControl/>
        <w:snapToGrid w:val="0"/>
        <w:spacing w:before="120" w:line="440" w:lineRule="exact"/>
        <w:ind w:left="567" w:hangingChars="177" w:hanging="567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E83C4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一、</w:t>
      </w:r>
      <w:r w:rsidR="00224305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政府持續提升糧食自給率，且沒有鬆綁</w:t>
      </w:r>
      <w:r w:rsidR="00224305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MIT</w:t>
      </w:r>
      <w:r w:rsidR="00224305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規定</w:t>
      </w:r>
    </w:p>
    <w:p w:rsidR="00224305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為確保國家糧食安全，政府已從生產面</w:t>
      </w:r>
      <w:r w:rsidR="00504AC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（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如農地復耕</w:t>
      </w:r>
      <w:r w:rsidR="00504AC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）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及消費面</w:t>
      </w:r>
      <w:r w:rsidR="00504AC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（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如地產地消</w:t>
      </w:r>
      <w:r w:rsidR="00504AC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）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提升糧食自給率，期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於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2020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年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達成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糧食自給率提升為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40%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之目標。</w:t>
      </w:r>
    </w:p>
    <w:p w:rsidR="005D63D5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農產品</w:t>
      </w:r>
      <w:proofErr w:type="gramStart"/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如需掛上</w:t>
      </w:r>
      <w:proofErr w:type="gramEnd"/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MIT</w:t>
      </w:r>
      <w:r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，仍需依「原產地證明書及加工證明書管理辦法」辦理，沒有任何鬆綁。</w:t>
      </w:r>
    </w:p>
    <w:p w:rsidR="005D63D5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5D63D5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二、</w:t>
      </w:r>
      <w:r w:rsidR="005D63D5" w:rsidRPr="005D63D5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新設示範區環評審</w:t>
      </w:r>
      <w:proofErr w:type="gramStart"/>
      <w:r w:rsidR="005D63D5" w:rsidRPr="005D63D5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查均依現行</w:t>
      </w:r>
      <w:proofErr w:type="gramEnd"/>
      <w:r w:rsidR="005D63D5" w:rsidRPr="005D63D5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規定辦理</w:t>
      </w:r>
    </w:p>
    <w:p w:rsidR="0022086D" w:rsidRDefault="00FE3DF6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FE3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Pr="00FE3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配合立法院召開</w:t>
      </w:r>
      <w:r w:rsidRPr="00FE3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Pr="00FE3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場公聽會，</w:t>
      </w:r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新設示範區已刪除環評審查「平行」與「聯席審查」之規定，</w:t>
      </w:r>
      <w:proofErr w:type="gramStart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均依現行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規定辦理。</w:t>
      </w:r>
    </w:p>
    <w:p w:rsidR="0022086D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22086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三、</w:t>
      </w:r>
      <w:r w:rsidR="00CE3091" w:rsidRPr="0022086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保育類野生動物活體</w:t>
      </w:r>
      <w:proofErr w:type="gramStart"/>
      <w:r w:rsidR="00CE3091" w:rsidRPr="0022086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輸出入限縮</w:t>
      </w:r>
      <w:proofErr w:type="gramEnd"/>
      <w:r w:rsidR="00CE3091" w:rsidRPr="0022086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為「觀賞水族動物」</w:t>
      </w:r>
    </w:p>
    <w:p w:rsidR="001E5029" w:rsidRDefault="0022086D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22086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Pr="0022086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配合立法院召開</w:t>
      </w:r>
      <w:r w:rsidRPr="0022086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Pr="0022086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場公聽會，</w:t>
      </w:r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保育類野生動物活體輸出入，已限縮為「觀賞水族動物」。且進口之觀賞水族動物未經農委會同意，也不得流出示範區。</w:t>
      </w:r>
    </w:p>
    <w:p w:rsidR="001E5029" w:rsidRPr="001E5029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1E502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四、</w:t>
      </w:r>
      <w:r w:rsidR="001E5029" w:rsidRPr="001E502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示範區未開放任何大陸人士來</w:t>
      </w:r>
      <w:proofErr w:type="gramStart"/>
      <w:r w:rsidR="001E5029" w:rsidRPr="001E502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臺</w:t>
      </w:r>
      <w:proofErr w:type="gramEnd"/>
      <w:r w:rsidR="001E5029" w:rsidRPr="001E502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工作</w:t>
      </w:r>
    </w:p>
    <w:p w:rsidR="00D943F2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示範區並未開放任何大陸人士來</w:t>
      </w:r>
      <w:proofErr w:type="gramStart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工作</w:t>
      </w:r>
      <w:r w:rsidR="00D943F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D943F2" w:rsidRDefault="00D943F2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D943F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大陸專業人士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於示範區</w:t>
      </w:r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商務居留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，須由一定規模以上的示範事業始可申請，且</w:t>
      </w:r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仍有資格門檻等相關限制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，將於特別條例通過</w:t>
      </w:r>
      <w:proofErr w:type="gramStart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後於子法</w:t>
      </w:r>
      <w:proofErr w:type="gramEnd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訂定</w:t>
      </w:r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3029D0" w:rsidRDefault="003029D0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</w:p>
    <w:p w:rsidR="00D943F2" w:rsidRPr="00D943F2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D943F2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lastRenderedPageBreak/>
        <w:t>五、</w:t>
      </w:r>
      <w:r w:rsidR="00D943F2" w:rsidRPr="00D943F2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示範區推動國際醫療有助於充裕健保財源</w:t>
      </w:r>
    </w:p>
    <w:p w:rsidR="00D943F2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自費醫療並非「階級化」，而</w:t>
      </w:r>
      <w:r w:rsidR="00D943F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是提供醫療服務的「差異化」，亦不得使用健保，不影響國人就醫權益。</w:t>
      </w:r>
    </w:p>
    <w:p w:rsidR="00C413BB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國際醫療專辦機構須</w:t>
      </w:r>
      <w:proofErr w:type="gramStart"/>
      <w:r w:rsidR="00D943F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提撥</w:t>
      </w:r>
      <w:proofErr w:type="gramEnd"/>
      <w:r w:rsidR="00D943F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一定比率</w:t>
      </w:r>
      <w:r w:rsidR="007472C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的特許費</w:t>
      </w:r>
      <w:proofErr w:type="gramStart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挹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注健保，</w:t>
      </w:r>
      <w:r w:rsidR="00D943F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有助於</w:t>
      </w:r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充裕健保財源。</w:t>
      </w:r>
    </w:p>
    <w:p w:rsidR="00C413BB" w:rsidRPr="00C413BB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C413B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六、</w:t>
      </w:r>
      <w:r w:rsidR="00C413BB" w:rsidRPr="00C413B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示範區租稅獎勵是擴大稅基</w:t>
      </w:r>
      <w:r w:rsidR="00E3075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；也不會</w:t>
      </w:r>
      <w:proofErr w:type="gramStart"/>
      <w:r w:rsidR="00E3075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造成屯地炒作</w:t>
      </w:r>
      <w:proofErr w:type="gramEnd"/>
    </w:p>
    <w:p w:rsidR="00E3075B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示範區租稅獎勵是在</w:t>
      </w:r>
      <w:r w:rsidR="004C2C8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創造原先不存在的商業機會，擴大稅基，而非在現有的租稅基礎上減稅，</w:t>
      </w:r>
      <w:r w:rsidR="003029D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且</w:t>
      </w:r>
      <w:r w:rsidR="003029D0" w:rsidRPr="003029D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依據稅式支出評估，租稅淨效益介於新臺幣</w:t>
      </w:r>
      <w:r w:rsidR="003029D0" w:rsidRPr="003029D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0.29~1.45</w:t>
      </w:r>
      <w:r w:rsidR="003029D0" w:rsidRPr="003029D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億元。</w:t>
      </w:r>
    </w:p>
    <w:p w:rsidR="00E3075B" w:rsidRDefault="00E3075B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E3075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為</w:t>
      </w:r>
      <w:proofErr w:type="gramStart"/>
      <w:r w:rsidRPr="00E3075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防止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屯地</w:t>
      </w:r>
      <w:r w:rsidRPr="00E3075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炒作</w:t>
      </w:r>
      <w:proofErr w:type="gramEnd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Pr="00E3075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既有園區土地依原土地租售規定辦理，新設示範區亦有規定：核定後、開發前，</w:t>
      </w:r>
      <w:r w:rsidRPr="00E3075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2</w:t>
      </w:r>
      <w:r w:rsidRPr="00E3075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年內禁止土地所有權移轉；區內私有土地如要轉售、轉租，應經管理機關核准。未依規定使用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可由</w:t>
      </w:r>
      <w:r w:rsidRPr="00E3075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管理機關照價收買。</w:t>
      </w:r>
    </w:p>
    <w:p w:rsidR="00C413BB" w:rsidRPr="00C413BB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C413B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七、</w:t>
      </w:r>
      <w:r w:rsidR="00C413BB" w:rsidRPr="00C413B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教育創新是提升國內辦學品質</w:t>
      </w:r>
    </w:p>
    <w:p w:rsidR="00C413BB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示範區讓國內大學與國外績優大學合作辦學，是提升</w:t>
      </w:r>
      <w:r w:rsidR="00C413BB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國內</w:t>
      </w:r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辦學品質。</w:t>
      </w:r>
    </w:p>
    <w:p w:rsidR="00C413BB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國內外大學的合作案，須經過教育部嚴謹審查，不會驟然擴大辦理或流於浮濫。</w:t>
      </w:r>
    </w:p>
    <w:p w:rsidR="00C413BB" w:rsidRPr="004F55FB" w:rsidRDefault="00224305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4F55F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八、</w:t>
      </w:r>
      <w:r w:rsidR="004F55FB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管制性大陸產品不得流入國內市場</w:t>
      </w:r>
    </w:p>
    <w:p w:rsidR="00C413BB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加工後的管制性大陸產品如仍屬管制品，須全數外銷，不得流入國內市場。</w:t>
      </w:r>
    </w:p>
    <w:p w:rsidR="00224305" w:rsidRDefault="001E5029" w:rsidP="003029D0">
      <w:pPr>
        <w:widowControl/>
        <w:snapToGrid w:val="0"/>
        <w:spacing w:before="120" w:line="440" w:lineRule="exact"/>
        <w:ind w:left="362" w:hangingChars="113" w:hanging="362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1E502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224305" w:rsidRPr="002243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如轉型為依法可輸入的品項，仍須課徵關稅、營業稅、貨物稅等進口稅費才可內銷。</w:t>
      </w:r>
    </w:p>
    <w:p w:rsidR="0025582A" w:rsidRDefault="0025582A" w:rsidP="003029D0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</w:p>
    <w:p w:rsidR="003029D0" w:rsidRDefault="003029D0" w:rsidP="003029D0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  <w:sectPr w:rsidR="003029D0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0A33A1" w:rsidRPr="00677A57" w:rsidRDefault="00382060" w:rsidP="00AA4A9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部份團體</w:t>
      </w:r>
      <w:r w:rsidR="000A33A1">
        <w:rPr>
          <w:rFonts w:ascii="微軟正黑體" w:eastAsia="微軟正黑體" w:hAnsi="微軟正黑體" w:hint="eastAsia"/>
          <w:b/>
          <w:sz w:val="32"/>
          <w:szCs w:val="32"/>
        </w:rPr>
        <w:t>針對</w:t>
      </w:r>
      <w:r w:rsidR="000A33A1" w:rsidRPr="00635266">
        <w:rPr>
          <w:rFonts w:ascii="微軟正黑體" w:eastAsia="微軟正黑體" w:hAnsi="微軟正黑體" w:hint="eastAsia"/>
          <w:b/>
          <w:sz w:val="32"/>
          <w:szCs w:val="32"/>
        </w:rPr>
        <w:t>示範區</w:t>
      </w:r>
      <w:r w:rsidR="000A33A1">
        <w:rPr>
          <w:rFonts w:ascii="微軟正黑體" w:eastAsia="微軟正黑體" w:hAnsi="微軟正黑體" w:hint="eastAsia"/>
          <w:b/>
          <w:sz w:val="32"/>
          <w:szCs w:val="32"/>
        </w:rPr>
        <w:t>所提</w:t>
      </w:r>
      <w:r>
        <w:rPr>
          <w:rFonts w:ascii="微軟正黑體" w:eastAsia="微軟正黑體" w:hAnsi="微軟正黑體" w:hint="eastAsia"/>
          <w:b/>
          <w:sz w:val="32"/>
          <w:szCs w:val="32"/>
        </w:rPr>
        <w:t>8</w:t>
      </w:r>
      <w:r w:rsidR="000A33A1">
        <w:rPr>
          <w:rFonts w:ascii="微軟正黑體" w:eastAsia="微軟正黑體" w:hAnsi="微軟正黑體" w:hint="eastAsia"/>
          <w:b/>
          <w:sz w:val="32"/>
          <w:szCs w:val="32"/>
        </w:rPr>
        <w:t>項</w:t>
      </w:r>
      <w:r>
        <w:rPr>
          <w:rFonts w:ascii="微軟正黑體" w:eastAsia="微軟正黑體" w:hAnsi="微軟正黑體" w:hint="eastAsia"/>
          <w:b/>
          <w:sz w:val="32"/>
          <w:szCs w:val="32"/>
        </w:rPr>
        <w:t>疑慮</w:t>
      </w:r>
      <w:r w:rsidR="000A33A1">
        <w:rPr>
          <w:rFonts w:ascii="微軟正黑體" w:eastAsia="微軟正黑體" w:hAnsi="微軟正黑體" w:hint="eastAsia"/>
          <w:b/>
          <w:sz w:val="32"/>
          <w:szCs w:val="32"/>
        </w:rPr>
        <w:t>之</w:t>
      </w:r>
      <w:r>
        <w:rPr>
          <w:rFonts w:ascii="微軟正黑體" w:eastAsia="微軟正黑體" w:hAnsi="微軟正黑體" w:hint="eastAsia"/>
          <w:b/>
          <w:sz w:val="32"/>
          <w:szCs w:val="32"/>
        </w:rPr>
        <w:t>澄清</w:t>
      </w:r>
    </w:p>
    <w:tbl>
      <w:tblPr>
        <w:tblStyle w:val="ac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8"/>
        <w:gridCol w:w="930"/>
        <w:gridCol w:w="4110"/>
        <w:gridCol w:w="9116"/>
      </w:tblGrid>
      <w:tr w:rsidR="00382060" w:rsidRPr="00685FF7" w:rsidTr="00C57A10">
        <w:tc>
          <w:tcPr>
            <w:tcW w:w="738" w:type="dxa"/>
            <w:vAlign w:val="center"/>
          </w:tcPr>
          <w:p w:rsidR="00382060" w:rsidRPr="00685FF7" w:rsidRDefault="00382060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85FF7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930" w:type="dxa"/>
          </w:tcPr>
          <w:p w:rsidR="00382060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領 域</w:t>
            </w:r>
          </w:p>
        </w:tc>
        <w:tc>
          <w:tcPr>
            <w:tcW w:w="4110" w:type="dxa"/>
            <w:vAlign w:val="center"/>
          </w:tcPr>
          <w:p w:rsidR="00382060" w:rsidRPr="00685FF7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疑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 xml:space="preserve">  慮</w:t>
            </w:r>
          </w:p>
        </w:tc>
        <w:tc>
          <w:tcPr>
            <w:tcW w:w="9116" w:type="dxa"/>
          </w:tcPr>
          <w:p w:rsidR="00382060" w:rsidRPr="00685FF7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85FF7">
              <w:rPr>
                <w:rFonts w:ascii="微軟正黑體" w:eastAsia="微軟正黑體" w:hAnsi="微軟正黑體" w:hint="eastAsia"/>
                <w:b/>
              </w:rPr>
              <w:t xml:space="preserve">本  會  </w:t>
            </w:r>
            <w:r>
              <w:rPr>
                <w:rFonts w:ascii="微軟正黑體" w:eastAsia="微軟正黑體" w:hAnsi="微軟正黑體" w:hint="eastAsia"/>
                <w:b/>
              </w:rPr>
              <w:t>說  明</w:t>
            </w:r>
          </w:p>
        </w:tc>
      </w:tr>
      <w:tr w:rsidR="00072735" w:rsidRPr="00072735" w:rsidTr="00C57A10">
        <w:tc>
          <w:tcPr>
            <w:tcW w:w="738" w:type="dxa"/>
            <w:vAlign w:val="center"/>
          </w:tcPr>
          <w:p w:rsidR="00382060" w:rsidRPr="00E64ADE" w:rsidRDefault="00382060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930" w:type="dxa"/>
            <w:vAlign w:val="center"/>
          </w:tcPr>
          <w:p w:rsidR="00382060" w:rsidRPr="00E64ADE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農業</w:t>
            </w:r>
          </w:p>
        </w:tc>
        <w:tc>
          <w:tcPr>
            <w:tcW w:w="4110" w:type="dxa"/>
            <w:vAlign w:val="center"/>
          </w:tcPr>
          <w:p w:rsidR="00382060" w:rsidRPr="00E64ADE" w:rsidRDefault="002F028E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影響糧食安全及破壞MIT品牌</w:t>
            </w:r>
          </w:p>
        </w:tc>
        <w:tc>
          <w:tcPr>
            <w:tcW w:w="9116" w:type="dxa"/>
          </w:tcPr>
          <w:p w:rsidR="00382060" w:rsidRPr="00E64ADE" w:rsidRDefault="00072735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政府已從生產面</w:t>
            </w:r>
            <w:r w:rsidR="00504ACC">
              <w:rPr>
                <w:rFonts w:ascii="微軟正黑體" w:eastAsia="微軟正黑體" w:hAnsi="微軟正黑體" w:hint="eastAsia"/>
              </w:rPr>
              <w:t>（</w:t>
            </w:r>
            <w:r w:rsidRPr="00E64ADE">
              <w:rPr>
                <w:rFonts w:ascii="微軟正黑體" w:eastAsia="微軟正黑體" w:hAnsi="微軟正黑體" w:hint="eastAsia"/>
              </w:rPr>
              <w:t>如農地復耕</w:t>
            </w:r>
            <w:r w:rsidR="00504ACC">
              <w:rPr>
                <w:rFonts w:ascii="微軟正黑體" w:eastAsia="微軟正黑體" w:hAnsi="微軟正黑體" w:hint="eastAsia"/>
              </w:rPr>
              <w:t>）</w:t>
            </w:r>
            <w:r w:rsidRPr="00E64ADE">
              <w:rPr>
                <w:rFonts w:ascii="微軟正黑體" w:eastAsia="微軟正黑體" w:hAnsi="微軟正黑體" w:hint="eastAsia"/>
              </w:rPr>
              <w:t>及消費面</w:t>
            </w:r>
            <w:r w:rsidR="00504ACC">
              <w:rPr>
                <w:rFonts w:ascii="微軟正黑體" w:eastAsia="微軟正黑體" w:hAnsi="微軟正黑體" w:hint="eastAsia"/>
              </w:rPr>
              <w:t>（</w:t>
            </w:r>
            <w:r w:rsidRPr="00E64ADE">
              <w:rPr>
                <w:rFonts w:ascii="微軟正黑體" w:eastAsia="微軟正黑體" w:hAnsi="微軟正黑體" w:hint="eastAsia"/>
              </w:rPr>
              <w:t>如地產地消</w:t>
            </w:r>
            <w:r w:rsidR="00504ACC">
              <w:rPr>
                <w:rFonts w:ascii="微軟正黑體" w:eastAsia="微軟正黑體" w:hAnsi="微軟正黑體" w:hint="eastAsia"/>
              </w:rPr>
              <w:t>）</w:t>
            </w:r>
            <w:r w:rsidRPr="00E64ADE">
              <w:rPr>
                <w:rFonts w:ascii="微軟正黑體" w:eastAsia="微軟正黑體" w:hAnsi="微軟正黑體" w:hint="eastAsia"/>
              </w:rPr>
              <w:t>提升糧食自給率</w:t>
            </w:r>
            <w:r w:rsidR="002F028E" w:rsidRPr="00E64ADE">
              <w:rPr>
                <w:rFonts w:ascii="微軟正黑體" w:eastAsia="微軟正黑體" w:hAnsi="微軟正黑體" w:hint="eastAsia"/>
              </w:rPr>
              <w:t>；農產品</w:t>
            </w:r>
            <w:proofErr w:type="gramStart"/>
            <w:r w:rsidR="002F028E" w:rsidRPr="00E64ADE">
              <w:rPr>
                <w:rFonts w:ascii="微軟正黑體" w:eastAsia="微軟正黑體" w:hAnsi="微軟正黑體" w:hint="eastAsia"/>
              </w:rPr>
              <w:t>如需掛上</w:t>
            </w:r>
            <w:proofErr w:type="gramEnd"/>
            <w:r w:rsidR="002F028E" w:rsidRPr="00E64ADE">
              <w:rPr>
                <w:rFonts w:ascii="微軟正黑體" w:eastAsia="微軟正黑體" w:hAnsi="微軟正黑體" w:hint="eastAsia"/>
              </w:rPr>
              <w:t>MIT，仍需依「原產地證明書及加工證明書管理辦法」辦理，沒有任何鬆綁。</w:t>
            </w:r>
          </w:p>
        </w:tc>
      </w:tr>
      <w:tr w:rsidR="00072735" w:rsidRPr="00072735" w:rsidTr="00C57A10">
        <w:tc>
          <w:tcPr>
            <w:tcW w:w="738" w:type="dxa"/>
            <w:vAlign w:val="center"/>
          </w:tcPr>
          <w:p w:rsidR="00382060" w:rsidRPr="00E64ADE" w:rsidRDefault="00382060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930" w:type="dxa"/>
            <w:vAlign w:val="center"/>
          </w:tcPr>
          <w:p w:rsidR="00382060" w:rsidRPr="00E64ADE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環保</w:t>
            </w:r>
          </w:p>
        </w:tc>
        <w:tc>
          <w:tcPr>
            <w:tcW w:w="4110" w:type="dxa"/>
            <w:vAlign w:val="center"/>
          </w:tcPr>
          <w:p w:rsidR="00382060" w:rsidRPr="00E64ADE" w:rsidRDefault="00072735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規避環評限制</w:t>
            </w:r>
          </w:p>
        </w:tc>
        <w:tc>
          <w:tcPr>
            <w:tcW w:w="9116" w:type="dxa"/>
          </w:tcPr>
          <w:p w:rsidR="00382060" w:rsidRPr="00E64ADE" w:rsidRDefault="00072735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新設示範區已刪除環評審查「平行」與「聯席審查」之規定，</w:t>
            </w:r>
            <w:proofErr w:type="gramStart"/>
            <w:r w:rsidRPr="00E64ADE">
              <w:rPr>
                <w:rFonts w:ascii="微軟正黑體" w:eastAsia="微軟正黑體" w:hAnsi="微軟正黑體" w:hint="eastAsia"/>
              </w:rPr>
              <w:t>均依現行</w:t>
            </w:r>
            <w:proofErr w:type="gramEnd"/>
            <w:r w:rsidRPr="00E64ADE">
              <w:rPr>
                <w:rFonts w:ascii="微軟正黑體" w:eastAsia="微軟正黑體" w:hAnsi="微軟正黑體" w:hint="eastAsia"/>
              </w:rPr>
              <w:t>規定辦理。</w:t>
            </w:r>
          </w:p>
        </w:tc>
      </w:tr>
      <w:tr w:rsidR="00382060" w:rsidRPr="00685FF7" w:rsidTr="00C57A10">
        <w:trPr>
          <w:trHeight w:val="748"/>
        </w:trPr>
        <w:tc>
          <w:tcPr>
            <w:tcW w:w="738" w:type="dxa"/>
            <w:vAlign w:val="center"/>
          </w:tcPr>
          <w:p w:rsidR="00382060" w:rsidRPr="00E64ADE" w:rsidRDefault="00382060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930" w:type="dxa"/>
            <w:vAlign w:val="center"/>
          </w:tcPr>
          <w:p w:rsidR="00382060" w:rsidRPr="00E64ADE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動物保育</w:t>
            </w:r>
          </w:p>
        </w:tc>
        <w:tc>
          <w:tcPr>
            <w:tcW w:w="4110" w:type="dxa"/>
            <w:vAlign w:val="center"/>
          </w:tcPr>
          <w:p w:rsidR="00382060" w:rsidRPr="00E64ADE" w:rsidRDefault="0025596D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開放保育類野生動物買賣</w:t>
            </w:r>
          </w:p>
        </w:tc>
        <w:tc>
          <w:tcPr>
            <w:tcW w:w="9116" w:type="dxa"/>
          </w:tcPr>
          <w:p w:rsidR="00382060" w:rsidRPr="00E64ADE" w:rsidRDefault="0025596D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  <w:spacing w:val="-4"/>
              </w:rPr>
              <w:t>保育類野生動物活體輸出入，已限縮為「觀賞水族動物」。且進口之觀賞水族動物未經農委會同意，也不得流出示範區。</w:t>
            </w:r>
          </w:p>
        </w:tc>
      </w:tr>
      <w:tr w:rsidR="0041007B" w:rsidRPr="0041007B" w:rsidTr="00C57A10">
        <w:tc>
          <w:tcPr>
            <w:tcW w:w="738" w:type="dxa"/>
            <w:vAlign w:val="center"/>
          </w:tcPr>
          <w:p w:rsidR="00382060" w:rsidRPr="00E64ADE" w:rsidRDefault="00382060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930" w:type="dxa"/>
            <w:vAlign w:val="center"/>
          </w:tcPr>
          <w:p w:rsidR="00382060" w:rsidRPr="00E64ADE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勞動</w:t>
            </w:r>
          </w:p>
        </w:tc>
        <w:tc>
          <w:tcPr>
            <w:tcW w:w="4110" w:type="dxa"/>
            <w:vAlign w:val="center"/>
          </w:tcPr>
          <w:p w:rsidR="00382060" w:rsidRPr="00E64ADE" w:rsidRDefault="00334B39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濫用中國籍專業人士，影響勞工權益</w:t>
            </w:r>
          </w:p>
        </w:tc>
        <w:tc>
          <w:tcPr>
            <w:tcW w:w="9116" w:type="dxa"/>
          </w:tcPr>
          <w:p w:rsidR="00382060" w:rsidRPr="00E64ADE" w:rsidRDefault="00334B39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示範區並未開放任何大陸</w:t>
            </w:r>
            <w:r w:rsidR="0041007B" w:rsidRPr="00E64ADE">
              <w:rPr>
                <w:rFonts w:ascii="微軟正黑體" w:eastAsia="微軟正黑體" w:hAnsi="微軟正黑體" w:hint="eastAsia"/>
              </w:rPr>
              <w:t>人士</w:t>
            </w:r>
            <w:r w:rsidRPr="00E64ADE">
              <w:rPr>
                <w:rFonts w:ascii="微軟正黑體" w:eastAsia="微軟正黑體" w:hAnsi="微軟正黑體" w:hint="eastAsia"/>
              </w:rPr>
              <w:t>來</w:t>
            </w:r>
            <w:proofErr w:type="gramStart"/>
            <w:r w:rsidRPr="00E64ADE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E64ADE">
              <w:rPr>
                <w:rFonts w:ascii="微軟正黑體" w:eastAsia="微軟正黑體" w:hAnsi="微軟正黑體" w:hint="eastAsia"/>
              </w:rPr>
              <w:t>工作；且大陸專業人士商務居留</w:t>
            </w:r>
            <w:r w:rsidR="0041007B" w:rsidRPr="00E64ADE">
              <w:rPr>
                <w:rFonts w:ascii="微軟正黑體" w:eastAsia="微軟正黑體" w:hAnsi="微軟正黑體" w:hint="eastAsia"/>
              </w:rPr>
              <w:t>仍有資格門檻等相關限制。</w:t>
            </w:r>
          </w:p>
        </w:tc>
      </w:tr>
      <w:tr w:rsidR="006E4EB3" w:rsidRPr="006E4EB3" w:rsidTr="00C57A10">
        <w:tc>
          <w:tcPr>
            <w:tcW w:w="738" w:type="dxa"/>
            <w:vAlign w:val="center"/>
          </w:tcPr>
          <w:p w:rsidR="00382060" w:rsidRPr="00E64ADE" w:rsidRDefault="00382060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930" w:type="dxa"/>
            <w:vAlign w:val="center"/>
          </w:tcPr>
          <w:p w:rsidR="00382060" w:rsidRPr="00E64ADE" w:rsidRDefault="00382060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醫療</w:t>
            </w:r>
          </w:p>
        </w:tc>
        <w:tc>
          <w:tcPr>
            <w:tcW w:w="4110" w:type="dxa"/>
            <w:vAlign w:val="center"/>
          </w:tcPr>
          <w:p w:rsidR="00382060" w:rsidRPr="00E64ADE" w:rsidRDefault="00CB5228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  <w:spacing w:val="-8"/>
              </w:rPr>
              <w:t>醫療階級化、衝擊健保資源分配</w:t>
            </w:r>
          </w:p>
        </w:tc>
        <w:tc>
          <w:tcPr>
            <w:tcW w:w="9116" w:type="dxa"/>
          </w:tcPr>
          <w:p w:rsidR="00382060" w:rsidRPr="00E64ADE" w:rsidRDefault="006E4EB3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自費醫療並非「階級化」，而是提供醫療服務的「差異化」，亦不得使用健保，不影響國人就醫權益；且國際醫療專辦機構之盈餘須</w:t>
            </w:r>
            <w:proofErr w:type="gramStart"/>
            <w:r w:rsidRPr="00E64ADE">
              <w:rPr>
                <w:rFonts w:ascii="微軟正黑體" w:eastAsia="微軟正黑體" w:hAnsi="微軟正黑體" w:hint="eastAsia"/>
              </w:rPr>
              <w:t>挹</w:t>
            </w:r>
            <w:proofErr w:type="gramEnd"/>
            <w:r w:rsidRPr="00E64ADE">
              <w:rPr>
                <w:rFonts w:ascii="微軟正黑體" w:eastAsia="微軟正黑體" w:hAnsi="微軟正黑體" w:hint="eastAsia"/>
              </w:rPr>
              <w:t>注健保，充裕健保財源。</w:t>
            </w:r>
          </w:p>
        </w:tc>
      </w:tr>
      <w:tr w:rsidR="0025596D" w:rsidRPr="0025596D" w:rsidTr="00C57A10">
        <w:tc>
          <w:tcPr>
            <w:tcW w:w="738" w:type="dxa"/>
            <w:vAlign w:val="center"/>
          </w:tcPr>
          <w:p w:rsidR="00382060" w:rsidRPr="00E64ADE" w:rsidRDefault="00382060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930" w:type="dxa"/>
            <w:vAlign w:val="center"/>
          </w:tcPr>
          <w:p w:rsidR="00E3075B" w:rsidRPr="00E64ADE" w:rsidRDefault="00382060" w:rsidP="00E3075B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稅制</w:t>
            </w:r>
          </w:p>
        </w:tc>
        <w:tc>
          <w:tcPr>
            <w:tcW w:w="4110" w:type="dxa"/>
            <w:vAlign w:val="center"/>
          </w:tcPr>
          <w:p w:rsidR="00382060" w:rsidRPr="00E64ADE" w:rsidRDefault="0025596D" w:rsidP="00BC589C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產生稅收損失</w:t>
            </w:r>
            <w:r w:rsidR="00BC589C"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 w:rsidR="00BC589C">
              <w:rPr>
                <w:rFonts w:ascii="微軟正黑體" w:eastAsia="微軟正黑體" w:hAnsi="微軟正黑體" w:hint="eastAsia"/>
              </w:rPr>
              <w:t>造成屯地炒作</w:t>
            </w:r>
            <w:proofErr w:type="gramEnd"/>
          </w:p>
        </w:tc>
        <w:tc>
          <w:tcPr>
            <w:tcW w:w="9116" w:type="dxa"/>
          </w:tcPr>
          <w:p w:rsidR="00382060" w:rsidRPr="00E64ADE" w:rsidRDefault="00B0370C" w:rsidP="003029D0">
            <w:pPr>
              <w:spacing w:before="60" w:after="60" w:line="360" w:lineRule="exact"/>
              <w:rPr>
                <w:rFonts w:ascii="微軟正黑體" w:eastAsia="微軟正黑體" w:hAnsi="微軟正黑體"/>
                <w:spacing w:val="-4"/>
              </w:rPr>
            </w:pPr>
            <w:r w:rsidRPr="00E64ADE">
              <w:rPr>
                <w:rFonts w:ascii="微軟正黑體" w:eastAsia="微軟正黑體" w:hAnsi="微軟正黑體" w:hint="eastAsia"/>
                <w:spacing w:val="-4"/>
              </w:rPr>
              <w:t>示範區租稅獎勵是在創造原先不存在的商業機會，擴大稅基，而非在現有的租稅基礎減稅</w:t>
            </w:r>
            <w:r w:rsidR="003029D0">
              <w:rPr>
                <w:rFonts w:ascii="微軟正黑體" w:eastAsia="微軟正黑體" w:hAnsi="微軟正黑體" w:hint="eastAsia"/>
                <w:spacing w:val="-4"/>
              </w:rPr>
              <w:t>。</w:t>
            </w:r>
            <w:r w:rsidR="00BC589C">
              <w:rPr>
                <w:rFonts w:ascii="微軟正黑體" w:eastAsia="微軟正黑體" w:hAnsi="微軟正黑體" w:hint="eastAsia"/>
                <w:spacing w:val="-4"/>
              </w:rPr>
              <w:t>依據稅式支出評估，</w:t>
            </w:r>
            <w:r w:rsidR="003029D0">
              <w:rPr>
                <w:rFonts w:ascii="微軟正黑體" w:eastAsia="微軟正黑體" w:hAnsi="微軟正黑體" w:hint="eastAsia"/>
                <w:spacing w:val="-4"/>
              </w:rPr>
              <w:t>租稅淨效益介於新臺幣0.29~1.45億元</w:t>
            </w:r>
            <w:r w:rsidRPr="00E64ADE">
              <w:rPr>
                <w:rFonts w:ascii="微軟正黑體" w:eastAsia="微軟正黑體" w:hAnsi="微軟正黑體" w:hint="eastAsia"/>
                <w:spacing w:val="-4"/>
              </w:rPr>
              <w:t>。</w:t>
            </w:r>
            <w:r w:rsidR="002630D3">
              <w:rPr>
                <w:rFonts w:ascii="微軟正黑體" w:eastAsia="微軟正黑體" w:hAnsi="微軟正黑體" w:hint="eastAsia"/>
                <w:spacing w:val="-4"/>
              </w:rPr>
              <w:t>另</w:t>
            </w:r>
            <w:r w:rsidR="00504ACC">
              <w:rPr>
                <w:rFonts w:ascii="微軟正黑體" w:eastAsia="微軟正黑體" w:hAnsi="微軟正黑體" w:hint="eastAsia"/>
                <w:spacing w:val="-4"/>
              </w:rPr>
              <w:t>既有園區之土地依原土地租售規定辦理，</w:t>
            </w:r>
            <w:r w:rsidR="002630D3" w:rsidRPr="002630D3">
              <w:rPr>
                <w:rFonts w:ascii="微軟正黑體" w:eastAsia="微軟正黑體" w:hAnsi="微軟正黑體" w:hint="eastAsia"/>
                <w:spacing w:val="-4"/>
              </w:rPr>
              <w:t>新設示範區亦訂有相關規定（如2年禁止轉讓等），</w:t>
            </w:r>
            <w:proofErr w:type="gramStart"/>
            <w:r w:rsidR="002630D3" w:rsidRPr="002630D3">
              <w:rPr>
                <w:rFonts w:ascii="微軟正黑體" w:eastAsia="微軟正黑體" w:hAnsi="微軟正黑體" w:hint="eastAsia"/>
                <w:spacing w:val="-4"/>
              </w:rPr>
              <w:t>杜絕</w:t>
            </w:r>
            <w:r w:rsidR="00504ACC">
              <w:rPr>
                <w:rFonts w:ascii="微軟正黑體" w:eastAsia="微軟正黑體" w:hAnsi="微軟正黑體" w:hint="eastAsia"/>
                <w:spacing w:val="-4"/>
              </w:rPr>
              <w:t>屯</w:t>
            </w:r>
            <w:r w:rsidR="002630D3" w:rsidRPr="002630D3">
              <w:rPr>
                <w:rFonts w:ascii="微軟正黑體" w:eastAsia="微軟正黑體" w:hAnsi="微軟正黑體" w:hint="eastAsia"/>
                <w:spacing w:val="-4"/>
              </w:rPr>
              <w:t>地</w:t>
            </w:r>
            <w:proofErr w:type="gramEnd"/>
            <w:r w:rsidR="002630D3" w:rsidRPr="002630D3">
              <w:rPr>
                <w:rFonts w:ascii="微軟正黑體" w:eastAsia="微軟正黑體" w:hAnsi="微軟正黑體" w:hint="eastAsia"/>
                <w:spacing w:val="-4"/>
              </w:rPr>
              <w:t>炒作。</w:t>
            </w:r>
          </w:p>
        </w:tc>
      </w:tr>
      <w:tr w:rsidR="002F028E" w:rsidRPr="002F028E" w:rsidTr="00C57A10">
        <w:trPr>
          <w:trHeight w:val="576"/>
        </w:trPr>
        <w:tc>
          <w:tcPr>
            <w:tcW w:w="738" w:type="dxa"/>
            <w:vAlign w:val="center"/>
          </w:tcPr>
          <w:p w:rsidR="002F028E" w:rsidRPr="00E64ADE" w:rsidRDefault="002F028E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930" w:type="dxa"/>
            <w:vAlign w:val="center"/>
          </w:tcPr>
          <w:p w:rsidR="002F028E" w:rsidRPr="00E64ADE" w:rsidRDefault="002F028E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教育</w:t>
            </w:r>
          </w:p>
        </w:tc>
        <w:tc>
          <w:tcPr>
            <w:tcW w:w="4110" w:type="dxa"/>
            <w:vAlign w:val="center"/>
          </w:tcPr>
          <w:p w:rsidR="002F028E" w:rsidRPr="00E64ADE" w:rsidRDefault="002F028E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  <w:spacing w:val="-8"/>
              </w:rPr>
              <w:t>教育商品化</w:t>
            </w:r>
          </w:p>
        </w:tc>
        <w:tc>
          <w:tcPr>
            <w:tcW w:w="9116" w:type="dxa"/>
          </w:tcPr>
          <w:p w:rsidR="002F028E" w:rsidRPr="00E64ADE" w:rsidRDefault="002F028E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示範區讓國內大學與國外績優大學合作辦學，是提升辦學品質。且國內外大學的合作案，須經過教育部嚴謹審查，不會驟然擴大辦理或流於浮濫。</w:t>
            </w:r>
          </w:p>
        </w:tc>
      </w:tr>
      <w:tr w:rsidR="002F028E" w:rsidRPr="00685FF7" w:rsidTr="00C57A10">
        <w:trPr>
          <w:trHeight w:val="824"/>
        </w:trPr>
        <w:tc>
          <w:tcPr>
            <w:tcW w:w="738" w:type="dxa"/>
            <w:vAlign w:val="center"/>
          </w:tcPr>
          <w:p w:rsidR="002F028E" w:rsidRPr="00E64ADE" w:rsidRDefault="002F028E" w:rsidP="00E64ADE">
            <w:pPr>
              <w:overflowPunct w:val="0"/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930" w:type="dxa"/>
            <w:vAlign w:val="center"/>
          </w:tcPr>
          <w:p w:rsidR="002F028E" w:rsidRPr="00E64ADE" w:rsidRDefault="002F028E" w:rsidP="00E64ADE">
            <w:pPr>
              <w:spacing w:before="60" w:after="60" w:line="360" w:lineRule="exact"/>
              <w:jc w:val="center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兩岸</w:t>
            </w:r>
          </w:p>
        </w:tc>
        <w:tc>
          <w:tcPr>
            <w:tcW w:w="4110" w:type="dxa"/>
            <w:vAlign w:val="center"/>
          </w:tcPr>
          <w:p w:rsidR="002F028E" w:rsidRPr="00E64ADE" w:rsidRDefault="006E4EB3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全面開放大陸產品</w:t>
            </w:r>
            <w:r w:rsidR="00C57A10" w:rsidRPr="00E64ADE">
              <w:rPr>
                <w:rFonts w:ascii="微軟正黑體" w:eastAsia="微軟正黑體" w:hAnsi="微軟正黑體" w:hint="eastAsia"/>
              </w:rPr>
              <w:t>零關稅</w:t>
            </w:r>
          </w:p>
        </w:tc>
        <w:tc>
          <w:tcPr>
            <w:tcW w:w="9116" w:type="dxa"/>
          </w:tcPr>
          <w:p w:rsidR="002F028E" w:rsidRPr="00E64ADE" w:rsidRDefault="00E64ADE" w:rsidP="00E64ADE">
            <w:pPr>
              <w:spacing w:before="60" w:after="60" w:line="360" w:lineRule="exact"/>
              <w:rPr>
                <w:rFonts w:ascii="微軟正黑體" w:eastAsia="微軟正黑體" w:hAnsi="微軟正黑體"/>
              </w:rPr>
            </w:pPr>
            <w:r w:rsidRPr="00E64ADE">
              <w:rPr>
                <w:rFonts w:ascii="微軟正黑體" w:eastAsia="微軟正黑體" w:hAnsi="微軟正黑體" w:hint="eastAsia"/>
              </w:rPr>
              <w:t>加工</w:t>
            </w:r>
            <w:r>
              <w:rPr>
                <w:rFonts w:ascii="微軟正黑體" w:eastAsia="微軟正黑體" w:hAnsi="微軟正黑體" w:hint="eastAsia"/>
              </w:rPr>
              <w:t>後的</w:t>
            </w:r>
            <w:r w:rsidRPr="00E64ADE">
              <w:rPr>
                <w:rFonts w:ascii="微軟正黑體" w:eastAsia="微軟正黑體" w:hAnsi="微軟正黑體" w:hint="eastAsia"/>
              </w:rPr>
              <w:t>管制性大陸產品如仍屬管制品，須全數外銷，不得流入國內市場。如轉型為依法可輸入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64ADE">
              <w:rPr>
                <w:rFonts w:ascii="微軟正黑體" w:eastAsia="微軟正黑體" w:hAnsi="微軟正黑體" w:hint="eastAsia"/>
              </w:rPr>
              <w:t>品項，仍須課徵關稅、營業稅、貨物稅等進口稅費</w:t>
            </w:r>
            <w:r>
              <w:rPr>
                <w:rFonts w:ascii="微軟正黑體" w:eastAsia="微軟正黑體" w:hAnsi="微軟正黑體" w:hint="eastAsia"/>
              </w:rPr>
              <w:t>才可內銷。</w:t>
            </w:r>
          </w:p>
        </w:tc>
      </w:tr>
    </w:tbl>
    <w:p w:rsidR="00913C69" w:rsidRPr="001F2C19" w:rsidRDefault="00913C69" w:rsidP="00E64ADE">
      <w:pPr>
        <w:widowControl/>
        <w:snapToGrid w:val="0"/>
        <w:spacing w:before="120" w:line="36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</w:p>
    <w:sectPr w:rsidR="00913C69" w:rsidRPr="001F2C19" w:rsidSect="000A33A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20" w:rsidRDefault="002F4B20" w:rsidP="00AD17CF">
      <w:r>
        <w:separator/>
      </w:r>
    </w:p>
  </w:endnote>
  <w:endnote w:type="continuationSeparator" w:id="0">
    <w:p w:rsidR="002F4B20" w:rsidRDefault="002F4B20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363070"/>
      <w:docPartObj>
        <w:docPartGallery w:val="Page Numbers (Bottom of Page)"/>
        <w:docPartUnique/>
      </w:docPartObj>
    </w:sdtPr>
    <w:sdtEndPr/>
    <w:sdtContent>
      <w:p w:rsidR="000A617D" w:rsidRDefault="000A61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D0" w:rsidRPr="003029D0">
          <w:rPr>
            <w:noProof/>
            <w:lang w:val="zh-TW"/>
          </w:rPr>
          <w:t>1</w:t>
        </w:r>
        <w:r>
          <w:fldChar w:fldCharType="end"/>
        </w:r>
      </w:p>
    </w:sdtContent>
  </w:sdt>
  <w:p w:rsidR="000A617D" w:rsidRDefault="000A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20" w:rsidRDefault="002F4B20" w:rsidP="00AD17CF">
      <w:r>
        <w:separator/>
      </w:r>
    </w:p>
  </w:footnote>
  <w:footnote w:type="continuationSeparator" w:id="0">
    <w:p w:rsidR="002F4B20" w:rsidRDefault="002F4B20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42FF"/>
    <w:multiLevelType w:val="hybridMultilevel"/>
    <w:tmpl w:val="E774D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8FA9962">
      <w:start w:val="1"/>
      <w:numFmt w:val="taiwaneseCountingThousand"/>
      <w:lvlText w:val="(%2)"/>
      <w:lvlJc w:val="left"/>
      <w:pPr>
        <w:ind w:left="1360" w:hanging="14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abstractNum w:abstractNumId="1">
    <w:nsid w:val="43B652C2"/>
    <w:multiLevelType w:val="hybridMultilevel"/>
    <w:tmpl w:val="67548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F52C9C"/>
    <w:multiLevelType w:val="hybridMultilevel"/>
    <w:tmpl w:val="27DCA2EA"/>
    <w:lvl w:ilvl="0" w:tplc="5E86AD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27639"/>
    <w:rsid w:val="00072735"/>
    <w:rsid w:val="00094EAC"/>
    <w:rsid w:val="000A06EC"/>
    <w:rsid w:val="000A33A1"/>
    <w:rsid w:val="000A617D"/>
    <w:rsid w:val="000F148F"/>
    <w:rsid w:val="000F2000"/>
    <w:rsid w:val="000F6DF6"/>
    <w:rsid w:val="00102546"/>
    <w:rsid w:val="001277FE"/>
    <w:rsid w:val="00135348"/>
    <w:rsid w:val="00137836"/>
    <w:rsid w:val="001A0971"/>
    <w:rsid w:val="001C760B"/>
    <w:rsid w:val="001D50D7"/>
    <w:rsid w:val="001D6E89"/>
    <w:rsid w:val="001E30D9"/>
    <w:rsid w:val="001E5029"/>
    <w:rsid w:val="001F2C19"/>
    <w:rsid w:val="00201104"/>
    <w:rsid w:val="00201F61"/>
    <w:rsid w:val="002135E5"/>
    <w:rsid w:val="0022086D"/>
    <w:rsid w:val="00223DFA"/>
    <w:rsid w:val="00224305"/>
    <w:rsid w:val="00243C42"/>
    <w:rsid w:val="0025582A"/>
    <w:rsid w:val="0025596D"/>
    <w:rsid w:val="002621B3"/>
    <w:rsid w:val="002630D3"/>
    <w:rsid w:val="002F028E"/>
    <w:rsid w:val="002F337E"/>
    <w:rsid w:val="002F4B20"/>
    <w:rsid w:val="003029D0"/>
    <w:rsid w:val="00334B39"/>
    <w:rsid w:val="0035067D"/>
    <w:rsid w:val="003566E4"/>
    <w:rsid w:val="00382060"/>
    <w:rsid w:val="003917F9"/>
    <w:rsid w:val="003D04E8"/>
    <w:rsid w:val="003D45D5"/>
    <w:rsid w:val="003E26B1"/>
    <w:rsid w:val="003E3A2B"/>
    <w:rsid w:val="003F3254"/>
    <w:rsid w:val="004017EB"/>
    <w:rsid w:val="0041007B"/>
    <w:rsid w:val="004305AB"/>
    <w:rsid w:val="0043077A"/>
    <w:rsid w:val="00436413"/>
    <w:rsid w:val="004547B8"/>
    <w:rsid w:val="004604A3"/>
    <w:rsid w:val="00485CB2"/>
    <w:rsid w:val="00497087"/>
    <w:rsid w:val="004C2C8E"/>
    <w:rsid w:val="004C7648"/>
    <w:rsid w:val="004E0F27"/>
    <w:rsid w:val="004F55FB"/>
    <w:rsid w:val="00504ACC"/>
    <w:rsid w:val="00514EB6"/>
    <w:rsid w:val="00526544"/>
    <w:rsid w:val="0054677C"/>
    <w:rsid w:val="00576774"/>
    <w:rsid w:val="005836E3"/>
    <w:rsid w:val="00583E99"/>
    <w:rsid w:val="00586423"/>
    <w:rsid w:val="005C6813"/>
    <w:rsid w:val="005D63D5"/>
    <w:rsid w:val="005E7C16"/>
    <w:rsid w:val="00614CA0"/>
    <w:rsid w:val="006233A0"/>
    <w:rsid w:val="006368CD"/>
    <w:rsid w:val="00660713"/>
    <w:rsid w:val="00685FF7"/>
    <w:rsid w:val="006C0549"/>
    <w:rsid w:val="006C2101"/>
    <w:rsid w:val="006D6EA7"/>
    <w:rsid w:val="006E4EB3"/>
    <w:rsid w:val="006F1354"/>
    <w:rsid w:val="00740FC1"/>
    <w:rsid w:val="007472C9"/>
    <w:rsid w:val="00797F51"/>
    <w:rsid w:val="007A0A8A"/>
    <w:rsid w:val="007C3642"/>
    <w:rsid w:val="007E7076"/>
    <w:rsid w:val="00816650"/>
    <w:rsid w:val="0082283E"/>
    <w:rsid w:val="00826C9D"/>
    <w:rsid w:val="008316F7"/>
    <w:rsid w:val="008346D6"/>
    <w:rsid w:val="0084216A"/>
    <w:rsid w:val="008636FA"/>
    <w:rsid w:val="00865949"/>
    <w:rsid w:val="00893D74"/>
    <w:rsid w:val="00897774"/>
    <w:rsid w:val="008B20EB"/>
    <w:rsid w:val="008B2CDE"/>
    <w:rsid w:val="008D5E9A"/>
    <w:rsid w:val="008E1AB8"/>
    <w:rsid w:val="008E68C1"/>
    <w:rsid w:val="00911B4F"/>
    <w:rsid w:val="00913C69"/>
    <w:rsid w:val="00935934"/>
    <w:rsid w:val="0094640B"/>
    <w:rsid w:val="00954A13"/>
    <w:rsid w:val="00967241"/>
    <w:rsid w:val="009C25CF"/>
    <w:rsid w:val="00A11A40"/>
    <w:rsid w:val="00A95C2B"/>
    <w:rsid w:val="00AA4A9C"/>
    <w:rsid w:val="00AC48C2"/>
    <w:rsid w:val="00AD17CF"/>
    <w:rsid w:val="00AF5B98"/>
    <w:rsid w:val="00B028AF"/>
    <w:rsid w:val="00B0370C"/>
    <w:rsid w:val="00B13BEC"/>
    <w:rsid w:val="00B20D32"/>
    <w:rsid w:val="00B45C31"/>
    <w:rsid w:val="00B5120C"/>
    <w:rsid w:val="00B637B3"/>
    <w:rsid w:val="00B95B05"/>
    <w:rsid w:val="00BA1B67"/>
    <w:rsid w:val="00BC589C"/>
    <w:rsid w:val="00BE4B9F"/>
    <w:rsid w:val="00C073C9"/>
    <w:rsid w:val="00C1613F"/>
    <w:rsid w:val="00C23A0D"/>
    <w:rsid w:val="00C24C9A"/>
    <w:rsid w:val="00C4029F"/>
    <w:rsid w:val="00C413BB"/>
    <w:rsid w:val="00C515B8"/>
    <w:rsid w:val="00C53318"/>
    <w:rsid w:val="00C565AE"/>
    <w:rsid w:val="00C57A10"/>
    <w:rsid w:val="00C75028"/>
    <w:rsid w:val="00C76F9C"/>
    <w:rsid w:val="00CA0BCB"/>
    <w:rsid w:val="00CB5228"/>
    <w:rsid w:val="00CB7D3E"/>
    <w:rsid w:val="00CE3091"/>
    <w:rsid w:val="00CF037C"/>
    <w:rsid w:val="00D120F7"/>
    <w:rsid w:val="00D3711E"/>
    <w:rsid w:val="00D4058D"/>
    <w:rsid w:val="00D45457"/>
    <w:rsid w:val="00D5482C"/>
    <w:rsid w:val="00D56EAB"/>
    <w:rsid w:val="00D943F2"/>
    <w:rsid w:val="00DB359C"/>
    <w:rsid w:val="00DD1819"/>
    <w:rsid w:val="00DE3C97"/>
    <w:rsid w:val="00DF30E4"/>
    <w:rsid w:val="00E0415A"/>
    <w:rsid w:val="00E14615"/>
    <w:rsid w:val="00E1567D"/>
    <w:rsid w:val="00E22AE5"/>
    <w:rsid w:val="00E3075B"/>
    <w:rsid w:val="00E421FC"/>
    <w:rsid w:val="00E44D66"/>
    <w:rsid w:val="00E60EA5"/>
    <w:rsid w:val="00E64ADE"/>
    <w:rsid w:val="00E718FC"/>
    <w:rsid w:val="00E83C4A"/>
    <w:rsid w:val="00E85DCD"/>
    <w:rsid w:val="00EB0089"/>
    <w:rsid w:val="00EB4D36"/>
    <w:rsid w:val="00EB7EFA"/>
    <w:rsid w:val="00EC2C5E"/>
    <w:rsid w:val="00ED655F"/>
    <w:rsid w:val="00EE0300"/>
    <w:rsid w:val="00EE1BE3"/>
    <w:rsid w:val="00EE7F4E"/>
    <w:rsid w:val="00EF77EC"/>
    <w:rsid w:val="00F36DCF"/>
    <w:rsid w:val="00F47192"/>
    <w:rsid w:val="00F816FE"/>
    <w:rsid w:val="00F843A4"/>
    <w:rsid w:val="00FA7C50"/>
    <w:rsid w:val="00FB5394"/>
    <w:rsid w:val="00FC4F8A"/>
    <w:rsid w:val="00FD4E33"/>
    <w:rsid w:val="00FE26E6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  <w:style w:type="table" w:styleId="ac">
    <w:name w:val="Table Grid"/>
    <w:basedOn w:val="a1"/>
    <w:uiPriority w:val="59"/>
    <w:rsid w:val="000A33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31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  <w:style w:type="table" w:styleId="ac">
    <w:name w:val="Table Grid"/>
    <w:basedOn w:val="a1"/>
    <w:uiPriority w:val="59"/>
    <w:rsid w:val="000A33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31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FD01-E72E-48DF-B8F4-5532C348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林俊儒</cp:lastModifiedBy>
  <cp:revision>126</cp:revision>
  <cp:lastPrinted>2014-05-09T10:10:00Z</cp:lastPrinted>
  <dcterms:created xsi:type="dcterms:W3CDTF">2014-04-25T01:49:00Z</dcterms:created>
  <dcterms:modified xsi:type="dcterms:W3CDTF">2014-05-14T08:25:00Z</dcterms:modified>
</cp:coreProperties>
</file>