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98" w:rsidRPr="003F3254" w:rsidRDefault="00D3711E" w:rsidP="00AF5B98">
      <w:pPr>
        <w:widowControl/>
        <w:spacing w:afterLines="100" w:after="360" w:line="500" w:lineRule="exact"/>
        <w:textAlignment w:val="top"/>
        <w:rPr>
          <w:rFonts w:ascii="標楷體" w:eastAsia="標楷體" w:hAnsi="標楷體" w:cs="Times New Roman"/>
          <w:b/>
          <w:color w:val="FF0000"/>
          <w:sz w:val="36"/>
          <w:szCs w:val="36"/>
        </w:rPr>
      </w:pPr>
      <w:r w:rsidRPr="004547B8">
        <w:rPr>
          <w:rFonts w:ascii="Calibri" w:eastAsia="新細明體" w:hAnsi="Calibri" w:cs="Times New Roman"/>
          <w:noProof/>
        </w:rPr>
        <w:drawing>
          <wp:inline distT="0" distB="0" distL="0" distR="0" wp14:anchorId="0B973022" wp14:editId="421E3E13">
            <wp:extent cx="1132609" cy="226097"/>
            <wp:effectExtent l="0" t="0" r="0" b="25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國發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7" cy="2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836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 xml:space="preserve">   </w:t>
      </w:r>
    </w:p>
    <w:p w:rsidR="00AF5B98" w:rsidRPr="00AF5B98" w:rsidRDefault="00AF5B98" w:rsidP="00EC2C5E">
      <w:pPr>
        <w:widowControl/>
        <w:spacing w:afterLines="50" w:after="180" w:line="500" w:lineRule="exact"/>
        <w:jc w:val="center"/>
        <w:textAlignment w:val="top"/>
        <w:rPr>
          <w:rFonts w:ascii="微軟正黑體" w:eastAsia="微軟正黑體" w:hAnsi="微軟正黑體" w:cs="Times New Roman"/>
          <w:b/>
          <w:color w:val="FF0000"/>
          <w:sz w:val="40"/>
          <w:szCs w:val="40"/>
        </w:rPr>
      </w:pPr>
      <w:r w:rsidRPr="00AD17CF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國家發展委員會 回應稿</w:t>
      </w:r>
    </w:p>
    <w:p w:rsidR="00E44D66" w:rsidRPr="00AD17CF" w:rsidRDefault="00137836" w:rsidP="00E44D66">
      <w:pPr>
        <w:widowControl/>
        <w:spacing w:line="500" w:lineRule="exact"/>
        <w:jc w:val="center"/>
        <w:textAlignment w:val="top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示範區</w:t>
      </w:r>
      <w:r w:rsidR="00E44D66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政策</w:t>
      </w:r>
      <w:r w:rsidR="00EC2C5E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內涵</w:t>
      </w:r>
      <w:r w:rsidR="00B20D32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公開、</w:t>
      </w:r>
      <w:r w:rsidR="00201104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透明</w:t>
      </w:r>
    </w:p>
    <w:p w:rsidR="00AF5B98" w:rsidRPr="00AD17CF" w:rsidRDefault="00AF5B98" w:rsidP="00B13BEC">
      <w:pPr>
        <w:snapToGrid w:val="0"/>
        <w:spacing w:line="500" w:lineRule="exact"/>
        <w:jc w:val="right"/>
        <w:rPr>
          <w:rFonts w:ascii="Calibri" w:eastAsia="標楷體" w:hAnsi="標楷體" w:cs="Times New Roman"/>
          <w:bCs/>
          <w:color w:val="000000"/>
          <w:sz w:val="28"/>
          <w:szCs w:val="28"/>
        </w:rPr>
      </w:pPr>
      <w:r w:rsidRPr="00AD17CF">
        <w:rPr>
          <w:rFonts w:ascii="Calibri" w:eastAsia="標楷體" w:hAnsi="標楷體" w:cs="Times New Roman"/>
          <w:bCs/>
          <w:color w:val="000000"/>
          <w:sz w:val="28"/>
          <w:szCs w:val="28"/>
        </w:rPr>
        <w:t>[</w:t>
      </w:r>
      <w:r w:rsidR="00CB7D3E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吳明蕙</w:t>
      </w:r>
      <w:r w:rsidRPr="00AD17CF">
        <w:rPr>
          <w:rFonts w:ascii="Calibri" w:eastAsia="標楷體" w:hAnsi="標楷體" w:cs="Times New Roman"/>
          <w:bCs/>
          <w:color w:val="000000"/>
          <w:sz w:val="28"/>
          <w:szCs w:val="28"/>
        </w:rPr>
        <w:t>/</w:t>
      </w:r>
      <w:r w:rsidRPr="00AD17CF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國家發展委員會</w:t>
      </w:r>
      <w:r w:rsidR="00E44D66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產業發展處</w:t>
      </w:r>
      <w:r w:rsidR="00CB7D3E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副</w:t>
      </w:r>
      <w:r w:rsidR="00E44D66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處長</w:t>
      </w:r>
      <w:r w:rsidRPr="00AD17CF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，電話：</w:t>
      </w:r>
      <w:r w:rsidR="00E44D66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02-2316</w:t>
      </w:r>
      <w:r w:rsidR="00B13BEC" w:rsidRPr="00AD17CF">
        <w:rPr>
          <w:rFonts w:ascii="Calibri" w:eastAsia="標楷體" w:hAnsi="標楷體" w:cs="Times New Roman"/>
          <w:bCs/>
          <w:color w:val="000000"/>
          <w:sz w:val="28"/>
          <w:szCs w:val="28"/>
        </w:rPr>
        <w:t>-</w:t>
      </w:r>
      <w:r w:rsidR="00E44D66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585</w:t>
      </w:r>
      <w:r w:rsidR="00CB7D3E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1</w:t>
      </w:r>
      <w:r w:rsidRPr="00AD17CF">
        <w:rPr>
          <w:rFonts w:ascii="Calibri" w:eastAsia="標楷體" w:hAnsi="標楷體" w:cs="Times New Roman"/>
          <w:bCs/>
          <w:color w:val="000000"/>
          <w:sz w:val="28"/>
          <w:szCs w:val="28"/>
        </w:rPr>
        <w:t>]</w:t>
      </w:r>
    </w:p>
    <w:p w:rsidR="003F3254" w:rsidRPr="00AD17CF" w:rsidRDefault="00B13BEC" w:rsidP="003F3254">
      <w:pPr>
        <w:wordWrap w:val="0"/>
        <w:snapToGrid w:val="0"/>
        <w:spacing w:line="500" w:lineRule="exact"/>
        <w:jc w:val="righ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AD17C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103</w:t>
      </w:r>
      <w:r w:rsidR="00AF5B98" w:rsidRPr="00AD17C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年</w:t>
      </w:r>
      <w:r w:rsidR="00E44D6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5</w:t>
      </w:r>
      <w:r w:rsidRPr="00AD17C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月</w:t>
      </w:r>
      <w:r w:rsidR="00F843A4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5</w:t>
      </w:r>
      <w:r w:rsidR="00AF5B98" w:rsidRPr="00AD17C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日</w:t>
      </w:r>
    </w:p>
    <w:p w:rsidR="00AF5B98" w:rsidRPr="003F3254" w:rsidRDefault="00D120F7" w:rsidP="00D120F7">
      <w:pPr>
        <w:widowControl/>
        <w:snapToGrid w:val="0"/>
        <w:spacing w:beforeLines="50" w:before="180" w:line="440" w:lineRule="exact"/>
        <w:ind w:firstLineChars="175" w:firstLine="56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 w:rsidRPr="00D120F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有關</w:t>
      </w:r>
      <w:r w:rsidRPr="00D120F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5</w:t>
      </w:r>
      <w:r w:rsidRPr="00D120F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月</w:t>
      </w:r>
      <w:r w:rsidRPr="00D120F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5</w:t>
      </w:r>
      <w:r w:rsidRPr="00D120F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日國內媒體關心示範區的政策形成過程，國家發展委員會說明如下。</w:t>
      </w:r>
    </w:p>
    <w:p w:rsidR="00E83C4A" w:rsidRPr="00E83C4A" w:rsidRDefault="00E83C4A" w:rsidP="00E83C4A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/>
          <w:bCs/>
          <w:color w:val="000000" w:themeColor="text1"/>
          <w:kern w:val="0"/>
          <w:sz w:val="32"/>
          <w:szCs w:val="32"/>
        </w:rPr>
      </w:pPr>
      <w:r w:rsidRPr="00E83C4A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一、</w:t>
      </w:r>
      <w:r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政府</w:t>
      </w:r>
      <w:r w:rsidR="00F36DCF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積極</w:t>
      </w:r>
      <w:r w:rsidRPr="00E83C4A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與各界溝通示範區政策</w:t>
      </w:r>
    </w:p>
    <w:p w:rsidR="00D56EAB" w:rsidRDefault="00D56EAB" w:rsidP="00D56EAB">
      <w:pPr>
        <w:widowControl/>
        <w:snapToGrid w:val="0"/>
        <w:spacing w:before="120" w:line="440" w:lineRule="exact"/>
        <w:ind w:firstLineChars="175" w:firstLine="56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為讓各界瞭解示範區規劃內容與示範區特別條例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(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草案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)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，本會自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102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年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3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月起迄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今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，已辦理或參與逾百</w:t>
      </w:r>
      <w:r w:rsidR="00EC2C5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餘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場之溝通說明活動</w:t>
      </w:r>
      <w:r w:rsid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及座談會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="00EC2C5E"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向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各界</w:t>
      </w:r>
      <w:r w:rsidR="00EC2C5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說明示範區政策</w:t>
      </w:r>
      <w:r w:rsidRPr="00D56EAB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AC48C2" w:rsidRDefault="008D5E9A" w:rsidP="00C53318">
      <w:pPr>
        <w:widowControl/>
        <w:snapToGrid w:val="0"/>
        <w:spacing w:before="120" w:line="440" w:lineRule="exact"/>
        <w:ind w:firstLineChars="175" w:firstLine="56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立法院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針對示範區特別條例</w:t>
      </w:r>
      <w:r w:rsidR="00FD4E3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亦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召開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5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場公聽會，行政部門已參</w:t>
      </w:r>
      <w:proofErr w:type="gramStart"/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採</w:t>
      </w:r>
      <w:proofErr w:type="gramEnd"/>
      <w:r w:rsid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公聽會學者專家所提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意見</w:t>
      </w:r>
      <w:r w:rsid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並將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修正建議</w:t>
      </w:r>
      <w:r w:rsid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送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請立法</w:t>
      </w:r>
      <w:r w:rsidR="007A0A8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委員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參考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，由</w:t>
      </w:r>
      <w:r w:rsidR="007A0A8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委員提出修正動議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  <w:r w:rsidR="007A0A8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主要</w:t>
      </w:r>
      <w:r w:rsid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修正</w:t>
      </w:r>
      <w:r w:rsidR="007A0A8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內容如次</w:t>
      </w:r>
      <w:r w:rsid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：</w:t>
      </w:r>
    </w:p>
    <w:p w:rsidR="001D50D7" w:rsidRDefault="00586423" w:rsidP="00C53318">
      <w:pPr>
        <w:pStyle w:val="ab"/>
        <w:widowControl/>
        <w:numPr>
          <w:ilvl w:val="0"/>
          <w:numId w:val="2"/>
        </w:numPr>
        <w:snapToGrid w:val="0"/>
        <w:spacing w:before="5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土地取得：</w:t>
      </w:r>
      <w:r w:rsidR="00AC48C2" w:rsidRP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新設示範區刪除徵收與區段徵收規定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AC48C2" w:rsidRDefault="00586423" w:rsidP="00C53318">
      <w:pPr>
        <w:pStyle w:val="ab"/>
        <w:widowControl/>
        <w:numPr>
          <w:ilvl w:val="0"/>
          <w:numId w:val="2"/>
        </w:numPr>
        <w:snapToGrid w:val="0"/>
        <w:spacing w:before="5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環評審查：</w:t>
      </w:r>
      <w:r w:rsidR="001D50D7" w:rsidRPr="001D50D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新設示範區刪除環評審查「平行」與「聯席審查」之規定</w:t>
      </w:r>
      <w:r w:rsidR="001D50D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依現行規定辦理。</w:t>
      </w:r>
    </w:p>
    <w:p w:rsidR="00AC48C2" w:rsidRDefault="00586423" w:rsidP="00C53318">
      <w:pPr>
        <w:pStyle w:val="ab"/>
        <w:widowControl/>
        <w:numPr>
          <w:ilvl w:val="0"/>
          <w:numId w:val="2"/>
        </w:numPr>
        <w:snapToGrid w:val="0"/>
        <w:spacing w:before="5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野生動物保育：</w:t>
      </w:r>
      <w:r w:rsidR="001D50D7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保育類野生動物活體輸出入，限縮為「觀賞水族動物」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AF5B98" w:rsidRDefault="00586423" w:rsidP="00C53318">
      <w:pPr>
        <w:pStyle w:val="ab"/>
        <w:widowControl/>
        <w:numPr>
          <w:ilvl w:val="0"/>
          <w:numId w:val="2"/>
        </w:numPr>
        <w:snapToGrid w:val="0"/>
        <w:spacing w:before="5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農業加值：</w:t>
      </w:r>
      <w:r w:rsidR="00AC48C2" w:rsidRP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外</w:t>
      </w:r>
      <w:r w:rsidR="00FD4E3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</w:t>
      </w:r>
      <w:r w:rsidR="00AC48C2" w:rsidRP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貨主內</w:t>
      </w:r>
      <w:bookmarkStart w:id="0" w:name="_GoBack"/>
      <w:bookmarkEnd w:id="0"/>
      <w:r w:rsidR="00AC48C2" w:rsidRP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銷</w:t>
      </w:r>
      <w:r w:rsidR="00AC48C2" w:rsidRP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10%</w:t>
      </w:r>
      <w:r w:rsidR="00AC48C2" w:rsidRPr="00AC48C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免稅排除農產品適用。</w:t>
      </w:r>
    </w:p>
    <w:p w:rsidR="00E83C4A" w:rsidRPr="00E83C4A" w:rsidRDefault="00E83C4A" w:rsidP="00E83C4A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/>
          <w:bCs/>
          <w:color w:val="000000" w:themeColor="text1"/>
          <w:kern w:val="0"/>
          <w:sz w:val="32"/>
          <w:szCs w:val="32"/>
        </w:rPr>
      </w:pPr>
      <w:r w:rsidRPr="00E83C4A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二、示範區是要</w:t>
      </w:r>
      <w:r w:rsidR="00586423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連結</w:t>
      </w:r>
      <w:r w:rsidRPr="00E83C4A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國際</w:t>
      </w:r>
      <w:r w:rsidR="00F36DCF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，並非僅針對中國大陸</w:t>
      </w:r>
    </w:p>
    <w:p w:rsidR="00E83C4A" w:rsidRPr="00E83C4A" w:rsidRDefault="00485CB2" w:rsidP="00E83C4A">
      <w:pPr>
        <w:widowControl/>
        <w:snapToGrid w:val="0"/>
        <w:spacing w:before="120" w:line="440" w:lineRule="exact"/>
        <w:ind w:firstLineChars="175" w:firstLine="56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政府</w:t>
      </w:r>
      <w:r w:rsidR="0043641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已多次</w:t>
      </w:r>
      <w:r w:rsidR="00C5331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澄清</w:t>
      </w:r>
      <w:r w:rsidR="0043641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示範區是要連結</w:t>
      </w:r>
      <w:r w:rsidR="00B028AF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國際</w:t>
      </w:r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，並非</w:t>
      </w:r>
      <w:r w:rsid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僅</w:t>
      </w:r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針對</w:t>
      </w:r>
      <w:r w:rsid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中國大陸</w:t>
      </w:r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  <w:r w:rsidR="00F36DCF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例如：</w:t>
      </w:r>
    </w:p>
    <w:p w:rsidR="00E83C4A" w:rsidRPr="00E83C4A" w:rsidRDefault="00E83C4A" w:rsidP="00E83C4A">
      <w:pPr>
        <w:pStyle w:val="ab"/>
        <w:widowControl/>
        <w:numPr>
          <w:ilvl w:val="0"/>
          <w:numId w:val="3"/>
        </w:numPr>
        <w:snapToGrid w:val="0"/>
        <w:spacing w:before="12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示範區參考美韓</w:t>
      </w:r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FTA</w:t>
      </w:r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做法，鬆綁律師、會計師及建築師等專業服務業之組織型態及投資限制，但開放對象不包括中國大陸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E83C4A" w:rsidRPr="00E83C4A" w:rsidRDefault="00E83C4A" w:rsidP="00E83C4A">
      <w:pPr>
        <w:pStyle w:val="ab"/>
        <w:widowControl/>
        <w:numPr>
          <w:ilvl w:val="0"/>
          <w:numId w:val="3"/>
        </w:numPr>
        <w:snapToGrid w:val="0"/>
        <w:spacing w:before="12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lastRenderedPageBreak/>
        <w:t>示範區並未開放任何大陸</w:t>
      </w:r>
      <w:r w:rsidR="00F36DCF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勞工</w:t>
      </w:r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來</w:t>
      </w:r>
      <w:proofErr w:type="gramStart"/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臺</w:t>
      </w:r>
      <w:proofErr w:type="gramEnd"/>
      <w:r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工作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E83C4A" w:rsidRDefault="003566E4" w:rsidP="00E83C4A">
      <w:pPr>
        <w:pStyle w:val="ab"/>
        <w:widowControl/>
        <w:numPr>
          <w:ilvl w:val="0"/>
          <w:numId w:val="3"/>
        </w:numPr>
        <w:snapToGrid w:val="0"/>
        <w:spacing w:before="12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</w:t>
      </w:r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創新重點對於大陸亦有相關限制，例如：國際健康不開放大陸</w:t>
      </w:r>
      <w:proofErr w:type="gramStart"/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醫</w:t>
      </w:r>
      <w:proofErr w:type="gramEnd"/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事人員來</w:t>
      </w:r>
      <w:proofErr w:type="gramStart"/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臺</w:t>
      </w:r>
      <w:proofErr w:type="gramEnd"/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；教育創新不開放大陸大學來</w:t>
      </w:r>
      <w:proofErr w:type="gramStart"/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臺</w:t>
      </w:r>
      <w:proofErr w:type="gramEnd"/>
      <w:r w:rsidR="00E83C4A" w:rsidRPr="00E83C4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設立分校；</w:t>
      </w:r>
      <w:r w:rsidR="0058642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農業加值不開放管制性大陸農產品內銷。</w:t>
      </w:r>
    </w:p>
    <w:p w:rsidR="006F1354" w:rsidRDefault="006F1354" w:rsidP="008E68C1">
      <w:pPr>
        <w:pStyle w:val="ab"/>
        <w:widowControl/>
        <w:numPr>
          <w:ilvl w:val="0"/>
          <w:numId w:val="3"/>
        </w:numPr>
        <w:snapToGrid w:val="0"/>
        <w:spacing w:before="120" w:line="440" w:lineRule="exact"/>
        <w:ind w:leftChars="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 w:rsidRPr="00514EB6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針對陸資投資示範區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="008E68C1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雖已修正「大陸地區人民來</w:t>
      </w:r>
      <w:proofErr w:type="gramStart"/>
      <w:r w:rsidR="008E68C1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臺</w:t>
      </w:r>
      <w:proofErr w:type="gramEnd"/>
      <w:r w:rsidR="008E68C1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投資許可辦法」</w:t>
      </w:r>
      <w:r w:rsidR="003566E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予以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放寬</w:t>
      </w:r>
      <w:r w:rsidR="008E68C1" w:rsidRPr="008E68C1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，但尚未生效。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且前提是不影響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國家安全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政府亦訂有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嚴格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管理機制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，並未放寬任何實質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審查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程序。必要時甚至可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撤銷或廢止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其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投資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E44D66" w:rsidRDefault="006F1354" w:rsidP="006F1354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自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示範區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政策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推動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以來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="00F36DCF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智慧物流已有</w:t>
      </w:r>
      <w:r w:rsidR="0054677C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日本及美國企業進駐</w:t>
      </w:r>
      <w:proofErr w:type="gramStart"/>
      <w:r w:rsidR="0054677C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自貿港區</w:t>
      </w:r>
      <w:proofErr w:type="gramEnd"/>
      <w:r w:rsidR="00F36DCF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；</w:t>
      </w:r>
      <w:r w:rsidR="0054677C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農業加值已有德國及日本業者進駐屏東農業生技園區；</w:t>
      </w:r>
      <w:r w:rsidR="00F36DCF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金融服務有英國、香港與新加坡業者</w:t>
      </w:r>
      <w:r w:rsidR="0054677C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表達</w:t>
      </w:r>
      <w:r w:rsidR="00F36DCF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興趣。教育創新</w:t>
      </w:r>
      <w:r w:rsidR="0054677C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也獲得歐洲</w:t>
      </w:r>
      <w:r w:rsidR="00CA0BCB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商會表達興趣</w:t>
      </w:r>
      <w:r w:rsidR="00F36DCF" w:rsidRP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F36DCF" w:rsidRPr="0035067D" w:rsidRDefault="00F36DCF" w:rsidP="00F36DCF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/>
          <w:bCs/>
          <w:color w:val="000000" w:themeColor="text1"/>
          <w:kern w:val="0"/>
          <w:sz w:val="32"/>
          <w:szCs w:val="32"/>
        </w:rPr>
      </w:pPr>
      <w:r w:rsidRPr="0035067D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三、</w:t>
      </w:r>
      <w:r w:rsidR="00E22AE5" w:rsidRPr="0035067D">
        <w:rPr>
          <w:rFonts w:ascii="Calibri" w:eastAsia="標楷體" w:hAnsi="Calibri" w:cs="Times New Roman" w:hint="eastAsia"/>
          <w:b/>
          <w:bCs/>
          <w:color w:val="000000" w:themeColor="text1"/>
          <w:kern w:val="0"/>
          <w:sz w:val="32"/>
          <w:szCs w:val="32"/>
        </w:rPr>
        <w:t>特別條例授權子法係賦予行政管理彈性</w:t>
      </w:r>
    </w:p>
    <w:p w:rsidR="002F337E" w:rsidRDefault="003D45D5" w:rsidP="003D45D5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示範區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特別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條例草案計有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31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項授權行政機關訂定辦法或法規命令。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主要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係考量行政專業性，就技術性、細節性、毋須以法律明定之事項授權行政機關訂定辦法</w:t>
      </w:r>
      <w:r w:rsidR="00C4029F"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，賦予行政管理彈性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，此為行政法制一般通例，以「產業創新條例」為例，其授權行政機關訂定之子法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亦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達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30</w:t>
      </w:r>
      <w:r w:rsidRPr="00F47192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項。</w:t>
      </w:r>
    </w:p>
    <w:p w:rsidR="002F337E" w:rsidRDefault="002F337E" w:rsidP="003D45D5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 xml:space="preserve">    </w:t>
      </w:r>
      <w:proofErr w:type="gramStart"/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此外，</w:t>
      </w:r>
      <w:proofErr w:type="gramEnd"/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各機關依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示範區特別</w:t>
      </w:r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條例所訂之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子法</w:t>
      </w:r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，若有違反、變更或牴觸法律等情事，立法院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亦</w:t>
      </w:r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得依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「</w:t>
      </w:r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立法院職權行使法</w:t>
      </w:r>
      <w:r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」</w:t>
      </w:r>
      <w:r w:rsidRPr="002F337E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進行事後監督，使不當之命令失效。</w:t>
      </w:r>
    </w:p>
    <w:p w:rsidR="00F47192" w:rsidRDefault="004C7648" w:rsidP="00EE1BE3">
      <w:pPr>
        <w:widowControl/>
        <w:snapToGrid w:val="0"/>
        <w:spacing w:before="360" w:line="440" w:lineRule="exact"/>
        <w:ind w:firstLineChars="175" w:firstLine="560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國發會強調，推動示範區</w:t>
      </w:r>
      <w:r w:rsid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一方面</w:t>
      </w:r>
      <w:r w:rsidR="0035067D" w:rsidRP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是要營造</w:t>
      </w:r>
      <w:r w:rsid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國內</w:t>
      </w:r>
      <w:r w:rsidR="0035067D" w:rsidRP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優質營運環境，讓臺灣產業結構轉型、升級，</w:t>
      </w:r>
      <w:r w:rsidR="0035067D"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突破</w:t>
      </w:r>
      <w:r w:rsid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目前產業</w:t>
      </w:r>
      <w:r w:rsidR="0035067D"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發展瓶頸</w:t>
      </w:r>
      <w:r w:rsid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；另方面則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要</w:t>
      </w:r>
      <w:r w:rsidR="006F1354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推動</w:t>
      </w:r>
      <w:r w:rsid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與國際經濟接軌，讓</w:t>
      </w:r>
      <w:r w:rsidR="0035067D"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人才、資金、技術</w:t>
      </w:r>
      <w:r w:rsid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根留</w:t>
      </w:r>
      <w:r w:rsidR="0035067D"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臺灣，</w:t>
      </w:r>
      <w:r w:rsidR="0035067D" w:rsidRP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同時創造融入</w:t>
      </w:r>
      <w:r w:rsidR="00EE1BE3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區域</w:t>
      </w:r>
      <w:r w:rsidR="0035067D" w:rsidRP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經貿整合的有利條件。</w:t>
      </w:r>
      <w:r w:rsid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國發會衷心企盼</w:t>
      </w:r>
      <w:r w:rsidR="003E26B1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國內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各界</w:t>
      </w:r>
      <w:r w:rsidR="0043077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全力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支持</w:t>
      </w:r>
      <w:r w:rsidR="0035067D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示範區政策，促使示範區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特別條例早日完成立法</w:t>
      </w:r>
      <w:r w:rsidR="00E0415A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，讓國內經濟得以跨出重要的一步</w:t>
      </w:r>
      <w:r w:rsidRPr="004C7648">
        <w:rPr>
          <w:rFonts w:ascii="Calibri" w:eastAsia="標楷體" w:hAnsi="Calibri" w:cs="Times New Roman" w:hint="eastAsia"/>
          <w:bCs/>
          <w:color w:val="000000" w:themeColor="text1"/>
          <w:kern w:val="0"/>
          <w:sz w:val="32"/>
          <w:szCs w:val="32"/>
        </w:rPr>
        <w:t>。</w:t>
      </w:r>
    </w:p>
    <w:p w:rsidR="003566E4" w:rsidRPr="003F3254" w:rsidRDefault="003566E4" w:rsidP="003566E4">
      <w:pPr>
        <w:widowControl/>
        <w:snapToGrid w:val="0"/>
        <w:spacing w:before="120" w:line="440" w:lineRule="exact"/>
        <w:jc w:val="both"/>
        <w:textAlignment w:val="top"/>
        <w:rPr>
          <w:rFonts w:ascii="Calibri" w:eastAsia="標楷體" w:hAnsi="Calibri" w:cs="Times New Roman"/>
          <w:bCs/>
          <w:color w:val="000000" w:themeColor="text1"/>
          <w:kern w:val="0"/>
          <w:sz w:val="32"/>
          <w:szCs w:val="32"/>
        </w:rPr>
      </w:pPr>
    </w:p>
    <w:sectPr w:rsidR="003566E4" w:rsidRPr="003F325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39" w:rsidRDefault="00027639" w:rsidP="00AD17CF">
      <w:r>
        <w:separator/>
      </w:r>
    </w:p>
  </w:endnote>
  <w:endnote w:type="continuationSeparator" w:id="0">
    <w:p w:rsidR="00027639" w:rsidRDefault="00027639" w:rsidP="00A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新細明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363070"/>
      <w:docPartObj>
        <w:docPartGallery w:val="Page Numbers (Bottom of Page)"/>
        <w:docPartUnique/>
      </w:docPartObj>
    </w:sdtPr>
    <w:sdtEndPr/>
    <w:sdtContent>
      <w:p w:rsidR="000A617D" w:rsidRDefault="000A6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33" w:rsidRPr="00FD4E33">
          <w:rPr>
            <w:noProof/>
            <w:lang w:val="zh-TW"/>
          </w:rPr>
          <w:t>1</w:t>
        </w:r>
        <w:r>
          <w:fldChar w:fldCharType="end"/>
        </w:r>
      </w:p>
    </w:sdtContent>
  </w:sdt>
  <w:p w:rsidR="000A617D" w:rsidRDefault="000A61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39" w:rsidRDefault="00027639" w:rsidP="00AD17CF">
      <w:r>
        <w:separator/>
      </w:r>
    </w:p>
  </w:footnote>
  <w:footnote w:type="continuationSeparator" w:id="0">
    <w:p w:rsidR="00027639" w:rsidRDefault="00027639" w:rsidP="00AD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F42FF"/>
    <w:multiLevelType w:val="hybridMultilevel"/>
    <w:tmpl w:val="E774DDE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68FA9962">
      <w:start w:val="1"/>
      <w:numFmt w:val="taiwaneseCountingThousand"/>
      <w:lvlText w:val="(%2)"/>
      <w:lvlJc w:val="left"/>
      <w:pPr>
        <w:ind w:left="1360" w:hanging="14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80"/>
      </w:pPr>
      <w:rPr>
        <w:rFonts w:ascii="Wingdings" w:hAnsi="Wingdings" w:hint="default"/>
      </w:rPr>
    </w:lvl>
  </w:abstractNum>
  <w:abstractNum w:abstractNumId="1">
    <w:nsid w:val="43B652C2"/>
    <w:multiLevelType w:val="hybridMultilevel"/>
    <w:tmpl w:val="67548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F52C9C"/>
    <w:multiLevelType w:val="hybridMultilevel"/>
    <w:tmpl w:val="27DCA2EA"/>
    <w:lvl w:ilvl="0" w:tplc="5E86AD2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B8"/>
    <w:rsid w:val="000176EA"/>
    <w:rsid w:val="00027639"/>
    <w:rsid w:val="000A617D"/>
    <w:rsid w:val="00137836"/>
    <w:rsid w:val="001A0971"/>
    <w:rsid w:val="001D50D7"/>
    <w:rsid w:val="001E30D9"/>
    <w:rsid w:val="00201104"/>
    <w:rsid w:val="002F337E"/>
    <w:rsid w:val="0035067D"/>
    <w:rsid w:val="003566E4"/>
    <w:rsid w:val="003917F9"/>
    <w:rsid w:val="003D45D5"/>
    <w:rsid w:val="003E26B1"/>
    <w:rsid w:val="003F3254"/>
    <w:rsid w:val="0043077A"/>
    <w:rsid w:val="00436413"/>
    <w:rsid w:val="004547B8"/>
    <w:rsid w:val="00485CB2"/>
    <w:rsid w:val="004C7648"/>
    <w:rsid w:val="004E0F27"/>
    <w:rsid w:val="00514EB6"/>
    <w:rsid w:val="0054677C"/>
    <w:rsid w:val="00586423"/>
    <w:rsid w:val="005C6813"/>
    <w:rsid w:val="00614CA0"/>
    <w:rsid w:val="00660713"/>
    <w:rsid w:val="006D6EA7"/>
    <w:rsid w:val="006F1354"/>
    <w:rsid w:val="00740FC1"/>
    <w:rsid w:val="00797F51"/>
    <w:rsid w:val="007A0A8A"/>
    <w:rsid w:val="00816650"/>
    <w:rsid w:val="00826C9D"/>
    <w:rsid w:val="00865949"/>
    <w:rsid w:val="008D5E9A"/>
    <w:rsid w:val="008E1AB8"/>
    <w:rsid w:val="008E68C1"/>
    <w:rsid w:val="00935934"/>
    <w:rsid w:val="00954A13"/>
    <w:rsid w:val="00A11A40"/>
    <w:rsid w:val="00AC48C2"/>
    <w:rsid w:val="00AD17CF"/>
    <w:rsid w:val="00AF5B98"/>
    <w:rsid w:val="00B028AF"/>
    <w:rsid w:val="00B13BEC"/>
    <w:rsid w:val="00B20D32"/>
    <w:rsid w:val="00B637B3"/>
    <w:rsid w:val="00C1613F"/>
    <w:rsid w:val="00C24C9A"/>
    <w:rsid w:val="00C4029F"/>
    <w:rsid w:val="00C53318"/>
    <w:rsid w:val="00C565AE"/>
    <w:rsid w:val="00C76F9C"/>
    <w:rsid w:val="00CA0BCB"/>
    <w:rsid w:val="00CB7D3E"/>
    <w:rsid w:val="00CF037C"/>
    <w:rsid w:val="00D120F7"/>
    <w:rsid w:val="00D3711E"/>
    <w:rsid w:val="00D4058D"/>
    <w:rsid w:val="00D56EAB"/>
    <w:rsid w:val="00DF30E4"/>
    <w:rsid w:val="00E0415A"/>
    <w:rsid w:val="00E14615"/>
    <w:rsid w:val="00E22AE5"/>
    <w:rsid w:val="00E44D66"/>
    <w:rsid w:val="00E60EA5"/>
    <w:rsid w:val="00E83C4A"/>
    <w:rsid w:val="00E85DCD"/>
    <w:rsid w:val="00EC2C5E"/>
    <w:rsid w:val="00ED655F"/>
    <w:rsid w:val="00EE1BE3"/>
    <w:rsid w:val="00EE7F4E"/>
    <w:rsid w:val="00EF77EC"/>
    <w:rsid w:val="00F36DCF"/>
    <w:rsid w:val="00F47192"/>
    <w:rsid w:val="00F816FE"/>
    <w:rsid w:val="00F843A4"/>
    <w:rsid w:val="00FB5394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47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1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7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7C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F3254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F3254"/>
  </w:style>
  <w:style w:type="paragraph" w:styleId="ab">
    <w:name w:val="List Paragraph"/>
    <w:basedOn w:val="a"/>
    <w:uiPriority w:val="34"/>
    <w:qFormat/>
    <w:rsid w:val="00AC48C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47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1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7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7C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F3254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F3254"/>
  </w:style>
  <w:style w:type="paragraph" w:styleId="ab">
    <w:name w:val="List Paragraph"/>
    <w:basedOn w:val="a"/>
    <w:uiPriority w:val="34"/>
    <w:qFormat/>
    <w:rsid w:val="00AC48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68E7-E287-4D16-8D78-E9A47302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林俊儒</cp:lastModifiedBy>
  <cp:revision>53</cp:revision>
  <cp:lastPrinted>2014-05-05T08:24:00Z</cp:lastPrinted>
  <dcterms:created xsi:type="dcterms:W3CDTF">2014-04-25T01:49:00Z</dcterms:created>
  <dcterms:modified xsi:type="dcterms:W3CDTF">2014-05-05T09:57:00Z</dcterms:modified>
</cp:coreProperties>
</file>