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91" w:rsidRPr="00E20D6E" w:rsidRDefault="00713C91" w:rsidP="001E6743">
      <w:pPr>
        <w:snapToGrid w:val="0"/>
        <w:spacing w:line="0" w:lineRule="atLeast"/>
        <w:rPr>
          <w:rFonts w:ascii="Times New Roman" w:eastAsia="微軟正黑體" w:hAnsi="Times New Roman" w:cs="Times New Roman"/>
          <w:b/>
          <w:color w:val="000000" w:themeColor="text1"/>
          <w:sz w:val="36"/>
          <w:szCs w:val="36"/>
        </w:rPr>
      </w:pPr>
      <w:r w:rsidRPr="00E20D6E">
        <w:rPr>
          <w:rFonts w:ascii="Times New Roman" w:eastAsia="新細明體" w:hAnsi="Times New Roman" w:cs="Times New Roman"/>
          <w:noProof/>
          <w:color w:val="000000" w:themeColor="text1"/>
        </w:rPr>
        <w:drawing>
          <wp:inline distT="0" distB="0" distL="0" distR="0" wp14:anchorId="54977ABD" wp14:editId="524C7E6C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76" w:rsidRPr="00E20D6E" w:rsidRDefault="00CE2476" w:rsidP="00046104">
      <w:pPr>
        <w:widowControl/>
        <w:spacing w:afterLines="100" w:after="360" w:line="500" w:lineRule="exact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E20D6E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 w:rsidRPr="00E20D6E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新聞</w:t>
      </w:r>
      <w:r w:rsidRPr="00E20D6E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842D91" w:rsidRPr="00E20D6E" w:rsidRDefault="00762793" w:rsidP="005345EB">
      <w:pPr>
        <w:widowControl/>
        <w:spacing w:afterLines="100" w:after="360" w:line="500" w:lineRule="exact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陳美伶主委：</w:t>
      </w:r>
      <w:r w:rsidR="005345EB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公司法</w:t>
      </w: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三讀</w:t>
      </w:r>
      <w:r w:rsidR="00F74430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10項內容鼓</w:t>
      </w: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勵</w:t>
      </w:r>
      <w:r w:rsidR="005345EB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新創發展</w:t>
      </w:r>
    </w:p>
    <w:p w:rsidR="00713C91" w:rsidRPr="00E20D6E" w:rsidRDefault="00713C91" w:rsidP="008D015B">
      <w:pPr>
        <w:spacing w:line="280" w:lineRule="exact"/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20D6E">
        <w:rPr>
          <w:rFonts w:ascii="Times New Roman" w:eastAsia="標楷體" w:hAnsi="Times New Roman" w:cs="Times New Roman"/>
          <w:color w:val="000000" w:themeColor="text1"/>
          <w:szCs w:val="24"/>
        </w:rPr>
        <w:t>發布日期：</w:t>
      </w:r>
      <w:r w:rsidR="00E46654" w:rsidRPr="00E20D6E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842D91" w:rsidRPr="00E20D6E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842D91" w:rsidRPr="00E20D6E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="0008342F" w:rsidRPr="00E20D6E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842D91" w:rsidRPr="00E20D6E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5345EB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842D91" w:rsidRPr="00E20D6E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p w:rsidR="00713C91" w:rsidRPr="00E20D6E" w:rsidRDefault="00713C91" w:rsidP="008D015B">
      <w:pPr>
        <w:spacing w:line="280" w:lineRule="exact"/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20D6E">
        <w:rPr>
          <w:rFonts w:ascii="Times New Roman" w:eastAsia="標楷體" w:hAnsi="Times New Roman" w:cs="Times New Roman"/>
          <w:color w:val="000000" w:themeColor="text1"/>
          <w:szCs w:val="24"/>
        </w:rPr>
        <w:t>聯絡</w:t>
      </w:r>
      <w:r w:rsidR="000028E8" w:rsidRPr="00E20D6E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="000028E8" w:rsidRPr="00E20D6E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5345EB">
        <w:rPr>
          <w:rFonts w:ascii="Times New Roman" w:eastAsia="標楷體" w:hAnsi="Times New Roman" w:cs="Times New Roman" w:hint="eastAsia"/>
          <w:color w:val="000000" w:themeColor="text1"/>
          <w:szCs w:val="24"/>
        </w:rPr>
        <w:t>林志憲</w:t>
      </w:r>
    </w:p>
    <w:p w:rsidR="00713C91" w:rsidRPr="00E20D6E" w:rsidRDefault="00713C91" w:rsidP="008D015B">
      <w:pPr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20D6E">
        <w:rPr>
          <w:rFonts w:ascii="Times New Roman" w:eastAsia="標楷體" w:hAnsi="Times New Roman" w:cs="Times New Roman"/>
          <w:color w:val="000000" w:themeColor="text1"/>
          <w:szCs w:val="24"/>
        </w:rPr>
        <w:t>聯絡電話：</w:t>
      </w:r>
      <w:r w:rsidR="009F439E" w:rsidRPr="00E20D6E">
        <w:rPr>
          <w:rFonts w:ascii="Times New Roman" w:eastAsia="標楷體" w:hAnsi="Times New Roman" w:cs="Times New Roman" w:hint="eastAsia"/>
          <w:color w:val="000000" w:themeColor="text1"/>
          <w:szCs w:val="24"/>
        </w:rPr>
        <w:t>23165929</w:t>
      </w:r>
    </w:p>
    <w:p w:rsidR="00CE2476" w:rsidRPr="00E20D6E" w:rsidRDefault="00CE2476" w:rsidP="008D015B">
      <w:pPr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345EB" w:rsidRDefault="001901D3" w:rsidP="00046104">
      <w:pPr>
        <w:snapToGrid w:val="0"/>
        <w:spacing w:beforeLines="50" w:before="180" w:afterLines="50" w:after="180" w:line="360" w:lineRule="auto"/>
        <w:ind w:firstLineChars="200" w:firstLine="64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E20D6E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國家發展委員會陳美伶主委</w:t>
      </w:r>
      <w:r w:rsidR="005345EB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今日對立法院</w:t>
      </w:r>
      <w:r w:rsidR="005345EB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7</w:t>
      </w:r>
      <w:r w:rsidR="005345EB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月</w:t>
      </w:r>
      <w:r w:rsidR="005345EB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6</w:t>
      </w:r>
      <w:r w:rsidR="005345EB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日三讀通過公司法表達感謝</w:t>
      </w:r>
      <w:r w:rsidR="00286749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</w:t>
      </w:r>
      <w:r w:rsidR="0076279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尤其立法院對行政部門提出</w:t>
      </w:r>
      <w:r w:rsidR="001D6B66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相</w:t>
      </w:r>
      <w:r w:rsidR="0076279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關友善新創發展的條文</w:t>
      </w:r>
      <w:r w:rsidR="00F74430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的全力</w:t>
      </w:r>
      <w:r w:rsidR="0076279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支持，相信</w:t>
      </w:r>
      <w:r w:rsidR="00F74430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新</w:t>
      </w:r>
      <w:r w:rsidR="0076279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法</w:t>
      </w:r>
      <w:r w:rsidR="0048752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可</w:t>
      </w:r>
      <w:r w:rsidR="00E8611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扶</w:t>
      </w:r>
      <w:r w:rsidR="00F74430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植</w:t>
      </w:r>
      <w:r w:rsidR="0048752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國</w:t>
      </w:r>
      <w:r w:rsidR="00F74430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內更多</w:t>
      </w:r>
      <w:r w:rsidR="009B6D90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新創業者</w:t>
      </w:r>
      <w:r w:rsidR="00F74430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，帶動新經濟的蓬勃發展</w:t>
      </w:r>
      <w:r w:rsidR="0048752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。</w:t>
      </w:r>
    </w:p>
    <w:p w:rsidR="000347AF" w:rsidRDefault="00487523" w:rsidP="000347AF">
      <w:pPr>
        <w:snapToGrid w:val="0"/>
        <w:spacing w:beforeLines="50" w:before="180" w:afterLines="50" w:after="180" w:line="360" w:lineRule="auto"/>
        <w:ind w:firstLineChars="200" w:firstLine="64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陳主委說明，本次公司法修正</w:t>
      </w:r>
      <w:r w:rsidR="001D6B66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</w:t>
      </w:r>
      <w:r w:rsidR="00FD747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共有</w:t>
      </w:r>
      <w:r w:rsidR="000347A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10</w:t>
      </w:r>
      <w:r w:rsidR="000347A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大</w:t>
      </w:r>
      <w:r w:rsidR="000B2FC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修正重點有利新創事業</w:t>
      </w:r>
      <w:r w:rsidR="00F74430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的</w:t>
      </w:r>
      <w:r w:rsidR="000B2FC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靈活運作</w:t>
      </w:r>
      <w:r w:rsidR="000347A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:</w:t>
      </w:r>
    </w:p>
    <w:p w:rsidR="000347AF" w:rsidRPr="00FB035A" w:rsidRDefault="000347AF" w:rsidP="00FB035A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國內</w:t>
      </w:r>
      <w:proofErr w:type="gramStart"/>
      <w:r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新創或擬落地</w:t>
      </w:r>
      <w:proofErr w:type="gramEnd"/>
      <w:r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之國際新創事業近年常反應</w:t>
      </w:r>
      <w:r w:rsidR="00142D3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公司登記</w:t>
      </w:r>
      <w:r w:rsidR="00E8611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無法以外文名稱登記</w:t>
      </w:r>
      <w:r w:rsidR="00142D3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</w:t>
      </w:r>
      <w:r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修法後</w:t>
      </w:r>
      <w:r w:rsidR="00E8611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除中文名稱外，允許再以外文名稱</w:t>
      </w:r>
      <w:r w:rsidR="00142D3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登記，</w:t>
      </w:r>
      <w:r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有利企業以外文名稱拓展國際市場</w:t>
      </w:r>
      <w:r w:rsidR="00142D33"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</w:t>
      </w:r>
      <w:r w:rsidR="00142D3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提升品牌國際能見度，和國際接軌</w:t>
      </w:r>
      <w:r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。</w:t>
      </w:r>
    </w:p>
    <w:p w:rsidR="00E002CD" w:rsidRPr="00FB035A" w:rsidRDefault="00CD43F5" w:rsidP="00FB035A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未來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新增股東會可以視訊會議方式進行，符合數位經</w:t>
      </w:r>
      <w:r w:rsid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 xml:space="preserve">   </w:t>
      </w:r>
      <w:r w:rsidR="00E002CD"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濟趨勢</w:t>
      </w:r>
      <w:r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及縮短全球化佈局的距離</w:t>
      </w:r>
      <w:r w:rsidR="00E002CD" w:rsidRPr="00FB035A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。</w:t>
      </w:r>
    </w:p>
    <w:p w:rsidR="00E002CD" w:rsidRPr="007A3E6F" w:rsidRDefault="00E002CD" w:rsidP="00FB035A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簡化董事會程序，</w:t>
      </w:r>
      <w:r w:rsidR="00CD43F5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讓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非公</w:t>
      </w:r>
      <w:r w:rsidR="00CD43F5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開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發</w:t>
      </w:r>
      <w:r w:rsidR="00CD43F5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行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公司董事會</w:t>
      </w:r>
      <w:r w:rsidR="00236FAD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決議</w:t>
      </w:r>
      <w:r w:rsidR="00CD43F5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方式可以書面為之，以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避免人數不足而流會，</w:t>
      </w:r>
      <w:proofErr w:type="gramStart"/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或湊不</w:t>
      </w:r>
      <w:proofErr w:type="gramEnd"/>
      <w:r w:rsidR="00CD43F5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齊人數遲遲開不了會的缺點，有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助</w:t>
      </w:r>
      <w:r w:rsidR="00CD43F5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於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提升董事會決策</w:t>
      </w:r>
      <w:r w:rsidR="00CD43F5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的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效率。</w:t>
      </w:r>
    </w:p>
    <w:p w:rsidR="00E002CD" w:rsidRPr="007A3E6F" w:rsidRDefault="00CD43F5" w:rsidP="00FB035A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lastRenderedPageBreak/>
        <w:t>現行公司法，對於非公開發行公司董事席次，至少要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3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席，修正後，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董事席次可維持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3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席，或只設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1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席或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2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席，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將</w:t>
      </w:r>
      <w:r w:rsidR="00076558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有助</w:t>
      </w:r>
      <w:r w:rsidR="00E002CD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降低經營成本</w:t>
      </w:r>
      <w:r w:rsidR="00076558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，對新創事業初期股東人數不多或維持經營權</w:t>
      </w:r>
      <w:r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有相當</w:t>
      </w:r>
      <w:r w:rsidR="00076558" w:rsidRPr="007A3E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助益。</w:t>
      </w:r>
    </w:p>
    <w:p w:rsidR="005B21C3" w:rsidRDefault="00CD43F5" w:rsidP="005B21C3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現行公司法規定</w:t>
      </w: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1</w:t>
      </w: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年</w:t>
      </w: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1</w:t>
      </w: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次，修正後</w:t>
      </w:r>
      <w:r w:rsidR="002B243D"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所有公司可以按季發放</w:t>
      </w:r>
      <w:r w:rsidR="005B21C3"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現金股利，由</w:t>
      </w:r>
      <w:r w:rsidR="002B243D"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董事會決議即可，不必</w:t>
      </w: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召</w:t>
      </w:r>
      <w:r w:rsidR="002B243D"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開股東會，增加新創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經營彈性。</w:t>
      </w:r>
    </w:p>
    <w:p w:rsidR="00FB035A" w:rsidRPr="005B21C3" w:rsidRDefault="005B21C3" w:rsidP="005B21C3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新增非公</w:t>
      </w: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開</w:t>
      </w:r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發</w:t>
      </w:r>
      <w:r w:rsidRP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行</w:t>
      </w:r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公司可以彈性決定</w:t>
      </w:r>
      <w:proofErr w:type="gramStart"/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採</w:t>
      </w:r>
      <w:proofErr w:type="gramEnd"/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面額股或無面額股</w:t>
      </w:r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(</w:t>
      </w:r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股票上不載明金額，價格可於每次發行股份時自由決定，較可真實反應公司價值</w:t>
      </w:r>
      <w:proofErr w:type="gramStart"/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）</w:t>
      </w:r>
      <w:proofErr w:type="gramEnd"/>
      <w:r w:rsidRP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，協助新創事業先用低價發行股票，或採用國際常見之無面額股票制度，有助吸引投資人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，增加集資能量，充裕資金。</w:t>
      </w:r>
    </w:p>
    <w:p w:rsidR="0050051D" w:rsidRPr="002B243D" w:rsidRDefault="007A3E6F" w:rsidP="00FB035A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落實留才策略，規定員工酬勞工具的發放對象可以擴及控制公司及從屬公司員工，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即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母</w:t>
      </w:r>
      <w:proofErr w:type="gramEnd"/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(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子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)</w:t>
      </w:r>
      <w:r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公司賺錢時，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可分派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庫藏股、新股認股權證等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給子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(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母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)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公司員工，提升</w:t>
      </w:r>
      <w:proofErr w:type="gramStart"/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企業攬才</w:t>
      </w:r>
      <w:proofErr w:type="gramEnd"/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、留才彈性</w:t>
      </w:r>
      <w:r w:rsidR="00236FAD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，尤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其新創事業多</w:t>
      </w:r>
      <w:proofErr w:type="gramStart"/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採股票獎酬制度</w:t>
      </w:r>
      <w:proofErr w:type="gramEnd"/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吸引人才。</w:t>
      </w:r>
    </w:p>
    <w:p w:rsidR="0050051D" w:rsidRDefault="005B21C3" w:rsidP="005B21C3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新法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規定</w:t>
      </w:r>
      <w:r w:rsidR="006C5027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非公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開</w:t>
      </w:r>
      <w:r w:rsidR="006C5027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發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行</w:t>
      </w:r>
      <w:r w:rsidR="006C5027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公司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志同道合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的</w:t>
      </w:r>
      <w:r w:rsidR="0050051D"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股東可用契約或信託方式策略聯盟參與表決，使表決權行使更有彈性，有利提</w:t>
      </w:r>
      <w:r w:rsidR="0050051D" w:rsidRPr="0050051D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高投資新創誘因。</w:t>
      </w:r>
    </w:p>
    <w:p w:rsidR="0050051D" w:rsidRPr="006F4D35" w:rsidRDefault="0050051D" w:rsidP="006F4D35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新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法規定</w:t>
      </w:r>
      <w:r w:rsidR="006C5027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非公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開</w:t>
      </w:r>
      <w:r w:rsidR="006C5027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發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行</w:t>
      </w:r>
      <w:r w:rsidR="006C5027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公司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可以約定特別股</w:t>
      </w:r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「一股</w:t>
      </w:r>
      <w:proofErr w:type="gramStart"/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可以抵多股</w:t>
      </w:r>
      <w:proofErr w:type="gramEnd"/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的複數表決權股」、「對特定事項可以投反對票的黃金</w:t>
      </w:r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lastRenderedPageBreak/>
        <w:t>股」、「只</w:t>
      </w:r>
      <w:r w:rsidR="005B21C3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投資不參與董監選舉的特別股」，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或</w:t>
      </w:r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「保障當選董事席次參與經營的特別股」等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內容</w:t>
      </w:r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，以符合國際潮流，讓創辦人或創辦團隊能夠維持一定的投票權，既</w:t>
      </w:r>
      <w:r w:rsidR="005B21C3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可</w:t>
      </w:r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提高公司經營的彈性，也避免新創業者為引進資金而失去經營權，有助吸引更多</w:t>
      </w:r>
      <w:r w:rsidR="006F4D3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新創</w:t>
      </w:r>
      <w:r w:rsidR="006F4D35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投資</w:t>
      </w:r>
      <w:r w:rsidRPr="0050051D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。</w:t>
      </w:r>
    </w:p>
    <w:p w:rsidR="006C5027" w:rsidRPr="006F4D35" w:rsidRDefault="006F4D35" w:rsidP="006F4D35">
      <w:pPr>
        <w:pStyle w:val="a5"/>
        <w:numPr>
          <w:ilvl w:val="0"/>
          <w:numId w:val="17"/>
        </w:numPr>
        <w:snapToGrid w:val="0"/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6F4D3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取消</w:t>
      </w:r>
      <w:r w:rsidR="00B4676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發行公司債</w:t>
      </w:r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總額</w:t>
      </w:r>
      <w:r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限制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，並</w:t>
      </w:r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放寬發行種類，增加「可轉換公司債」</w:t>
      </w:r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及「附認股權公司債」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。</w:t>
      </w:r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國外如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美國</w:t>
      </w:r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矽谷早已有這類</w:t>
      </w:r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 xml:space="preserve">convertible note </w:t>
      </w:r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的設計，可增加公司籌資彈性，不需要</w:t>
      </w:r>
      <w:proofErr w:type="gramStart"/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一</w:t>
      </w:r>
      <w:proofErr w:type="gramEnd"/>
      <w:r w:rsidR="006C5027" w:rsidRPr="006C5027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剛開始就要估價計算持股比例，使新創募資更容易。</w:t>
      </w:r>
    </w:p>
    <w:p w:rsidR="00CF1457" w:rsidRPr="00A412BF" w:rsidRDefault="00A412BF" w:rsidP="006C5027">
      <w:pPr>
        <w:pStyle w:val="Default"/>
        <w:ind w:firstLine="48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A412B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陳主委強調，</w:t>
      </w:r>
      <w:r w:rsidR="006F4D3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隨著</w:t>
      </w:r>
      <w:r w:rsidR="00CF1457" w:rsidRPr="00A412B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數位經濟蓬勃發展</w:t>
      </w:r>
      <w:bookmarkStart w:id="0" w:name="_GoBack"/>
      <w:bookmarkEnd w:id="0"/>
      <w:r w:rsidR="006F4D3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，台</w:t>
      </w:r>
      <w:r w:rsidRPr="00A412B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灣要能成功轉型為創新驅動經濟，就必需打造良好的新創投資環境，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本次公司法</w:t>
      </w:r>
      <w:r w:rsidR="006F4D3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的修正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，可以激勵</w:t>
      </w:r>
      <w:r w:rsidR="00CF1457" w:rsidRPr="00A412B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新創事業發展，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有利</w:t>
      </w:r>
      <w:r w:rsidR="00CF1457" w:rsidRPr="00A412B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我國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邁</w:t>
      </w:r>
      <w:r w:rsidR="006F4D35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向新經濟的未來</w:t>
      </w:r>
      <w:r w:rsidR="00CF1457" w:rsidRPr="00A412BF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78"/>
      </w:tblGrid>
      <w:tr w:rsidR="00CF1457" w:rsidRPr="00CF1457">
        <w:trPr>
          <w:trHeight w:val="409"/>
        </w:trPr>
        <w:tc>
          <w:tcPr>
            <w:tcW w:w="6078" w:type="dxa"/>
          </w:tcPr>
          <w:p w:rsidR="00CF1457" w:rsidRPr="00CF1457" w:rsidRDefault="00CF1457">
            <w:pPr>
              <w:pStyle w:val="Defaul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3708C2" w:rsidRPr="00CF1457" w:rsidRDefault="003708C2" w:rsidP="009E0D93">
      <w:pPr>
        <w:snapToGrid w:val="0"/>
        <w:spacing w:beforeLines="50" w:before="180" w:afterLines="50" w:after="180" w:line="360" w:lineRule="auto"/>
        <w:ind w:firstLineChars="200" w:firstLine="64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2C1F21" w:rsidRPr="002C1F21" w:rsidRDefault="002C1F21" w:rsidP="00046104">
      <w:pPr>
        <w:snapToGrid w:val="0"/>
        <w:spacing w:beforeLines="50" w:before="180" w:afterLines="50" w:after="180" w:line="360" w:lineRule="auto"/>
        <w:ind w:firstLineChars="200" w:firstLine="64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407860" w:rsidRPr="00E20D6E" w:rsidRDefault="00FD7473" w:rsidP="005E2E00">
      <w:pPr>
        <w:pStyle w:val="Defaul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5345EB">
        <w:rPr>
          <w:rFonts w:hint="eastAsia"/>
          <w:sz w:val="32"/>
          <w:szCs w:val="32"/>
        </w:rPr>
        <w:t xml:space="preserve"> </w:t>
      </w:r>
    </w:p>
    <w:sectPr w:rsidR="00407860" w:rsidRPr="00E20D6E" w:rsidSect="00D6441E">
      <w:footerReference w:type="default" r:id="rId10"/>
      <w:pgSz w:w="11906" w:h="16838"/>
      <w:pgMar w:top="1418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BE" w:rsidRDefault="006628BE" w:rsidP="00784A4F">
      <w:r>
        <w:separator/>
      </w:r>
    </w:p>
  </w:endnote>
  <w:endnote w:type="continuationSeparator" w:id="0">
    <w:p w:rsidR="006628BE" w:rsidRDefault="006628BE" w:rsidP="0078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734152"/>
      <w:docPartObj>
        <w:docPartGallery w:val="Page Numbers (Bottom of Page)"/>
        <w:docPartUnique/>
      </w:docPartObj>
    </w:sdtPr>
    <w:sdtEndPr/>
    <w:sdtContent>
      <w:p w:rsidR="00DD060A" w:rsidRDefault="00DC771A">
        <w:pPr>
          <w:pStyle w:val="a8"/>
          <w:jc w:val="center"/>
        </w:pPr>
        <w:r>
          <w:fldChar w:fldCharType="begin"/>
        </w:r>
        <w:r w:rsidR="00DD060A">
          <w:instrText>PAGE   \* MERGEFORMAT</w:instrText>
        </w:r>
        <w:r>
          <w:fldChar w:fldCharType="separate"/>
        </w:r>
        <w:r w:rsidR="00C001A5" w:rsidRPr="00C001A5">
          <w:rPr>
            <w:noProof/>
            <w:lang w:val="zh-TW"/>
          </w:rPr>
          <w:t>3</w:t>
        </w:r>
        <w:r>
          <w:fldChar w:fldCharType="end"/>
        </w:r>
      </w:p>
    </w:sdtContent>
  </w:sdt>
  <w:p w:rsidR="00DD060A" w:rsidRDefault="00DD06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BE" w:rsidRDefault="006628BE" w:rsidP="00784A4F">
      <w:r>
        <w:separator/>
      </w:r>
    </w:p>
  </w:footnote>
  <w:footnote w:type="continuationSeparator" w:id="0">
    <w:p w:rsidR="006628BE" w:rsidRDefault="006628BE" w:rsidP="0078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70D"/>
    <w:multiLevelType w:val="hybridMultilevel"/>
    <w:tmpl w:val="43FA3F3A"/>
    <w:lvl w:ilvl="0" w:tplc="01C05EF4">
      <w:start w:val="1"/>
      <w:numFmt w:val="taiwaneseCountingThousand"/>
      <w:lvlText w:val="(%1)"/>
      <w:lvlJc w:val="left"/>
      <w:pPr>
        <w:ind w:left="126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08418E"/>
    <w:multiLevelType w:val="hybridMultilevel"/>
    <w:tmpl w:val="21E6DEA0"/>
    <w:lvl w:ilvl="0" w:tplc="1C0C3F70">
      <w:start w:val="1"/>
      <w:numFmt w:val="taiwaneseCountingThousand"/>
      <w:lvlText w:val="%1、"/>
      <w:lvlJc w:val="left"/>
      <w:pPr>
        <w:ind w:left="752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4B674E"/>
    <w:multiLevelType w:val="hybridMultilevel"/>
    <w:tmpl w:val="DEE0F8E4"/>
    <w:lvl w:ilvl="0" w:tplc="04090015">
      <w:start w:val="1"/>
      <w:numFmt w:val="taiwaneseCountingThousand"/>
      <w:lvlText w:val="%1、"/>
      <w:lvlJc w:val="left"/>
      <w:pPr>
        <w:ind w:left="8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3">
    <w:nsid w:val="2C5B6884"/>
    <w:multiLevelType w:val="hybridMultilevel"/>
    <w:tmpl w:val="D5B645AE"/>
    <w:lvl w:ilvl="0" w:tplc="56D0B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DA755C"/>
    <w:multiLevelType w:val="hybridMultilevel"/>
    <w:tmpl w:val="3A683300"/>
    <w:lvl w:ilvl="0" w:tplc="FA4E2C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A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E5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6A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A8D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E0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A5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40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53746"/>
    <w:multiLevelType w:val="hybridMultilevel"/>
    <w:tmpl w:val="627C9FD6"/>
    <w:lvl w:ilvl="0" w:tplc="5BECD6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ind w:left="4128" w:hanging="480"/>
      </w:pPr>
    </w:lvl>
  </w:abstractNum>
  <w:abstractNum w:abstractNumId="6">
    <w:nsid w:val="451E5D4F"/>
    <w:multiLevelType w:val="hybridMultilevel"/>
    <w:tmpl w:val="14D6ABF4"/>
    <w:lvl w:ilvl="0" w:tplc="5A9693F8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7">
    <w:nsid w:val="498B0E38"/>
    <w:multiLevelType w:val="hybridMultilevel"/>
    <w:tmpl w:val="607011CA"/>
    <w:lvl w:ilvl="0" w:tplc="C592F5D6">
      <w:start w:val="1"/>
      <w:numFmt w:val="decimal"/>
      <w:lvlText w:val="%1."/>
      <w:lvlJc w:val="left"/>
      <w:pPr>
        <w:ind w:left="28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84" w:hanging="480"/>
      </w:pPr>
    </w:lvl>
    <w:lvl w:ilvl="2" w:tplc="0409001B" w:tentative="1">
      <w:start w:val="1"/>
      <w:numFmt w:val="lowerRoman"/>
      <w:lvlText w:val="%3."/>
      <w:lvlJc w:val="right"/>
      <w:pPr>
        <w:ind w:left="3764" w:hanging="480"/>
      </w:pPr>
    </w:lvl>
    <w:lvl w:ilvl="3" w:tplc="0409000F" w:tentative="1">
      <w:start w:val="1"/>
      <w:numFmt w:val="decimal"/>
      <w:lvlText w:val="%4."/>
      <w:lvlJc w:val="left"/>
      <w:pPr>
        <w:ind w:left="4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4" w:hanging="480"/>
      </w:pPr>
    </w:lvl>
    <w:lvl w:ilvl="5" w:tplc="0409001B" w:tentative="1">
      <w:start w:val="1"/>
      <w:numFmt w:val="lowerRoman"/>
      <w:lvlText w:val="%6."/>
      <w:lvlJc w:val="right"/>
      <w:pPr>
        <w:ind w:left="5204" w:hanging="480"/>
      </w:pPr>
    </w:lvl>
    <w:lvl w:ilvl="6" w:tplc="0409000F" w:tentative="1">
      <w:start w:val="1"/>
      <w:numFmt w:val="decimal"/>
      <w:lvlText w:val="%7."/>
      <w:lvlJc w:val="left"/>
      <w:pPr>
        <w:ind w:left="5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4" w:hanging="480"/>
      </w:pPr>
    </w:lvl>
    <w:lvl w:ilvl="8" w:tplc="0409001B" w:tentative="1">
      <w:start w:val="1"/>
      <w:numFmt w:val="lowerRoman"/>
      <w:lvlText w:val="%9."/>
      <w:lvlJc w:val="right"/>
      <w:pPr>
        <w:ind w:left="6644" w:hanging="480"/>
      </w:pPr>
    </w:lvl>
  </w:abstractNum>
  <w:abstractNum w:abstractNumId="8">
    <w:nsid w:val="4A8D3DF3"/>
    <w:multiLevelType w:val="hybridMultilevel"/>
    <w:tmpl w:val="B576DF3E"/>
    <w:lvl w:ilvl="0" w:tplc="8EC0E5FC">
      <w:start w:val="1"/>
      <w:numFmt w:val="taiwaneseCountingThousand"/>
      <w:lvlText w:val="(%1)"/>
      <w:lvlJc w:val="left"/>
      <w:pPr>
        <w:ind w:left="11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9">
    <w:nsid w:val="4C7E4D1F"/>
    <w:multiLevelType w:val="hybridMultilevel"/>
    <w:tmpl w:val="EC54E60A"/>
    <w:lvl w:ilvl="0" w:tplc="5B2AE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BECD6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E660F1"/>
    <w:multiLevelType w:val="hybridMultilevel"/>
    <w:tmpl w:val="72C8D216"/>
    <w:lvl w:ilvl="0" w:tplc="5BECD6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ind w:left="4128" w:hanging="480"/>
      </w:pPr>
    </w:lvl>
  </w:abstractNum>
  <w:abstractNum w:abstractNumId="11">
    <w:nsid w:val="583E0586"/>
    <w:multiLevelType w:val="hybridMultilevel"/>
    <w:tmpl w:val="736EC17A"/>
    <w:lvl w:ilvl="0" w:tplc="BF8AA8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B30412"/>
    <w:multiLevelType w:val="hybridMultilevel"/>
    <w:tmpl w:val="C8143BF4"/>
    <w:lvl w:ilvl="0" w:tplc="0409000F">
      <w:start w:val="1"/>
      <w:numFmt w:val="decimal"/>
      <w:lvlText w:val="%1."/>
      <w:lvlJc w:val="left"/>
      <w:pPr>
        <w:ind w:left="28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84" w:hanging="480"/>
      </w:pPr>
    </w:lvl>
    <w:lvl w:ilvl="2" w:tplc="0409001B" w:tentative="1">
      <w:start w:val="1"/>
      <w:numFmt w:val="lowerRoman"/>
      <w:lvlText w:val="%3."/>
      <w:lvlJc w:val="right"/>
      <w:pPr>
        <w:ind w:left="3764" w:hanging="480"/>
      </w:pPr>
    </w:lvl>
    <w:lvl w:ilvl="3" w:tplc="0409000F" w:tentative="1">
      <w:start w:val="1"/>
      <w:numFmt w:val="decimal"/>
      <w:lvlText w:val="%4."/>
      <w:lvlJc w:val="left"/>
      <w:pPr>
        <w:ind w:left="4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4" w:hanging="480"/>
      </w:pPr>
    </w:lvl>
    <w:lvl w:ilvl="5" w:tplc="0409001B" w:tentative="1">
      <w:start w:val="1"/>
      <w:numFmt w:val="lowerRoman"/>
      <w:lvlText w:val="%6."/>
      <w:lvlJc w:val="right"/>
      <w:pPr>
        <w:ind w:left="5204" w:hanging="480"/>
      </w:pPr>
    </w:lvl>
    <w:lvl w:ilvl="6" w:tplc="0409000F" w:tentative="1">
      <w:start w:val="1"/>
      <w:numFmt w:val="decimal"/>
      <w:lvlText w:val="%7."/>
      <w:lvlJc w:val="left"/>
      <w:pPr>
        <w:ind w:left="5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4" w:hanging="480"/>
      </w:pPr>
    </w:lvl>
    <w:lvl w:ilvl="8" w:tplc="0409001B" w:tentative="1">
      <w:start w:val="1"/>
      <w:numFmt w:val="lowerRoman"/>
      <w:lvlText w:val="%9."/>
      <w:lvlJc w:val="right"/>
      <w:pPr>
        <w:ind w:left="6644" w:hanging="480"/>
      </w:pPr>
    </w:lvl>
  </w:abstractNum>
  <w:abstractNum w:abstractNumId="13">
    <w:nsid w:val="67267CB0"/>
    <w:multiLevelType w:val="hybridMultilevel"/>
    <w:tmpl w:val="3CCE18F4"/>
    <w:lvl w:ilvl="0" w:tplc="F7BA4BC6">
      <w:start w:val="1"/>
      <w:numFmt w:val="taiwaneseCountingThousand"/>
      <w:lvlText w:val="(%1)"/>
      <w:lvlJc w:val="left"/>
      <w:pPr>
        <w:ind w:left="1416" w:hanging="6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E0A3908"/>
    <w:multiLevelType w:val="hybridMultilevel"/>
    <w:tmpl w:val="7C0C45D4"/>
    <w:lvl w:ilvl="0" w:tplc="C598F1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321F4A"/>
    <w:multiLevelType w:val="hybridMultilevel"/>
    <w:tmpl w:val="E2BE2120"/>
    <w:lvl w:ilvl="0" w:tplc="7618F50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E12471E"/>
    <w:multiLevelType w:val="hybridMultilevel"/>
    <w:tmpl w:val="1D2CA496"/>
    <w:lvl w:ilvl="0" w:tplc="5A9693F8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4"/>
  </w:num>
  <w:num w:numId="7">
    <w:abstractNumId w:val="6"/>
  </w:num>
  <w:num w:numId="8">
    <w:abstractNumId w:val="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91"/>
    <w:rsid w:val="0000016A"/>
    <w:rsid w:val="000028E8"/>
    <w:rsid w:val="000037F6"/>
    <w:rsid w:val="000059E4"/>
    <w:rsid w:val="00011F1C"/>
    <w:rsid w:val="00033C35"/>
    <w:rsid w:val="000347AF"/>
    <w:rsid w:val="00043213"/>
    <w:rsid w:val="00046104"/>
    <w:rsid w:val="00053F2F"/>
    <w:rsid w:val="00061E74"/>
    <w:rsid w:val="000679C7"/>
    <w:rsid w:val="00076558"/>
    <w:rsid w:val="0008342F"/>
    <w:rsid w:val="0008557B"/>
    <w:rsid w:val="00090787"/>
    <w:rsid w:val="00091C5F"/>
    <w:rsid w:val="000942CB"/>
    <w:rsid w:val="000A06EE"/>
    <w:rsid w:val="000B2FCA"/>
    <w:rsid w:val="000B6097"/>
    <w:rsid w:val="000C3798"/>
    <w:rsid w:val="000D0ACA"/>
    <w:rsid w:val="000D54FB"/>
    <w:rsid w:val="000E5B1F"/>
    <w:rsid w:val="000F36C3"/>
    <w:rsid w:val="000F3C0E"/>
    <w:rsid w:val="000F7FCE"/>
    <w:rsid w:val="00102B8F"/>
    <w:rsid w:val="00103F24"/>
    <w:rsid w:val="00104028"/>
    <w:rsid w:val="00115562"/>
    <w:rsid w:val="00117CFE"/>
    <w:rsid w:val="00120707"/>
    <w:rsid w:val="00122F14"/>
    <w:rsid w:val="00123F78"/>
    <w:rsid w:val="00135F2C"/>
    <w:rsid w:val="00135F8B"/>
    <w:rsid w:val="00137E7C"/>
    <w:rsid w:val="001422D1"/>
    <w:rsid w:val="00142D33"/>
    <w:rsid w:val="00147AB2"/>
    <w:rsid w:val="001522C6"/>
    <w:rsid w:val="001565AB"/>
    <w:rsid w:val="00156BF3"/>
    <w:rsid w:val="001603AD"/>
    <w:rsid w:val="00163964"/>
    <w:rsid w:val="00163EFB"/>
    <w:rsid w:val="00172D9A"/>
    <w:rsid w:val="00173D1E"/>
    <w:rsid w:val="00176A0E"/>
    <w:rsid w:val="00187907"/>
    <w:rsid w:val="001901D3"/>
    <w:rsid w:val="00195951"/>
    <w:rsid w:val="001A192B"/>
    <w:rsid w:val="001A2C79"/>
    <w:rsid w:val="001A4485"/>
    <w:rsid w:val="001A6096"/>
    <w:rsid w:val="001B7F47"/>
    <w:rsid w:val="001D4B25"/>
    <w:rsid w:val="001D6B66"/>
    <w:rsid w:val="001D74C2"/>
    <w:rsid w:val="001E6743"/>
    <w:rsid w:val="001F5679"/>
    <w:rsid w:val="00201B73"/>
    <w:rsid w:val="002119DF"/>
    <w:rsid w:val="00214991"/>
    <w:rsid w:val="00230E31"/>
    <w:rsid w:val="00236FAD"/>
    <w:rsid w:val="00237118"/>
    <w:rsid w:val="00244A31"/>
    <w:rsid w:val="00246A63"/>
    <w:rsid w:val="0025432D"/>
    <w:rsid w:val="00254AFC"/>
    <w:rsid w:val="00254FEC"/>
    <w:rsid w:val="00265A7C"/>
    <w:rsid w:val="00266D33"/>
    <w:rsid w:val="00286749"/>
    <w:rsid w:val="00287EEC"/>
    <w:rsid w:val="0029670A"/>
    <w:rsid w:val="00296C0E"/>
    <w:rsid w:val="002A2223"/>
    <w:rsid w:val="002A2BB1"/>
    <w:rsid w:val="002A48B0"/>
    <w:rsid w:val="002A4E00"/>
    <w:rsid w:val="002A7F40"/>
    <w:rsid w:val="002B243D"/>
    <w:rsid w:val="002B615C"/>
    <w:rsid w:val="002C1F21"/>
    <w:rsid w:val="002C2DD9"/>
    <w:rsid w:val="002C5D97"/>
    <w:rsid w:val="002C62C3"/>
    <w:rsid w:val="002D692A"/>
    <w:rsid w:val="002D73B6"/>
    <w:rsid w:val="002E0658"/>
    <w:rsid w:val="002F4DC7"/>
    <w:rsid w:val="002F6EDC"/>
    <w:rsid w:val="0030718F"/>
    <w:rsid w:val="00316EA2"/>
    <w:rsid w:val="0032467A"/>
    <w:rsid w:val="00332892"/>
    <w:rsid w:val="00346029"/>
    <w:rsid w:val="00347D9A"/>
    <w:rsid w:val="00354E77"/>
    <w:rsid w:val="00361E37"/>
    <w:rsid w:val="00363200"/>
    <w:rsid w:val="00363D7B"/>
    <w:rsid w:val="003708C2"/>
    <w:rsid w:val="003765C1"/>
    <w:rsid w:val="00392CF2"/>
    <w:rsid w:val="00392FD2"/>
    <w:rsid w:val="00395573"/>
    <w:rsid w:val="003978E6"/>
    <w:rsid w:val="003A0241"/>
    <w:rsid w:val="003A7300"/>
    <w:rsid w:val="003B2347"/>
    <w:rsid w:val="003C17F7"/>
    <w:rsid w:val="003C28B5"/>
    <w:rsid w:val="003D59CE"/>
    <w:rsid w:val="003E4587"/>
    <w:rsid w:val="003F1B79"/>
    <w:rsid w:val="003F4D90"/>
    <w:rsid w:val="00400CD9"/>
    <w:rsid w:val="00403568"/>
    <w:rsid w:val="00406340"/>
    <w:rsid w:val="00407860"/>
    <w:rsid w:val="004168B1"/>
    <w:rsid w:val="0044508A"/>
    <w:rsid w:val="0044719A"/>
    <w:rsid w:val="00453D1E"/>
    <w:rsid w:val="00456D15"/>
    <w:rsid w:val="00472100"/>
    <w:rsid w:val="00480BAD"/>
    <w:rsid w:val="00480FF0"/>
    <w:rsid w:val="00485A98"/>
    <w:rsid w:val="0048733F"/>
    <w:rsid w:val="00487523"/>
    <w:rsid w:val="0049178D"/>
    <w:rsid w:val="004A48A9"/>
    <w:rsid w:val="004A49EB"/>
    <w:rsid w:val="004B3704"/>
    <w:rsid w:val="004B5A7B"/>
    <w:rsid w:val="004C0FA6"/>
    <w:rsid w:val="004C4147"/>
    <w:rsid w:val="004C4715"/>
    <w:rsid w:val="004E225A"/>
    <w:rsid w:val="004E51CD"/>
    <w:rsid w:val="004F602C"/>
    <w:rsid w:val="004F7393"/>
    <w:rsid w:val="0050051D"/>
    <w:rsid w:val="0050219F"/>
    <w:rsid w:val="00503263"/>
    <w:rsid w:val="00505882"/>
    <w:rsid w:val="00522EF8"/>
    <w:rsid w:val="00531EDA"/>
    <w:rsid w:val="005345EB"/>
    <w:rsid w:val="005520EC"/>
    <w:rsid w:val="00552CB4"/>
    <w:rsid w:val="0055631B"/>
    <w:rsid w:val="0056592B"/>
    <w:rsid w:val="00577859"/>
    <w:rsid w:val="00580984"/>
    <w:rsid w:val="00582DAB"/>
    <w:rsid w:val="00587456"/>
    <w:rsid w:val="0059162E"/>
    <w:rsid w:val="00591D40"/>
    <w:rsid w:val="0059593F"/>
    <w:rsid w:val="005B21C3"/>
    <w:rsid w:val="005B6DFE"/>
    <w:rsid w:val="005C2AB3"/>
    <w:rsid w:val="005C35E1"/>
    <w:rsid w:val="005D0CA3"/>
    <w:rsid w:val="005E10B3"/>
    <w:rsid w:val="005E1CDB"/>
    <w:rsid w:val="005E2E00"/>
    <w:rsid w:val="005E7B31"/>
    <w:rsid w:val="005F3604"/>
    <w:rsid w:val="00603EA6"/>
    <w:rsid w:val="006114B8"/>
    <w:rsid w:val="00622BF9"/>
    <w:rsid w:val="00622C90"/>
    <w:rsid w:val="00625B18"/>
    <w:rsid w:val="00640A6B"/>
    <w:rsid w:val="00646FD5"/>
    <w:rsid w:val="00661F6C"/>
    <w:rsid w:val="006628BE"/>
    <w:rsid w:val="006703D8"/>
    <w:rsid w:val="00671588"/>
    <w:rsid w:val="006840B5"/>
    <w:rsid w:val="006843F4"/>
    <w:rsid w:val="0069344F"/>
    <w:rsid w:val="006B66FF"/>
    <w:rsid w:val="006C3D28"/>
    <w:rsid w:val="006C5027"/>
    <w:rsid w:val="006C656E"/>
    <w:rsid w:val="006D096F"/>
    <w:rsid w:val="006D61AA"/>
    <w:rsid w:val="006F17C1"/>
    <w:rsid w:val="006F4D35"/>
    <w:rsid w:val="006F76C5"/>
    <w:rsid w:val="00704851"/>
    <w:rsid w:val="00712550"/>
    <w:rsid w:val="00713A07"/>
    <w:rsid w:val="00713C91"/>
    <w:rsid w:val="00715554"/>
    <w:rsid w:val="007339D6"/>
    <w:rsid w:val="00736358"/>
    <w:rsid w:val="00736840"/>
    <w:rsid w:val="00737AD4"/>
    <w:rsid w:val="00743B03"/>
    <w:rsid w:val="007449D2"/>
    <w:rsid w:val="00760518"/>
    <w:rsid w:val="00762793"/>
    <w:rsid w:val="007702A0"/>
    <w:rsid w:val="00770799"/>
    <w:rsid w:val="0077294D"/>
    <w:rsid w:val="00772E01"/>
    <w:rsid w:val="00780F33"/>
    <w:rsid w:val="007825E0"/>
    <w:rsid w:val="00784A4F"/>
    <w:rsid w:val="007936AB"/>
    <w:rsid w:val="007A3E6F"/>
    <w:rsid w:val="007A7E8D"/>
    <w:rsid w:val="007C15FB"/>
    <w:rsid w:val="007E011C"/>
    <w:rsid w:val="00826EDD"/>
    <w:rsid w:val="008357A6"/>
    <w:rsid w:val="00842D91"/>
    <w:rsid w:val="00843270"/>
    <w:rsid w:val="00846484"/>
    <w:rsid w:val="00857DCE"/>
    <w:rsid w:val="00857ED5"/>
    <w:rsid w:val="0086299E"/>
    <w:rsid w:val="00873A2E"/>
    <w:rsid w:val="00873B65"/>
    <w:rsid w:val="0087590B"/>
    <w:rsid w:val="00876675"/>
    <w:rsid w:val="008775E1"/>
    <w:rsid w:val="00887ABF"/>
    <w:rsid w:val="00896CAE"/>
    <w:rsid w:val="008D015B"/>
    <w:rsid w:val="008D7D56"/>
    <w:rsid w:val="0090174F"/>
    <w:rsid w:val="00930046"/>
    <w:rsid w:val="00947CFF"/>
    <w:rsid w:val="00954A3E"/>
    <w:rsid w:val="00956C02"/>
    <w:rsid w:val="00961328"/>
    <w:rsid w:val="0096210D"/>
    <w:rsid w:val="00962B52"/>
    <w:rsid w:val="00965844"/>
    <w:rsid w:val="009703D7"/>
    <w:rsid w:val="00972622"/>
    <w:rsid w:val="00987EBF"/>
    <w:rsid w:val="00990A20"/>
    <w:rsid w:val="00991147"/>
    <w:rsid w:val="0099133D"/>
    <w:rsid w:val="00994C24"/>
    <w:rsid w:val="009A39EC"/>
    <w:rsid w:val="009A4973"/>
    <w:rsid w:val="009B0CDD"/>
    <w:rsid w:val="009B186F"/>
    <w:rsid w:val="009B6D90"/>
    <w:rsid w:val="009C01AA"/>
    <w:rsid w:val="009C07A2"/>
    <w:rsid w:val="009D40ED"/>
    <w:rsid w:val="009E0D93"/>
    <w:rsid w:val="009E3070"/>
    <w:rsid w:val="009F1B23"/>
    <w:rsid w:val="009F439E"/>
    <w:rsid w:val="009F6740"/>
    <w:rsid w:val="00A01218"/>
    <w:rsid w:val="00A174FD"/>
    <w:rsid w:val="00A21298"/>
    <w:rsid w:val="00A27EC7"/>
    <w:rsid w:val="00A37280"/>
    <w:rsid w:val="00A412BF"/>
    <w:rsid w:val="00A42D20"/>
    <w:rsid w:val="00A43EF4"/>
    <w:rsid w:val="00A441C9"/>
    <w:rsid w:val="00A5517A"/>
    <w:rsid w:val="00A6510E"/>
    <w:rsid w:val="00A658E2"/>
    <w:rsid w:val="00A71294"/>
    <w:rsid w:val="00A82074"/>
    <w:rsid w:val="00A85F10"/>
    <w:rsid w:val="00AA10A9"/>
    <w:rsid w:val="00AA6123"/>
    <w:rsid w:val="00AB115A"/>
    <w:rsid w:val="00AB1832"/>
    <w:rsid w:val="00AB7CA3"/>
    <w:rsid w:val="00AC5AFC"/>
    <w:rsid w:val="00AD33F8"/>
    <w:rsid w:val="00AE1065"/>
    <w:rsid w:val="00AE4E15"/>
    <w:rsid w:val="00AE5930"/>
    <w:rsid w:val="00AE6465"/>
    <w:rsid w:val="00AF4C2B"/>
    <w:rsid w:val="00B10310"/>
    <w:rsid w:val="00B141AA"/>
    <w:rsid w:val="00B20CA2"/>
    <w:rsid w:val="00B22D2D"/>
    <w:rsid w:val="00B365F0"/>
    <w:rsid w:val="00B36830"/>
    <w:rsid w:val="00B403BF"/>
    <w:rsid w:val="00B41209"/>
    <w:rsid w:val="00B4676F"/>
    <w:rsid w:val="00B478EE"/>
    <w:rsid w:val="00B519B5"/>
    <w:rsid w:val="00B62BB3"/>
    <w:rsid w:val="00B63A99"/>
    <w:rsid w:val="00B66C8C"/>
    <w:rsid w:val="00B7064F"/>
    <w:rsid w:val="00B84209"/>
    <w:rsid w:val="00B85990"/>
    <w:rsid w:val="00B86ED5"/>
    <w:rsid w:val="00B86F7D"/>
    <w:rsid w:val="00B90DA1"/>
    <w:rsid w:val="00B90E19"/>
    <w:rsid w:val="00B9426D"/>
    <w:rsid w:val="00BA03FD"/>
    <w:rsid w:val="00BA0D10"/>
    <w:rsid w:val="00BA0FD5"/>
    <w:rsid w:val="00BA3BF1"/>
    <w:rsid w:val="00BB6FBA"/>
    <w:rsid w:val="00BC4270"/>
    <w:rsid w:val="00BC59AE"/>
    <w:rsid w:val="00BD3175"/>
    <w:rsid w:val="00BE7762"/>
    <w:rsid w:val="00BE7D63"/>
    <w:rsid w:val="00BF10C4"/>
    <w:rsid w:val="00BF401C"/>
    <w:rsid w:val="00C001A5"/>
    <w:rsid w:val="00C03B52"/>
    <w:rsid w:val="00C0507F"/>
    <w:rsid w:val="00C060AA"/>
    <w:rsid w:val="00C06997"/>
    <w:rsid w:val="00C1424C"/>
    <w:rsid w:val="00C15B80"/>
    <w:rsid w:val="00C17A7F"/>
    <w:rsid w:val="00C20A57"/>
    <w:rsid w:val="00C224F1"/>
    <w:rsid w:val="00C226DC"/>
    <w:rsid w:val="00C2402C"/>
    <w:rsid w:val="00C27557"/>
    <w:rsid w:val="00C33DC7"/>
    <w:rsid w:val="00C52BA9"/>
    <w:rsid w:val="00C548B1"/>
    <w:rsid w:val="00C666A0"/>
    <w:rsid w:val="00C72CD4"/>
    <w:rsid w:val="00C73127"/>
    <w:rsid w:val="00C770B9"/>
    <w:rsid w:val="00C7757E"/>
    <w:rsid w:val="00C80422"/>
    <w:rsid w:val="00C84BD0"/>
    <w:rsid w:val="00C8527B"/>
    <w:rsid w:val="00C91CC1"/>
    <w:rsid w:val="00C92E18"/>
    <w:rsid w:val="00C9440E"/>
    <w:rsid w:val="00C946ED"/>
    <w:rsid w:val="00CA7E16"/>
    <w:rsid w:val="00CB1ADF"/>
    <w:rsid w:val="00CB302F"/>
    <w:rsid w:val="00CC19ED"/>
    <w:rsid w:val="00CC611C"/>
    <w:rsid w:val="00CD0F13"/>
    <w:rsid w:val="00CD43F5"/>
    <w:rsid w:val="00CE2476"/>
    <w:rsid w:val="00CF1457"/>
    <w:rsid w:val="00D021BD"/>
    <w:rsid w:val="00D04316"/>
    <w:rsid w:val="00D07149"/>
    <w:rsid w:val="00D10B2F"/>
    <w:rsid w:val="00D13172"/>
    <w:rsid w:val="00D15BB2"/>
    <w:rsid w:val="00D16CC0"/>
    <w:rsid w:val="00D37FA4"/>
    <w:rsid w:val="00D40AF1"/>
    <w:rsid w:val="00D41C8F"/>
    <w:rsid w:val="00D46B52"/>
    <w:rsid w:val="00D46BDF"/>
    <w:rsid w:val="00D53A4E"/>
    <w:rsid w:val="00D53EC4"/>
    <w:rsid w:val="00D60D5B"/>
    <w:rsid w:val="00D61C58"/>
    <w:rsid w:val="00D6441E"/>
    <w:rsid w:val="00D6731C"/>
    <w:rsid w:val="00D70561"/>
    <w:rsid w:val="00D828B2"/>
    <w:rsid w:val="00D8338D"/>
    <w:rsid w:val="00D967C0"/>
    <w:rsid w:val="00DA1FF5"/>
    <w:rsid w:val="00DA2AFD"/>
    <w:rsid w:val="00DA2E08"/>
    <w:rsid w:val="00DA50A4"/>
    <w:rsid w:val="00DA51DF"/>
    <w:rsid w:val="00DA66B8"/>
    <w:rsid w:val="00DC63F7"/>
    <w:rsid w:val="00DC771A"/>
    <w:rsid w:val="00DC7B98"/>
    <w:rsid w:val="00DD060A"/>
    <w:rsid w:val="00DD2DDA"/>
    <w:rsid w:val="00DD6241"/>
    <w:rsid w:val="00DE3475"/>
    <w:rsid w:val="00DE4909"/>
    <w:rsid w:val="00DE56C4"/>
    <w:rsid w:val="00E002CD"/>
    <w:rsid w:val="00E053B4"/>
    <w:rsid w:val="00E0568D"/>
    <w:rsid w:val="00E058C4"/>
    <w:rsid w:val="00E12985"/>
    <w:rsid w:val="00E12E05"/>
    <w:rsid w:val="00E20D6E"/>
    <w:rsid w:val="00E22D6E"/>
    <w:rsid w:val="00E33E4B"/>
    <w:rsid w:val="00E46654"/>
    <w:rsid w:val="00E47B14"/>
    <w:rsid w:val="00E514C4"/>
    <w:rsid w:val="00E52DA1"/>
    <w:rsid w:val="00E549EA"/>
    <w:rsid w:val="00E559CC"/>
    <w:rsid w:val="00E60F1F"/>
    <w:rsid w:val="00E70076"/>
    <w:rsid w:val="00E82E5E"/>
    <w:rsid w:val="00E84ACD"/>
    <w:rsid w:val="00E86115"/>
    <w:rsid w:val="00E93B92"/>
    <w:rsid w:val="00E95488"/>
    <w:rsid w:val="00EA47CC"/>
    <w:rsid w:val="00EA540D"/>
    <w:rsid w:val="00EA5CE2"/>
    <w:rsid w:val="00EB21C8"/>
    <w:rsid w:val="00EB4369"/>
    <w:rsid w:val="00ED0CDB"/>
    <w:rsid w:val="00ED3028"/>
    <w:rsid w:val="00ED4BE6"/>
    <w:rsid w:val="00F014BE"/>
    <w:rsid w:val="00F02DC4"/>
    <w:rsid w:val="00F11B65"/>
    <w:rsid w:val="00F16AD4"/>
    <w:rsid w:val="00F344EA"/>
    <w:rsid w:val="00F370CD"/>
    <w:rsid w:val="00F37B49"/>
    <w:rsid w:val="00F47E9C"/>
    <w:rsid w:val="00F507A3"/>
    <w:rsid w:val="00F66198"/>
    <w:rsid w:val="00F74430"/>
    <w:rsid w:val="00F75A3B"/>
    <w:rsid w:val="00F8201F"/>
    <w:rsid w:val="00F83290"/>
    <w:rsid w:val="00F85A9B"/>
    <w:rsid w:val="00F8665E"/>
    <w:rsid w:val="00F90A92"/>
    <w:rsid w:val="00FA07E9"/>
    <w:rsid w:val="00FA1397"/>
    <w:rsid w:val="00FA2965"/>
    <w:rsid w:val="00FA38C7"/>
    <w:rsid w:val="00FA6C85"/>
    <w:rsid w:val="00FB035A"/>
    <w:rsid w:val="00FD7473"/>
    <w:rsid w:val="00FD770E"/>
    <w:rsid w:val="00FE3991"/>
    <w:rsid w:val="00FF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3C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485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8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4A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4A4F"/>
    <w:rPr>
      <w:sz w:val="20"/>
      <w:szCs w:val="20"/>
    </w:rPr>
  </w:style>
  <w:style w:type="paragraph" w:customStyle="1" w:styleId="k02">
    <w:name w:val="k02"/>
    <w:basedOn w:val="a"/>
    <w:rsid w:val="009C07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873A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A2E"/>
  </w:style>
  <w:style w:type="character" w:customStyle="1" w:styleId="ac">
    <w:name w:val="註解文字 字元"/>
    <w:basedOn w:val="a0"/>
    <w:link w:val="ab"/>
    <w:uiPriority w:val="99"/>
    <w:semiHidden/>
    <w:rsid w:val="00873A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3A2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73A2E"/>
    <w:rPr>
      <w:b/>
      <w:bCs/>
    </w:rPr>
  </w:style>
  <w:style w:type="character" w:styleId="af">
    <w:name w:val="Hyperlink"/>
    <w:basedOn w:val="a0"/>
    <w:uiPriority w:val="99"/>
    <w:unhideWhenUsed/>
    <w:rsid w:val="003C17F7"/>
    <w:rPr>
      <w:color w:val="0000FF" w:themeColor="hyperlink"/>
      <w:u w:val="single"/>
    </w:rPr>
  </w:style>
  <w:style w:type="paragraph" w:customStyle="1" w:styleId="Default">
    <w:name w:val="Default"/>
    <w:rsid w:val="005345E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B24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51D"/>
    <w:pPr>
      <w:autoSpaceDE w:val="0"/>
      <w:autoSpaceDN w:val="0"/>
      <w:ind w:left="107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3C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485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8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4A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4A4F"/>
    <w:rPr>
      <w:sz w:val="20"/>
      <w:szCs w:val="20"/>
    </w:rPr>
  </w:style>
  <w:style w:type="paragraph" w:customStyle="1" w:styleId="k02">
    <w:name w:val="k02"/>
    <w:basedOn w:val="a"/>
    <w:rsid w:val="009C07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873A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A2E"/>
  </w:style>
  <w:style w:type="character" w:customStyle="1" w:styleId="ac">
    <w:name w:val="註解文字 字元"/>
    <w:basedOn w:val="a0"/>
    <w:link w:val="ab"/>
    <w:uiPriority w:val="99"/>
    <w:semiHidden/>
    <w:rsid w:val="00873A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3A2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73A2E"/>
    <w:rPr>
      <w:b/>
      <w:bCs/>
    </w:rPr>
  </w:style>
  <w:style w:type="character" w:styleId="af">
    <w:name w:val="Hyperlink"/>
    <w:basedOn w:val="a0"/>
    <w:uiPriority w:val="99"/>
    <w:unhideWhenUsed/>
    <w:rsid w:val="003C17F7"/>
    <w:rPr>
      <w:color w:val="0000FF" w:themeColor="hyperlink"/>
      <w:u w:val="single"/>
    </w:rPr>
  </w:style>
  <w:style w:type="paragraph" w:customStyle="1" w:styleId="Default">
    <w:name w:val="Default"/>
    <w:rsid w:val="005345E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B24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51D"/>
    <w:pPr>
      <w:autoSpaceDE w:val="0"/>
      <w:autoSpaceDN w:val="0"/>
      <w:ind w:left="107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49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8336-B379-4E01-A294-EF05E12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高育幸</dc:creator>
  <cp:lastModifiedBy>USER</cp:lastModifiedBy>
  <cp:revision>8</cp:revision>
  <cp:lastPrinted>2018-07-08T04:02:00Z</cp:lastPrinted>
  <dcterms:created xsi:type="dcterms:W3CDTF">2018-07-08T03:48:00Z</dcterms:created>
  <dcterms:modified xsi:type="dcterms:W3CDTF">2018-07-08T04:18:00Z</dcterms:modified>
</cp:coreProperties>
</file>