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C0" w:rsidRPr="00A571DF" w:rsidRDefault="00727AC0" w:rsidP="00FB5956">
      <w:pPr>
        <w:snapToGrid w:val="0"/>
        <w:spacing w:line="500" w:lineRule="exact"/>
        <w:rPr>
          <w:rFonts w:eastAsia="標楷體"/>
          <w:b/>
          <w:sz w:val="32"/>
          <w:szCs w:val="32"/>
        </w:rPr>
      </w:pPr>
      <w:r w:rsidRPr="00A571DF">
        <w:rPr>
          <w:rFonts w:eastAsia="標楷體" w:hint="eastAsia"/>
          <w:b/>
          <w:sz w:val="32"/>
          <w:szCs w:val="32"/>
        </w:rPr>
        <w:t>金融監督管理委員會所屬事</w:t>
      </w:r>
      <w:r w:rsidRPr="00A571DF">
        <w:rPr>
          <w:rFonts w:ascii="標楷體" w:eastAsia="標楷體" w:hAnsi="標楷體" w:hint="eastAsia"/>
          <w:b/>
          <w:sz w:val="32"/>
          <w:szCs w:val="32"/>
        </w:rPr>
        <w:t>業</w:t>
      </w:r>
      <w:r w:rsidR="00FB5956" w:rsidRPr="00A571DF">
        <w:rPr>
          <w:rFonts w:ascii="標楷體" w:eastAsia="標楷體" w:hAnsi="標楷體" w:hint="eastAsia"/>
          <w:b/>
          <w:sz w:val="32"/>
          <w:szCs w:val="32"/>
        </w:rPr>
        <w:t>中央存款保險公司</w:t>
      </w:r>
      <w:proofErr w:type="gramStart"/>
      <w:r w:rsidR="00105E4E" w:rsidRPr="00A571DF">
        <w:rPr>
          <w:rFonts w:ascii="標楷體" w:eastAsia="標楷體" w:hAnsi="標楷體" w:hint="eastAsia"/>
          <w:b/>
          <w:sz w:val="32"/>
          <w:szCs w:val="32"/>
        </w:rPr>
        <w:t>10</w:t>
      </w:r>
      <w:r w:rsidR="00EB16E4" w:rsidRPr="00A571DF">
        <w:rPr>
          <w:rFonts w:ascii="標楷體" w:eastAsia="標楷體" w:hAnsi="標楷體" w:hint="eastAsia"/>
          <w:b/>
          <w:sz w:val="32"/>
          <w:szCs w:val="32"/>
        </w:rPr>
        <w:t>7</w:t>
      </w:r>
      <w:proofErr w:type="gramEnd"/>
      <w:r w:rsidRPr="00A571DF">
        <w:rPr>
          <w:rFonts w:ascii="標楷體" w:eastAsia="標楷體" w:hAnsi="標楷體" w:hint="eastAsia"/>
          <w:b/>
          <w:sz w:val="32"/>
          <w:szCs w:val="32"/>
        </w:rPr>
        <w:t>年</w:t>
      </w:r>
      <w:r w:rsidR="00C56F8B" w:rsidRPr="00A571DF">
        <w:rPr>
          <w:rFonts w:eastAsia="標楷體" w:hint="eastAsia"/>
          <w:b/>
          <w:sz w:val="32"/>
          <w:szCs w:val="32"/>
        </w:rPr>
        <w:t>度工作考成實施要點</w:t>
      </w:r>
    </w:p>
    <w:p w:rsidR="00303395" w:rsidRPr="00A571DF" w:rsidRDefault="008F5A4F" w:rsidP="00303395">
      <w:pPr>
        <w:snapToGrid w:val="0"/>
        <w:spacing w:line="500" w:lineRule="exact"/>
        <w:jc w:val="right"/>
        <w:rPr>
          <w:rFonts w:eastAsia="標楷體"/>
          <w:sz w:val="20"/>
        </w:rPr>
      </w:pPr>
      <w:r w:rsidRPr="00A571DF">
        <w:rPr>
          <w:rFonts w:eastAsia="標楷體" w:hint="eastAsia"/>
          <w:bCs/>
          <w:sz w:val="28"/>
          <w:szCs w:val="28"/>
        </w:rPr>
        <w:t>10</w:t>
      </w:r>
      <w:r w:rsidR="00027995" w:rsidRPr="00A571DF">
        <w:rPr>
          <w:rFonts w:eastAsia="標楷體" w:hint="eastAsia"/>
          <w:bCs/>
          <w:sz w:val="28"/>
          <w:szCs w:val="28"/>
        </w:rPr>
        <w:t>7</w:t>
      </w:r>
      <w:r w:rsidRPr="00A571DF">
        <w:rPr>
          <w:rFonts w:eastAsia="標楷體" w:hint="eastAsia"/>
          <w:bCs/>
          <w:sz w:val="28"/>
          <w:szCs w:val="28"/>
        </w:rPr>
        <w:t>年</w:t>
      </w:r>
      <w:r w:rsidRPr="00A571DF">
        <w:rPr>
          <w:rFonts w:eastAsia="標楷體" w:hint="eastAsia"/>
          <w:bCs/>
          <w:sz w:val="28"/>
          <w:szCs w:val="28"/>
        </w:rPr>
        <w:t>5</w:t>
      </w:r>
      <w:r w:rsidRPr="00A571DF">
        <w:rPr>
          <w:rFonts w:eastAsia="標楷體" w:hint="eastAsia"/>
          <w:bCs/>
          <w:sz w:val="28"/>
          <w:szCs w:val="28"/>
        </w:rPr>
        <w:t>月</w:t>
      </w:r>
      <w:r w:rsidR="007221D6" w:rsidRPr="00A571DF">
        <w:rPr>
          <w:rFonts w:eastAsia="標楷體" w:hint="eastAsia"/>
          <w:bCs/>
          <w:sz w:val="28"/>
          <w:szCs w:val="28"/>
        </w:rPr>
        <w:t>14</w:t>
      </w:r>
      <w:r w:rsidRPr="00A571DF">
        <w:rPr>
          <w:rFonts w:eastAsia="標楷體" w:hint="eastAsia"/>
          <w:bCs/>
          <w:sz w:val="28"/>
          <w:szCs w:val="28"/>
        </w:rPr>
        <w:t>日</w:t>
      </w:r>
      <w:proofErr w:type="gramStart"/>
      <w:r w:rsidRPr="00A571DF">
        <w:rPr>
          <w:rFonts w:eastAsia="標楷體" w:hint="eastAsia"/>
          <w:bCs/>
          <w:sz w:val="28"/>
          <w:szCs w:val="28"/>
        </w:rPr>
        <w:t>院授發管</w:t>
      </w:r>
      <w:proofErr w:type="gramEnd"/>
      <w:r w:rsidRPr="00A571DF">
        <w:rPr>
          <w:rFonts w:eastAsia="標楷體" w:hint="eastAsia"/>
          <w:bCs/>
          <w:sz w:val="28"/>
          <w:szCs w:val="28"/>
        </w:rPr>
        <w:t>字第</w:t>
      </w:r>
      <w:r w:rsidR="00D54BB3" w:rsidRPr="00A571DF">
        <w:rPr>
          <w:rFonts w:eastAsia="標楷體" w:hint="eastAsia"/>
          <w:bCs/>
          <w:sz w:val="28"/>
          <w:szCs w:val="28"/>
        </w:rPr>
        <w:t>107</w:t>
      </w:r>
      <w:r w:rsidR="00D54BB3" w:rsidRPr="00A571DF">
        <w:rPr>
          <w:rFonts w:eastAsia="標楷體"/>
          <w:bCs/>
          <w:sz w:val="28"/>
          <w:szCs w:val="28"/>
        </w:rPr>
        <w:t>1400813</w:t>
      </w:r>
      <w:r w:rsidRPr="00A571DF">
        <w:rPr>
          <w:rFonts w:eastAsia="標楷體" w:hint="eastAsia"/>
          <w:bCs/>
          <w:sz w:val="28"/>
          <w:szCs w:val="28"/>
        </w:rPr>
        <w:t>號函核定</w:t>
      </w:r>
    </w:p>
    <w:p w:rsidR="00727AC0" w:rsidRPr="00A571DF" w:rsidRDefault="00727AC0">
      <w:pPr>
        <w:kinsoku w:val="0"/>
        <w:snapToGrid w:val="0"/>
        <w:spacing w:line="500" w:lineRule="exact"/>
        <w:ind w:left="560" w:hangingChars="200" w:hanging="560"/>
        <w:jc w:val="both"/>
        <w:rPr>
          <w:rFonts w:eastAsia="標楷體"/>
          <w:bCs/>
          <w:sz w:val="28"/>
          <w:szCs w:val="28"/>
        </w:rPr>
      </w:pPr>
      <w:r w:rsidRPr="00A571DF">
        <w:rPr>
          <w:rFonts w:eastAsia="標楷體" w:hint="eastAsia"/>
          <w:bCs/>
          <w:sz w:val="28"/>
          <w:szCs w:val="28"/>
        </w:rPr>
        <w:t>壹、本要點依據國營事業工作考成辦法第</w:t>
      </w:r>
      <w:r w:rsidRPr="00A571DF">
        <w:rPr>
          <w:rFonts w:eastAsia="標楷體" w:hint="eastAsia"/>
          <w:bCs/>
          <w:sz w:val="28"/>
          <w:szCs w:val="28"/>
        </w:rPr>
        <w:t>3</w:t>
      </w:r>
      <w:r w:rsidRPr="00A571DF">
        <w:rPr>
          <w:rFonts w:eastAsia="標楷體" w:hint="eastAsia"/>
          <w:bCs/>
          <w:sz w:val="28"/>
          <w:szCs w:val="28"/>
        </w:rPr>
        <w:t>條及第</w:t>
      </w:r>
      <w:r w:rsidRPr="00A571DF">
        <w:rPr>
          <w:rFonts w:eastAsia="標楷體" w:hint="eastAsia"/>
          <w:bCs/>
          <w:sz w:val="28"/>
          <w:szCs w:val="28"/>
        </w:rPr>
        <w:t>11</w:t>
      </w:r>
      <w:r w:rsidRPr="00A571DF">
        <w:rPr>
          <w:rFonts w:eastAsia="標楷體" w:hint="eastAsia"/>
          <w:bCs/>
          <w:sz w:val="28"/>
          <w:szCs w:val="28"/>
        </w:rPr>
        <w:t>條之規定訂定，</w:t>
      </w:r>
      <w:r w:rsidRPr="00A571DF">
        <w:rPr>
          <w:rFonts w:eastAsia="標楷體" w:hint="eastAsia"/>
          <w:sz w:val="28"/>
          <w:szCs w:val="28"/>
        </w:rPr>
        <w:t>經報行政院核定後實施，修正時亦同</w:t>
      </w:r>
      <w:r w:rsidRPr="00A571DF">
        <w:rPr>
          <w:rFonts w:eastAsia="標楷體" w:hint="eastAsia"/>
          <w:bCs/>
          <w:sz w:val="28"/>
          <w:szCs w:val="28"/>
        </w:rPr>
        <w:t>。</w:t>
      </w:r>
    </w:p>
    <w:p w:rsidR="00727AC0" w:rsidRPr="00A571DF" w:rsidRDefault="00727AC0">
      <w:pPr>
        <w:kinsoku w:val="0"/>
        <w:snapToGrid w:val="0"/>
        <w:spacing w:line="500" w:lineRule="exact"/>
        <w:ind w:left="560" w:hangingChars="200" w:hanging="560"/>
        <w:jc w:val="both"/>
        <w:rPr>
          <w:rFonts w:eastAsia="標楷體"/>
          <w:bCs/>
          <w:sz w:val="28"/>
          <w:szCs w:val="28"/>
        </w:rPr>
      </w:pPr>
      <w:r w:rsidRPr="00A571DF">
        <w:rPr>
          <w:rFonts w:eastAsia="標楷體" w:hint="eastAsia"/>
          <w:bCs/>
          <w:sz w:val="28"/>
          <w:szCs w:val="28"/>
        </w:rPr>
        <w:t>貳、</w:t>
      </w:r>
      <w:r w:rsidR="002F74C3" w:rsidRPr="00A571DF">
        <w:rPr>
          <w:rFonts w:eastAsia="標楷體" w:hint="eastAsia"/>
          <w:bCs/>
          <w:sz w:val="28"/>
          <w:szCs w:val="28"/>
        </w:rPr>
        <w:t>金融監督管理委員會（以下簡稱本會）所屬事業中央存款保險公司（以下簡稱存保公司）</w:t>
      </w:r>
      <w:r w:rsidRPr="00A571DF">
        <w:rPr>
          <w:rFonts w:eastAsia="標楷體" w:hint="eastAsia"/>
          <w:bCs/>
          <w:sz w:val="28"/>
          <w:szCs w:val="28"/>
        </w:rPr>
        <w:t>之工作考成，除依國營事業工作</w:t>
      </w:r>
      <w:bookmarkStart w:id="0" w:name="_GoBack"/>
      <w:bookmarkEnd w:id="0"/>
      <w:r w:rsidRPr="00A571DF">
        <w:rPr>
          <w:rFonts w:eastAsia="標楷體" w:hint="eastAsia"/>
          <w:bCs/>
          <w:sz w:val="28"/>
          <w:szCs w:val="28"/>
        </w:rPr>
        <w:t>考成辦法及國營事業年度工作考成作業要點規定</w:t>
      </w:r>
      <w:r w:rsidR="007550F0" w:rsidRPr="00A571DF">
        <w:rPr>
          <w:rFonts w:eastAsia="標楷體" w:hint="eastAsia"/>
          <w:bCs/>
          <w:sz w:val="28"/>
          <w:szCs w:val="28"/>
        </w:rPr>
        <w:t>辦理</w:t>
      </w:r>
      <w:r w:rsidRPr="00A571DF">
        <w:rPr>
          <w:rFonts w:eastAsia="標楷體" w:hint="eastAsia"/>
          <w:bCs/>
          <w:sz w:val="28"/>
          <w:szCs w:val="28"/>
        </w:rPr>
        <w:t>外，評估面向、指標、權數及評量計算</w:t>
      </w:r>
      <w:r w:rsidR="00FB5956" w:rsidRPr="00A571DF">
        <w:rPr>
          <w:rFonts w:eastAsia="標楷體" w:hint="eastAsia"/>
          <w:bCs/>
          <w:sz w:val="28"/>
          <w:szCs w:val="28"/>
        </w:rPr>
        <w:t>方</w:t>
      </w:r>
      <w:r w:rsidRPr="00A571DF">
        <w:rPr>
          <w:rFonts w:eastAsia="標楷體" w:hint="eastAsia"/>
          <w:bCs/>
          <w:sz w:val="28"/>
          <w:szCs w:val="28"/>
        </w:rPr>
        <w:t>式等，</w:t>
      </w:r>
      <w:proofErr w:type="gramStart"/>
      <w:r w:rsidRPr="00A571DF">
        <w:rPr>
          <w:rFonts w:eastAsia="標楷體" w:hint="eastAsia"/>
          <w:bCs/>
          <w:sz w:val="28"/>
          <w:szCs w:val="28"/>
        </w:rPr>
        <w:t>均依本</w:t>
      </w:r>
      <w:proofErr w:type="gramEnd"/>
      <w:r w:rsidRPr="00A571DF">
        <w:rPr>
          <w:rFonts w:eastAsia="標楷體" w:hint="eastAsia"/>
          <w:bCs/>
          <w:sz w:val="28"/>
          <w:szCs w:val="28"/>
        </w:rPr>
        <w:t>要點辦理。</w:t>
      </w:r>
    </w:p>
    <w:p w:rsidR="00727AC0" w:rsidRPr="00A571DF" w:rsidRDefault="00727AC0">
      <w:pPr>
        <w:kinsoku w:val="0"/>
        <w:snapToGrid w:val="0"/>
        <w:spacing w:line="500" w:lineRule="exact"/>
        <w:ind w:left="560" w:hangingChars="200" w:hanging="560"/>
        <w:jc w:val="both"/>
        <w:rPr>
          <w:rFonts w:eastAsia="標楷體"/>
          <w:bCs/>
          <w:sz w:val="28"/>
          <w:szCs w:val="28"/>
        </w:rPr>
      </w:pPr>
      <w:r w:rsidRPr="00A571DF">
        <w:rPr>
          <w:rFonts w:eastAsia="標楷體" w:hint="eastAsia"/>
          <w:bCs/>
          <w:sz w:val="28"/>
          <w:szCs w:val="28"/>
        </w:rPr>
        <w:t>參、存保公司之工作考成評估面向及權數如次：</w:t>
      </w:r>
    </w:p>
    <w:p w:rsidR="00727AC0" w:rsidRPr="00A571DF" w:rsidRDefault="00727AC0">
      <w:pPr>
        <w:kinsoku w:val="0"/>
        <w:snapToGrid w:val="0"/>
        <w:spacing w:line="500" w:lineRule="exact"/>
        <w:ind w:leftChars="234" w:left="562"/>
        <w:jc w:val="both"/>
        <w:rPr>
          <w:rFonts w:eastAsia="標楷體"/>
          <w:bCs/>
          <w:sz w:val="28"/>
          <w:szCs w:val="28"/>
        </w:rPr>
      </w:pPr>
      <w:r w:rsidRPr="00A571DF">
        <w:rPr>
          <w:rFonts w:eastAsia="標楷體" w:hint="eastAsia"/>
          <w:bCs/>
          <w:sz w:val="28"/>
          <w:szCs w:val="28"/>
        </w:rPr>
        <w:t>一、</w:t>
      </w:r>
      <w:r w:rsidR="00FB5956" w:rsidRPr="00A571DF">
        <w:rPr>
          <w:rFonts w:eastAsia="標楷體" w:hint="eastAsia"/>
          <w:bCs/>
          <w:sz w:val="28"/>
          <w:szCs w:val="28"/>
        </w:rPr>
        <w:t>業務經營</w:t>
      </w:r>
      <w:r w:rsidRPr="00A571DF">
        <w:rPr>
          <w:rFonts w:eastAsia="標楷體" w:hint="eastAsia"/>
          <w:bCs/>
          <w:sz w:val="28"/>
          <w:szCs w:val="28"/>
        </w:rPr>
        <w:t xml:space="preserve">　　　　　</w:t>
      </w:r>
      <w:r w:rsidR="00F25ABE" w:rsidRPr="00A571DF">
        <w:rPr>
          <w:rFonts w:eastAsia="標楷體" w:hint="eastAsia"/>
          <w:bCs/>
          <w:sz w:val="28"/>
          <w:szCs w:val="28"/>
        </w:rPr>
        <w:t>8</w:t>
      </w:r>
      <w:r w:rsidR="00803DFD" w:rsidRPr="00A571DF">
        <w:rPr>
          <w:rFonts w:eastAsia="標楷體" w:hint="eastAsia"/>
          <w:bCs/>
          <w:sz w:val="28"/>
          <w:szCs w:val="28"/>
        </w:rPr>
        <w:t>5</w:t>
      </w:r>
    </w:p>
    <w:p w:rsidR="00727AC0" w:rsidRPr="00A571DF" w:rsidRDefault="00AB1676">
      <w:pPr>
        <w:kinsoku w:val="0"/>
        <w:snapToGrid w:val="0"/>
        <w:spacing w:line="500" w:lineRule="exact"/>
        <w:ind w:leftChars="234" w:left="562"/>
        <w:jc w:val="both"/>
        <w:rPr>
          <w:rFonts w:eastAsia="標楷體"/>
          <w:bCs/>
          <w:sz w:val="28"/>
          <w:szCs w:val="28"/>
        </w:rPr>
      </w:pPr>
      <w:r w:rsidRPr="00A571DF">
        <w:rPr>
          <w:rFonts w:eastAsia="標楷體" w:hint="eastAsia"/>
          <w:bCs/>
          <w:sz w:val="28"/>
          <w:szCs w:val="28"/>
        </w:rPr>
        <w:t>二</w:t>
      </w:r>
      <w:r w:rsidR="00727AC0" w:rsidRPr="00A571DF">
        <w:rPr>
          <w:rFonts w:eastAsia="標楷體" w:hint="eastAsia"/>
          <w:bCs/>
          <w:sz w:val="28"/>
          <w:szCs w:val="28"/>
        </w:rPr>
        <w:t>、</w:t>
      </w:r>
      <w:r w:rsidR="00F25ABE" w:rsidRPr="00A571DF">
        <w:rPr>
          <w:rFonts w:eastAsia="標楷體" w:hint="eastAsia"/>
          <w:bCs/>
          <w:sz w:val="28"/>
          <w:szCs w:val="28"/>
        </w:rPr>
        <w:t xml:space="preserve">財務管理　　　　　</w:t>
      </w:r>
      <w:r w:rsidR="00F25ABE" w:rsidRPr="00A571DF">
        <w:rPr>
          <w:rFonts w:eastAsia="標楷體" w:hint="eastAsia"/>
          <w:bCs/>
          <w:sz w:val="28"/>
          <w:szCs w:val="28"/>
        </w:rPr>
        <w:t>11</w:t>
      </w:r>
    </w:p>
    <w:p w:rsidR="00727AC0" w:rsidRPr="00A571DF" w:rsidRDefault="00AB1676">
      <w:pPr>
        <w:kinsoku w:val="0"/>
        <w:snapToGrid w:val="0"/>
        <w:spacing w:line="500" w:lineRule="exact"/>
        <w:ind w:leftChars="234" w:left="562"/>
        <w:jc w:val="both"/>
        <w:rPr>
          <w:rFonts w:eastAsia="標楷體"/>
          <w:bCs/>
          <w:sz w:val="28"/>
          <w:szCs w:val="28"/>
        </w:rPr>
      </w:pPr>
      <w:r w:rsidRPr="00A571DF">
        <w:rPr>
          <w:rFonts w:eastAsia="標楷體" w:hint="eastAsia"/>
          <w:bCs/>
          <w:sz w:val="28"/>
          <w:szCs w:val="28"/>
        </w:rPr>
        <w:t>三</w:t>
      </w:r>
      <w:r w:rsidR="00727AC0" w:rsidRPr="00A571DF">
        <w:rPr>
          <w:rFonts w:eastAsia="標楷體" w:hint="eastAsia"/>
          <w:bCs/>
          <w:sz w:val="28"/>
          <w:szCs w:val="28"/>
        </w:rPr>
        <w:t xml:space="preserve">、人力資源管理　　　</w:t>
      </w:r>
      <w:r w:rsidR="00727AC0" w:rsidRPr="00A571DF">
        <w:rPr>
          <w:rFonts w:eastAsia="標楷體" w:hint="eastAsia"/>
          <w:bCs/>
          <w:sz w:val="28"/>
          <w:szCs w:val="28"/>
        </w:rPr>
        <w:t xml:space="preserve"> </w:t>
      </w:r>
      <w:r w:rsidR="00803DFD" w:rsidRPr="00A571DF">
        <w:rPr>
          <w:rFonts w:eastAsia="標楷體" w:hint="eastAsia"/>
          <w:bCs/>
          <w:sz w:val="28"/>
          <w:szCs w:val="28"/>
        </w:rPr>
        <w:t>4</w:t>
      </w:r>
    </w:p>
    <w:p w:rsidR="00727AC0" w:rsidRPr="00A571DF" w:rsidRDefault="00727AC0">
      <w:pPr>
        <w:pStyle w:val="a6"/>
        <w:snapToGrid w:val="0"/>
        <w:spacing w:line="500" w:lineRule="exact"/>
        <w:ind w:left="601" w:hanging="601"/>
        <w:rPr>
          <w:bCs/>
          <w:szCs w:val="28"/>
        </w:rPr>
      </w:pPr>
      <w:r w:rsidRPr="00A571DF">
        <w:rPr>
          <w:rFonts w:hint="eastAsia"/>
          <w:bCs/>
          <w:szCs w:val="28"/>
        </w:rPr>
        <w:t>肆、</w:t>
      </w:r>
      <w:r w:rsidR="002F74C3" w:rsidRPr="00A571DF">
        <w:rPr>
          <w:rFonts w:hint="eastAsia"/>
          <w:bCs/>
          <w:szCs w:val="28"/>
        </w:rPr>
        <w:t>存保公司</w:t>
      </w:r>
      <w:r w:rsidRPr="00A571DF">
        <w:rPr>
          <w:rFonts w:hint="eastAsia"/>
          <w:bCs/>
          <w:szCs w:val="28"/>
        </w:rPr>
        <w:t>應按本要點所訂之「經營績效</w:t>
      </w:r>
      <w:r w:rsidR="00FB5956" w:rsidRPr="00A571DF">
        <w:rPr>
          <w:rFonts w:hint="eastAsia"/>
        </w:rPr>
        <w:t>評估面向、指標、權數、目標值及評量計算方式</w:t>
      </w:r>
      <w:r w:rsidRPr="00A571DF">
        <w:rPr>
          <w:rFonts w:hint="eastAsia"/>
          <w:bCs/>
          <w:szCs w:val="28"/>
        </w:rPr>
        <w:t>」辦理自評。</w:t>
      </w:r>
    </w:p>
    <w:p w:rsidR="00727AC0" w:rsidRPr="00A571DF" w:rsidRDefault="00727AC0">
      <w:pPr>
        <w:pStyle w:val="a6"/>
        <w:snapToGrid w:val="0"/>
        <w:spacing w:line="500" w:lineRule="exact"/>
        <w:ind w:hanging="601"/>
        <w:rPr>
          <w:bCs/>
          <w:szCs w:val="28"/>
        </w:rPr>
      </w:pPr>
      <w:r w:rsidRPr="00A571DF">
        <w:rPr>
          <w:rFonts w:hint="eastAsia"/>
          <w:bCs/>
          <w:szCs w:val="28"/>
        </w:rPr>
        <w:t>伍、本要點所訂評估指標每項最高</w:t>
      </w:r>
      <w:r w:rsidRPr="00A571DF">
        <w:rPr>
          <w:rFonts w:hint="eastAsia"/>
          <w:bCs/>
          <w:szCs w:val="28"/>
        </w:rPr>
        <w:t>100</w:t>
      </w:r>
      <w:r w:rsidRPr="00A571DF">
        <w:rPr>
          <w:rFonts w:hint="eastAsia"/>
          <w:bCs/>
          <w:szCs w:val="28"/>
        </w:rPr>
        <w:t>分，最低</w:t>
      </w:r>
      <w:r w:rsidRPr="00A571DF">
        <w:rPr>
          <w:rFonts w:hint="eastAsia"/>
          <w:bCs/>
          <w:szCs w:val="28"/>
        </w:rPr>
        <w:t>0</w:t>
      </w:r>
      <w:r w:rsidRPr="00A571DF">
        <w:rPr>
          <w:rFonts w:hint="eastAsia"/>
          <w:bCs/>
          <w:szCs w:val="28"/>
        </w:rPr>
        <w:t>分。</w:t>
      </w:r>
    </w:p>
    <w:p w:rsidR="00727AC0" w:rsidRPr="00A571DF" w:rsidRDefault="00FB5956">
      <w:pPr>
        <w:pStyle w:val="a6"/>
        <w:snapToGrid w:val="0"/>
        <w:spacing w:afterLines="50" w:after="180" w:line="500" w:lineRule="exact"/>
        <w:ind w:hanging="601"/>
        <w:rPr>
          <w:bCs/>
          <w:szCs w:val="28"/>
        </w:rPr>
      </w:pPr>
      <w:r w:rsidRPr="00A571DF">
        <w:rPr>
          <w:rFonts w:hint="eastAsia"/>
          <w:bCs/>
          <w:szCs w:val="28"/>
        </w:rPr>
        <w:t>陸、若</w:t>
      </w:r>
      <w:r w:rsidR="002F74C3" w:rsidRPr="00A571DF">
        <w:rPr>
          <w:rFonts w:hint="eastAsia"/>
          <w:bCs/>
          <w:szCs w:val="28"/>
        </w:rPr>
        <w:t>本會</w:t>
      </w:r>
      <w:r w:rsidRPr="00A571DF">
        <w:rPr>
          <w:rFonts w:hint="eastAsia"/>
          <w:bCs/>
          <w:szCs w:val="28"/>
        </w:rPr>
        <w:t>依限於</w:t>
      </w:r>
      <w:r w:rsidRPr="00A571DF">
        <w:rPr>
          <w:rFonts w:hint="eastAsia"/>
          <w:bCs/>
          <w:szCs w:val="28"/>
        </w:rPr>
        <w:t>3</w:t>
      </w:r>
      <w:r w:rsidRPr="00A571DF">
        <w:rPr>
          <w:rFonts w:hint="eastAsia"/>
          <w:bCs/>
          <w:szCs w:val="28"/>
        </w:rPr>
        <w:t>月底將</w:t>
      </w:r>
      <w:r w:rsidR="002F74C3" w:rsidRPr="00A571DF">
        <w:rPr>
          <w:rFonts w:hint="eastAsia"/>
          <w:bCs/>
          <w:szCs w:val="28"/>
        </w:rPr>
        <w:t>存保公司</w:t>
      </w:r>
      <w:r w:rsidRPr="00A571DF">
        <w:rPr>
          <w:rFonts w:hint="eastAsia"/>
          <w:bCs/>
          <w:szCs w:val="28"/>
        </w:rPr>
        <w:t>初核結果報院，則指標之計算依</w:t>
      </w:r>
      <w:r w:rsidR="002F74C3" w:rsidRPr="00A571DF">
        <w:rPr>
          <w:rFonts w:hint="eastAsia"/>
          <w:bCs/>
          <w:szCs w:val="28"/>
        </w:rPr>
        <w:t>存保公司</w:t>
      </w:r>
      <w:r w:rsidRPr="00A571DF">
        <w:rPr>
          <w:rFonts w:hint="eastAsia"/>
          <w:bCs/>
          <w:szCs w:val="28"/>
        </w:rPr>
        <w:t>初編決算辦理核算；若逾</w:t>
      </w:r>
      <w:smartTag w:uri="urn:schemas-microsoft-com:office:smarttags" w:element="chsdate">
        <w:smartTagPr>
          <w:attr w:name="Year" w:val="2013"/>
          <w:attr w:name="Month" w:val="4"/>
          <w:attr w:name="Day" w:val="30"/>
          <w:attr w:name="IsLunarDate" w:val="False"/>
          <w:attr w:name="IsROCDate" w:val="False"/>
        </w:smartTagPr>
        <w:r w:rsidRPr="00A571DF">
          <w:rPr>
            <w:rFonts w:hint="eastAsia"/>
            <w:bCs/>
            <w:szCs w:val="28"/>
          </w:rPr>
          <w:t>4</w:t>
        </w:r>
        <w:r w:rsidRPr="00A571DF">
          <w:rPr>
            <w:rFonts w:hint="eastAsia"/>
            <w:bCs/>
            <w:szCs w:val="28"/>
          </w:rPr>
          <w:t>月</w:t>
        </w:r>
        <w:r w:rsidRPr="00A571DF">
          <w:rPr>
            <w:rFonts w:hint="eastAsia"/>
            <w:bCs/>
            <w:szCs w:val="28"/>
          </w:rPr>
          <w:t>30</w:t>
        </w:r>
        <w:r w:rsidRPr="00A571DF">
          <w:rPr>
            <w:rFonts w:hint="eastAsia"/>
            <w:bCs/>
            <w:szCs w:val="28"/>
          </w:rPr>
          <w:t>日</w:t>
        </w:r>
      </w:smartTag>
      <w:r w:rsidRPr="00A571DF">
        <w:rPr>
          <w:rFonts w:hint="eastAsia"/>
          <w:bCs/>
          <w:szCs w:val="28"/>
        </w:rPr>
        <w:t>方將初核結果報院，則依行政院決算辦理核算；若逾</w:t>
      </w:r>
      <w:smartTag w:uri="urn:schemas-microsoft-com:office:smarttags" w:element="chsdate">
        <w:smartTagPr>
          <w:attr w:name="Year" w:val="2013"/>
          <w:attr w:name="Month" w:val="7"/>
          <w:attr w:name="Day" w:val="31"/>
          <w:attr w:name="IsLunarDate" w:val="False"/>
          <w:attr w:name="IsROCDate" w:val="False"/>
        </w:smartTagPr>
        <w:r w:rsidRPr="00A571DF">
          <w:rPr>
            <w:rFonts w:hint="eastAsia"/>
            <w:bCs/>
            <w:szCs w:val="28"/>
          </w:rPr>
          <w:t>7</w:t>
        </w:r>
        <w:r w:rsidRPr="00A571DF">
          <w:rPr>
            <w:rFonts w:hint="eastAsia"/>
            <w:bCs/>
            <w:szCs w:val="28"/>
          </w:rPr>
          <w:t>月</w:t>
        </w:r>
        <w:r w:rsidRPr="00A571DF">
          <w:rPr>
            <w:rFonts w:hint="eastAsia"/>
            <w:bCs/>
            <w:szCs w:val="28"/>
          </w:rPr>
          <w:t>31</w:t>
        </w:r>
        <w:r w:rsidRPr="00A571DF">
          <w:rPr>
            <w:rFonts w:hint="eastAsia"/>
            <w:bCs/>
            <w:szCs w:val="28"/>
          </w:rPr>
          <w:t>日</w:t>
        </w:r>
      </w:smartTag>
      <w:r w:rsidRPr="00A571DF">
        <w:rPr>
          <w:rFonts w:hint="eastAsia"/>
          <w:bCs/>
          <w:szCs w:val="28"/>
        </w:rPr>
        <w:t>，則依審計部審定決算辦理核算。</w:t>
      </w:r>
    </w:p>
    <w:p w:rsidR="002D2F4A" w:rsidRPr="00A571DF" w:rsidRDefault="002D2F4A">
      <w:pPr>
        <w:pStyle w:val="a6"/>
        <w:snapToGrid w:val="0"/>
        <w:spacing w:afterLines="50" w:after="180" w:line="500" w:lineRule="exact"/>
        <w:ind w:hanging="601"/>
        <w:rPr>
          <w:bCs/>
          <w:szCs w:val="28"/>
        </w:rPr>
      </w:pPr>
      <w:r w:rsidRPr="00A571DF">
        <w:rPr>
          <w:rFonts w:hint="eastAsia"/>
          <w:bCs/>
          <w:szCs w:val="28"/>
        </w:rPr>
        <w:t>柒、</w:t>
      </w:r>
      <w:r w:rsidR="0080404F" w:rsidRPr="00A571DF">
        <w:rPr>
          <w:rFonts w:hint="eastAsia"/>
          <w:bCs/>
          <w:szCs w:val="28"/>
        </w:rPr>
        <w:t>本會辦理</w:t>
      </w:r>
      <w:r w:rsidR="007221D6" w:rsidRPr="00A571DF">
        <w:rPr>
          <w:rFonts w:hint="eastAsia"/>
          <w:bCs/>
          <w:szCs w:val="28"/>
          <w:u w:val="single"/>
        </w:rPr>
        <w:t>評</w:t>
      </w:r>
      <w:r w:rsidR="0080404F" w:rsidRPr="00A571DF">
        <w:rPr>
          <w:rFonts w:hint="eastAsia"/>
          <w:bCs/>
          <w:szCs w:val="28"/>
          <w:u w:val="single"/>
        </w:rPr>
        <w:t>核</w:t>
      </w:r>
      <w:r w:rsidR="0080404F" w:rsidRPr="00A571DF">
        <w:rPr>
          <w:rFonts w:hint="eastAsia"/>
          <w:bCs/>
          <w:szCs w:val="28"/>
        </w:rPr>
        <w:t>作業時，除依本要點各項指標之計算公式核算分數外，得依各項指標目標值設定之挑戰度、社會輿情觀感，酌予增減分。</w:t>
      </w:r>
    </w:p>
    <w:p w:rsidR="00727AC0" w:rsidRPr="00A571DF" w:rsidRDefault="00727AC0">
      <w:pPr>
        <w:pStyle w:val="a6"/>
        <w:snapToGrid w:val="0"/>
        <w:spacing w:afterLines="50" w:after="180" w:line="400" w:lineRule="exact"/>
        <w:ind w:hanging="601"/>
        <w:rPr>
          <w:bCs/>
          <w:szCs w:val="28"/>
        </w:rPr>
      </w:pPr>
    </w:p>
    <w:p w:rsidR="00727AC0" w:rsidRPr="00A571DF" w:rsidRDefault="00727AC0">
      <w:pPr>
        <w:pStyle w:val="a6"/>
        <w:snapToGrid w:val="0"/>
        <w:spacing w:afterLines="50" w:after="180" w:line="400" w:lineRule="exact"/>
        <w:ind w:hanging="601"/>
        <w:jc w:val="center"/>
      </w:pPr>
      <w:r w:rsidRPr="00A571DF">
        <w:rPr>
          <w:bCs/>
        </w:rPr>
        <w:br w:type="page"/>
      </w:r>
      <w:r w:rsidRPr="00A571DF">
        <w:rPr>
          <w:rFonts w:hint="eastAsia"/>
          <w:kern w:val="0"/>
          <w:fitText w:val="9240" w:id="475178496"/>
        </w:rPr>
        <w:lastRenderedPageBreak/>
        <w:t>中央存款保險公司經營績效評估面向、指標、</w:t>
      </w:r>
      <w:r w:rsidR="00FB5956" w:rsidRPr="00A571DF">
        <w:rPr>
          <w:rFonts w:hint="eastAsia"/>
          <w:kern w:val="0"/>
          <w:fitText w:val="9240" w:id="475178496"/>
        </w:rPr>
        <w:t>權數、目標值</w:t>
      </w:r>
      <w:r w:rsidRPr="00A571DF">
        <w:rPr>
          <w:rFonts w:hint="eastAsia"/>
          <w:kern w:val="0"/>
          <w:fitText w:val="9240" w:id="475178496"/>
        </w:rPr>
        <w:t>及評量計算方式</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
        <w:gridCol w:w="1838"/>
        <w:gridCol w:w="2752"/>
        <w:gridCol w:w="540"/>
        <w:gridCol w:w="3780"/>
      </w:tblGrid>
      <w:tr w:rsidR="00A571DF" w:rsidRPr="00A571DF" w:rsidTr="004571DB">
        <w:trPr>
          <w:cantSplit/>
          <w:tblHeader/>
          <w:jc w:val="center"/>
        </w:trPr>
        <w:tc>
          <w:tcPr>
            <w:tcW w:w="509" w:type="dxa"/>
            <w:vAlign w:val="center"/>
          </w:tcPr>
          <w:p w:rsidR="00727AC0" w:rsidRPr="00A571DF" w:rsidRDefault="00727AC0">
            <w:pPr>
              <w:snapToGrid w:val="0"/>
              <w:jc w:val="center"/>
              <w:rPr>
                <w:rFonts w:eastAsia="標楷體"/>
                <w:bCs/>
                <w:szCs w:val="28"/>
              </w:rPr>
            </w:pPr>
            <w:r w:rsidRPr="00A571DF">
              <w:rPr>
                <w:rFonts w:eastAsia="標楷體" w:hint="eastAsia"/>
                <w:bCs/>
                <w:szCs w:val="28"/>
              </w:rPr>
              <w:t>面向</w:t>
            </w:r>
          </w:p>
        </w:tc>
        <w:tc>
          <w:tcPr>
            <w:tcW w:w="1838" w:type="dxa"/>
            <w:vAlign w:val="center"/>
          </w:tcPr>
          <w:p w:rsidR="00727AC0" w:rsidRPr="00A571DF" w:rsidRDefault="00727AC0">
            <w:pPr>
              <w:snapToGrid w:val="0"/>
              <w:jc w:val="both"/>
              <w:rPr>
                <w:rFonts w:eastAsia="標楷體"/>
                <w:bCs/>
                <w:szCs w:val="28"/>
              </w:rPr>
            </w:pPr>
            <w:r w:rsidRPr="00A571DF">
              <w:rPr>
                <w:rFonts w:eastAsia="標楷體" w:hint="eastAsia"/>
                <w:bCs/>
                <w:szCs w:val="28"/>
              </w:rPr>
              <w:t>評估指標</w:t>
            </w:r>
          </w:p>
        </w:tc>
        <w:tc>
          <w:tcPr>
            <w:tcW w:w="2752" w:type="dxa"/>
            <w:vAlign w:val="center"/>
          </w:tcPr>
          <w:p w:rsidR="00727AC0" w:rsidRPr="00A571DF" w:rsidRDefault="00727AC0">
            <w:pPr>
              <w:snapToGrid w:val="0"/>
              <w:jc w:val="center"/>
              <w:rPr>
                <w:rFonts w:eastAsia="標楷體"/>
                <w:bCs/>
                <w:szCs w:val="28"/>
              </w:rPr>
            </w:pPr>
            <w:r w:rsidRPr="00A571DF">
              <w:rPr>
                <w:rFonts w:eastAsia="標楷體" w:hint="eastAsia"/>
                <w:bCs/>
                <w:szCs w:val="28"/>
              </w:rPr>
              <w:t>計算公式</w:t>
            </w:r>
          </w:p>
        </w:tc>
        <w:tc>
          <w:tcPr>
            <w:tcW w:w="540" w:type="dxa"/>
            <w:vAlign w:val="center"/>
          </w:tcPr>
          <w:p w:rsidR="00727AC0" w:rsidRPr="00A571DF" w:rsidRDefault="00727AC0">
            <w:pPr>
              <w:snapToGrid w:val="0"/>
              <w:jc w:val="center"/>
              <w:rPr>
                <w:rFonts w:eastAsia="標楷體"/>
                <w:bCs/>
                <w:szCs w:val="28"/>
              </w:rPr>
            </w:pPr>
            <w:r w:rsidRPr="00A571DF">
              <w:rPr>
                <w:rFonts w:eastAsia="標楷體" w:hint="eastAsia"/>
                <w:bCs/>
                <w:szCs w:val="28"/>
              </w:rPr>
              <w:t>權數</w:t>
            </w:r>
          </w:p>
        </w:tc>
        <w:tc>
          <w:tcPr>
            <w:tcW w:w="3780" w:type="dxa"/>
            <w:vAlign w:val="center"/>
          </w:tcPr>
          <w:p w:rsidR="00727AC0" w:rsidRPr="00A571DF" w:rsidRDefault="00727AC0">
            <w:pPr>
              <w:snapToGrid w:val="0"/>
              <w:jc w:val="center"/>
              <w:rPr>
                <w:rFonts w:eastAsia="標楷體"/>
                <w:bCs/>
                <w:szCs w:val="28"/>
              </w:rPr>
            </w:pPr>
            <w:r w:rsidRPr="00A571DF">
              <w:rPr>
                <w:rFonts w:eastAsia="標楷體" w:hint="eastAsia"/>
                <w:bCs/>
                <w:szCs w:val="28"/>
              </w:rPr>
              <w:t>評量計算方式</w:t>
            </w:r>
          </w:p>
        </w:tc>
      </w:tr>
      <w:tr w:rsidR="00A571DF" w:rsidRPr="00A571DF" w:rsidTr="00F25ABE">
        <w:trPr>
          <w:cantSplit/>
          <w:jc w:val="center"/>
        </w:trPr>
        <w:tc>
          <w:tcPr>
            <w:tcW w:w="509" w:type="dxa"/>
            <w:vMerge w:val="restart"/>
          </w:tcPr>
          <w:p w:rsidR="00FB31DD" w:rsidRPr="00A571DF" w:rsidRDefault="00FB31DD">
            <w:pPr>
              <w:snapToGrid w:val="0"/>
              <w:jc w:val="center"/>
              <w:rPr>
                <w:rFonts w:eastAsia="標楷體"/>
              </w:rPr>
            </w:pPr>
            <w:r w:rsidRPr="00A571DF">
              <w:rPr>
                <w:rFonts w:eastAsia="標楷體" w:hint="eastAsia"/>
              </w:rPr>
              <w:t>業務經營</w:t>
            </w:r>
          </w:p>
          <w:p w:rsidR="00FB31DD" w:rsidRPr="00A571DF" w:rsidRDefault="00FB31DD">
            <w:pPr>
              <w:snapToGrid w:val="0"/>
              <w:jc w:val="center"/>
              <w:rPr>
                <w:rFonts w:eastAsia="標楷體"/>
              </w:rPr>
            </w:pPr>
            <w:r w:rsidRPr="00A571DF">
              <w:rPr>
                <w:rFonts w:eastAsia="標楷體" w:hint="eastAsia"/>
              </w:rPr>
              <w:t>8</w:t>
            </w:r>
            <w:r w:rsidR="00AE1C51" w:rsidRPr="00A571DF">
              <w:rPr>
                <w:rFonts w:eastAsia="標楷體" w:hint="eastAsia"/>
              </w:rPr>
              <w:t>5</w:t>
            </w:r>
          </w:p>
          <w:p w:rsidR="00FB31DD" w:rsidRPr="00A571DF" w:rsidRDefault="00FB31DD">
            <w:pPr>
              <w:snapToGrid w:val="0"/>
              <w:jc w:val="center"/>
              <w:rPr>
                <w:rFonts w:eastAsia="標楷體"/>
              </w:rPr>
            </w:pPr>
            <w:r w:rsidRPr="00A571DF">
              <w:rPr>
                <w:rFonts w:eastAsia="標楷體" w:hint="eastAsia"/>
              </w:rPr>
              <w:t>%</w:t>
            </w:r>
          </w:p>
        </w:tc>
        <w:tc>
          <w:tcPr>
            <w:tcW w:w="1838" w:type="dxa"/>
          </w:tcPr>
          <w:p w:rsidR="00FB31DD" w:rsidRPr="00A571DF" w:rsidRDefault="00FB31DD" w:rsidP="00B54DF5">
            <w:pPr>
              <w:spacing w:line="380" w:lineRule="exact"/>
              <w:ind w:left="240" w:right="5" w:hangingChars="100" w:hanging="240"/>
              <w:jc w:val="both"/>
              <w:rPr>
                <w:rFonts w:eastAsia="標楷體"/>
              </w:rPr>
            </w:pPr>
            <w:r w:rsidRPr="00A571DF">
              <w:rPr>
                <w:rFonts w:eastAsia="標楷體"/>
              </w:rPr>
              <w:t>1.</w:t>
            </w:r>
            <w:r w:rsidRPr="00A571DF">
              <w:rPr>
                <w:rFonts w:eastAsia="標楷體"/>
              </w:rPr>
              <w:t>保費收入成長率</w:t>
            </w:r>
          </w:p>
        </w:tc>
        <w:tc>
          <w:tcPr>
            <w:tcW w:w="2752" w:type="dxa"/>
          </w:tcPr>
          <w:p w:rsidR="00FB31DD" w:rsidRPr="00A571DF" w:rsidRDefault="00FB31DD" w:rsidP="00B54DF5">
            <w:pPr>
              <w:spacing w:line="380" w:lineRule="exact"/>
              <w:ind w:left="5" w:right="5"/>
              <w:jc w:val="both"/>
              <w:rPr>
                <w:rFonts w:eastAsia="標楷體"/>
              </w:rPr>
            </w:pPr>
            <w:r w:rsidRPr="00A571DF">
              <w:rPr>
                <w:rFonts w:eastAsia="標楷體"/>
              </w:rPr>
              <w:t>（本年保費收入－去年保費收入）</w:t>
            </w:r>
            <w:r w:rsidRPr="00A571DF">
              <w:rPr>
                <w:rFonts w:eastAsia="標楷體"/>
              </w:rPr>
              <w:t>/</w:t>
            </w:r>
            <w:r w:rsidRPr="00A571DF">
              <w:rPr>
                <w:rFonts w:eastAsia="標楷體"/>
              </w:rPr>
              <w:t>去年保費收入</w:t>
            </w:r>
            <w:r w:rsidRPr="00A571DF">
              <w:rPr>
                <w:rFonts w:eastAsia="標楷體"/>
              </w:rPr>
              <w:t>×100</w:t>
            </w:r>
            <w:r w:rsidRPr="00A571DF">
              <w:rPr>
                <w:rFonts w:eastAsia="標楷體"/>
              </w:rPr>
              <w:t>％</w:t>
            </w:r>
          </w:p>
        </w:tc>
        <w:tc>
          <w:tcPr>
            <w:tcW w:w="540" w:type="dxa"/>
          </w:tcPr>
          <w:p w:rsidR="00FB31DD" w:rsidRPr="00A571DF" w:rsidRDefault="00803DFD" w:rsidP="00B54DF5">
            <w:pPr>
              <w:spacing w:line="380" w:lineRule="exact"/>
              <w:ind w:left="5" w:right="5"/>
              <w:jc w:val="center"/>
              <w:rPr>
                <w:rFonts w:eastAsia="標楷體"/>
              </w:rPr>
            </w:pPr>
            <w:r w:rsidRPr="00A571DF">
              <w:rPr>
                <w:rFonts w:eastAsia="標楷體" w:hint="eastAsia"/>
              </w:rPr>
              <w:t>9</w:t>
            </w:r>
          </w:p>
        </w:tc>
        <w:tc>
          <w:tcPr>
            <w:tcW w:w="3780" w:type="dxa"/>
          </w:tcPr>
          <w:p w:rsidR="00FB31DD" w:rsidRPr="00A571DF" w:rsidRDefault="00FB31DD" w:rsidP="00096183">
            <w:pPr>
              <w:spacing w:line="380" w:lineRule="exact"/>
              <w:ind w:right="28"/>
              <w:jc w:val="both"/>
              <w:rPr>
                <w:rFonts w:eastAsia="標楷體"/>
                <w:bCs/>
              </w:rPr>
            </w:pPr>
            <w:r w:rsidRPr="00A571DF">
              <w:rPr>
                <w:rFonts w:eastAsia="標楷體"/>
                <w:bCs/>
              </w:rPr>
              <w:t>與去年實際數比較，相同者得基準分</w:t>
            </w:r>
            <w:r w:rsidRPr="00A571DF">
              <w:rPr>
                <w:rFonts w:eastAsia="標楷體"/>
              </w:rPr>
              <w:t>75</w:t>
            </w:r>
            <w:r w:rsidRPr="00A571DF">
              <w:rPr>
                <w:rFonts w:eastAsia="標楷體"/>
                <w:bCs/>
              </w:rPr>
              <w:t>分，每增（減）</w:t>
            </w:r>
            <w:r w:rsidRPr="00A571DF">
              <w:rPr>
                <w:rFonts w:eastAsia="標楷體"/>
              </w:rPr>
              <w:t>1%</w:t>
            </w:r>
            <w:r w:rsidRPr="00A571DF">
              <w:rPr>
                <w:rFonts w:eastAsia="標楷體"/>
                <w:bCs/>
              </w:rPr>
              <w:t>，加（減）</w:t>
            </w:r>
            <w:r w:rsidRPr="00A571DF">
              <w:rPr>
                <w:rFonts w:eastAsia="標楷體"/>
                <w:bCs/>
              </w:rPr>
              <w:t>2</w:t>
            </w:r>
            <w:r w:rsidRPr="00A571DF">
              <w:rPr>
                <w:rFonts w:eastAsia="標楷體"/>
                <w:bCs/>
              </w:rPr>
              <w:t>分。</w:t>
            </w:r>
          </w:p>
        </w:tc>
      </w:tr>
      <w:tr w:rsidR="00A571DF" w:rsidRPr="00A571DF" w:rsidTr="00F25ABE">
        <w:trPr>
          <w:cantSplit/>
          <w:jc w:val="center"/>
        </w:trPr>
        <w:tc>
          <w:tcPr>
            <w:tcW w:w="509" w:type="dxa"/>
            <w:vMerge/>
          </w:tcPr>
          <w:p w:rsidR="00803DFD" w:rsidRPr="00A571DF" w:rsidRDefault="00803DFD">
            <w:pPr>
              <w:snapToGrid w:val="0"/>
              <w:jc w:val="center"/>
              <w:rPr>
                <w:rFonts w:eastAsia="標楷體"/>
              </w:rPr>
            </w:pPr>
          </w:p>
        </w:tc>
        <w:tc>
          <w:tcPr>
            <w:tcW w:w="1838" w:type="dxa"/>
          </w:tcPr>
          <w:p w:rsidR="00803DFD" w:rsidRPr="00A571DF" w:rsidRDefault="00AE1C51" w:rsidP="00B54DF5">
            <w:pPr>
              <w:spacing w:line="380" w:lineRule="exact"/>
              <w:ind w:left="240" w:right="5" w:hangingChars="100" w:hanging="240"/>
              <w:jc w:val="both"/>
              <w:rPr>
                <w:rFonts w:eastAsia="標楷體"/>
              </w:rPr>
            </w:pPr>
            <w:r w:rsidRPr="00A571DF">
              <w:rPr>
                <w:rFonts w:eastAsia="標楷體" w:hint="eastAsia"/>
              </w:rPr>
              <w:t>2.</w:t>
            </w:r>
            <w:r w:rsidRPr="00A571DF">
              <w:rPr>
                <w:rFonts w:eastAsia="標楷體" w:hint="eastAsia"/>
              </w:rPr>
              <w:t>提存保險賠款特別準備金成長率</w:t>
            </w:r>
          </w:p>
        </w:tc>
        <w:tc>
          <w:tcPr>
            <w:tcW w:w="2752" w:type="dxa"/>
          </w:tcPr>
          <w:p w:rsidR="00803DFD" w:rsidRPr="00A571DF" w:rsidRDefault="00AE1C51" w:rsidP="00B54DF5">
            <w:pPr>
              <w:spacing w:line="380" w:lineRule="exact"/>
              <w:ind w:left="5" w:right="5"/>
              <w:jc w:val="both"/>
              <w:rPr>
                <w:rFonts w:eastAsia="標楷體"/>
              </w:rPr>
            </w:pPr>
            <w:r w:rsidRPr="00A571DF">
              <w:rPr>
                <w:rFonts w:eastAsia="標楷體" w:hAnsi="標楷體" w:hint="eastAsia"/>
              </w:rPr>
              <w:t>（本年提存保險賠款特別準備金－去年提存保險賠款特別準備金）</w:t>
            </w:r>
            <w:r w:rsidRPr="00A571DF">
              <w:rPr>
                <w:rFonts w:eastAsia="標楷體" w:hAnsi="標楷體" w:hint="eastAsia"/>
              </w:rPr>
              <w:t>/</w:t>
            </w:r>
            <w:r w:rsidRPr="00A571DF">
              <w:rPr>
                <w:rFonts w:eastAsia="標楷體" w:hAnsi="標楷體" w:hint="eastAsia"/>
              </w:rPr>
              <w:t>去年提存保險賠款特別準備金×</w:t>
            </w:r>
            <w:r w:rsidRPr="00A571DF">
              <w:rPr>
                <w:rFonts w:eastAsia="標楷體" w:hAnsi="標楷體" w:hint="eastAsia"/>
              </w:rPr>
              <w:t>100</w:t>
            </w:r>
            <w:r w:rsidRPr="00A571DF">
              <w:rPr>
                <w:rFonts w:eastAsia="標楷體" w:hAnsi="標楷體" w:hint="eastAsia"/>
              </w:rPr>
              <w:t>％</w:t>
            </w:r>
          </w:p>
        </w:tc>
        <w:tc>
          <w:tcPr>
            <w:tcW w:w="540" w:type="dxa"/>
          </w:tcPr>
          <w:p w:rsidR="00803DFD" w:rsidRPr="00A571DF" w:rsidRDefault="00AE1C51" w:rsidP="00B54DF5">
            <w:pPr>
              <w:spacing w:line="380" w:lineRule="exact"/>
              <w:ind w:left="5" w:right="5"/>
              <w:jc w:val="center"/>
              <w:rPr>
                <w:rFonts w:eastAsia="標楷體"/>
              </w:rPr>
            </w:pPr>
            <w:r w:rsidRPr="00A571DF">
              <w:rPr>
                <w:rFonts w:eastAsia="標楷體" w:hint="eastAsia"/>
              </w:rPr>
              <w:t>9</w:t>
            </w:r>
          </w:p>
        </w:tc>
        <w:tc>
          <w:tcPr>
            <w:tcW w:w="3780" w:type="dxa"/>
          </w:tcPr>
          <w:p w:rsidR="00803DFD" w:rsidRPr="00A571DF" w:rsidRDefault="00AE1C51" w:rsidP="00096183">
            <w:pPr>
              <w:spacing w:line="380" w:lineRule="exact"/>
              <w:ind w:right="28"/>
              <w:jc w:val="both"/>
              <w:rPr>
                <w:rFonts w:eastAsia="標楷體"/>
                <w:bCs/>
              </w:rPr>
            </w:pPr>
            <w:r w:rsidRPr="00A571DF">
              <w:rPr>
                <w:rFonts w:eastAsia="標楷體" w:hAnsi="標楷體" w:hint="eastAsia"/>
                <w:bCs/>
              </w:rPr>
              <w:t>與去年實際數比較，相同者得基準分</w:t>
            </w:r>
            <w:r w:rsidRPr="00A571DF">
              <w:rPr>
                <w:rFonts w:eastAsia="標楷體" w:hAnsi="標楷體" w:hint="eastAsia"/>
                <w:bCs/>
              </w:rPr>
              <w:t>75</w:t>
            </w:r>
            <w:r w:rsidRPr="00A571DF">
              <w:rPr>
                <w:rFonts w:eastAsia="標楷體" w:hAnsi="標楷體" w:hint="eastAsia"/>
                <w:bCs/>
              </w:rPr>
              <w:t>分，每增（減）</w:t>
            </w:r>
            <w:r w:rsidRPr="00A571DF">
              <w:rPr>
                <w:rFonts w:eastAsia="標楷體" w:hAnsi="標楷體" w:hint="eastAsia"/>
                <w:bCs/>
              </w:rPr>
              <w:t>1%</w:t>
            </w:r>
            <w:r w:rsidRPr="00A571DF">
              <w:rPr>
                <w:rFonts w:eastAsia="標楷體" w:hAnsi="標楷體" w:hint="eastAsia"/>
                <w:bCs/>
              </w:rPr>
              <w:t>，加（減）</w:t>
            </w:r>
            <w:r w:rsidRPr="00A571DF">
              <w:rPr>
                <w:rFonts w:eastAsia="標楷體" w:hAnsi="標楷體" w:hint="eastAsia"/>
                <w:bCs/>
              </w:rPr>
              <w:t>2</w:t>
            </w:r>
            <w:r w:rsidRPr="00A571DF">
              <w:rPr>
                <w:rFonts w:eastAsia="標楷體" w:hAnsi="標楷體" w:hint="eastAsia"/>
                <w:bCs/>
              </w:rPr>
              <w:t>分。</w:t>
            </w:r>
          </w:p>
        </w:tc>
      </w:tr>
      <w:tr w:rsidR="00A571DF" w:rsidRPr="00A571DF" w:rsidTr="00727AC0">
        <w:trPr>
          <w:cantSplit/>
          <w:jc w:val="center"/>
        </w:trPr>
        <w:tc>
          <w:tcPr>
            <w:tcW w:w="509" w:type="dxa"/>
            <w:vMerge/>
            <w:vAlign w:val="center"/>
          </w:tcPr>
          <w:p w:rsidR="00FB31DD" w:rsidRPr="00A571DF" w:rsidRDefault="00FB31DD">
            <w:pPr>
              <w:snapToGrid w:val="0"/>
              <w:jc w:val="center"/>
              <w:rPr>
                <w:rFonts w:eastAsia="標楷體"/>
              </w:rPr>
            </w:pPr>
          </w:p>
        </w:tc>
        <w:tc>
          <w:tcPr>
            <w:tcW w:w="1838" w:type="dxa"/>
          </w:tcPr>
          <w:p w:rsidR="00FB31DD" w:rsidRPr="00A571DF" w:rsidRDefault="00803DFD" w:rsidP="00B54DF5">
            <w:pPr>
              <w:snapToGrid w:val="0"/>
              <w:spacing w:line="380" w:lineRule="exact"/>
              <w:ind w:left="240" w:hangingChars="100" w:hanging="240"/>
              <w:jc w:val="both"/>
              <w:rPr>
                <w:rFonts w:eastAsia="標楷體"/>
              </w:rPr>
            </w:pPr>
            <w:r w:rsidRPr="00A571DF">
              <w:rPr>
                <w:rFonts w:eastAsia="標楷體" w:hint="eastAsia"/>
                <w:u w:val="single"/>
              </w:rPr>
              <w:t>3.</w:t>
            </w:r>
            <w:r w:rsidR="00FB31DD" w:rsidRPr="00A571DF">
              <w:rPr>
                <w:rFonts w:eastAsia="標楷體"/>
              </w:rPr>
              <w:t>保額內存款總額成長率</w:t>
            </w:r>
          </w:p>
        </w:tc>
        <w:tc>
          <w:tcPr>
            <w:tcW w:w="2752" w:type="dxa"/>
          </w:tcPr>
          <w:p w:rsidR="00FB31DD" w:rsidRPr="00A571DF" w:rsidRDefault="00FB31DD" w:rsidP="00B54DF5">
            <w:pPr>
              <w:keepLines/>
              <w:widowControl/>
              <w:suppressLineNumbers/>
              <w:suppressAutoHyphens/>
              <w:snapToGrid w:val="0"/>
              <w:spacing w:line="380" w:lineRule="exact"/>
              <w:jc w:val="both"/>
              <w:rPr>
                <w:rFonts w:eastAsia="標楷體"/>
              </w:rPr>
            </w:pPr>
            <w:r w:rsidRPr="00A571DF">
              <w:rPr>
                <w:rFonts w:eastAsia="標楷體"/>
              </w:rPr>
              <w:t>（本年金額－去年金額）</w:t>
            </w:r>
            <w:r w:rsidRPr="00A571DF">
              <w:rPr>
                <w:rFonts w:eastAsia="標楷體"/>
              </w:rPr>
              <w:t>/</w:t>
            </w:r>
            <w:r w:rsidRPr="00A571DF">
              <w:rPr>
                <w:rFonts w:eastAsia="標楷體"/>
              </w:rPr>
              <w:t>去年金額</w:t>
            </w:r>
            <w:r w:rsidRPr="00A571DF">
              <w:rPr>
                <w:rFonts w:eastAsia="標楷體"/>
              </w:rPr>
              <w:t>×100%</w:t>
            </w:r>
          </w:p>
        </w:tc>
        <w:tc>
          <w:tcPr>
            <w:tcW w:w="540" w:type="dxa"/>
          </w:tcPr>
          <w:p w:rsidR="00FB31DD" w:rsidRPr="00A571DF" w:rsidRDefault="00FB31DD" w:rsidP="00B54DF5">
            <w:pPr>
              <w:keepLines/>
              <w:widowControl/>
              <w:suppressLineNumbers/>
              <w:suppressAutoHyphens/>
              <w:snapToGrid w:val="0"/>
              <w:spacing w:line="380" w:lineRule="exact"/>
              <w:jc w:val="center"/>
              <w:rPr>
                <w:rFonts w:eastAsia="標楷體"/>
              </w:rPr>
            </w:pPr>
            <w:r w:rsidRPr="00A571DF">
              <w:rPr>
                <w:rFonts w:eastAsia="標楷體" w:hint="eastAsia"/>
              </w:rPr>
              <w:t>8</w:t>
            </w:r>
          </w:p>
        </w:tc>
        <w:tc>
          <w:tcPr>
            <w:tcW w:w="3780" w:type="dxa"/>
          </w:tcPr>
          <w:p w:rsidR="00FB31DD" w:rsidRPr="00A571DF" w:rsidRDefault="00FB31DD" w:rsidP="00096183">
            <w:pPr>
              <w:spacing w:line="380" w:lineRule="exact"/>
              <w:ind w:right="28"/>
              <w:jc w:val="both"/>
              <w:rPr>
                <w:rFonts w:eastAsia="標楷體"/>
                <w:bCs/>
              </w:rPr>
            </w:pPr>
            <w:r w:rsidRPr="00A571DF">
              <w:rPr>
                <w:rFonts w:eastAsia="標楷體"/>
                <w:bCs/>
              </w:rPr>
              <w:t>與去年實際數比較，相同者得基準分</w:t>
            </w:r>
            <w:r w:rsidRPr="00A571DF">
              <w:rPr>
                <w:rFonts w:eastAsia="標楷體"/>
                <w:bCs/>
              </w:rPr>
              <w:t>75</w:t>
            </w:r>
            <w:r w:rsidRPr="00A571DF">
              <w:rPr>
                <w:rFonts w:eastAsia="標楷體"/>
                <w:bCs/>
              </w:rPr>
              <w:t>分，每增（減）</w:t>
            </w:r>
            <w:r w:rsidRPr="00A571DF">
              <w:rPr>
                <w:rFonts w:eastAsia="標楷體"/>
              </w:rPr>
              <w:t>1%</w:t>
            </w:r>
            <w:r w:rsidRPr="00A571DF">
              <w:rPr>
                <w:rFonts w:eastAsia="標楷體"/>
                <w:bCs/>
              </w:rPr>
              <w:t>，加（減）</w:t>
            </w:r>
            <w:r w:rsidRPr="00A571DF">
              <w:rPr>
                <w:rFonts w:eastAsia="標楷體"/>
                <w:bCs/>
              </w:rPr>
              <w:t>2</w:t>
            </w:r>
            <w:r w:rsidRPr="00A571DF">
              <w:rPr>
                <w:rFonts w:eastAsia="標楷體"/>
                <w:bCs/>
              </w:rPr>
              <w:t>分。</w:t>
            </w:r>
          </w:p>
        </w:tc>
      </w:tr>
      <w:tr w:rsidR="00A571DF" w:rsidRPr="00A571DF" w:rsidTr="004571DB">
        <w:trPr>
          <w:trHeight w:val="439"/>
          <w:jc w:val="center"/>
        </w:trPr>
        <w:tc>
          <w:tcPr>
            <w:tcW w:w="509" w:type="dxa"/>
            <w:vMerge/>
          </w:tcPr>
          <w:p w:rsidR="00FB31DD" w:rsidRPr="00A571DF" w:rsidRDefault="00FB31DD" w:rsidP="00F25ABE">
            <w:pPr>
              <w:spacing w:line="340" w:lineRule="exact"/>
              <w:ind w:leftChars="5" w:left="12" w:rightChars="5" w:right="12"/>
              <w:jc w:val="center"/>
              <w:rPr>
                <w:rFonts w:eastAsia="標楷體"/>
                <w:sz w:val="22"/>
              </w:rPr>
            </w:pPr>
          </w:p>
        </w:tc>
        <w:tc>
          <w:tcPr>
            <w:tcW w:w="1838" w:type="dxa"/>
          </w:tcPr>
          <w:p w:rsidR="00FB31DD" w:rsidRPr="00A571DF" w:rsidRDefault="00803DFD" w:rsidP="00727AC0">
            <w:pPr>
              <w:snapToGrid w:val="0"/>
              <w:ind w:left="240" w:hangingChars="100" w:hanging="240"/>
              <w:jc w:val="both"/>
              <w:rPr>
                <w:rFonts w:eastAsia="標楷體"/>
                <w:sz w:val="22"/>
              </w:rPr>
            </w:pPr>
            <w:r w:rsidRPr="00A571DF">
              <w:rPr>
                <w:rFonts w:eastAsia="標楷體" w:hint="eastAsia"/>
                <w:bCs/>
                <w:kern w:val="0"/>
              </w:rPr>
              <w:t>4</w:t>
            </w:r>
            <w:r w:rsidR="00FB31DD" w:rsidRPr="00A571DF">
              <w:rPr>
                <w:rFonts w:eastAsia="標楷體" w:hint="eastAsia"/>
                <w:bCs/>
                <w:kern w:val="0"/>
              </w:rPr>
              <w:t>.</w:t>
            </w:r>
            <w:r w:rsidR="00FB31DD" w:rsidRPr="00A571DF">
              <w:rPr>
                <w:rFonts w:eastAsia="標楷體" w:hint="eastAsia"/>
                <w:bCs/>
                <w:kern w:val="0"/>
              </w:rPr>
              <w:t>政策任務達成力</w:t>
            </w:r>
          </w:p>
        </w:tc>
        <w:tc>
          <w:tcPr>
            <w:tcW w:w="2752" w:type="dxa"/>
          </w:tcPr>
          <w:p w:rsidR="00FB31DD" w:rsidRPr="00A571DF" w:rsidRDefault="00E966AD" w:rsidP="002A7B5D">
            <w:pPr>
              <w:snapToGrid w:val="0"/>
              <w:ind w:left="480" w:hangingChars="200" w:hanging="480"/>
              <w:jc w:val="both"/>
              <w:rPr>
                <w:rFonts w:eastAsia="標楷體"/>
                <w:kern w:val="0"/>
              </w:rPr>
            </w:pPr>
            <w:r w:rsidRPr="00A571DF">
              <w:rPr>
                <w:rFonts w:eastAsia="標楷體" w:hint="eastAsia"/>
                <w:kern w:val="0"/>
              </w:rPr>
              <w:t>4.1</w:t>
            </w:r>
            <w:r w:rsidR="00FB31DD" w:rsidRPr="00A571DF">
              <w:rPr>
                <w:rFonts w:eastAsia="標楷體" w:hint="eastAsia"/>
                <w:kern w:val="0"/>
              </w:rPr>
              <w:t>要保機構承保風險控管</w:t>
            </w:r>
          </w:p>
          <w:p w:rsidR="00FB31DD" w:rsidRPr="00A571DF" w:rsidRDefault="00FB31DD" w:rsidP="00727AC0">
            <w:pPr>
              <w:snapToGrid w:val="0"/>
              <w:jc w:val="both"/>
              <w:rPr>
                <w:rFonts w:eastAsia="標楷體"/>
                <w:b/>
                <w:kern w:val="0"/>
                <w:u w:val="single"/>
              </w:rPr>
            </w:pPr>
          </w:p>
          <w:p w:rsidR="00FB31DD" w:rsidRPr="00A571DF" w:rsidRDefault="00FB31DD" w:rsidP="00727AC0">
            <w:pPr>
              <w:snapToGrid w:val="0"/>
              <w:jc w:val="both"/>
              <w:rPr>
                <w:rFonts w:eastAsia="標楷體"/>
                <w:b/>
                <w:kern w:val="0"/>
                <w:u w:val="single"/>
              </w:rPr>
            </w:pPr>
          </w:p>
          <w:p w:rsidR="00FB31DD" w:rsidRPr="00A571DF" w:rsidRDefault="00FB31DD" w:rsidP="00727AC0">
            <w:pPr>
              <w:pStyle w:val="a7"/>
              <w:ind w:left="0" w:firstLine="0"/>
              <w:jc w:val="both"/>
              <w:rPr>
                <w:rFonts w:eastAsia="標楷體"/>
                <w:bCs/>
                <w:kern w:val="0"/>
                <w:sz w:val="24"/>
                <w:szCs w:val="24"/>
              </w:rPr>
            </w:pPr>
          </w:p>
        </w:tc>
        <w:tc>
          <w:tcPr>
            <w:tcW w:w="540" w:type="dxa"/>
          </w:tcPr>
          <w:p w:rsidR="00FB31DD" w:rsidRPr="00A571DF" w:rsidRDefault="00FB31DD" w:rsidP="00727AC0">
            <w:pPr>
              <w:spacing w:line="340" w:lineRule="exact"/>
              <w:ind w:leftChars="5" w:left="12" w:rightChars="5" w:right="12"/>
              <w:jc w:val="center"/>
              <w:rPr>
                <w:rFonts w:eastAsia="標楷體"/>
              </w:rPr>
            </w:pPr>
            <w:r w:rsidRPr="00A571DF">
              <w:rPr>
                <w:rFonts w:eastAsia="標楷體" w:hint="eastAsia"/>
              </w:rPr>
              <w:t>2</w:t>
            </w:r>
            <w:r w:rsidR="00E966AD" w:rsidRPr="00A571DF">
              <w:rPr>
                <w:rFonts w:eastAsia="標楷體" w:hint="eastAsia"/>
              </w:rPr>
              <w:t>5</w:t>
            </w:r>
          </w:p>
        </w:tc>
        <w:tc>
          <w:tcPr>
            <w:tcW w:w="3780" w:type="dxa"/>
          </w:tcPr>
          <w:p w:rsidR="00FB31DD" w:rsidRPr="00A571DF" w:rsidRDefault="00FB31DD" w:rsidP="00727AC0">
            <w:pPr>
              <w:snapToGrid w:val="0"/>
              <w:jc w:val="both"/>
              <w:rPr>
                <w:rFonts w:eastAsia="標楷體"/>
                <w:bCs/>
              </w:rPr>
            </w:pPr>
            <w:r w:rsidRPr="00A571DF">
              <w:rPr>
                <w:rFonts w:eastAsia="標楷體"/>
                <w:bCs/>
              </w:rPr>
              <w:t>1.</w:t>
            </w:r>
            <w:r w:rsidRPr="00A571DF">
              <w:rPr>
                <w:rFonts w:eastAsia="標楷體" w:hint="eastAsia"/>
                <w:bCs/>
              </w:rPr>
              <w:t>基準分計算方式</w:t>
            </w:r>
          </w:p>
          <w:p w:rsidR="00FB31DD" w:rsidRPr="00A571DF" w:rsidRDefault="00FB31DD" w:rsidP="00727AC0">
            <w:pPr>
              <w:snapToGrid w:val="0"/>
              <w:ind w:leftChars="117" w:left="281"/>
              <w:jc w:val="both"/>
              <w:rPr>
                <w:rFonts w:eastAsia="標楷體"/>
                <w:bCs/>
              </w:rPr>
            </w:pPr>
            <w:r w:rsidRPr="00A571DF">
              <w:rPr>
                <w:rFonts w:eastAsia="標楷體" w:hint="eastAsia"/>
                <w:bCs/>
              </w:rPr>
              <w:t>以全體要保機構平均資本適足率（</w:t>
            </w:r>
            <w:r w:rsidRPr="00A571DF">
              <w:rPr>
                <w:rFonts w:eastAsia="標楷體"/>
                <w:bCs/>
              </w:rPr>
              <w:t>BIS</w:t>
            </w:r>
            <w:r w:rsidRPr="00A571DF">
              <w:rPr>
                <w:rFonts w:eastAsia="標楷體" w:hint="eastAsia"/>
                <w:bCs/>
              </w:rPr>
              <w:t>）及平均逾放比率計算基準分數，如下表：</w:t>
            </w:r>
          </w:p>
          <w:tbl>
            <w:tblPr>
              <w:tblW w:w="360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20"/>
              <w:gridCol w:w="600"/>
              <w:gridCol w:w="720"/>
            </w:tblGrid>
            <w:tr w:rsidR="00A571DF" w:rsidRPr="00A571DF" w:rsidTr="00233416">
              <w:trPr>
                <w:trHeight w:val="878"/>
              </w:trPr>
              <w:tc>
                <w:tcPr>
                  <w:tcW w:w="1560" w:type="dxa"/>
                  <w:tcBorders>
                    <w:tl2br w:val="single" w:sz="4" w:space="0" w:color="auto"/>
                  </w:tcBorders>
                </w:tcPr>
                <w:p w:rsidR="006C1E03" w:rsidRPr="00A571DF" w:rsidRDefault="006C1E03" w:rsidP="006C1E03">
                  <w:pPr>
                    <w:pStyle w:val="1"/>
                    <w:keepNext w:val="0"/>
                    <w:ind w:leftChars="220" w:left="528" w:rightChars="-21" w:right="-50" w:firstLineChars="19" w:firstLine="46"/>
                    <w:rPr>
                      <w:rFonts w:ascii="Times New Roman"/>
                      <w:sz w:val="24"/>
                      <w:u w:val="single"/>
                    </w:rPr>
                  </w:pPr>
                  <w:r w:rsidRPr="00A571DF">
                    <w:rPr>
                      <w:rFonts w:ascii="Times New Roman" w:hint="eastAsia"/>
                      <w:sz w:val="24"/>
                      <w:u w:val="single"/>
                    </w:rPr>
                    <w:t>資本適足率</w:t>
                  </w:r>
                </w:p>
                <w:p w:rsidR="006C1E03" w:rsidRPr="00A571DF" w:rsidRDefault="006C1E03" w:rsidP="006C1E03">
                  <w:pPr>
                    <w:snapToGrid w:val="0"/>
                    <w:spacing w:beforeLines="50" w:before="180"/>
                    <w:ind w:leftChars="-58" w:left="1" w:hangingChars="70" w:hanging="140"/>
                    <w:jc w:val="both"/>
                    <w:rPr>
                      <w:rFonts w:eastAsia="標楷體"/>
                      <w:bCs/>
                      <w:spacing w:val="-20"/>
                      <w:szCs w:val="24"/>
                    </w:rPr>
                  </w:pPr>
                  <w:r w:rsidRPr="00A571DF">
                    <w:rPr>
                      <w:rFonts w:eastAsia="標楷體" w:hint="eastAsia"/>
                      <w:bCs/>
                      <w:spacing w:val="-20"/>
                      <w:szCs w:val="24"/>
                    </w:rPr>
                    <w:t>逾放比率</w:t>
                  </w:r>
                </w:p>
              </w:tc>
              <w:tc>
                <w:tcPr>
                  <w:tcW w:w="720" w:type="dxa"/>
                  <w:vAlign w:val="center"/>
                </w:tcPr>
                <w:p w:rsidR="006C1E03" w:rsidRPr="00A571DF" w:rsidRDefault="006C1E03" w:rsidP="006C1E03">
                  <w:pPr>
                    <w:snapToGrid w:val="0"/>
                    <w:ind w:left="120" w:hangingChars="50" w:hanging="120"/>
                    <w:jc w:val="both"/>
                    <w:rPr>
                      <w:rFonts w:eastAsia="標楷體"/>
                      <w:bCs/>
                    </w:rPr>
                  </w:pPr>
                  <w:r w:rsidRPr="00A571DF">
                    <w:rPr>
                      <w:rFonts w:eastAsia="標楷體" w:hint="eastAsia"/>
                      <w:bCs/>
                    </w:rPr>
                    <w:t>低於</w:t>
                  </w:r>
                  <w:r w:rsidRPr="00A571DF">
                    <w:rPr>
                      <w:rFonts w:eastAsia="標楷體" w:hint="eastAsia"/>
                      <w:bCs/>
                      <w:u w:val="single"/>
                    </w:rPr>
                    <w:t>12</w:t>
                  </w:r>
                  <w:r w:rsidRPr="00A571DF">
                    <w:rPr>
                      <w:rFonts w:eastAsia="標楷體" w:hint="eastAsia"/>
                      <w:bCs/>
                    </w:rPr>
                    <w:t>%</w:t>
                  </w:r>
                </w:p>
              </w:tc>
              <w:tc>
                <w:tcPr>
                  <w:tcW w:w="600" w:type="dxa"/>
                  <w:vAlign w:val="center"/>
                </w:tcPr>
                <w:p w:rsidR="006C1E03" w:rsidRPr="00A571DF" w:rsidRDefault="006C1E03" w:rsidP="006C1E03">
                  <w:pPr>
                    <w:snapToGrid w:val="0"/>
                    <w:jc w:val="center"/>
                    <w:rPr>
                      <w:rFonts w:eastAsia="標楷體"/>
                      <w:bCs/>
                    </w:rPr>
                  </w:pPr>
                  <w:r w:rsidRPr="00A571DF">
                    <w:rPr>
                      <w:rFonts w:eastAsia="標楷體" w:hint="eastAsia"/>
                      <w:bCs/>
                      <w:u w:val="single"/>
                    </w:rPr>
                    <w:t>12</w:t>
                  </w:r>
                  <w:r w:rsidRPr="00A571DF">
                    <w:rPr>
                      <w:rFonts w:eastAsia="標楷體" w:hint="eastAsia"/>
                      <w:bCs/>
                    </w:rPr>
                    <w:t>%</w:t>
                  </w:r>
                </w:p>
              </w:tc>
              <w:tc>
                <w:tcPr>
                  <w:tcW w:w="720" w:type="dxa"/>
                  <w:vAlign w:val="center"/>
                </w:tcPr>
                <w:p w:rsidR="006C1E03" w:rsidRPr="00A571DF" w:rsidRDefault="006C1E03" w:rsidP="006C1E03">
                  <w:pPr>
                    <w:snapToGrid w:val="0"/>
                    <w:ind w:left="120" w:hangingChars="50" w:hanging="120"/>
                    <w:jc w:val="both"/>
                    <w:rPr>
                      <w:rFonts w:eastAsia="標楷體"/>
                      <w:bCs/>
                    </w:rPr>
                  </w:pPr>
                  <w:r w:rsidRPr="00A571DF">
                    <w:rPr>
                      <w:rFonts w:eastAsia="標楷體" w:hint="eastAsia"/>
                      <w:bCs/>
                    </w:rPr>
                    <w:t>高於</w:t>
                  </w:r>
                  <w:r w:rsidRPr="00A571DF">
                    <w:rPr>
                      <w:rFonts w:eastAsia="標楷體" w:hint="eastAsia"/>
                      <w:bCs/>
                      <w:u w:val="single"/>
                    </w:rPr>
                    <w:t>12</w:t>
                  </w:r>
                  <w:r w:rsidRPr="00A571DF">
                    <w:rPr>
                      <w:rFonts w:eastAsia="標楷體" w:hint="eastAsia"/>
                      <w:bCs/>
                    </w:rPr>
                    <w:t>%</w:t>
                  </w:r>
                </w:p>
              </w:tc>
            </w:tr>
            <w:tr w:rsidR="00A571DF" w:rsidRPr="00A571DF" w:rsidTr="00233416">
              <w:tc>
                <w:tcPr>
                  <w:tcW w:w="1560" w:type="dxa"/>
                </w:tcPr>
                <w:p w:rsidR="006C1E03" w:rsidRPr="00A571DF" w:rsidRDefault="006C1E03" w:rsidP="006C1E03">
                  <w:pPr>
                    <w:snapToGrid w:val="0"/>
                    <w:jc w:val="both"/>
                    <w:rPr>
                      <w:rFonts w:eastAsia="標楷體"/>
                      <w:bCs/>
                      <w:spacing w:val="-20"/>
                      <w:szCs w:val="24"/>
                    </w:rPr>
                  </w:pPr>
                  <w:r w:rsidRPr="00A571DF">
                    <w:rPr>
                      <w:rFonts w:eastAsia="標楷體" w:hint="eastAsia"/>
                      <w:bCs/>
                      <w:spacing w:val="-20"/>
                      <w:szCs w:val="24"/>
                    </w:rPr>
                    <w:t>高於去年平均</w:t>
                  </w:r>
                </w:p>
              </w:tc>
              <w:tc>
                <w:tcPr>
                  <w:tcW w:w="720" w:type="dxa"/>
                  <w:vAlign w:val="center"/>
                </w:tcPr>
                <w:p w:rsidR="006C1E03" w:rsidRPr="00A571DF" w:rsidRDefault="006C1E03" w:rsidP="006C1E03">
                  <w:pPr>
                    <w:snapToGrid w:val="0"/>
                    <w:ind w:firstLineChars="50" w:firstLine="120"/>
                    <w:jc w:val="both"/>
                    <w:rPr>
                      <w:rFonts w:eastAsia="標楷體"/>
                      <w:bCs/>
                    </w:rPr>
                  </w:pPr>
                  <w:r w:rsidRPr="00A571DF">
                    <w:rPr>
                      <w:rFonts w:eastAsia="標楷體" w:hint="eastAsia"/>
                      <w:bCs/>
                    </w:rPr>
                    <w:t>65</w:t>
                  </w:r>
                </w:p>
              </w:tc>
              <w:tc>
                <w:tcPr>
                  <w:tcW w:w="600" w:type="dxa"/>
                  <w:vAlign w:val="center"/>
                </w:tcPr>
                <w:p w:rsidR="006C1E03" w:rsidRPr="00A571DF" w:rsidRDefault="006C1E03" w:rsidP="006C1E03">
                  <w:pPr>
                    <w:snapToGrid w:val="0"/>
                    <w:jc w:val="both"/>
                    <w:rPr>
                      <w:rFonts w:eastAsia="標楷體"/>
                      <w:bCs/>
                    </w:rPr>
                  </w:pPr>
                  <w:r w:rsidRPr="00A571DF">
                    <w:rPr>
                      <w:rFonts w:eastAsia="標楷體" w:hint="eastAsia"/>
                      <w:bCs/>
                    </w:rPr>
                    <w:t>70</w:t>
                  </w:r>
                </w:p>
              </w:tc>
              <w:tc>
                <w:tcPr>
                  <w:tcW w:w="720" w:type="dxa"/>
                  <w:vAlign w:val="center"/>
                </w:tcPr>
                <w:p w:rsidR="006C1E03" w:rsidRPr="00A571DF" w:rsidRDefault="006C1E03" w:rsidP="006C1E03">
                  <w:pPr>
                    <w:snapToGrid w:val="0"/>
                    <w:ind w:firstLineChars="50" w:firstLine="120"/>
                    <w:jc w:val="both"/>
                    <w:rPr>
                      <w:rFonts w:eastAsia="標楷體"/>
                      <w:bCs/>
                    </w:rPr>
                  </w:pPr>
                  <w:r w:rsidRPr="00A571DF">
                    <w:rPr>
                      <w:rFonts w:eastAsia="標楷體" w:hint="eastAsia"/>
                      <w:bCs/>
                    </w:rPr>
                    <w:t>75</w:t>
                  </w:r>
                </w:p>
              </w:tc>
            </w:tr>
            <w:tr w:rsidR="00A571DF" w:rsidRPr="00A571DF" w:rsidTr="00233416">
              <w:tc>
                <w:tcPr>
                  <w:tcW w:w="1560" w:type="dxa"/>
                </w:tcPr>
                <w:p w:rsidR="006C1E03" w:rsidRPr="00A571DF" w:rsidRDefault="006C1E03" w:rsidP="006C1E03">
                  <w:pPr>
                    <w:snapToGrid w:val="0"/>
                    <w:jc w:val="both"/>
                    <w:rPr>
                      <w:rFonts w:eastAsia="標楷體"/>
                      <w:bCs/>
                      <w:spacing w:val="-20"/>
                      <w:szCs w:val="24"/>
                    </w:rPr>
                  </w:pPr>
                  <w:r w:rsidRPr="00A571DF">
                    <w:rPr>
                      <w:rFonts w:eastAsia="標楷體" w:hint="eastAsia"/>
                      <w:bCs/>
                      <w:spacing w:val="-20"/>
                      <w:szCs w:val="24"/>
                    </w:rPr>
                    <w:t>等於去年平均</w:t>
                  </w:r>
                </w:p>
              </w:tc>
              <w:tc>
                <w:tcPr>
                  <w:tcW w:w="720" w:type="dxa"/>
                  <w:vAlign w:val="center"/>
                </w:tcPr>
                <w:p w:rsidR="006C1E03" w:rsidRPr="00A571DF" w:rsidRDefault="006C1E03" w:rsidP="006C1E03">
                  <w:pPr>
                    <w:snapToGrid w:val="0"/>
                    <w:ind w:firstLineChars="50" w:firstLine="120"/>
                    <w:jc w:val="both"/>
                    <w:rPr>
                      <w:rFonts w:eastAsia="標楷體"/>
                      <w:bCs/>
                    </w:rPr>
                  </w:pPr>
                  <w:r w:rsidRPr="00A571DF">
                    <w:rPr>
                      <w:rFonts w:eastAsia="標楷體" w:hint="eastAsia"/>
                      <w:bCs/>
                    </w:rPr>
                    <w:t>70</w:t>
                  </w:r>
                </w:p>
              </w:tc>
              <w:tc>
                <w:tcPr>
                  <w:tcW w:w="600" w:type="dxa"/>
                  <w:vAlign w:val="center"/>
                </w:tcPr>
                <w:p w:rsidR="006C1E03" w:rsidRPr="00A571DF" w:rsidRDefault="006C1E03" w:rsidP="006C1E03">
                  <w:pPr>
                    <w:snapToGrid w:val="0"/>
                    <w:jc w:val="both"/>
                    <w:rPr>
                      <w:rFonts w:eastAsia="標楷體"/>
                      <w:bCs/>
                    </w:rPr>
                  </w:pPr>
                  <w:r w:rsidRPr="00A571DF">
                    <w:rPr>
                      <w:rFonts w:eastAsia="標楷體" w:hint="eastAsia"/>
                      <w:bCs/>
                    </w:rPr>
                    <w:t>75</w:t>
                  </w:r>
                </w:p>
              </w:tc>
              <w:tc>
                <w:tcPr>
                  <w:tcW w:w="720" w:type="dxa"/>
                  <w:vAlign w:val="center"/>
                </w:tcPr>
                <w:p w:rsidR="006C1E03" w:rsidRPr="00A571DF" w:rsidRDefault="006C1E03" w:rsidP="006C1E03">
                  <w:pPr>
                    <w:snapToGrid w:val="0"/>
                    <w:ind w:firstLineChars="50" w:firstLine="120"/>
                    <w:jc w:val="both"/>
                    <w:rPr>
                      <w:rFonts w:eastAsia="標楷體"/>
                      <w:bCs/>
                    </w:rPr>
                  </w:pPr>
                  <w:r w:rsidRPr="00A571DF">
                    <w:rPr>
                      <w:rFonts w:eastAsia="標楷體" w:hint="eastAsia"/>
                      <w:bCs/>
                    </w:rPr>
                    <w:t>80</w:t>
                  </w:r>
                </w:p>
              </w:tc>
            </w:tr>
            <w:tr w:rsidR="00A571DF" w:rsidRPr="00A571DF" w:rsidTr="00233416">
              <w:tc>
                <w:tcPr>
                  <w:tcW w:w="1560" w:type="dxa"/>
                </w:tcPr>
                <w:p w:rsidR="006C1E03" w:rsidRPr="00A571DF" w:rsidRDefault="006C1E03" w:rsidP="006C1E03">
                  <w:pPr>
                    <w:snapToGrid w:val="0"/>
                    <w:jc w:val="both"/>
                    <w:rPr>
                      <w:rFonts w:eastAsia="標楷體"/>
                      <w:bCs/>
                      <w:spacing w:val="-20"/>
                      <w:szCs w:val="24"/>
                    </w:rPr>
                  </w:pPr>
                  <w:r w:rsidRPr="00A571DF">
                    <w:rPr>
                      <w:rFonts w:eastAsia="標楷體" w:hint="eastAsia"/>
                      <w:bCs/>
                      <w:spacing w:val="-20"/>
                      <w:szCs w:val="24"/>
                    </w:rPr>
                    <w:t>低於去年平均</w:t>
                  </w:r>
                </w:p>
              </w:tc>
              <w:tc>
                <w:tcPr>
                  <w:tcW w:w="720" w:type="dxa"/>
                  <w:vAlign w:val="center"/>
                </w:tcPr>
                <w:p w:rsidR="006C1E03" w:rsidRPr="00A571DF" w:rsidRDefault="006C1E03" w:rsidP="006C1E03">
                  <w:pPr>
                    <w:snapToGrid w:val="0"/>
                    <w:ind w:firstLineChars="50" w:firstLine="120"/>
                    <w:jc w:val="both"/>
                    <w:rPr>
                      <w:rFonts w:eastAsia="標楷體"/>
                      <w:bCs/>
                    </w:rPr>
                  </w:pPr>
                  <w:r w:rsidRPr="00A571DF">
                    <w:rPr>
                      <w:rFonts w:eastAsia="標楷體" w:hint="eastAsia"/>
                      <w:bCs/>
                    </w:rPr>
                    <w:t>75</w:t>
                  </w:r>
                </w:p>
              </w:tc>
              <w:tc>
                <w:tcPr>
                  <w:tcW w:w="600" w:type="dxa"/>
                  <w:vAlign w:val="center"/>
                </w:tcPr>
                <w:p w:rsidR="006C1E03" w:rsidRPr="00A571DF" w:rsidRDefault="006C1E03" w:rsidP="006C1E03">
                  <w:pPr>
                    <w:snapToGrid w:val="0"/>
                    <w:jc w:val="both"/>
                    <w:rPr>
                      <w:rFonts w:eastAsia="標楷體"/>
                      <w:bCs/>
                    </w:rPr>
                  </w:pPr>
                  <w:r w:rsidRPr="00A571DF">
                    <w:rPr>
                      <w:rFonts w:eastAsia="標楷體" w:hint="eastAsia"/>
                      <w:bCs/>
                    </w:rPr>
                    <w:t>80</w:t>
                  </w:r>
                </w:p>
              </w:tc>
              <w:tc>
                <w:tcPr>
                  <w:tcW w:w="720" w:type="dxa"/>
                  <w:vAlign w:val="center"/>
                </w:tcPr>
                <w:p w:rsidR="006C1E03" w:rsidRPr="00A571DF" w:rsidRDefault="006C1E03" w:rsidP="006C1E03">
                  <w:pPr>
                    <w:snapToGrid w:val="0"/>
                    <w:ind w:firstLineChars="50" w:firstLine="120"/>
                    <w:jc w:val="both"/>
                    <w:rPr>
                      <w:rFonts w:eastAsia="標楷體"/>
                      <w:bCs/>
                    </w:rPr>
                  </w:pPr>
                  <w:r w:rsidRPr="00A571DF">
                    <w:rPr>
                      <w:rFonts w:eastAsia="標楷體" w:hint="eastAsia"/>
                      <w:bCs/>
                    </w:rPr>
                    <w:t>85</w:t>
                  </w:r>
                </w:p>
              </w:tc>
            </w:tr>
          </w:tbl>
          <w:p w:rsidR="006C1E03" w:rsidRPr="00A571DF" w:rsidRDefault="006C1E03" w:rsidP="0010691D">
            <w:pPr>
              <w:snapToGrid w:val="0"/>
              <w:spacing w:after="120"/>
              <w:ind w:left="626" w:hangingChars="261" w:hanging="626"/>
              <w:jc w:val="both"/>
              <w:rPr>
                <w:rFonts w:eastAsia="標楷體"/>
                <w:bCs/>
              </w:rPr>
            </w:pPr>
            <w:proofErr w:type="gramStart"/>
            <w:r w:rsidRPr="00A571DF">
              <w:rPr>
                <w:rFonts w:eastAsia="標楷體" w:hint="eastAsia"/>
                <w:bCs/>
              </w:rPr>
              <w:t>註</w:t>
            </w:r>
            <w:proofErr w:type="gramEnd"/>
            <w:r w:rsidRPr="00A571DF">
              <w:rPr>
                <w:rFonts w:eastAsia="標楷體" w:hint="eastAsia"/>
                <w:bCs/>
              </w:rPr>
              <w:t>1</w:t>
            </w:r>
            <w:r w:rsidRPr="00A571DF">
              <w:rPr>
                <w:rFonts w:eastAsia="標楷體" w:hint="eastAsia"/>
                <w:bCs/>
              </w:rPr>
              <w:t>：</w:t>
            </w:r>
            <w:r w:rsidRPr="00A571DF">
              <w:rPr>
                <w:rFonts w:eastAsia="標楷體" w:hint="eastAsia"/>
                <w:bCs/>
                <w:u w:val="single"/>
              </w:rPr>
              <w:t>全體要保機構平均資本適足率基於</w:t>
            </w:r>
            <w:r w:rsidRPr="00A571DF">
              <w:rPr>
                <w:rFonts w:eastAsia="標楷體" w:hint="eastAsia"/>
                <w:bCs/>
              </w:rPr>
              <w:t>時效考量，一般要保機構以</w:t>
            </w:r>
            <w:r w:rsidRPr="00A571DF">
              <w:rPr>
                <w:rFonts w:eastAsia="標楷體"/>
                <w:bCs/>
              </w:rPr>
              <w:t>6</w:t>
            </w:r>
            <w:r w:rsidRPr="00A571DF">
              <w:rPr>
                <w:rFonts w:eastAsia="標楷體" w:hint="eastAsia"/>
                <w:bCs/>
              </w:rPr>
              <w:t>月份申報之</w:t>
            </w:r>
            <w:r w:rsidRPr="00A571DF">
              <w:rPr>
                <w:rFonts w:eastAsia="標楷體" w:hint="eastAsia"/>
                <w:bCs/>
                <w:u w:val="single"/>
              </w:rPr>
              <w:t>資本適足率</w:t>
            </w:r>
            <w:r w:rsidRPr="00A571DF">
              <w:rPr>
                <w:rFonts w:eastAsia="標楷體" w:hint="eastAsia"/>
                <w:bCs/>
              </w:rPr>
              <w:t>，農漁會</w:t>
            </w:r>
            <w:proofErr w:type="gramStart"/>
            <w:r w:rsidRPr="00A571DF">
              <w:rPr>
                <w:rFonts w:eastAsia="標楷體" w:hint="eastAsia"/>
                <w:bCs/>
              </w:rPr>
              <w:t>信用部因不必</w:t>
            </w:r>
            <w:proofErr w:type="gramEnd"/>
            <w:r w:rsidRPr="00A571DF">
              <w:rPr>
                <w:rFonts w:eastAsia="標楷體" w:hint="eastAsia"/>
                <w:bCs/>
              </w:rPr>
              <w:t>申報半年度之</w:t>
            </w:r>
            <w:r w:rsidRPr="00A571DF">
              <w:rPr>
                <w:rFonts w:eastAsia="標楷體" w:hint="eastAsia"/>
                <w:bCs/>
                <w:u w:val="single"/>
              </w:rPr>
              <w:t>資本適</w:t>
            </w:r>
            <w:proofErr w:type="gramStart"/>
            <w:r w:rsidRPr="00A571DF">
              <w:rPr>
                <w:rFonts w:eastAsia="標楷體" w:hint="eastAsia"/>
                <w:bCs/>
                <w:u w:val="single"/>
              </w:rPr>
              <w:t>足率</w:t>
            </w:r>
            <w:r w:rsidRPr="00A571DF">
              <w:rPr>
                <w:rFonts w:eastAsia="標楷體" w:hint="eastAsia"/>
                <w:bCs/>
              </w:rPr>
              <w:t>故不計</w:t>
            </w:r>
            <w:proofErr w:type="gramEnd"/>
            <w:r w:rsidRPr="00A571DF">
              <w:rPr>
                <w:rFonts w:eastAsia="標楷體" w:hint="eastAsia"/>
                <w:bCs/>
              </w:rPr>
              <w:t>入。</w:t>
            </w:r>
          </w:p>
          <w:p w:rsidR="00FB31DD" w:rsidRPr="00A571DF" w:rsidRDefault="00FB31DD" w:rsidP="0010691D">
            <w:pPr>
              <w:snapToGrid w:val="0"/>
              <w:spacing w:after="120"/>
              <w:ind w:left="626" w:hangingChars="261" w:hanging="626"/>
              <w:jc w:val="both"/>
              <w:rPr>
                <w:rFonts w:eastAsia="標楷體"/>
                <w:bCs/>
              </w:rPr>
            </w:pPr>
            <w:r w:rsidRPr="00A571DF">
              <w:rPr>
                <w:rFonts w:eastAsia="標楷體" w:hint="eastAsia"/>
                <w:bCs/>
              </w:rPr>
              <w:t>註</w:t>
            </w:r>
            <w:r w:rsidRPr="00A571DF">
              <w:rPr>
                <w:rFonts w:eastAsia="標楷體" w:hint="eastAsia"/>
                <w:bCs/>
              </w:rPr>
              <w:t>2</w:t>
            </w:r>
            <w:r w:rsidRPr="00A571DF">
              <w:rPr>
                <w:rFonts w:eastAsia="標楷體" w:hint="eastAsia"/>
                <w:bCs/>
              </w:rPr>
              <w:t>：逾放比率如未低於去年平均，但該比率未超過</w:t>
            </w:r>
            <w:r w:rsidRPr="00A571DF">
              <w:rPr>
                <w:rFonts w:eastAsia="標楷體" w:hint="eastAsia"/>
                <w:bCs/>
              </w:rPr>
              <w:t>1.00%</w:t>
            </w:r>
            <w:r w:rsidRPr="00A571DF">
              <w:rPr>
                <w:rFonts w:eastAsia="標楷體" w:hint="eastAsia"/>
                <w:bCs/>
              </w:rPr>
              <w:t>，則基準分數適用「等於去年平均」欄之基準分數。</w:t>
            </w:r>
          </w:p>
          <w:p w:rsidR="00FB31DD" w:rsidRPr="00A571DF" w:rsidRDefault="00FB31DD" w:rsidP="0010691D">
            <w:pPr>
              <w:snapToGrid w:val="0"/>
              <w:spacing w:after="120"/>
              <w:ind w:left="266" w:hangingChars="111" w:hanging="266"/>
              <w:jc w:val="both"/>
              <w:rPr>
                <w:rFonts w:eastAsia="標楷體"/>
              </w:rPr>
            </w:pPr>
            <w:r w:rsidRPr="00A571DF">
              <w:rPr>
                <w:rFonts w:eastAsia="標楷體"/>
              </w:rPr>
              <w:t>2.</w:t>
            </w:r>
            <w:r w:rsidRPr="00A571DF">
              <w:rPr>
                <w:rFonts w:eastAsia="標楷體" w:hint="eastAsia"/>
              </w:rPr>
              <w:t>年度中辦理下列項目，列入加分，總加分上限</w:t>
            </w:r>
            <w:r w:rsidRPr="00A571DF">
              <w:rPr>
                <w:rFonts w:eastAsia="標楷體" w:hint="eastAsia"/>
              </w:rPr>
              <w:t>1</w:t>
            </w:r>
            <w:r w:rsidR="00E966AD" w:rsidRPr="00A571DF">
              <w:rPr>
                <w:rFonts w:eastAsia="標楷體" w:hint="eastAsia"/>
              </w:rPr>
              <w:t>0</w:t>
            </w:r>
            <w:r w:rsidRPr="00A571DF">
              <w:rPr>
                <w:rFonts w:eastAsia="標楷體" w:hint="eastAsia"/>
              </w:rPr>
              <w:t>分：</w:t>
            </w:r>
          </w:p>
          <w:p w:rsidR="00FB31DD" w:rsidRPr="00A571DF" w:rsidRDefault="00FB31DD" w:rsidP="00727AC0">
            <w:pPr>
              <w:snapToGrid w:val="0"/>
              <w:spacing w:after="120"/>
              <w:ind w:left="624" w:right="5" w:hangingChars="260" w:hanging="624"/>
              <w:jc w:val="both"/>
              <w:rPr>
                <w:rFonts w:eastAsia="標楷體"/>
              </w:rPr>
            </w:pPr>
            <w:r w:rsidRPr="00A571DF">
              <w:rPr>
                <w:rFonts w:eastAsia="標楷體" w:hint="eastAsia"/>
              </w:rPr>
              <w:t>（</w:t>
            </w:r>
            <w:r w:rsidRPr="00A571DF">
              <w:rPr>
                <w:rFonts w:eastAsia="標楷體" w:hint="eastAsia"/>
              </w:rPr>
              <w:t>1</w:t>
            </w:r>
            <w:r w:rsidRPr="00A571DF">
              <w:rPr>
                <w:rFonts w:eastAsia="標楷體" w:hint="eastAsia"/>
              </w:rPr>
              <w:t>）將要保機構重大經營缺失函報相關主管機關處理</w:t>
            </w:r>
            <w:r w:rsidRPr="00A571DF">
              <w:rPr>
                <w:rFonts w:eastAsia="標楷體"/>
                <w:kern w:val="0"/>
                <w:szCs w:val="32"/>
                <w:lang w:val="zh-TW"/>
              </w:rPr>
              <w:t>並促使確實改善者，每件加</w:t>
            </w:r>
            <w:r w:rsidR="00E966AD" w:rsidRPr="00A571DF">
              <w:rPr>
                <w:rFonts w:eastAsia="標楷體" w:hint="eastAsia"/>
                <w:kern w:val="0"/>
                <w:szCs w:val="32"/>
                <w:u w:val="single"/>
                <w:lang w:val="zh-TW"/>
              </w:rPr>
              <w:t>0.5</w:t>
            </w:r>
            <w:r w:rsidRPr="00A571DF">
              <w:rPr>
                <w:rFonts w:eastAsia="標楷體"/>
                <w:kern w:val="0"/>
                <w:szCs w:val="32"/>
                <w:lang w:val="zh-TW"/>
              </w:rPr>
              <w:t>分</w:t>
            </w:r>
            <w:r w:rsidRPr="00A571DF">
              <w:rPr>
                <w:rFonts w:eastAsia="標楷體" w:hint="eastAsia"/>
              </w:rPr>
              <w:t>。</w:t>
            </w:r>
          </w:p>
          <w:p w:rsidR="00FB31DD" w:rsidRPr="00A571DF" w:rsidRDefault="00FB31DD" w:rsidP="00727AC0">
            <w:pPr>
              <w:snapToGrid w:val="0"/>
              <w:spacing w:after="120"/>
              <w:ind w:left="624" w:right="5" w:hangingChars="260" w:hanging="624"/>
              <w:jc w:val="both"/>
              <w:rPr>
                <w:rFonts w:eastAsia="標楷體"/>
              </w:rPr>
            </w:pPr>
            <w:r w:rsidRPr="00A571DF">
              <w:rPr>
                <w:rFonts w:eastAsia="標楷體" w:hint="eastAsia"/>
              </w:rPr>
              <w:t>（</w:t>
            </w:r>
            <w:r w:rsidRPr="00A571DF">
              <w:rPr>
                <w:rFonts w:eastAsia="標楷體" w:hint="eastAsia"/>
              </w:rPr>
              <w:t>2</w:t>
            </w:r>
            <w:r w:rsidRPr="00A571DF">
              <w:rPr>
                <w:rFonts w:eastAsia="標楷體" w:hint="eastAsia"/>
              </w:rPr>
              <w:t>）奉主管機關函示派員輔導或監管要保機構，每件加</w:t>
            </w:r>
            <w:r w:rsidRPr="00A571DF">
              <w:rPr>
                <w:rFonts w:eastAsia="標楷體" w:hint="eastAsia"/>
              </w:rPr>
              <w:t>1</w:t>
            </w:r>
            <w:r w:rsidRPr="00A571DF">
              <w:rPr>
                <w:rFonts w:eastAsia="標楷體" w:hint="eastAsia"/>
              </w:rPr>
              <w:t>分，無正當理由未依示輔導者，每件</w:t>
            </w:r>
            <w:r w:rsidRPr="00A571DF">
              <w:rPr>
                <w:rFonts w:eastAsia="標楷體" w:hint="eastAsia"/>
              </w:rPr>
              <w:lastRenderedPageBreak/>
              <w:t>減</w:t>
            </w:r>
            <w:r w:rsidRPr="00A571DF">
              <w:rPr>
                <w:rFonts w:eastAsia="標楷體" w:hint="eastAsia"/>
              </w:rPr>
              <w:t>1</w:t>
            </w:r>
            <w:r w:rsidRPr="00A571DF">
              <w:rPr>
                <w:rFonts w:eastAsia="標楷體" w:hint="eastAsia"/>
              </w:rPr>
              <w:t>分。</w:t>
            </w:r>
          </w:p>
          <w:p w:rsidR="00FB31DD" w:rsidRPr="00A571DF" w:rsidRDefault="00FB31DD" w:rsidP="00756A54">
            <w:pPr>
              <w:snapToGrid w:val="0"/>
              <w:spacing w:after="120"/>
              <w:ind w:left="624" w:right="5" w:hangingChars="260" w:hanging="624"/>
              <w:jc w:val="both"/>
              <w:rPr>
                <w:rFonts w:eastAsia="標楷體"/>
              </w:rPr>
            </w:pPr>
            <w:r w:rsidRPr="00A571DF">
              <w:rPr>
                <w:rFonts w:eastAsia="標楷體" w:hint="eastAsia"/>
              </w:rPr>
              <w:t>（</w:t>
            </w:r>
            <w:r w:rsidRPr="00A571DF">
              <w:rPr>
                <w:rFonts w:eastAsia="標楷體" w:hint="eastAsia"/>
              </w:rPr>
              <w:t>3</w:t>
            </w:r>
            <w:r w:rsidRPr="00A571DF">
              <w:rPr>
                <w:rFonts w:eastAsia="標楷體" w:hint="eastAsia"/>
              </w:rPr>
              <w:t>）協助處理金融擠兌事件，每件加</w:t>
            </w:r>
            <w:r w:rsidRPr="00A571DF">
              <w:rPr>
                <w:rFonts w:eastAsia="標楷體" w:hint="eastAsia"/>
              </w:rPr>
              <w:t>5</w:t>
            </w:r>
            <w:r w:rsidRPr="00A571DF">
              <w:rPr>
                <w:rFonts w:eastAsia="標楷體" w:hint="eastAsia"/>
              </w:rPr>
              <w:t>分。</w:t>
            </w:r>
          </w:p>
          <w:p w:rsidR="00FB31DD" w:rsidRPr="00A571DF" w:rsidRDefault="00FB31DD" w:rsidP="004B2C9F">
            <w:pPr>
              <w:snapToGrid w:val="0"/>
              <w:spacing w:after="120"/>
              <w:ind w:left="624" w:right="5" w:hangingChars="260" w:hanging="624"/>
              <w:jc w:val="both"/>
              <w:rPr>
                <w:rFonts w:eastAsia="標楷體"/>
                <w:sz w:val="22"/>
              </w:rPr>
            </w:pPr>
            <w:r w:rsidRPr="00A571DF">
              <w:rPr>
                <w:rFonts w:eastAsia="標楷體" w:hint="eastAsia"/>
              </w:rPr>
              <w:t>（</w:t>
            </w:r>
            <w:r w:rsidRPr="00A571DF">
              <w:rPr>
                <w:rFonts w:eastAsia="標楷體" w:hint="eastAsia"/>
              </w:rPr>
              <w:t>4</w:t>
            </w:r>
            <w:r w:rsidRPr="00A571DF">
              <w:rPr>
                <w:rFonts w:eastAsia="標楷體" w:hint="eastAsia"/>
              </w:rPr>
              <w:t>）受主管機關書面委託監控要保機構特定業務風險事項，並定期出具風險分析報告，報送主管機關，每項加</w:t>
            </w:r>
            <w:r w:rsidRPr="00A571DF">
              <w:rPr>
                <w:rFonts w:eastAsia="標楷體" w:hint="eastAsia"/>
              </w:rPr>
              <w:t>1</w:t>
            </w:r>
            <w:r w:rsidRPr="00A571DF">
              <w:rPr>
                <w:rFonts w:eastAsia="標楷體" w:hint="eastAsia"/>
              </w:rPr>
              <w:t>分。</w:t>
            </w:r>
          </w:p>
        </w:tc>
      </w:tr>
      <w:tr w:rsidR="00A571DF" w:rsidRPr="00A571DF" w:rsidTr="004571DB">
        <w:trPr>
          <w:jc w:val="center"/>
        </w:trPr>
        <w:tc>
          <w:tcPr>
            <w:tcW w:w="509" w:type="dxa"/>
            <w:vMerge/>
            <w:vAlign w:val="center"/>
          </w:tcPr>
          <w:p w:rsidR="00FB31DD" w:rsidRPr="00A571DF" w:rsidRDefault="00FB31DD">
            <w:pPr>
              <w:snapToGrid w:val="0"/>
              <w:jc w:val="center"/>
              <w:rPr>
                <w:rFonts w:eastAsia="標楷體"/>
              </w:rPr>
            </w:pPr>
          </w:p>
        </w:tc>
        <w:tc>
          <w:tcPr>
            <w:tcW w:w="1838" w:type="dxa"/>
            <w:vAlign w:val="center"/>
          </w:tcPr>
          <w:p w:rsidR="00FB31DD" w:rsidRPr="00A571DF" w:rsidRDefault="00FB31DD">
            <w:pPr>
              <w:kinsoku w:val="0"/>
              <w:overflowPunct w:val="0"/>
              <w:autoSpaceDE w:val="0"/>
              <w:autoSpaceDN w:val="0"/>
              <w:snapToGrid w:val="0"/>
              <w:ind w:left="212" w:hanging="212"/>
              <w:jc w:val="both"/>
              <w:rPr>
                <w:rFonts w:eastAsia="標楷體"/>
                <w:snapToGrid w:val="0"/>
                <w:kern w:val="0"/>
              </w:rPr>
            </w:pPr>
          </w:p>
        </w:tc>
        <w:tc>
          <w:tcPr>
            <w:tcW w:w="2752" w:type="dxa"/>
          </w:tcPr>
          <w:p w:rsidR="00FB31DD" w:rsidRPr="00A571DF" w:rsidRDefault="00E966AD" w:rsidP="002A7B5D">
            <w:pPr>
              <w:snapToGrid w:val="0"/>
              <w:ind w:leftChars="10" w:left="384" w:hangingChars="150" w:hanging="360"/>
              <w:jc w:val="both"/>
              <w:rPr>
                <w:rFonts w:eastAsia="標楷體"/>
              </w:rPr>
            </w:pPr>
            <w:r w:rsidRPr="00A571DF">
              <w:rPr>
                <w:rFonts w:eastAsia="標楷體" w:hint="eastAsia"/>
              </w:rPr>
              <w:t>4.2</w:t>
            </w:r>
            <w:r w:rsidR="004B150C" w:rsidRPr="00A571DF">
              <w:rPr>
                <w:rFonts w:eastAsia="標楷體" w:hint="eastAsia"/>
              </w:rPr>
              <w:t>處理問題（停業）要保機構接管、併購、履行保險責任、清理</w:t>
            </w:r>
            <w:r w:rsidR="004B150C" w:rsidRPr="00A571DF">
              <w:rPr>
                <w:rFonts w:eastAsia="標楷體" w:hint="eastAsia"/>
              </w:rPr>
              <w:t>(</w:t>
            </w:r>
            <w:r w:rsidR="004B150C" w:rsidRPr="00A571DF">
              <w:rPr>
                <w:rFonts w:eastAsia="標楷體" w:hint="eastAsia"/>
              </w:rPr>
              <w:t>算）、退場機構未結事項</w:t>
            </w:r>
            <w:r w:rsidR="004B150C" w:rsidRPr="00A571DF">
              <w:rPr>
                <w:rFonts w:eastAsia="標楷體" w:hint="eastAsia"/>
                <w:u w:val="single"/>
              </w:rPr>
              <w:t>、系統性重要金融機構清理計畫</w:t>
            </w:r>
            <w:r w:rsidR="004B150C" w:rsidRPr="00A571DF">
              <w:rPr>
                <w:rFonts w:eastAsia="標楷體" w:hint="eastAsia"/>
              </w:rPr>
              <w:t>及協助處理非要保問題金融機構</w:t>
            </w:r>
          </w:p>
        </w:tc>
        <w:tc>
          <w:tcPr>
            <w:tcW w:w="540" w:type="dxa"/>
          </w:tcPr>
          <w:p w:rsidR="00FB31DD" w:rsidRPr="00A571DF" w:rsidRDefault="00FB31DD" w:rsidP="00727AC0">
            <w:pPr>
              <w:snapToGrid w:val="0"/>
              <w:jc w:val="center"/>
              <w:rPr>
                <w:rFonts w:eastAsia="標楷體"/>
              </w:rPr>
            </w:pPr>
            <w:r w:rsidRPr="00A571DF">
              <w:rPr>
                <w:rFonts w:eastAsia="標楷體" w:hint="eastAsia"/>
              </w:rPr>
              <w:t>8</w:t>
            </w:r>
          </w:p>
        </w:tc>
        <w:tc>
          <w:tcPr>
            <w:tcW w:w="3780" w:type="dxa"/>
          </w:tcPr>
          <w:p w:rsidR="00FB31DD" w:rsidRPr="00A571DF" w:rsidRDefault="00FB31DD" w:rsidP="005849D9">
            <w:pPr>
              <w:keepLines/>
              <w:widowControl/>
              <w:suppressLineNumbers/>
              <w:suppressAutoHyphens/>
              <w:snapToGrid w:val="0"/>
              <w:spacing w:line="380" w:lineRule="exact"/>
              <w:ind w:right="12"/>
              <w:jc w:val="both"/>
              <w:rPr>
                <w:rFonts w:eastAsia="標楷體"/>
              </w:rPr>
            </w:pPr>
            <w:r w:rsidRPr="00A571DF">
              <w:rPr>
                <w:rFonts w:eastAsia="標楷體" w:hint="eastAsia"/>
              </w:rPr>
              <w:t>依核定進度規劃或執行要保機構接管、履行保險責任、清理（算）及已退場機構未結事項等事宜，得基準分</w:t>
            </w:r>
            <w:r w:rsidRPr="00A571DF">
              <w:rPr>
                <w:rFonts w:eastAsia="標楷體" w:hint="eastAsia"/>
              </w:rPr>
              <w:t>80</w:t>
            </w:r>
            <w:r w:rsidRPr="00A571DF">
              <w:rPr>
                <w:rFonts w:eastAsia="標楷體" w:hint="eastAsia"/>
              </w:rPr>
              <w:t>分，無正當理由未依進度規劃或執行者，減</w:t>
            </w:r>
            <w:r w:rsidRPr="00A571DF">
              <w:rPr>
                <w:rFonts w:eastAsia="標楷體" w:hint="eastAsia"/>
              </w:rPr>
              <w:t>5</w:t>
            </w:r>
            <w:r w:rsidRPr="00A571DF">
              <w:rPr>
                <w:rFonts w:eastAsia="標楷體" w:hint="eastAsia"/>
              </w:rPr>
              <w:t>分。另辦理下列特殊事項，每項加（減）分如下：</w:t>
            </w:r>
          </w:p>
          <w:p w:rsidR="00FB31DD" w:rsidRPr="00A571DF" w:rsidRDefault="00FB31DD" w:rsidP="005849D9">
            <w:pPr>
              <w:spacing w:line="380" w:lineRule="exact"/>
              <w:ind w:left="204" w:right="11" w:hanging="181"/>
              <w:jc w:val="both"/>
              <w:rPr>
                <w:rFonts w:eastAsia="標楷體"/>
              </w:rPr>
            </w:pPr>
            <w:r w:rsidRPr="00A571DF">
              <w:rPr>
                <w:rFonts w:eastAsia="標楷體" w:hint="eastAsia"/>
              </w:rPr>
              <w:t>1.</w:t>
            </w:r>
            <w:r w:rsidRPr="00A571DF">
              <w:rPr>
                <w:rFonts w:eastAsia="標楷體" w:hint="eastAsia"/>
              </w:rPr>
              <w:t>辦理已退場或停業要保機構保留、清理（算）資產（含授信）標售，決標價較底價，每增（減）</w:t>
            </w:r>
            <w:r w:rsidRPr="00A571DF">
              <w:rPr>
                <w:rFonts w:eastAsia="標楷體" w:hint="eastAsia"/>
              </w:rPr>
              <w:t>10%</w:t>
            </w:r>
            <w:r w:rsidRPr="00A571DF">
              <w:rPr>
                <w:rFonts w:eastAsia="標楷體" w:hint="eastAsia"/>
              </w:rPr>
              <w:t>，加（減）</w:t>
            </w:r>
            <w:r w:rsidRPr="00A571DF">
              <w:rPr>
                <w:rFonts w:eastAsia="標楷體" w:hint="eastAsia"/>
              </w:rPr>
              <w:t>1</w:t>
            </w:r>
            <w:r w:rsidRPr="00A571DF">
              <w:rPr>
                <w:rFonts w:eastAsia="標楷體" w:hint="eastAsia"/>
              </w:rPr>
              <w:t>分。</w:t>
            </w:r>
          </w:p>
          <w:p w:rsidR="00FB31DD" w:rsidRPr="00A571DF" w:rsidRDefault="00FB31DD" w:rsidP="005849D9">
            <w:pPr>
              <w:spacing w:line="380" w:lineRule="exact"/>
              <w:ind w:left="204" w:right="11" w:hanging="181"/>
              <w:jc w:val="both"/>
              <w:rPr>
                <w:rFonts w:eastAsia="標楷體"/>
              </w:rPr>
            </w:pPr>
            <w:r w:rsidRPr="00A571DF">
              <w:rPr>
                <w:rFonts w:eastAsia="標楷體" w:hint="eastAsia"/>
              </w:rPr>
              <w:t>2.</w:t>
            </w:r>
            <w:r w:rsidRPr="00A571DF">
              <w:rPr>
                <w:rFonts w:eastAsia="標楷體" w:hint="eastAsia"/>
              </w:rPr>
              <w:t>辦理保留授信催理，所有案件債權完全收回者，加</w:t>
            </w:r>
            <w:r w:rsidRPr="00A571DF">
              <w:rPr>
                <w:rFonts w:eastAsia="標楷體" w:hint="eastAsia"/>
              </w:rPr>
              <w:t>2</w:t>
            </w:r>
            <w:r w:rsidRPr="00A571DF">
              <w:rPr>
                <w:rFonts w:eastAsia="標楷體" w:hint="eastAsia"/>
              </w:rPr>
              <w:t>分，其餘依回收比例計算。【當年度回收債權</w:t>
            </w:r>
            <w:r w:rsidRPr="00A571DF">
              <w:rPr>
                <w:rFonts w:eastAsia="標楷體" w:hint="eastAsia"/>
              </w:rPr>
              <w:t>/</w:t>
            </w:r>
            <w:r w:rsidRPr="00A571DF">
              <w:rPr>
                <w:rFonts w:eastAsia="標楷體" w:hint="eastAsia"/>
              </w:rPr>
              <w:t>應回收總債權】</w:t>
            </w:r>
          </w:p>
          <w:p w:rsidR="00FB31DD" w:rsidRPr="00A571DF" w:rsidRDefault="00FB31DD" w:rsidP="005849D9">
            <w:pPr>
              <w:spacing w:line="380" w:lineRule="exact"/>
              <w:ind w:left="180" w:right="12" w:hanging="180"/>
              <w:jc w:val="both"/>
              <w:rPr>
                <w:rFonts w:eastAsia="標楷體"/>
              </w:rPr>
            </w:pPr>
            <w:r w:rsidRPr="00A571DF">
              <w:rPr>
                <w:rFonts w:eastAsia="標楷體" w:hint="eastAsia"/>
              </w:rPr>
              <w:t>3.</w:t>
            </w:r>
            <w:r w:rsidRPr="00A571DF">
              <w:rPr>
                <w:rFonts w:eastAsia="標楷體" w:hint="eastAsia"/>
              </w:rPr>
              <w:t>辦理已退場或停業要保機構保留之訴訟案件，獲勝</w:t>
            </w:r>
            <w:r w:rsidRPr="00A571DF">
              <w:rPr>
                <w:rFonts w:eastAsia="標楷體" w:hint="eastAsia"/>
              </w:rPr>
              <w:t>(</w:t>
            </w:r>
            <w:r w:rsidRPr="00A571DF">
              <w:rPr>
                <w:rFonts w:eastAsia="標楷體" w:hint="eastAsia"/>
              </w:rPr>
              <w:t>敗</w:t>
            </w:r>
            <w:r w:rsidRPr="00A571DF">
              <w:rPr>
                <w:rFonts w:eastAsia="標楷體" w:hint="eastAsia"/>
              </w:rPr>
              <w:t>)</w:t>
            </w:r>
            <w:r w:rsidRPr="00A571DF">
              <w:rPr>
                <w:rFonts w:eastAsia="標楷體" w:hint="eastAsia"/>
              </w:rPr>
              <w:t>訴判決確定者，每件加</w:t>
            </w:r>
            <w:r w:rsidRPr="00A571DF">
              <w:rPr>
                <w:rFonts w:eastAsia="標楷體" w:hint="eastAsia"/>
              </w:rPr>
              <w:t>(</w:t>
            </w:r>
            <w:r w:rsidRPr="00A571DF">
              <w:rPr>
                <w:rFonts w:eastAsia="標楷體" w:hint="eastAsia"/>
              </w:rPr>
              <w:t>減</w:t>
            </w:r>
            <w:r w:rsidRPr="00A571DF">
              <w:rPr>
                <w:rFonts w:eastAsia="標楷體" w:hint="eastAsia"/>
              </w:rPr>
              <w:t>)1</w:t>
            </w:r>
            <w:r w:rsidRPr="00A571DF">
              <w:rPr>
                <w:rFonts w:eastAsia="標楷體" w:hint="eastAsia"/>
              </w:rPr>
              <w:t>分。</w:t>
            </w:r>
          </w:p>
          <w:p w:rsidR="00EB09B1" w:rsidRPr="00A571DF" w:rsidRDefault="00FB31DD" w:rsidP="00B77A61">
            <w:pPr>
              <w:spacing w:after="240" w:line="380" w:lineRule="exact"/>
              <w:ind w:left="204" w:right="11" w:hanging="181"/>
              <w:jc w:val="both"/>
              <w:rPr>
                <w:rFonts w:eastAsia="標楷體"/>
              </w:rPr>
            </w:pPr>
            <w:r w:rsidRPr="00A571DF">
              <w:rPr>
                <w:rFonts w:eastAsia="標楷體" w:hint="eastAsia"/>
              </w:rPr>
              <w:t>4.</w:t>
            </w:r>
            <w:r w:rsidRPr="00A571DF">
              <w:rPr>
                <w:rFonts w:eastAsia="標楷體" w:hint="eastAsia"/>
              </w:rPr>
              <w:t>依主管機關指示，派員協助處理非要保問題金融機構，依每月派員協助處理人數佔存保公司職員人數比率之平均數，每增加</w:t>
            </w:r>
            <w:r w:rsidRPr="00A571DF">
              <w:rPr>
                <w:rFonts w:eastAsia="標楷體" w:hint="eastAsia"/>
              </w:rPr>
              <w:t>1%</w:t>
            </w:r>
            <w:r w:rsidRPr="00A571DF">
              <w:rPr>
                <w:rFonts w:eastAsia="標楷體" w:hint="eastAsia"/>
              </w:rPr>
              <w:t>加</w:t>
            </w:r>
            <w:r w:rsidRPr="00A571DF">
              <w:rPr>
                <w:rFonts w:eastAsia="標楷體" w:hint="eastAsia"/>
              </w:rPr>
              <w:t>0.5</w:t>
            </w:r>
            <w:r w:rsidRPr="00A571DF">
              <w:rPr>
                <w:rFonts w:eastAsia="標楷體" w:hint="eastAsia"/>
              </w:rPr>
              <w:t>分。</w:t>
            </w:r>
          </w:p>
          <w:p w:rsidR="00EB09B1" w:rsidRPr="00A571DF" w:rsidRDefault="00EB09B1" w:rsidP="0010346B">
            <w:pPr>
              <w:spacing w:line="380" w:lineRule="exact"/>
              <w:ind w:left="204" w:right="11" w:hanging="181"/>
              <w:jc w:val="both"/>
              <w:rPr>
                <w:rFonts w:eastAsia="標楷體"/>
                <w:u w:val="single"/>
              </w:rPr>
            </w:pPr>
            <w:r w:rsidRPr="00A571DF">
              <w:rPr>
                <w:rFonts w:eastAsia="標楷體" w:hint="eastAsia"/>
                <w:u w:val="single"/>
              </w:rPr>
              <w:t>5.</w:t>
            </w:r>
            <w:r w:rsidRPr="00A571DF">
              <w:rPr>
                <w:rFonts w:eastAsia="標楷體" w:hint="eastAsia"/>
                <w:u w:val="single"/>
              </w:rPr>
              <w:t>依主管機關之系統性重要金融機構監理措施，辦理下列事項：</w:t>
            </w:r>
          </w:p>
          <w:p w:rsidR="00EB09B1" w:rsidRPr="00A571DF" w:rsidRDefault="00EB09B1" w:rsidP="00B77A61">
            <w:pPr>
              <w:spacing w:line="380" w:lineRule="exact"/>
              <w:ind w:left="307" w:right="11" w:hanging="284"/>
              <w:jc w:val="both"/>
              <w:rPr>
                <w:rFonts w:eastAsia="標楷體"/>
                <w:u w:val="single"/>
              </w:rPr>
            </w:pPr>
            <w:r w:rsidRPr="00A571DF">
              <w:rPr>
                <w:rFonts w:eastAsia="標楷體" w:hint="eastAsia"/>
                <w:u w:val="single"/>
              </w:rPr>
              <w:t>(1)</w:t>
            </w:r>
            <w:r w:rsidRPr="00A571DF">
              <w:rPr>
                <w:rFonts w:eastAsia="標楷體" w:hint="eastAsia"/>
                <w:u w:val="single"/>
              </w:rPr>
              <w:t>專案施行前：研議法制作業、清理計畫申報內容、建置線上申報資訊系統及其他監理措施，經提報該專案小組會議或函報主管機關通過者，每案加</w:t>
            </w:r>
            <w:r w:rsidRPr="00A571DF">
              <w:rPr>
                <w:rFonts w:eastAsia="標楷體" w:hint="eastAsia"/>
                <w:u w:val="single"/>
              </w:rPr>
              <w:t>0.5</w:t>
            </w:r>
            <w:r w:rsidRPr="00A571DF">
              <w:rPr>
                <w:rFonts w:eastAsia="標楷體" w:hint="eastAsia"/>
                <w:u w:val="single"/>
              </w:rPr>
              <w:t>分。</w:t>
            </w:r>
          </w:p>
          <w:p w:rsidR="00EB09B1" w:rsidRPr="00A571DF" w:rsidRDefault="00EB09B1" w:rsidP="00B77A61">
            <w:pPr>
              <w:spacing w:after="240" w:line="380" w:lineRule="exact"/>
              <w:ind w:left="307" w:right="11" w:hanging="284"/>
              <w:jc w:val="both"/>
              <w:rPr>
                <w:rFonts w:eastAsia="標楷體"/>
                <w:sz w:val="22"/>
              </w:rPr>
            </w:pPr>
            <w:r w:rsidRPr="00A571DF">
              <w:rPr>
                <w:rFonts w:eastAsia="標楷體" w:hint="eastAsia"/>
                <w:u w:val="single"/>
              </w:rPr>
              <w:lastRenderedPageBreak/>
              <w:t>(2)</w:t>
            </w:r>
            <w:r w:rsidRPr="00A571DF">
              <w:rPr>
                <w:rFonts w:eastAsia="標楷體" w:hint="eastAsia"/>
                <w:u w:val="single"/>
              </w:rPr>
              <w:t>專案施行後：每完成</w:t>
            </w:r>
            <w:r w:rsidRPr="00A571DF">
              <w:rPr>
                <w:rFonts w:eastAsia="標楷體" w:hint="eastAsia"/>
                <w:u w:val="single"/>
              </w:rPr>
              <w:t>1</w:t>
            </w:r>
            <w:r w:rsidRPr="00A571DF">
              <w:rPr>
                <w:rFonts w:eastAsia="標楷體" w:hint="eastAsia"/>
                <w:u w:val="single"/>
              </w:rPr>
              <w:t>份清理計畫審查，每份加</w:t>
            </w:r>
            <w:r w:rsidRPr="00A571DF">
              <w:rPr>
                <w:rFonts w:eastAsia="標楷體" w:hint="eastAsia"/>
                <w:u w:val="single"/>
              </w:rPr>
              <w:t>0.5</w:t>
            </w:r>
            <w:r w:rsidRPr="00A571DF">
              <w:rPr>
                <w:rFonts w:eastAsia="標楷體" w:hint="eastAsia"/>
                <w:u w:val="single"/>
              </w:rPr>
              <w:t>分；就清理計畫申報缺失態樣，研擬缺失改善說明或提出清理計畫申報準則意見報經主管機關同意者；每案加</w:t>
            </w:r>
            <w:r w:rsidRPr="00A571DF">
              <w:rPr>
                <w:rFonts w:eastAsia="標楷體" w:hint="eastAsia"/>
                <w:u w:val="single"/>
              </w:rPr>
              <w:t>0.5</w:t>
            </w:r>
            <w:r w:rsidRPr="00A571DF">
              <w:rPr>
                <w:rFonts w:eastAsia="標楷體" w:hint="eastAsia"/>
                <w:u w:val="single"/>
              </w:rPr>
              <w:t>分。</w:t>
            </w:r>
          </w:p>
        </w:tc>
      </w:tr>
      <w:tr w:rsidR="00A571DF" w:rsidRPr="00A571DF" w:rsidTr="004571DB">
        <w:trPr>
          <w:trHeight w:val="630"/>
          <w:jc w:val="center"/>
        </w:trPr>
        <w:tc>
          <w:tcPr>
            <w:tcW w:w="509" w:type="dxa"/>
            <w:vMerge/>
            <w:vAlign w:val="center"/>
          </w:tcPr>
          <w:p w:rsidR="00FB31DD" w:rsidRPr="00A571DF" w:rsidRDefault="00FB31DD">
            <w:pPr>
              <w:snapToGrid w:val="0"/>
              <w:jc w:val="center"/>
              <w:rPr>
                <w:rFonts w:eastAsia="標楷體"/>
              </w:rPr>
            </w:pPr>
          </w:p>
        </w:tc>
        <w:tc>
          <w:tcPr>
            <w:tcW w:w="1838" w:type="dxa"/>
            <w:vAlign w:val="center"/>
          </w:tcPr>
          <w:p w:rsidR="00FB31DD" w:rsidRPr="00A571DF" w:rsidRDefault="00FB31DD">
            <w:pPr>
              <w:kinsoku w:val="0"/>
              <w:overflowPunct w:val="0"/>
              <w:autoSpaceDE w:val="0"/>
              <w:autoSpaceDN w:val="0"/>
              <w:snapToGrid w:val="0"/>
              <w:ind w:left="212" w:hanging="212"/>
              <w:jc w:val="both"/>
              <w:rPr>
                <w:rFonts w:eastAsia="標楷體"/>
                <w:snapToGrid w:val="0"/>
                <w:kern w:val="0"/>
              </w:rPr>
            </w:pPr>
          </w:p>
        </w:tc>
        <w:tc>
          <w:tcPr>
            <w:tcW w:w="2752" w:type="dxa"/>
          </w:tcPr>
          <w:p w:rsidR="00FB31DD" w:rsidRPr="00A571DF" w:rsidRDefault="00FB31DD" w:rsidP="002A7B5D">
            <w:pPr>
              <w:snapToGrid w:val="0"/>
              <w:ind w:left="360" w:hangingChars="150" w:hanging="360"/>
              <w:jc w:val="both"/>
              <w:rPr>
                <w:rFonts w:eastAsia="標楷體"/>
                <w:bCs/>
              </w:rPr>
            </w:pPr>
            <w:r w:rsidRPr="00A571DF">
              <w:rPr>
                <w:rFonts w:eastAsia="標楷體" w:hint="eastAsia"/>
              </w:rPr>
              <w:t>4</w:t>
            </w:r>
            <w:r w:rsidR="00E966AD" w:rsidRPr="00A571DF">
              <w:rPr>
                <w:rFonts w:eastAsia="標楷體" w:hint="eastAsia"/>
              </w:rPr>
              <w:t>.</w:t>
            </w:r>
            <w:r w:rsidR="002938B1" w:rsidRPr="00A571DF">
              <w:rPr>
                <w:rFonts w:eastAsia="標楷體" w:hint="eastAsia"/>
              </w:rPr>
              <w:t>3</w:t>
            </w:r>
            <w:r w:rsidRPr="00A571DF">
              <w:rPr>
                <w:rFonts w:eastAsia="標楷體" w:hint="eastAsia"/>
                <w:bCs/>
              </w:rPr>
              <w:t>辦理有關存款保險條例第</w:t>
            </w:r>
            <w:r w:rsidRPr="00A571DF">
              <w:rPr>
                <w:rFonts w:eastAsia="標楷體" w:hint="eastAsia"/>
                <w:bCs/>
              </w:rPr>
              <w:t>24</w:t>
            </w:r>
            <w:r w:rsidRPr="00A571DF">
              <w:rPr>
                <w:rFonts w:eastAsia="標楷體" w:hint="eastAsia"/>
                <w:bCs/>
              </w:rPr>
              <w:t>條</w:t>
            </w:r>
            <w:r w:rsidRPr="00A571DF">
              <w:rPr>
                <w:rFonts w:eastAsia="標楷體" w:hint="eastAsia"/>
              </w:rPr>
              <w:t>規定</w:t>
            </w:r>
            <w:r w:rsidRPr="00A571DF">
              <w:rPr>
                <w:rFonts w:eastAsia="標楷體" w:hint="eastAsia"/>
                <w:bCs/>
              </w:rPr>
              <w:t>之查核、金融機構申請加保之實地查證及問題要保機構違法失職人員民事責任追償等事宜</w:t>
            </w: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411A20">
            <w:pPr>
              <w:snapToGrid w:val="0"/>
              <w:ind w:left="360" w:hangingChars="150" w:hanging="360"/>
              <w:jc w:val="both"/>
              <w:rPr>
                <w:rFonts w:eastAsia="標楷體"/>
                <w:bCs/>
              </w:rPr>
            </w:pPr>
          </w:p>
          <w:p w:rsidR="00FB31DD" w:rsidRPr="00A571DF" w:rsidRDefault="00FB31DD" w:rsidP="00727AC0">
            <w:pPr>
              <w:spacing w:line="340" w:lineRule="exact"/>
              <w:ind w:leftChars="5" w:left="12" w:rightChars="5" w:right="12"/>
              <w:jc w:val="center"/>
              <w:rPr>
                <w:rFonts w:eastAsia="標楷體"/>
                <w:sz w:val="22"/>
              </w:rPr>
            </w:pPr>
          </w:p>
        </w:tc>
        <w:tc>
          <w:tcPr>
            <w:tcW w:w="540" w:type="dxa"/>
          </w:tcPr>
          <w:p w:rsidR="00FB31DD" w:rsidRPr="00A571DF" w:rsidRDefault="00FB31DD" w:rsidP="00727AC0">
            <w:pPr>
              <w:spacing w:line="340" w:lineRule="exact"/>
              <w:ind w:leftChars="5" w:left="12" w:rightChars="5" w:right="12"/>
              <w:jc w:val="center"/>
              <w:rPr>
                <w:rFonts w:eastAsia="標楷體"/>
                <w:szCs w:val="24"/>
              </w:rPr>
            </w:pPr>
            <w:r w:rsidRPr="00A571DF">
              <w:rPr>
                <w:rFonts w:eastAsia="標楷體" w:hint="eastAsia"/>
                <w:szCs w:val="24"/>
              </w:rPr>
              <w:t>15</w:t>
            </w:r>
          </w:p>
        </w:tc>
        <w:tc>
          <w:tcPr>
            <w:tcW w:w="3780" w:type="dxa"/>
          </w:tcPr>
          <w:p w:rsidR="00FB31DD" w:rsidRPr="00A571DF" w:rsidRDefault="00FB31DD" w:rsidP="004B2C9F">
            <w:pPr>
              <w:keepLines/>
              <w:widowControl/>
              <w:suppressLineNumbers/>
              <w:suppressAutoHyphens/>
              <w:snapToGrid w:val="0"/>
              <w:spacing w:after="120"/>
              <w:ind w:left="240" w:hangingChars="100" w:hanging="240"/>
              <w:jc w:val="both"/>
              <w:rPr>
                <w:rFonts w:eastAsia="標楷體"/>
                <w:bCs/>
                <w:szCs w:val="24"/>
              </w:rPr>
            </w:pPr>
            <w:r w:rsidRPr="00A571DF">
              <w:rPr>
                <w:rFonts w:eastAsia="標楷體" w:hint="eastAsia"/>
                <w:bCs/>
                <w:szCs w:val="24"/>
              </w:rPr>
              <w:t>1.</w:t>
            </w:r>
            <w:r w:rsidRPr="00A571DF">
              <w:rPr>
                <w:rFonts w:eastAsia="標楷體" w:hint="eastAsia"/>
                <w:bCs/>
                <w:szCs w:val="24"/>
              </w:rPr>
              <w:t>辦理下列事項查核，與目標查核家數</w:t>
            </w:r>
            <w:r w:rsidRPr="00A571DF">
              <w:rPr>
                <w:rFonts w:eastAsia="標楷體" w:hint="eastAsia"/>
                <w:bCs/>
                <w:szCs w:val="24"/>
              </w:rPr>
              <w:t>151</w:t>
            </w:r>
            <w:r w:rsidRPr="00A571DF">
              <w:rPr>
                <w:rFonts w:eastAsia="標楷體" w:hint="eastAsia"/>
                <w:bCs/>
                <w:szCs w:val="24"/>
              </w:rPr>
              <w:t>家比較，相同者得基準分</w:t>
            </w:r>
            <w:r w:rsidRPr="00A571DF">
              <w:rPr>
                <w:rFonts w:eastAsia="標楷體" w:hint="eastAsia"/>
                <w:bCs/>
                <w:szCs w:val="24"/>
              </w:rPr>
              <w:t>80</w:t>
            </w:r>
            <w:r w:rsidRPr="00A571DF">
              <w:rPr>
                <w:rFonts w:eastAsia="標楷體" w:hint="eastAsia"/>
                <w:bCs/>
                <w:szCs w:val="24"/>
              </w:rPr>
              <w:t>分，每增（減）一家實地查核，加（減）</w:t>
            </w:r>
            <w:r w:rsidRPr="00A571DF">
              <w:rPr>
                <w:rFonts w:eastAsia="標楷體" w:hint="eastAsia"/>
                <w:bCs/>
                <w:szCs w:val="24"/>
              </w:rPr>
              <w:t>0.5</w:t>
            </w:r>
            <w:r w:rsidRPr="00A571DF">
              <w:rPr>
                <w:rFonts w:eastAsia="標楷體" w:hint="eastAsia"/>
                <w:bCs/>
                <w:szCs w:val="24"/>
              </w:rPr>
              <w:t>分。</w:t>
            </w:r>
          </w:p>
          <w:p w:rsidR="00FB31DD" w:rsidRPr="00A571DF" w:rsidRDefault="00FB31DD" w:rsidP="00130608">
            <w:pPr>
              <w:keepLines/>
              <w:widowControl/>
              <w:suppressLineNumbers/>
              <w:suppressAutoHyphens/>
              <w:snapToGrid w:val="0"/>
              <w:spacing w:after="120"/>
              <w:ind w:leftChars="111" w:left="626" w:hangingChars="150" w:hanging="360"/>
              <w:jc w:val="both"/>
              <w:rPr>
                <w:rFonts w:eastAsia="標楷體"/>
                <w:bCs/>
                <w:szCs w:val="24"/>
              </w:rPr>
            </w:pPr>
            <w:r w:rsidRPr="00A571DF">
              <w:rPr>
                <w:rFonts w:eastAsia="標楷體" w:hint="eastAsia"/>
                <w:bCs/>
                <w:szCs w:val="24"/>
              </w:rPr>
              <w:t>(1)</w:t>
            </w:r>
            <w:r w:rsidRPr="00A571DF">
              <w:rPr>
                <w:rFonts w:eastAsia="標楷體" w:hint="eastAsia"/>
                <w:bCs/>
                <w:szCs w:val="24"/>
              </w:rPr>
              <w:t>要保機構電子資料檔案建置內容實地查核。</w:t>
            </w:r>
          </w:p>
          <w:p w:rsidR="00FB31DD" w:rsidRPr="00A571DF" w:rsidRDefault="00FB31DD" w:rsidP="00130608">
            <w:pPr>
              <w:keepLines/>
              <w:widowControl/>
              <w:suppressLineNumbers/>
              <w:suppressAutoHyphens/>
              <w:snapToGrid w:val="0"/>
              <w:spacing w:after="120"/>
              <w:ind w:leftChars="111" w:left="626" w:hangingChars="150" w:hanging="360"/>
              <w:jc w:val="both"/>
              <w:rPr>
                <w:rFonts w:eastAsia="標楷體"/>
                <w:bCs/>
                <w:szCs w:val="24"/>
              </w:rPr>
            </w:pPr>
            <w:r w:rsidRPr="00A571DF">
              <w:rPr>
                <w:rFonts w:eastAsia="標楷體" w:hint="eastAsia"/>
                <w:bCs/>
                <w:szCs w:val="24"/>
              </w:rPr>
              <w:t>(2)</w:t>
            </w:r>
            <w:r w:rsidRPr="00A571DF">
              <w:rPr>
                <w:rFonts w:eastAsia="標楷體" w:hint="eastAsia"/>
                <w:bCs/>
                <w:szCs w:val="24"/>
              </w:rPr>
              <w:t>要保機構存款保險費基數正確性查核。</w:t>
            </w:r>
          </w:p>
          <w:p w:rsidR="00FB31DD" w:rsidRPr="00A571DF" w:rsidRDefault="00FB31DD" w:rsidP="00130608">
            <w:pPr>
              <w:keepLines/>
              <w:widowControl/>
              <w:suppressLineNumbers/>
              <w:suppressAutoHyphens/>
              <w:snapToGrid w:val="0"/>
              <w:spacing w:after="120"/>
              <w:ind w:leftChars="111" w:left="626" w:hangingChars="150" w:hanging="360"/>
              <w:jc w:val="both"/>
              <w:rPr>
                <w:rFonts w:eastAsia="標楷體"/>
                <w:bCs/>
                <w:szCs w:val="24"/>
              </w:rPr>
            </w:pPr>
            <w:r w:rsidRPr="00A571DF">
              <w:rPr>
                <w:rFonts w:eastAsia="標楷體" w:hint="eastAsia"/>
                <w:bCs/>
                <w:szCs w:val="24"/>
              </w:rPr>
              <w:t>(3)</w:t>
            </w:r>
            <w:r w:rsidRPr="00A571DF">
              <w:rPr>
                <w:rFonts w:eastAsia="標楷體" w:hint="eastAsia"/>
                <w:bCs/>
                <w:szCs w:val="24"/>
              </w:rPr>
              <w:t>要保機構申報存款保險風險差別費率評等系統風險指標資料查核。</w:t>
            </w:r>
          </w:p>
          <w:p w:rsidR="00FB31DD" w:rsidRPr="00A571DF" w:rsidRDefault="00FB31DD" w:rsidP="00130608">
            <w:pPr>
              <w:keepLines/>
              <w:widowControl/>
              <w:suppressLineNumbers/>
              <w:suppressAutoHyphens/>
              <w:snapToGrid w:val="0"/>
              <w:spacing w:after="120"/>
              <w:ind w:left="266" w:hangingChars="111" w:hanging="266"/>
              <w:jc w:val="both"/>
              <w:rPr>
                <w:rFonts w:eastAsia="標楷體"/>
                <w:bCs/>
                <w:szCs w:val="24"/>
              </w:rPr>
            </w:pPr>
            <w:r w:rsidRPr="00A571DF">
              <w:rPr>
                <w:rFonts w:eastAsia="標楷體" w:hint="eastAsia"/>
                <w:bCs/>
                <w:szCs w:val="24"/>
              </w:rPr>
              <w:t>2.</w:t>
            </w:r>
            <w:r w:rsidRPr="00A571DF">
              <w:rPr>
                <w:rFonts w:eastAsia="標楷體" w:hint="eastAsia"/>
                <w:bCs/>
                <w:szCs w:val="24"/>
              </w:rPr>
              <w:t>另辦理下列任務，列入加分，惟每項加分最高以</w:t>
            </w:r>
            <w:r w:rsidRPr="00A571DF">
              <w:rPr>
                <w:rFonts w:eastAsia="標楷體" w:hint="eastAsia"/>
                <w:bCs/>
                <w:szCs w:val="24"/>
              </w:rPr>
              <w:t>5</w:t>
            </w:r>
            <w:r w:rsidRPr="00A571DF">
              <w:rPr>
                <w:rFonts w:eastAsia="標楷體" w:hint="eastAsia"/>
                <w:bCs/>
                <w:szCs w:val="24"/>
              </w:rPr>
              <w:t>分為限：</w:t>
            </w:r>
          </w:p>
          <w:p w:rsidR="00FB31DD" w:rsidRPr="00A571DF" w:rsidRDefault="00FB31DD" w:rsidP="00130608">
            <w:pPr>
              <w:keepLines/>
              <w:widowControl/>
              <w:suppressLineNumbers/>
              <w:suppressAutoHyphens/>
              <w:snapToGrid w:val="0"/>
              <w:spacing w:after="120"/>
              <w:ind w:leftChars="111" w:left="626" w:hangingChars="150" w:hanging="360"/>
              <w:jc w:val="both"/>
              <w:rPr>
                <w:rFonts w:eastAsia="標楷體"/>
                <w:bCs/>
                <w:szCs w:val="24"/>
              </w:rPr>
            </w:pPr>
            <w:r w:rsidRPr="00A571DF">
              <w:rPr>
                <w:rFonts w:eastAsia="標楷體" w:hint="eastAsia"/>
                <w:bCs/>
                <w:szCs w:val="24"/>
              </w:rPr>
              <w:t>(1)</w:t>
            </w:r>
            <w:r w:rsidRPr="00A571DF">
              <w:rPr>
                <w:rFonts w:eastAsia="標楷體" w:hint="eastAsia"/>
                <w:bCs/>
                <w:szCs w:val="24"/>
              </w:rPr>
              <w:t>以「辦理問題要保機構違法失職人員民事責任追償等事宜」為加分事項，與前</w:t>
            </w:r>
            <w:r w:rsidRPr="00A571DF">
              <w:rPr>
                <w:rFonts w:eastAsia="標楷體" w:hint="eastAsia"/>
                <w:bCs/>
                <w:szCs w:val="24"/>
              </w:rPr>
              <w:t>3</w:t>
            </w:r>
            <w:r w:rsidRPr="00A571DF">
              <w:rPr>
                <w:rFonts w:eastAsia="標楷體" w:hint="eastAsia"/>
                <w:bCs/>
                <w:szCs w:val="24"/>
              </w:rPr>
              <w:t>年平均值比較，每增加</w:t>
            </w:r>
            <w:r w:rsidRPr="00A571DF">
              <w:rPr>
                <w:rFonts w:eastAsia="標楷體" w:hint="eastAsia"/>
                <w:bCs/>
                <w:szCs w:val="24"/>
              </w:rPr>
              <w:t>1</w:t>
            </w:r>
            <w:r w:rsidRPr="00A571DF">
              <w:rPr>
                <w:rFonts w:eastAsia="標楷體" w:hint="eastAsia"/>
                <w:bCs/>
                <w:szCs w:val="24"/>
              </w:rPr>
              <w:t>件，加</w:t>
            </w:r>
            <w:r w:rsidRPr="00A571DF">
              <w:rPr>
                <w:rFonts w:eastAsia="標楷體" w:hint="eastAsia"/>
                <w:bCs/>
                <w:szCs w:val="24"/>
              </w:rPr>
              <w:t>0.5</w:t>
            </w:r>
            <w:r w:rsidRPr="00A571DF">
              <w:rPr>
                <w:rFonts w:eastAsia="標楷體" w:hint="eastAsia"/>
                <w:bCs/>
                <w:szCs w:val="24"/>
              </w:rPr>
              <w:t>分。</w:t>
            </w:r>
          </w:p>
          <w:p w:rsidR="00FB31DD" w:rsidRPr="00A571DF" w:rsidRDefault="00FB31DD" w:rsidP="00130608">
            <w:pPr>
              <w:keepLines/>
              <w:widowControl/>
              <w:suppressLineNumbers/>
              <w:suppressAutoHyphens/>
              <w:snapToGrid w:val="0"/>
              <w:spacing w:after="120"/>
              <w:ind w:leftChars="111" w:left="626" w:hangingChars="150" w:hanging="360"/>
              <w:jc w:val="both"/>
              <w:rPr>
                <w:rFonts w:eastAsia="標楷體"/>
                <w:bCs/>
                <w:szCs w:val="24"/>
              </w:rPr>
            </w:pPr>
            <w:r w:rsidRPr="00A571DF">
              <w:rPr>
                <w:rFonts w:eastAsia="標楷體" w:hint="eastAsia"/>
                <w:bCs/>
                <w:szCs w:val="24"/>
              </w:rPr>
              <w:t>(2)</w:t>
            </w:r>
            <w:r w:rsidRPr="00A571DF">
              <w:rPr>
                <w:rFonts w:eastAsia="標楷體" w:hint="eastAsia"/>
                <w:bCs/>
                <w:szCs w:val="24"/>
              </w:rPr>
              <w:t>履行保險責任前要保機構之資產及負債查核，每家加</w:t>
            </w:r>
            <w:r w:rsidRPr="00A571DF">
              <w:rPr>
                <w:rFonts w:eastAsia="標楷體" w:hint="eastAsia"/>
                <w:bCs/>
                <w:szCs w:val="24"/>
              </w:rPr>
              <w:t>1</w:t>
            </w:r>
            <w:r w:rsidRPr="00A571DF">
              <w:rPr>
                <w:rFonts w:eastAsia="標楷體" w:hint="eastAsia"/>
                <w:bCs/>
                <w:szCs w:val="24"/>
              </w:rPr>
              <w:t>分。</w:t>
            </w:r>
          </w:p>
          <w:p w:rsidR="00FB31DD" w:rsidRPr="00A571DF" w:rsidRDefault="00FB31DD" w:rsidP="00130608">
            <w:pPr>
              <w:keepLines/>
              <w:widowControl/>
              <w:suppressLineNumbers/>
              <w:suppressAutoHyphens/>
              <w:snapToGrid w:val="0"/>
              <w:spacing w:after="120"/>
              <w:ind w:leftChars="111" w:left="626" w:hangingChars="150" w:hanging="360"/>
              <w:jc w:val="both"/>
              <w:rPr>
                <w:rFonts w:eastAsia="標楷體"/>
                <w:bCs/>
                <w:sz w:val="22"/>
                <w:szCs w:val="24"/>
              </w:rPr>
            </w:pPr>
            <w:r w:rsidRPr="00A571DF">
              <w:rPr>
                <w:rFonts w:eastAsia="標楷體" w:hint="eastAsia"/>
                <w:bCs/>
                <w:szCs w:val="24"/>
              </w:rPr>
              <w:t>(3)</w:t>
            </w:r>
            <w:r w:rsidRPr="00A571DF">
              <w:rPr>
                <w:rFonts w:eastAsia="標楷體" w:hint="eastAsia"/>
                <w:bCs/>
                <w:szCs w:val="24"/>
              </w:rPr>
              <w:t>要保機構是否有應終止要保契約情事之查核，每家加</w:t>
            </w:r>
            <w:r w:rsidRPr="00A571DF">
              <w:rPr>
                <w:rFonts w:eastAsia="標楷體" w:hint="eastAsia"/>
                <w:bCs/>
                <w:szCs w:val="24"/>
              </w:rPr>
              <w:t>1</w:t>
            </w:r>
            <w:r w:rsidRPr="00A571DF">
              <w:rPr>
                <w:rFonts w:eastAsia="標楷體" w:hint="eastAsia"/>
                <w:bCs/>
                <w:szCs w:val="24"/>
              </w:rPr>
              <w:t>分。</w:t>
            </w:r>
          </w:p>
        </w:tc>
      </w:tr>
      <w:tr w:rsidR="00A571DF" w:rsidRPr="00A571DF" w:rsidTr="004571DB">
        <w:trPr>
          <w:jc w:val="center"/>
        </w:trPr>
        <w:tc>
          <w:tcPr>
            <w:tcW w:w="509" w:type="dxa"/>
            <w:vMerge/>
            <w:vAlign w:val="center"/>
          </w:tcPr>
          <w:p w:rsidR="00FB31DD" w:rsidRPr="00A571DF" w:rsidRDefault="00FB31DD">
            <w:pPr>
              <w:snapToGrid w:val="0"/>
              <w:jc w:val="center"/>
              <w:rPr>
                <w:rFonts w:eastAsia="標楷體"/>
              </w:rPr>
            </w:pPr>
          </w:p>
        </w:tc>
        <w:tc>
          <w:tcPr>
            <w:tcW w:w="1838" w:type="dxa"/>
            <w:vAlign w:val="center"/>
          </w:tcPr>
          <w:p w:rsidR="00FB31DD" w:rsidRPr="00A571DF" w:rsidRDefault="00FB31DD">
            <w:pPr>
              <w:kinsoku w:val="0"/>
              <w:overflowPunct w:val="0"/>
              <w:autoSpaceDE w:val="0"/>
              <w:autoSpaceDN w:val="0"/>
              <w:snapToGrid w:val="0"/>
              <w:ind w:left="212" w:hanging="212"/>
              <w:jc w:val="both"/>
              <w:rPr>
                <w:rFonts w:eastAsia="標楷體"/>
                <w:snapToGrid w:val="0"/>
                <w:kern w:val="0"/>
              </w:rPr>
            </w:pPr>
          </w:p>
        </w:tc>
        <w:tc>
          <w:tcPr>
            <w:tcW w:w="2752" w:type="dxa"/>
          </w:tcPr>
          <w:p w:rsidR="00FB31DD" w:rsidRPr="00A571DF" w:rsidRDefault="00581094" w:rsidP="002A7B5D">
            <w:pPr>
              <w:keepLines/>
              <w:widowControl/>
              <w:suppressLineNumbers/>
              <w:suppressAutoHyphens/>
              <w:snapToGrid w:val="0"/>
              <w:ind w:leftChars="12" w:left="389" w:hangingChars="150" w:hanging="360"/>
              <w:jc w:val="both"/>
              <w:rPr>
                <w:rFonts w:eastAsia="標楷體"/>
              </w:rPr>
            </w:pPr>
            <w:r w:rsidRPr="00A571DF">
              <w:rPr>
                <w:rFonts w:eastAsia="標楷體" w:hint="eastAsia"/>
              </w:rPr>
              <w:t>4.4</w:t>
            </w:r>
            <w:r w:rsidR="00FB31DD" w:rsidRPr="00A571DF">
              <w:rPr>
                <w:rFonts w:eastAsia="標楷體"/>
              </w:rPr>
              <w:t>加強推動國際事務參與國際會議、活動或研究之績效</w:t>
            </w:r>
          </w:p>
        </w:tc>
        <w:tc>
          <w:tcPr>
            <w:tcW w:w="540" w:type="dxa"/>
          </w:tcPr>
          <w:p w:rsidR="00FB31DD" w:rsidRPr="00A571DF" w:rsidRDefault="00581094" w:rsidP="00AE27FF">
            <w:pPr>
              <w:keepLines/>
              <w:widowControl/>
              <w:suppressLineNumbers/>
              <w:suppressAutoHyphens/>
              <w:spacing w:line="340" w:lineRule="exact"/>
              <w:ind w:leftChars="5" w:left="12" w:rightChars="5" w:right="12"/>
              <w:jc w:val="center"/>
              <w:rPr>
                <w:rFonts w:eastAsia="標楷體"/>
                <w:szCs w:val="24"/>
              </w:rPr>
            </w:pPr>
            <w:r w:rsidRPr="00A571DF">
              <w:rPr>
                <w:rFonts w:eastAsia="標楷體" w:hint="eastAsia"/>
                <w:szCs w:val="24"/>
              </w:rPr>
              <w:t>3</w:t>
            </w:r>
          </w:p>
        </w:tc>
        <w:tc>
          <w:tcPr>
            <w:tcW w:w="3780" w:type="dxa"/>
          </w:tcPr>
          <w:p w:rsidR="00FB31DD" w:rsidRPr="00A571DF" w:rsidRDefault="00FB31DD" w:rsidP="00AE27FF">
            <w:pPr>
              <w:keepLines/>
              <w:widowControl/>
              <w:suppressLineNumbers/>
              <w:suppressAutoHyphens/>
              <w:snapToGrid w:val="0"/>
              <w:spacing w:after="120"/>
              <w:jc w:val="both"/>
              <w:rPr>
                <w:rFonts w:eastAsia="標楷體"/>
                <w:bCs/>
              </w:rPr>
            </w:pPr>
            <w:r w:rsidRPr="00A571DF">
              <w:rPr>
                <w:rFonts w:eastAsia="標楷體"/>
                <w:bCs/>
              </w:rPr>
              <w:t>與他國金融安全網相關機構簽訂合作備忘錄或其他協議之家數與去年家數比較，相同者得基準分</w:t>
            </w:r>
            <w:r w:rsidRPr="00A571DF">
              <w:rPr>
                <w:rFonts w:eastAsia="標楷體" w:hint="eastAsia"/>
                <w:bCs/>
              </w:rPr>
              <w:t>75</w:t>
            </w:r>
            <w:r w:rsidRPr="00A571DF">
              <w:rPr>
                <w:rFonts w:eastAsia="標楷體"/>
                <w:bCs/>
              </w:rPr>
              <w:t>分，每增（減）</w:t>
            </w:r>
            <w:r w:rsidRPr="00A571DF">
              <w:rPr>
                <w:rFonts w:eastAsia="標楷體"/>
                <w:bCs/>
              </w:rPr>
              <w:t>1</w:t>
            </w:r>
            <w:r w:rsidRPr="00A571DF">
              <w:rPr>
                <w:rFonts w:eastAsia="標楷體"/>
                <w:bCs/>
              </w:rPr>
              <w:t>家機構，加（減）</w:t>
            </w:r>
            <w:r w:rsidRPr="00A571DF">
              <w:rPr>
                <w:rFonts w:eastAsia="標楷體"/>
                <w:bCs/>
              </w:rPr>
              <w:t>2</w:t>
            </w:r>
            <w:r w:rsidRPr="00A571DF">
              <w:rPr>
                <w:rFonts w:eastAsia="標楷體"/>
                <w:bCs/>
              </w:rPr>
              <w:t>分。另辦理下列任務，每項加分如下：</w:t>
            </w:r>
          </w:p>
          <w:p w:rsidR="00FB31DD" w:rsidRPr="00A571DF" w:rsidRDefault="00FB31DD" w:rsidP="00AE27FF">
            <w:pPr>
              <w:keepLines/>
              <w:widowControl/>
              <w:suppressLineNumbers/>
              <w:suppressAutoHyphens/>
              <w:snapToGrid w:val="0"/>
              <w:spacing w:after="120"/>
              <w:ind w:left="240" w:hangingChars="100" w:hanging="240"/>
              <w:jc w:val="both"/>
              <w:rPr>
                <w:rFonts w:eastAsia="標楷體"/>
                <w:bCs/>
              </w:rPr>
            </w:pPr>
            <w:r w:rsidRPr="00A571DF">
              <w:rPr>
                <w:rFonts w:eastAsia="標楷體"/>
                <w:bCs/>
              </w:rPr>
              <w:t>1.</w:t>
            </w:r>
            <w:r w:rsidRPr="00A571DF">
              <w:rPr>
                <w:rFonts w:eastAsia="標楷體"/>
                <w:bCs/>
              </w:rPr>
              <w:t>主持國際研究並獲國際組織正式發布者，每件加</w:t>
            </w:r>
            <w:r w:rsidRPr="00A571DF">
              <w:rPr>
                <w:rFonts w:eastAsia="標楷體"/>
                <w:bCs/>
              </w:rPr>
              <w:t>3</w:t>
            </w:r>
            <w:r w:rsidRPr="00A571DF">
              <w:rPr>
                <w:rFonts w:eastAsia="標楷體"/>
                <w:bCs/>
              </w:rPr>
              <w:t>分；參與國際研究並獲國際組織正式發布者，每件加</w:t>
            </w:r>
            <w:r w:rsidRPr="00A571DF">
              <w:rPr>
                <w:rFonts w:eastAsia="標楷體"/>
                <w:bCs/>
              </w:rPr>
              <w:t>2</w:t>
            </w:r>
            <w:r w:rsidRPr="00A571DF">
              <w:rPr>
                <w:rFonts w:eastAsia="標楷體"/>
                <w:bCs/>
              </w:rPr>
              <w:t>分。</w:t>
            </w:r>
          </w:p>
          <w:p w:rsidR="00FB31DD" w:rsidRPr="00A571DF" w:rsidRDefault="00FB31DD" w:rsidP="00AE27FF">
            <w:pPr>
              <w:keepLines/>
              <w:widowControl/>
              <w:suppressLineNumbers/>
              <w:suppressAutoHyphens/>
              <w:snapToGrid w:val="0"/>
              <w:spacing w:after="120"/>
              <w:jc w:val="both"/>
              <w:rPr>
                <w:rFonts w:eastAsia="標楷體"/>
                <w:bCs/>
              </w:rPr>
            </w:pPr>
            <w:r w:rsidRPr="00A571DF">
              <w:rPr>
                <w:rFonts w:eastAsia="標楷體"/>
                <w:bCs/>
              </w:rPr>
              <w:t>2.</w:t>
            </w:r>
            <w:r w:rsidRPr="00A571DF">
              <w:rPr>
                <w:rFonts w:eastAsia="標楷體"/>
                <w:bCs/>
              </w:rPr>
              <w:t>辦理國際會議，每辦理</w:t>
            </w:r>
            <w:r w:rsidRPr="00A571DF">
              <w:rPr>
                <w:rFonts w:eastAsia="標楷體"/>
                <w:bCs/>
              </w:rPr>
              <w:t>1</w:t>
            </w:r>
            <w:r w:rsidRPr="00A571DF">
              <w:rPr>
                <w:rFonts w:eastAsia="標楷體"/>
                <w:bCs/>
              </w:rPr>
              <w:t>件加</w:t>
            </w:r>
            <w:r w:rsidRPr="00A571DF">
              <w:rPr>
                <w:rFonts w:eastAsia="標楷體"/>
                <w:bCs/>
              </w:rPr>
              <w:t>3</w:t>
            </w:r>
            <w:r w:rsidRPr="00A571DF">
              <w:rPr>
                <w:rFonts w:eastAsia="標楷體"/>
                <w:bCs/>
              </w:rPr>
              <w:t>分。</w:t>
            </w:r>
          </w:p>
          <w:p w:rsidR="00FB31DD" w:rsidRPr="00A571DF" w:rsidRDefault="00FB31DD" w:rsidP="00DE6634">
            <w:pPr>
              <w:keepLines/>
              <w:widowControl/>
              <w:suppressLineNumbers/>
              <w:suppressAutoHyphens/>
              <w:spacing w:afterLines="50" w:after="180" w:line="320" w:lineRule="exact"/>
              <w:ind w:left="293" w:right="28" w:hangingChars="122" w:hanging="293"/>
              <w:jc w:val="both"/>
              <w:rPr>
                <w:rFonts w:eastAsia="標楷體"/>
                <w:szCs w:val="24"/>
              </w:rPr>
            </w:pPr>
            <w:r w:rsidRPr="00A571DF">
              <w:rPr>
                <w:rFonts w:eastAsia="標楷體" w:hint="eastAsia"/>
                <w:szCs w:val="24"/>
              </w:rPr>
              <w:lastRenderedPageBreak/>
              <w:t>3.</w:t>
            </w:r>
            <w:r w:rsidRPr="00A571DF">
              <w:rPr>
                <w:rFonts w:eastAsia="標楷體" w:hint="eastAsia"/>
                <w:szCs w:val="24"/>
              </w:rPr>
              <w:t>「擔任國際組織主席、秘書長或財務長或相關委員會主席等重要職務」，每件加</w:t>
            </w:r>
            <w:r w:rsidRPr="00A571DF">
              <w:rPr>
                <w:rFonts w:eastAsia="標楷體" w:hint="eastAsia"/>
                <w:szCs w:val="24"/>
              </w:rPr>
              <w:t>2</w:t>
            </w:r>
            <w:r w:rsidRPr="00A571DF">
              <w:rPr>
                <w:rFonts w:eastAsia="標楷體" w:hint="eastAsia"/>
                <w:szCs w:val="24"/>
              </w:rPr>
              <w:t>分。</w:t>
            </w:r>
          </w:p>
          <w:p w:rsidR="00FB31DD" w:rsidRPr="00A571DF" w:rsidRDefault="00FB31DD" w:rsidP="00DE6634">
            <w:pPr>
              <w:keepLines/>
              <w:widowControl/>
              <w:suppressLineNumbers/>
              <w:suppressAutoHyphens/>
              <w:spacing w:afterLines="50" w:after="180" w:line="320" w:lineRule="exact"/>
              <w:ind w:left="293" w:right="28" w:hangingChars="122" w:hanging="293"/>
              <w:jc w:val="both"/>
              <w:rPr>
                <w:rFonts w:eastAsia="標楷體"/>
                <w:sz w:val="22"/>
              </w:rPr>
            </w:pPr>
            <w:r w:rsidRPr="00A571DF">
              <w:rPr>
                <w:rFonts w:eastAsia="標楷體" w:hint="eastAsia"/>
                <w:szCs w:val="24"/>
              </w:rPr>
              <w:t>4.</w:t>
            </w:r>
            <w:r w:rsidRPr="00A571DF">
              <w:rPr>
                <w:rFonts w:eastAsia="標楷體" w:hint="eastAsia"/>
                <w:szCs w:val="24"/>
              </w:rPr>
              <w:t>「擔任國際組織副主席、理事或相關委員會副主席等重要職務」，每件加</w:t>
            </w:r>
            <w:r w:rsidRPr="00A571DF">
              <w:rPr>
                <w:rFonts w:eastAsia="標楷體" w:hint="eastAsia"/>
                <w:szCs w:val="24"/>
              </w:rPr>
              <w:t>1</w:t>
            </w:r>
            <w:r w:rsidRPr="00A571DF">
              <w:rPr>
                <w:rFonts w:eastAsia="標楷體" w:hint="eastAsia"/>
                <w:szCs w:val="24"/>
              </w:rPr>
              <w:t>分。</w:t>
            </w:r>
          </w:p>
        </w:tc>
      </w:tr>
      <w:tr w:rsidR="00A571DF" w:rsidRPr="00A571DF" w:rsidTr="00254BB1">
        <w:trPr>
          <w:jc w:val="center"/>
        </w:trPr>
        <w:tc>
          <w:tcPr>
            <w:tcW w:w="509" w:type="dxa"/>
            <w:vMerge/>
            <w:vAlign w:val="center"/>
          </w:tcPr>
          <w:p w:rsidR="00FB31DD" w:rsidRPr="00A571DF" w:rsidRDefault="00FB31DD">
            <w:pPr>
              <w:snapToGrid w:val="0"/>
              <w:jc w:val="center"/>
              <w:rPr>
                <w:rFonts w:eastAsia="標楷體"/>
              </w:rPr>
            </w:pPr>
          </w:p>
        </w:tc>
        <w:tc>
          <w:tcPr>
            <w:tcW w:w="1838" w:type="dxa"/>
            <w:tcBorders>
              <w:top w:val="nil"/>
            </w:tcBorders>
            <w:vAlign w:val="center"/>
          </w:tcPr>
          <w:p w:rsidR="00FB31DD" w:rsidRPr="00A571DF" w:rsidRDefault="00FB31DD">
            <w:pPr>
              <w:kinsoku w:val="0"/>
              <w:overflowPunct w:val="0"/>
              <w:autoSpaceDE w:val="0"/>
              <w:autoSpaceDN w:val="0"/>
              <w:snapToGrid w:val="0"/>
              <w:ind w:left="212" w:hanging="212"/>
              <w:jc w:val="both"/>
              <w:rPr>
                <w:rFonts w:eastAsia="標楷體"/>
                <w:snapToGrid w:val="0"/>
                <w:kern w:val="0"/>
              </w:rPr>
            </w:pPr>
          </w:p>
        </w:tc>
        <w:tc>
          <w:tcPr>
            <w:tcW w:w="2752" w:type="dxa"/>
            <w:tcBorders>
              <w:top w:val="single" w:sz="4" w:space="0" w:color="auto"/>
            </w:tcBorders>
          </w:tcPr>
          <w:p w:rsidR="00FB31DD" w:rsidRPr="00A571DF" w:rsidRDefault="00581094" w:rsidP="002A7B5D">
            <w:pPr>
              <w:keepLines/>
              <w:widowControl/>
              <w:suppressLineNumbers/>
              <w:suppressAutoHyphens/>
              <w:snapToGrid w:val="0"/>
              <w:ind w:left="360" w:hangingChars="150" w:hanging="360"/>
              <w:jc w:val="both"/>
              <w:rPr>
                <w:rFonts w:eastAsia="標楷體"/>
              </w:rPr>
            </w:pPr>
            <w:r w:rsidRPr="00A571DF">
              <w:rPr>
                <w:rFonts w:eastAsia="標楷體" w:hint="eastAsia"/>
              </w:rPr>
              <w:t>4.5</w:t>
            </w:r>
            <w:r w:rsidR="00FB31DD" w:rsidRPr="00A571DF">
              <w:rPr>
                <w:rFonts w:eastAsia="標楷體" w:cs="標楷體" w:hint="eastAsia"/>
              </w:rPr>
              <w:t>社會大眾對存保政策、理念認知度之調查</w:t>
            </w:r>
          </w:p>
          <w:p w:rsidR="00FB31DD" w:rsidRPr="00A571DF" w:rsidRDefault="00FB31DD" w:rsidP="00AE27FF">
            <w:pPr>
              <w:keepLines/>
              <w:widowControl/>
              <w:suppressLineNumbers/>
              <w:suppressAutoHyphens/>
              <w:snapToGrid w:val="0"/>
              <w:ind w:left="480" w:hangingChars="200" w:hanging="480"/>
              <w:jc w:val="both"/>
              <w:rPr>
                <w:rFonts w:eastAsia="標楷體"/>
              </w:rPr>
            </w:pPr>
          </w:p>
          <w:p w:rsidR="00FB31DD" w:rsidRPr="00A571DF" w:rsidRDefault="00FB31DD" w:rsidP="00AE27FF">
            <w:pPr>
              <w:keepLines/>
              <w:widowControl/>
              <w:suppressLineNumbers/>
              <w:suppressAutoHyphens/>
              <w:snapToGrid w:val="0"/>
              <w:ind w:leftChars="50" w:left="120"/>
              <w:jc w:val="both"/>
              <w:rPr>
                <w:rFonts w:eastAsia="標楷體"/>
              </w:rPr>
            </w:pPr>
            <w:r w:rsidRPr="00A571DF">
              <w:rPr>
                <w:rFonts w:eastAsia="標楷體" w:cs="標楷體" w:hint="eastAsia"/>
              </w:rPr>
              <w:t>委託專業團體對社會大眾進行系統抽樣調查</w:t>
            </w:r>
          </w:p>
        </w:tc>
        <w:tc>
          <w:tcPr>
            <w:tcW w:w="540" w:type="dxa"/>
          </w:tcPr>
          <w:p w:rsidR="00FB31DD" w:rsidRPr="00A571DF" w:rsidRDefault="00FB31DD" w:rsidP="00AE27FF">
            <w:pPr>
              <w:keepLines/>
              <w:widowControl/>
              <w:suppressLineNumbers/>
              <w:suppressAutoHyphens/>
              <w:spacing w:line="340" w:lineRule="exact"/>
              <w:ind w:left="5" w:right="5"/>
              <w:jc w:val="center"/>
              <w:rPr>
                <w:rFonts w:eastAsia="標楷體"/>
                <w:szCs w:val="24"/>
              </w:rPr>
            </w:pPr>
            <w:r w:rsidRPr="00A571DF">
              <w:rPr>
                <w:rFonts w:eastAsia="標楷體"/>
                <w:szCs w:val="24"/>
              </w:rPr>
              <w:t>8</w:t>
            </w:r>
          </w:p>
        </w:tc>
        <w:tc>
          <w:tcPr>
            <w:tcW w:w="3780" w:type="dxa"/>
          </w:tcPr>
          <w:p w:rsidR="00FB31DD" w:rsidRPr="00A571DF" w:rsidRDefault="00581094" w:rsidP="00581094">
            <w:pPr>
              <w:keepLines/>
              <w:widowControl/>
              <w:suppressLineNumbers/>
              <w:suppressAutoHyphens/>
              <w:snapToGrid w:val="0"/>
              <w:spacing w:after="120"/>
              <w:ind w:left="552" w:hangingChars="230" w:hanging="552"/>
              <w:jc w:val="both"/>
              <w:rPr>
                <w:rFonts w:eastAsia="標楷體"/>
              </w:rPr>
            </w:pPr>
            <w:r w:rsidRPr="00A571DF">
              <w:rPr>
                <w:rFonts w:eastAsia="標楷體" w:hint="eastAsia"/>
              </w:rPr>
              <w:t>4.5.1</w:t>
            </w:r>
            <w:r w:rsidR="00FB31DD" w:rsidRPr="00A571DF">
              <w:rPr>
                <w:rFonts w:eastAsia="標楷體" w:cs="標楷體" w:hint="eastAsia"/>
              </w:rPr>
              <w:t>問卷調查認知度</w:t>
            </w:r>
            <w:r w:rsidR="00FB31DD" w:rsidRPr="00A571DF">
              <w:rPr>
                <w:rFonts w:eastAsia="標楷體" w:hint="eastAsia"/>
              </w:rPr>
              <w:t>70</w:t>
            </w:r>
            <w:r w:rsidR="00FB31DD" w:rsidRPr="00A571DF">
              <w:rPr>
                <w:rFonts w:eastAsia="標楷體"/>
              </w:rPr>
              <w:t>%</w:t>
            </w:r>
            <w:r w:rsidR="00FB31DD" w:rsidRPr="00A571DF">
              <w:rPr>
                <w:rFonts w:eastAsia="標楷體" w:cs="標楷體" w:hint="eastAsia"/>
              </w:rPr>
              <w:t>者得基準分</w:t>
            </w:r>
            <w:r w:rsidR="00FB31DD" w:rsidRPr="00A571DF">
              <w:rPr>
                <w:rFonts w:eastAsia="標楷體"/>
              </w:rPr>
              <w:t>80</w:t>
            </w:r>
            <w:r w:rsidR="00FB31DD" w:rsidRPr="00A571DF">
              <w:rPr>
                <w:rFonts w:eastAsia="標楷體" w:cs="標楷體" w:hint="eastAsia"/>
              </w:rPr>
              <w:t>分，每增（減）</w:t>
            </w:r>
            <w:r w:rsidR="00FB31DD" w:rsidRPr="00A571DF">
              <w:rPr>
                <w:rFonts w:eastAsia="標楷體"/>
              </w:rPr>
              <w:t>1</w:t>
            </w:r>
            <w:r w:rsidR="00FB31DD" w:rsidRPr="00A571DF">
              <w:rPr>
                <w:rFonts w:eastAsia="標楷體" w:cs="標楷體" w:hint="eastAsia"/>
              </w:rPr>
              <w:t>個百分點，加（減）</w:t>
            </w:r>
            <w:r w:rsidR="00FB31DD" w:rsidRPr="00A571DF">
              <w:rPr>
                <w:rFonts w:eastAsia="標楷體"/>
              </w:rPr>
              <w:t>1</w:t>
            </w:r>
            <w:r w:rsidR="00FB31DD" w:rsidRPr="00A571DF">
              <w:rPr>
                <w:rFonts w:eastAsia="標楷體" w:cs="標楷體" w:hint="eastAsia"/>
              </w:rPr>
              <w:t>分。（</w:t>
            </w:r>
            <w:r w:rsidR="00FB31DD" w:rsidRPr="00A571DF">
              <w:rPr>
                <w:rFonts w:eastAsia="標楷體"/>
              </w:rPr>
              <w:t>50%</w:t>
            </w:r>
            <w:r w:rsidR="00FB31DD" w:rsidRPr="00A571DF">
              <w:rPr>
                <w:rFonts w:eastAsia="標楷體" w:cs="標楷體" w:hint="eastAsia"/>
              </w:rPr>
              <w:t>）</w:t>
            </w:r>
          </w:p>
          <w:p w:rsidR="00FB31DD" w:rsidRPr="00A571DF" w:rsidRDefault="00581094" w:rsidP="00B77A61">
            <w:pPr>
              <w:keepLines/>
              <w:widowControl/>
              <w:suppressLineNumbers/>
              <w:suppressAutoHyphens/>
              <w:snapToGrid w:val="0"/>
              <w:spacing w:after="120"/>
              <w:ind w:left="552" w:hangingChars="230" w:hanging="552"/>
              <w:jc w:val="both"/>
              <w:rPr>
                <w:rFonts w:eastAsia="標楷體"/>
              </w:rPr>
            </w:pPr>
            <w:r w:rsidRPr="00A571DF">
              <w:rPr>
                <w:rFonts w:eastAsia="標楷體" w:hint="eastAsia"/>
              </w:rPr>
              <w:t>4.5</w:t>
            </w:r>
            <w:r w:rsidR="00FB31DD" w:rsidRPr="00A571DF">
              <w:rPr>
                <w:rFonts w:eastAsia="標楷體"/>
              </w:rPr>
              <w:t>.2</w:t>
            </w:r>
            <w:r w:rsidR="00FB31DD" w:rsidRPr="00A571DF">
              <w:rPr>
                <w:rFonts w:eastAsia="標楷體" w:cs="標楷體" w:hint="eastAsia"/>
              </w:rPr>
              <w:t>與去年的調查結果比較，認知度相同者，得基準分</w:t>
            </w:r>
            <w:r w:rsidR="00FB31DD" w:rsidRPr="00A571DF">
              <w:rPr>
                <w:rFonts w:eastAsia="標楷體"/>
              </w:rPr>
              <w:t>75</w:t>
            </w:r>
            <w:r w:rsidR="00FB31DD" w:rsidRPr="00A571DF">
              <w:rPr>
                <w:rFonts w:eastAsia="標楷體" w:cs="標楷體" w:hint="eastAsia"/>
              </w:rPr>
              <w:t>分，每增（減）</w:t>
            </w:r>
            <w:r w:rsidR="00FB31DD" w:rsidRPr="00A571DF">
              <w:rPr>
                <w:rFonts w:eastAsia="標楷體"/>
              </w:rPr>
              <w:t>1</w:t>
            </w:r>
            <w:r w:rsidR="00FB31DD" w:rsidRPr="00A571DF">
              <w:rPr>
                <w:rFonts w:eastAsia="標楷體" w:cs="標楷體" w:hint="eastAsia"/>
              </w:rPr>
              <w:t>個百分點，加（減）</w:t>
            </w:r>
            <w:r w:rsidR="00FB31DD" w:rsidRPr="00A571DF">
              <w:rPr>
                <w:rFonts w:eastAsia="標楷體"/>
              </w:rPr>
              <w:t>1</w:t>
            </w:r>
            <w:r w:rsidR="00FB31DD" w:rsidRPr="00A571DF">
              <w:rPr>
                <w:rFonts w:eastAsia="標楷體" w:cs="標楷體" w:hint="eastAsia"/>
              </w:rPr>
              <w:t>分（</w:t>
            </w:r>
            <w:r w:rsidR="00FB31DD" w:rsidRPr="00A571DF">
              <w:rPr>
                <w:rFonts w:eastAsia="標楷體"/>
              </w:rPr>
              <w:t>50%</w:t>
            </w:r>
            <w:r w:rsidR="00FB31DD" w:rsidRPr="00A571DF">
              <w:rPr>
                <w:rFonts w:eastAsia="標楷體" w:cs="標楷體" w:hint="eastAsia"/>
              </w:rPr>
              <w:t>）</w:t>
            </w:r>
          </w:p>
        </w:tc>
      </w:tr>
      <w:tr w:rsidR="00A571DF" w:rsidRPr="00A571DF" w:rsidTr="004571DB">
        <w:trPr>
          <w:jc w:val="center"/>
        </w:trPr>
        <w:tc>
          <w:tcPr>
            <w:tcW w:w="509" w:type="dxa"/>
          </w:tcPr>
          <w:p w:rsidR="004906E6" w:rsidRPr="00A571DF" w:rsidRDefault="004906E6" w:rsidP="00727AC0">
            <w:pPr>
              <w:snapToGrid w:val="0"/>
              <w:jc w:val="center"/>
              <w:rPr>
                <w:rFonts w:eastAsia="標楷體"/>
              </w:rPr>
            </w:pPr>
            <w:r w:rsidRPr="00A571DF">
              <w:rPr>
                <w:rFonts w:eastAsia="標楷體" w:cs="標楷體" w:hint="eastAsia"/>
              </w:rPr>
              <w:t>財務</w:t>
            </w:r>
          </w:p>
          <w:p w:rsidR="004906E6" w:rsidRPr="00A571DF" w:rsidRDefault="004906E6" w:rsidP="00727AC0">
            <w:pPr>
              <w:snapToGrid w:val="0"/>
              <w:jc w:val="center"/>
              <w:rPr>
                <w:rFonts w:eastAsia="標楷體"/>
              </w:rPr>
            </w:pPr>
            <w:r w:rsidRPr="00A571DF">
              <w:rPr>
                <w:rFonts w:eastAsia="標楷體" w:cs="標楷體" w:hint="eastAsia"/>
              </w:rPr>
              <w:t>管理</w:t>
            </w:r>
          </w:p>
          <w:p w:rsidR="004906E6" w:rsidRPr="00A571DF" w:rsidRDefault="004906E6" w:rsidP="00727AC0">
            <w:pPr>
              <w:snapToGrid w:val="0"/>
              <w:jc w:val="center"/>
              <w:rPr>
                <w:rFonts w:eastAsia="標楷體"/>
              </w:rPr>
            </w:pPr>
            <w:r w:rsidRPr="00A571DF">
              <w:rPr>
                <w:rFonts w:eastAsia="標楷體" w:hint="eastAsia"/>
              </w:rPr>
              <w:t>1</w:t>
            </w:r>
            <w:r w:rsidR="00F25ABE" w:rsidRPr="00A571DF">
              <w:rPr>
                <w:rFonts w:eastAsia="標楷體" w:hint="eastAsia"/>
              </w:rPr>
              <w:t>1</w:t>
            </w:r>
            <w:r w:rsidRPr="00A571DF">
              <w:rPr>
                <w:rFonts w:eastAsia="標楷體"/>
              </w:rPr>
              <w:t>%</w:t>
            </w:r>
          </w:p>
        </w:tc>
        <w:tc>
          <w:tcPr>
            <w:tcW w:w="1838" w:type="dxa"/>
          </w:tcPr>
          <w:p w:rsidR="004906E6" w:rsidRPr="00A571DF" w:rsidRDefault="00581094" w:rsidP="00AE27FF">
            <w:pPr>
              <w:keepLines/>
              <w:widowControl/>
              <w:suppressLineNumbers/>
              <w:suppressAutoHyphens/>
              <w:snapToGrid w:val="0"/>
              <w:ind w:left="240" w:hangingChars="100" w:hanging="240"/>
              <w:jc w:val="both"/>
              <w:rPr>
                <w:rFonts w:eastAsia="標楷體"/>
                <w:snapToGrid w:val="0"/>
                <w:kern w:val="0"/>
              </w:rPr>
            </w:pPr>
            <w:r w:rsidRPr="00A571DF">
              <w:rPr>
                <w:rFonts w:eastAsia="標楷體" w:hint="eastAsia"/>
                <w:snapToGrid w:val="0"/>
                <w:kern w:val="0"/>
              </w:rPr>
              <w:t>5.</w:t>
            </w:r>
            <w:r w:rsidR="00AF58C9" w:rsidRPr="00A571DF">
              <w:rPr>
                <w:rFonts w:eastAsia="標楷體" w:hint="eastAsia"/>
                <w:snapToGrid w:val="0"/>
                <w:kern w:val="0"/>
              </w:rPr>
              <w:t>衡量</w:t>
            </w:r>
            <w:r w:rsidR="004906E6" w:rsidRPr="00A571DF">
              <w:rPr>
                <w:rFonts w:eastAsia="標楷體" w:hint="eastAsia"/>
                <w:snapToGrid w:val="0"/>
                <w:kern w:val="0"/>
              </w:rPr>
              <w:t>資金運用效益</w:t>
            </w:r>
          </w:p>
        </w:tc>
        <w:tc>
          <w:tcPr>
            <w:tcW w:w="2752" w:type="dxa"/>
          </w:tcPr>
          <w:p w:rsidR="004906E6" w:rsidRPr="00A571DF" w:rsidRDefault="004906E6" w:rsidP="00AE27FF">
            <w:pPr>
              <w:keepLines/>
              <w:widowControl/>
              <w:suppressLineNumbers/>
              <w:suppressAutoHyphens/>
              <w:snapToGrid w:val="0"/>
              <w:ind w:left="175" w:hangingChars="73" w:hanging="175"/>
              <w:jc w:val="both"/>
              <w:rPr>
                <w:rFonts w:eastAsia="標楷體"/>
                <w:snapToGrid w:val="0"/>
                <w:kern w:val="0"/>
              </w:rPr>
            </w:pPr>
            <w:r w:rsidRPr="00A571DF">
              <w:rPr>
                <w:rFonts w:eastAsia="標楷體" w:cs="標楷體" w:hint="eastAsia"/>
                <w:kern w:val="0"/>
              </w:rPr>
              <w:t>（利息淨收入＋證券投資淨益損）</w:t>
            </w:r>
            <w:r w:rsidRPr="00A571DF">
              <w:rPr>
                <w:rFonts w:eastAsia="標楷體"/>
                <w:kern w:val="0"/>
              </w:rPr>
              <w:t>/</w:t>
            </w:r>
            <w:r w:rsidRPr="00A571DF">
              <w:rPr>
                <w:rFonts w:eastAsia="標楷體" w:cs="標楷體" w:hint="eastAsia"/>
                <w:kern w:val="0"/>
              </w:rPr>
              <w:t>（可孳息之銀行存款＋投資有價證券－債券附買回交易金額＋債券附賣回交易金額－向中央銀行或其他金融機構融資用以轉存其他金融機構之金額）之年度平均餘額×</w:t>
            </w:r>
            <w:r w:rsidRPr="00A571DF">
              <w:rPr>
                <w:rFonts w:eastAsia="標楷體"/>
                <w:kern w:val="0"/>
              </w:rPr>
              <w:t>100%</w:t>
            </w:r>
          </w:p>
        </w:tc>
        <w:tc>
          <w:tcPr>
            <w:tcW w:w="540" w:type="dxa"/>
          </w:tcPr>
          <w:p w:rsidR="004906E6" w:rsidRPr="00A571DF" w:rsidRDefault="004906E6" w:rsidP="00AE27FF">
            <w:pPr>
              <w:keepLines/>
              <w:widowControl/>
              <w:suppressLineNumbers/>
              <w:suppressAutoHyphens/>
              <w:snapToGrid w:val="0"/>
              <w:ind w:left="329" w:hangingChars="137" w:hanging="329"/>
              <w:jc w:val="center"/>
              <w:rPr>
                <w:rFonts w:eastAsia="標楷體"/>
                <w:sz w:val="22"/>
              </w:rPr>
            </w:pPr>
            <w:r w:rsidRPr="00A571DF">
              <w:rPr>
                <w:rFonts w:eastAsia="標楷體" w:hint="eastAsia"/>
                <w:szCs w:val="24"/>
              </w:rPr>
              <w:t>1</w:t>
            </w:r>
            <w:r w:rsidR="00F25ABE" w:rsidRPr="00A571DF">
              <w:rPr>
                <w:rFonts w:eastAsia="標楷體" w:hint="eastAsia"/>
                <w:szCs w:val="24"/>
              </w:rPr>
              <w:t>1</w:t>
            </w:r>
          </w:p>
        </w:tc>
        <w:tc>
          <w:tcPr>
            <w:tcW w:w="3780" w:type="dxa"/>
          </w:tcPr>
          <w:p w:rsidR="00AF58C9" w:rsidRPr="00A571DF" w:rsidRDefault="00581094" w:rsidP="00581094">
            <w:pPr>
              <w:pStyle w:val="3"/>
              <w:keepLines/>
              <w:widowControl/>
              <w:suppressLineNumbers/>
              <w:suppressAutoHyphens/>
              <w:snapToGrid w:val="0"/>
              <w:ind w:left="446" w:hangingChars="186" w:hanging="446"/>
              <w:rPr>
                <w:rFonts w:ascii="Times New Roman"/>
                <w:sz w:val="24"/>
                <w:szCs w:val="24"/>
              </w:rPr>
            </w:pPr>
            <w:r w:rsidRPr="00A571DF">
              <w:rPr>
                <w:rFonts w:ascii="Times New Roman" w:hint="eastAsia"/>
                <w:sz w:val="24"/>
                <w:szCs w:val="24"/>
              </w:rPr>
              <w:t>5.1</w:t>
            </w:r>
            <w:r w:rsidR="00AF58C9" w:rsidRPr="00A571DF">
              <w:rPr>
                <w:rFonts w:ascii="Times New Roman" w:hint="eastAsia"/>
                <w:sz w:val="24"/>
                <w:szCs w:val="24"/>
              </w:rPr>
              <w:t>達成年度預算目標者得基準分</w:t>
            </w:r>
            <w:r w:rsidR="00AF58C9" w:rsidRPr="00A571DF">
              <w:rPr>
                <w:rFonts w:ascii="Times New Roman" w:hint="eastAsia"/>
                <w:sz w:val="24"/>
                <w:szCs w:val="24"/>
              </w:rPr>
              <w:t>80</w:t>
            </w:r>
            <w:r w:rsidR="00AF58C9" w:rsidRPr="00A571DF">
              <w:rPr>
                <w:rFonts w:ascii="Times New Roman" w:hint="eastAsia"/>
                <w:sz w:val="24"/>
                <w:szCs w:val="24"/>
              </w:rPr>
              <w:t>分，每增（減）</w:t>
            </w:r>
            <w:r w:rsidR="00AF58C9" w:rsidRPr="00A571DF">
              <w:rPr>
                <w:rFonts w:ascii="Times New Roman" w:hint="eastAsia"/>
                <w:sz w:val="24"/>
                <w:szCs w:val="24"/>
              </w:rPr>
              <w:t>0.5</w:t>
            </w:r>
            <w:r w:rsidR="00AF58C9" w:rsidRPr="00A571DF">
              <w:rPr>
                <w:rFonts w:ascii="Times New Roman" w:hint="eastAsia"/>
                <w:sz w:val="24"/>
                <w:szCs w:val="24"/>
              </w:rPr>
              <w:t>個百分點，加（減）</w:t>
            </w:r>
            <w:r w:rsidR="00AF58C9" w:rsidRPr="00A571DF">
              <w:rPr>
                <w:rFonts w:ascii="Times New Roman" w:hint="eastAsia"/>
                <w:sz w:val="24"/>
                <w:szCs w:val="24"/>
              </w:rPr>
              <w:t>1</w:t>
            </w:r>
            <w:r w:rsidR="00AF58C9" w:rsidRPr="00A571DF">
              <w:rPr>
                <w:rFonts w:ascii="Times New Roman" w:hint="eastAsia"/>
                <w:sz w:val="24"/>
                <w:szCs w:val="24"/>
              </w:rPr>
              <w:t>分（</w:t>
            </w:r>
            <w:r w:rsidR="00AF58C9" w:rsidRPr="00A571DF">
              <w:rPr>
                <w:rFonts w:ascii="Times New Roman" w:hint="eastAsia"/>
                <w:sz w:val="24"/>
                <w:szCs w:val="24"/>
              </w:rPr>
              <w:t>25%</w:t>
            </w:r>
            <w:r w:rsidR="00AF58C9" w:rsidRPr="00A571DF">
              <w:rPr>
                <w:rFonts w:ascii="Times New Roman" w:hint="eastAsia"/>
                <w:sz w:val="24"/>
                <w:szCs w:val="24"/>
              </w:rPr>
              <w:t>）。</w:t>
            </w:r>
          </w:p>
          <w:p w:rsidR="00AF58C9" w:rsidRPr="00A571DF" w:rsidRDefault="00581094" w:rsidP="00581094">
            <w:pPr>
              <w:pStyle w:val="3"/>
              <w:keepLines/>
              <w:widowControl/>
              <w:suppressLineNumbers/>
              <w:suppressAutoHyphens/>
              <w:snapToGrid w:val="0"/>
              <w:ind w:left="446" w:hangingChars="186" w:hanging="446"/>
              <w:rPr>
                <w:rFonts w:ascii="Times New Roman"/>
                <w:sz w:val="24"/>
                <w:szCs w:val="24"/>
              </w:rPr>
            </w:pPr>
            <w:r w:rsidRPr="00A571DF">
              <w:rPr>
                <w:rFonts w:ascii="Times New Roman" w:hint="eastAsia"/>
                <w:sz w:val="24"/>
                <w:szCs w:val="24"/>
              </w:rPr>
              <w:t>5.2</w:t>
            </w:r>
            <w:r w:rsidR="00AF58C9" w:rsidRPr="00A571DF">
              <w:rPr>
                <w:rFonts w:ascii="Times New Roman" w:hint="eastAsia"/>
                <w:sz w:val="24"/>
                <w:szCs w:val="24"/>
              </w:rPr>
              <w:t>與當年度央行各天期定存利率比較，相同者得基準分</w:t>
            </w:r>
            <w:r w:rsidR="00AF58C9" w:rsidRPr="00A571DF">
              <w:rPr>
                <w:rFonts w:ascii="Times New Roman" w:hint="eastAsia"/>
                <w:sz w:val="24"/>
                <w:szCs w:val="24"/>
              </w:rPr>
              <w:t>80</w:t>
            </w:r>
            <w:r w:rsidR="00AF58C9" w:rsidRPr="00A571DF">
              <w:rPr>
                <w:rFonts w:ascii="Times New Roman" w:hint="eastAsia"/>
                <w:sz w:val="24"/>
                <w:szCs w:val="24"/>
              </w:rPr>
              <w:t>分，每增（減）</w:t>
            </w:r>
            <w:r w:rsidR="00AF58C9" w:rsidRPr="00A571DF">
              <w:rPr>
                <w:rFonts w:ascii="Times New Roman" w:hint="eastAsia"/>
                <w:sz w:val="24"/>
                <w:szCs w:val="24"/>
              </w:rPr>
              <w:t>0.02</w:t>
            </w:r>
            <w:r w:rsidR="00AF58C9" w:rsidRPr="00A571DF">
              <w:rPr>
                <w:rFonts w:ascii="Times New Roman" w:hint="eastAsia"/>
                <w:sz w:val="24"/>
                <w:szCs w:val="24"/>
              </w:rPr>
              <w:t>個百分點，加（減）</w:t>
            </w:r>
            <w:r w:rsidR="00AF58C9" w:rsidRPr="00A571DF">
              <w:rPr>
                <w:rFonts w:ascii="Times New Roman" w:hint="eastAsia"/>
                <w:sz w:val="24"/>
                <w:szCs w:val="24"/>
              </w:rPr>
              <w:t>1</w:t>
            </w:r>
            <w:r w:rsidR="00AF58C9" w:rsidRPr="00A571DF">
              <w:rPr>
                <w:rFonts w:ascii="Times New Roman" w:hint="eastAsia"/>
                <w:sz w:val="24"/>
                <w:szCs w:val="24"/>
              </w:rPr>
              <w:t>分（</w:t>
            </w:r>
            <w:r w:rsidR="00AF58C9" w:rsidRPr="00A571DF">
              <w:rPr>
                <w:rFonts w:ascii="Times New Roman" w:hint="eastAsia"/>
                <w:sz w:val="24"/>
                <w:szCs w:val="24"/>
              </w:rPr>
              <w:t>25%</w:t>
            </w:r>
            <w:r w:rsidR="00AF58C9" w:rsidRPr="00A571DF">
              <w:rPr>
                <w:rFonts w:ascii="Times New Roman" w:hint="eastAsia"/>
                <w:sz w:val="24"/>
                <w:szCs w:val="24"/>
              </w:rPr>
              <w:t>）。</w:t>
            </w:r>
          </w:p>
          <w:p w:rsidR="004906E6" w:rsidRPr="00A571DF" w:rsidRDefault="00581094" w:rsidP="00581094">
            <w:pPr>
              <w:pStyle w:val="3"/>
              <w:keepLines/>
              <w:widowControl/>
              <w:suppressLineNumbers/>
              <w:suppressAutoHyphens/>
              <w:snapToGrid w:val="0"/>
              <w:ind w:left="446" w:hangingChars="186" w:hanging="446"/>
              <w:rPr>
                <w:rFonts w:ascii="Times New Roman"/>
                <w:sz w:val="24"/>
                <w:szCs w:val="24"/>
              </w:rPr>
            </w:pPr>
            <w:r w:rsidRPr="00A571DF">
              <w:rPr>
                <w:rFonts w:ascii="Times New Roman" w:hint="eastAsia"/>
                <w:sz w:val="24"/>
                <w:szCs w:val="24"/>
              </w:rPr>
              <w:t>5</w:t>
            </w:r>
            <w:r w:rsidR="00AF58C9" w:rsidRPr="00A571DF">
              <w:rPr>
                <w:rFonts w:ascii="Times New Roman" w:hint="eastAsia"/>
                <w:sz w:val="24"/>
                <w:szCs w:val="24"/>
              </w:rPr>
              <w:t>.3</w:t>
            </w:r>
            <w:r w:rsidR="00AF58C9" w:rsidRPr="00A571DF">
              <w:rPr>
                <w:rFonts w:ascii="Times New Roman" w:hint="eastAsia"/>
                <w:sz w:val="24"/>
                <w:szCs w:val="24"/>
              </w:rPr>
              <w:t>與去年實際數比較，相同者得基準分</w:t>
            </w:r>
            <w:r w:rsidR="00AF58C9" w:rsidRPr="00A571DF">
              <w:rPr>
                <w:rFonts w:ascii="Times New Roman" w:hint="eastAsia"/>
                <w:sz w:val="24"/>
                <w:szCs w:val="24"/>
              </w:rPr>
              <w:t>75</w:t>
            </w:r>
            <w:r w:rsidR="00AF58C9" w:rsidRPr="00A571DF">
              <w:rPr>
                <w:rFonts w:ascii="Times New Roman" w:hint="eastAsia"/>
                <w:sz w:val="24"/>
                <w:szCs w:val="24"/>
              </w:rPr>
              <w:t>分，每增（減）</w:t>
            </w:r>
            <w:r w:rsidR="00AF58C9" w:rsidRPr="00A571DF">
              <w:rPr>
                <w:rFonts w:ascii="Times New Roman" w:hint="eastAsia"/>
                <w:sz w:val="24"/>
                <w:szCs w:val="24"/>
              </w:rPr>
              <w:t>0.5</w:t>
            </w:r>
            <w:r w:rsidR="00AF58C9" w:rsidRPr="00A571DF">
              <w:rPr>
                <w:rFonts w:ascii="Times New Roman" w:hint="eastAsia"/>
                <w:sz w:val="24"/>
                <w:szCs w:val="24"/>
              </w:rPr>
              <w:t>個百分點，加（減）</w:t>
            </w:r>
            <w:r w:rsidR="00AF58C9" w:rsidRPr="00A571DF">
              <w:rPr>
                <w:rFonts w:ascii="Times New Roman" w:hint="eastAsia"/>
                <w:sz w:val="24"/>
                <w:szCs w:val="24"/>
              </w:rPr>
              <w:t>1</w:t>
            </w:r>
            <w:r w:rsidR="00AF58C9" w:rsidRPr="00A571DF">
              <w:rPr>
                <w:rFonts w:ascii="Times New Roman" w:hint="eastAsia"/>
                <w:sz w:val="24"/>
                <w:szCs w:val="24"/>
              </w:rPr>
              <w:t>分（</w:t>
            </w:r>
            <w:r w:rsidR="00AF58C9" w:rsidRPr="00A571DF">
              <w:rPr>
                <w:rFonts w:ascii="Times New Roman" w:hint="eastAsia"/>
                <w:sz w:val="24"/>
                <w:szCs w:val="24"/>
              </w:rPr>
              <w:t>50%</w:t>
            </w:r>
            <w:r w:rsidR="00AF58C9" w:rsidRPr="00A571DF">
              <w:rPr>
                <w:rFonts w:ascii="Times New Roman" w:hint="eastAsia"/>
                <w:sz w:val="24"/>
                <w:szCs w:val="24"/>
              </w:rPr>
              <w:t>）。</w:t>
            </w:r>
          </w:p>
          <w:p w:rsidR="00581094" w:rsidRPr="00A571DF" w:rsidRDefault="00581094" w:rsidP="00581094">
            <w:pPr>
              <w:pStyle w:val="3"/>
              <w:keepLines/>
              <w:widowControl/>
              <w:suppressLineNumbers/>
              <w:suppressAutoHyphens/>
              <w:snapToGrid w:val="0"/>
              <w:spacing w:line="380" w:lineRule="exact"/>
              <w:ind w:left="446" w:hangingChars="186" w:hanging="446"/>
              <w:rPr>
                <w:rFonts w:ascii="Times New Roman"/>
                <w:sz w:val="24"/>
                <w:szCs w:val="24"/>
              </w:rPr>
            </w:pPr>
            <w:r w:rsidRPr="00A571DF">
              <w:rPr>
                <w:rFonts w:ascii="Times New Roman" w:hint="eastAsia"/>
                <w:sz w:val="24"/>
                <w:szCs w:val="24"/>
              </w:rPr>
              <w:t>5.4</w:t>
            </w:r>
            <w:r w:rsidRPr="00A571DF">
              <w:rPr>
                <w:rFonts w:hint="eastAsia"/>
                <w:sz w:val="24"/>
                <w:szCs w:val="24"/>
              </w:rPr>
              <w:t>年度中辦理下列項目，列入加分：受主管機關書面委託管理資金，並定期出具績效報告，報送主管機關，當年度投資績效報酬率等於當年度基準指標利率時，加1分，當年度投資績效報酬率大於當年度基準指標利率時，加2分。(「當年度基準指標利率」為當年度2、5、10年期公債平均殖利率。)</w:t>
            </w:r>
          </w:p>
        </w:tc>
      </w:tr>
      <w:tr w:rsidR="00830999" w:rsidRPr="00A571DF" w:rsidTr="004571DB">
        <w:trPr>
          <w:jc w:val="center"/>
        </w:trPr>
        <w:tc>
          <w:tcPr>
            <w:tcW w:w="509" w:type="dxa"/>
          </w:tcPr>
          <w:p w:rsidR="00B56E61" w:rsidRPr="00A571DF" w:rsidRDefault="00B56E61" w:rsidP="00727AC0">
            <w:pPr>
              <w:kinsoku w:val="0"/>
              <w:overflowPunct w:val="0"/>
              <w:autoSpaceDE w:val="0"/>
              <w:autoSpaceDN w:val="0"/>
              <w:snapToGrid w:val="0"/>
              <w:jc w:val="center"/>
              <w:rPr>
                <w:rFonts w:eastAsia="標楷體"/>
              </w:rPr>
            </w:pPr>
            <w:r w:rsidRPr="00A571DF">
              <w:rPr>
                <w:rFonts w:eastAsia="標楷體" w:hint="eastAsia"/>
              </w:rPr>
              <w:t>人力</w:t>
            </w:r>
          </w:p>
          <w:p w:rsidR="00B56E61" w:rsidRPr="00A571DF" w:rsidRDefault="00B56E61" w:rsidP="00727AC0">
            <w:pPr>
              <w:kinsoku w:val="0"/>
              <w:overflowPunct w:val="0"/>
              <w:autoSpaceDE w:val="0"/>
              <w:autoSpaceDN w:val="0"/>
              <w:snapToGrid w:val="0"/>
              <w:jc w:val="center"/>
              <w:rPr>
                <w:rFonts w:eastAsia="標楷體"/>
              </w:rPr>
            </w:pPr>
            <w:r w:rsidRPr="00A571DF">
              <w:rPr>
                <w:rFonts w:eastAsia="標楷體" w:hint="eastAsia"/>
              </w:rPr>
              <w:t>資源</w:t>
            </w:r>
          </w:p>
          <w:p w:rsidR="00B56E61" w:rsidRPr="00A571DF" w:rsidRDefault="00B56E61" w:rsidP="00727AC0">
            <w:pPr>
              <w:snapToGrid w:val="0"/>
              <w:jc w:val="center"/>
              <w:rPr>
                <w:rFonts w:eastAsia="標楷體"/>
              </w:rPr>
            </w:pPr>
            <w:r w:rsidRPr="00A571DF">
              <w:rPr>
                <w:rFonts w:eastAsia="標楷體" w:hint="eastAsia"/>
              </w:rPr>
              <w:t>管</w:t>
            </w:r>
            <w:r w:rsidRPr="00A571DF">
              <w:rPr>
                <w:rFonts w:eastAsia="標楷體" w:hint="eastAsia"/>
              </w:rPr>
              <w:lastRenderedPageBreak/>
              <w:t>理</w:t>
            </w:r>
          </w:p>
          <w:p w:rsidR="00B56E61" w:rsidRPr="00A571DF" w:rsidRDefault="00581094" w:rsidP="00727AC0">
            <w:pPr>
              <w:snapToGrid w:val="0"/>
              <w:jc w:val="center"/>
              <w:rPr>
                <w:rFonts w:eastAsia="標楷體"/>
              </w:rPr>
            </w:pPr>
            <w:r w:rsidRPr="00A571DF">
              <w:rPr>
                <w:rFonts w:eastAsia="標楷體" w:hint="eastAsia"/>
              </w:rPr>
              <w:t>4</w:t>
            </w:r>
            <w:r w:rsidR="00B56E61" w:rsidRPr="00A571DF">
              <w:rPr>
                <w:rFonts w:eastAsia="標楷體" w:hint="eastAsia"/>
              </w:rPr>
              <w:t>%</w:t>
            </w:r>
          </w:p>
        </w:tc>
        <w:tc>
          <w:tcPr>
            <w:tcW w:w="1838" w:type="dxa"/>
          </w:tcPr>
          <w:p w:rsidR="00B56E61" w:rsidRPr="00A571DF" w:rsidRDefault="00581094" w:rsidP="00AE27FF">
            <w:pPr>
              <w:keepLines/>
              <w:widowControl/>
              <w:suppressLineNumbers/>
              <w:suppressAutoHyphens/>
              <w:snapToGrid w:val="0"/>
              <w:ind w:left="240" w:hangingChars="100" w:hanging="240"/>
              <w:jc w:val="both"/>
              <w:rPr>
                <w:rFonts w:eastAsia="標楷體"/>
                <w:bCs/>
              </w:rPr>
            </w:pPr>
            <w:r w:rsidRPr="00A571DF">
              <w:rPr>
                <w:rFonts w:eastAsia="標楷體" w:hint="eastAsia"/>
                <w:bCs/>
                <w:snapToGrid w:val="0"/>
                <w:kern w:val="0"/>
              </w:rPr>
              <w:lastRenderedPageBreak/>
              <w:t>6</w:t>
            </w:r>
            <w:r w:rsidR="00B56E61" w:rsidRPr="00A571DF">
              <w:rPr>
                <w:rFonts w:eastAsia="標楷體" w:hint="eastAsia"/>
                <w:bCs/>
                <w:snapToGrid w:val="0"/>
                <w:kern w:val="0"/>
              </w:rPr>
              <w:t>.</w:t>
            </w:r>
            <w:r w:rsidR="00B56E61" w:rsidRPr="00A571DF">
              <w:rPr>
                <w:rFonts w:eastAsia="標楷體" w:hint="eastAsia"/>
                <w:bCs/>
                <w:snapToGrid w:val="0"/>
                <w:kern w:val="0"/>
              </w:rPr>
              <w:t>用人</w:t>
            </w:r>
            <w:r w:rsidR="00B56E61" w:rsidRPr="00A571DF">
              <w:rPr>
                <w:rFonts w:eastAsia="標楷體" w:hint="eastAsia"/>
                <w:bCs/>
              </w:rPr>
              <w:t>費率</w:t>
            </w:r>
          </w:p>
        </w:tc>
        <w:tc>
          <w:tcPr>
            <w:tcW w:w="2752" w:type="dxa"/>
          </w:tcPr>
          <w:p w:rsidR="00B56E61" w:rsidRPr="00A571DF" w:rsidRDefault="00581094" w:rsidP="0020501B">
            <w:pPr>
              <w:keepLines/>
              <w:widowControl/>
              <w:suppressLineNumbers/>
              <w:suppressAutoHyphens/>
              <w:kinsoku w:val="0"/>
              <w:overflowPunct w:val="0"/>
              <w:autoSpaceDE w:val="0"/>
              <w:autoSpaceDN w:val="0"/>
              <w:snapToGrid w:val="0"/>
              <w:spacing w:line="380" w:lineRule="exact"/>
              <w:jc w:val="both"/>
              <w:rPr>
                <w:rFonts w:eastAsia="標楷體"/>
                <w:bCs/>
              </w:rPr>
            </w:pPr>
            <w:r w:rsidRPr="00A571DF">
              <w:rPr>
                <w:rFonts w:eastAsia="標楷體" w:hint="eastAsia"/>
                <w:bCs/>
              </w:rPr>
              <w:t>(</w:t>
            </w:r>
            <w:r w:rsidRPr="00A571DF">
              <w:rPr>
                <w:rFonts w:eastAsia="標楷體" w:hint="eastAsia"/>
                <w:bCs/>
              </w:rPr>
              <w:t>本年用人費率－前三年平均用人費率</w:t>
            </w:r>
            <w:r w:rsidRPr="00A571DF">
              <w:rPr>
                <w:rFonts w:eastAsia="標楷體" w:hint="eastAsia"/>
                <w:bCs/>
              </w:rPr>
              <w:t>)/</w:t>
            </w:r>
            <w:r w:rsidRPr="00A571DF">
              <w:rPr>
                <w:rFonts w:hint="eastAsia"/>
              </w:rPr>
              <w:t xml:space="preserve"> </w:t>
            </w:r>
            <w:r w:rsidRPr="00A571DF">
              <w:rPr>
                <w:rFonts w:eastAsia="標楷體" w:hint="eastAsia"/>
                <w:bCs/>
              </w:rPr>
              <w:t>前三年平均用人費率×</w:t>
            </w:r>
            <w:r w:rsidRPr="00A571DF">
              <w:rPr>
                <w:rFonts w:eastAsia="標楷體" w:hint="eastAsia"/>
                <w:bCs/>
              </w:rPr>
              <w:t>100%</w:t>
            </w:r>
          </w:p>
          <w:p w:rsidR="00B56E61" w:rsidRPr="00A571DF" w:rsidRDefault="00B56E61" w:rsidP="00AE27FF">
            <w:pPr>
              <w:keepLines/>
              <w:widowControl/>
              <w:suppressLineNumbers/>
              <w:suppressAutoHyphens/>
              <w:kinsoku w:val="0"/>
              <w:overflowPunct w:val="0"/>
              <w:autoSpaceDE w:val="0"/>
              <w:autoSpaceDN w:val="0"/>
              <w:snapToGrid w:val="0"/>
              <w:jc w:val="both"/>
              <w:rPr>
                <w:rFonts w:eastAsia="標楷體"/>
                <w:bCs/>
              </w:rPr>
            </w:pPr>
          </w:p>
          <w:p w:rsidR="00B56E61" w:rsidRPr="00A571DF" w:rsidRDefault="00B56E61" w:rsidP="004906E6">
            <w:pPr>
              <w:keepLines/>
              <w:widowControl/>
              <w:suppressLineNumbers/>
              <w:suppressAutoHyphens/>
              <w:spacing w:line="340" w:lineRule="exact"/>
              <w:ind w:left="5" w:right="5"/>
              <w:rPr>
                <w:rFonts w:eastAsia="標楷體"/>
                <w:sz w:val="22"/>
              </w:rPr>
            </w:pPr>
            <w:r w:rsidRPr="00A571DF">
              <w:rPr>
                <w:rFonts w:eastAsia="標楷體" w:hint="eastAsia"/>
                <w:bCs/>
              </w:rPr>
              <w:lastRenderedPageBreak/>
              <w:t>用人費率：用人費用</w:t>
            </w:r>
            <w:r w:rsidRPr="00A571DF">
              <w:rPr>
                <w:rFonts w:eastAsia="標楷體" w:hint="eastAsia"/>
                <w:bCs/>
              </w:rPr>
              <w:t>/</w:t>
            </w:r>
            <w:r w:rsidRPr="00A571DF">
              <w:rPr>
                <w:rFonts w:eastAsia="標楷體" w:hint="eastAsia"/>
                <w:bCs/>
              </w:rPr>
              <w:t>營業</w:t>
            </w:r>
            <w:r w:rsidRPr="00A571DF">
              <w:rPr>
                <w:rFonts w:eastAsia="標楷體" w:hint="eastAsia"/>
                <w:bCs/>
              </w:rPr>
              <w:t xml:space="preserve"> </w:t>
            </w:r>
            <w:r w:rsidRPr="00A571DF">
              <w:rPr>
                <w:rFonts w:eastAsia="標楷體" w:hint="eastAsia"/>
                <w:bCs/>
              </w:rPr>
              <w:t>收入×</w:t>
            </w:r>
            <w:r w:rsidRPr="00A571DF">
              <w:rPr>
                <w:rFonts w:eastAsia="標楷體" w:hint="eastAsia"/>
                <w:bCs/>
              </w:rPr>
              <w:t>100%</w:t>
            </w:r>
          </w:p>
        </w:tc>
        <w:tc>
          <w:tcPr>
            <w:tcW w:w="540" w:type="dxa"/>
          </w:tcPr>
          <w:p w:rsidR="00B56E61" w:rsidRPr="00A571DF" w:rsidRDefault="00B56E61" w:rsidP="00AE27FF">
            <w:pPr>
              <w:keepLines/>
              <w:widowControl/>
              <w:suppressLineNumbers/>
              <w:suppressAutoHyphens/>
              <w:spacing w:line="340" w:lineRule="exact"/>
              <w:ind w:left="5" w:right="5"/>
              <w:jc w:val="center"/>
              <w:rPr>
                <w:rFonts w:eastAsia="標楷體"/>
                <w:szCs w:val="24"/>
              </w:rPr>
            </w:pPr>
            <w:r w:rsidRPr="00A571DF">
              <w:rPr>
                <w:rFonts w:eastAsia="標楷體" w:hint="eastAsia"/>
                <w:szCs w:val="24"/>
              </w:rPr>
              <w:lastRenderedPageBreak/>
              <w:t>4</w:t>
            </w:r>
          </w:p>
        </w:tc>
        <w:tc>
          <w:tcPr>
            <w:tcW w:w="3780" w:type="dxa"/>
          </w:tcPr>
          <w:p w:rsidR="00B56E61" w:rsidRPr="00A571DF" w:rsidRDefault="00B56E61" w:rsidP="00830999">
            <w:pPr>
              <w:keepLines/>
              <w:widowControl/>
              <w:suppressLineNumbers/>
              <w:suppressAutoHyphens/>
              <w:kinsoku w:val="0"/>
              <w:overflowPunct w:val="0"/>
              <w:autoSpaceDE w:val="0"/>
              <w:autoSpaceDN w:val="0"/>
              <w:snapToGrid w:val="0"/>
              <w:jc w:val="both"/>
              <w:rPr>
                <w:rFonts w:eastAsia="標楷體"/>
                <w:sz w:val="22"/>
              </w:rPr>
            </w:pPr>
            <w:r w:rsidRPr="00A571DF">
              <w:rPr>
                <w:rFonts w:eastAsia="標楷體" w:hint="eastAsia"/>
                <w:bCs/>
              </w:rPr>
              <w:t>與</w:t>
            </w:r>
            <w:r w:rsidR="0020501B" w:rsidRPr="00A571DF">
              <w:rPr>
                <w:rFonts w:eastAsia="標楷體" w:hint="eastAsia"/>
                <w:szCs w:val="24"/>
              </w:rPr>
              <w:t>前</w:t>
            </w:r>
            <w:r w:rsidR="0020501B" w:rsidRPr="00A571DF">
              <w:rPr>
                <w:rFonts w:eastAsia="標楷體"/>
                <w:szCs w:val="24"/>
              </w:rPr>
              <w:t>3</w:t>
            </w:r>
            <w:r w:rsidR="0020501B" w:rsidRPr="00A571DF">
              <w:rPr>
                <w:rFonts w:eastAsia="標楷體" w:hint="eastAsia"/>
                <w:szCs w:val="24"/>
              </w:rPr>
              <w:t>年（審定決算）平均數</w:t>
            </w:r>
            <w:r w:rsidRPr="00A571DF">
              <w:rPr>
                <w:rFonts w:eastAsia="標楷體" w:hint="eastAsia"/>
                <w:bCs/>
              </w:rPr>
              <w:t>比較，相同者得基準分</w:t>
            </w:r>
            <w:r w:rsidRPr="00A571DF">
              <w:rPr>
                <w:rFonts w:eastAsia="標楷體" w:hint="eastAsia"/>
                <w:bCs/>
              </w:rPr>
              <w:t>75</w:t>
            </w:r>
            <w:r w:rsidRPr="00A571DF">
              <w:rPr>
                <w:rFonts w:eastAsia="標楷體" w:hint="eastAsia"/>
                <w:bCs/>
              </w:rPr>
              <w:t>分，每增（減）</w:t>
            </w:r>
            <w:r w:rsidRPr="00A571DF">
              <w:rPr>
                <w:rFonts w:eastAsia="標楷體" w:hint="eastAsia"/>
                <w:bCs/>
              </w:rPr>
              <w:t>1%</w:t>
            </w:r>
            <w:r w:rsidRPr="00A571DF">
              <w:rPr>
                <w:rFonts w:eastAsia="標楷體" w:hint="eastAsia"/>
                <w:bCs/>
              </w:rPr>
              <w:t>，減（加）</w:t>
            </w:r>
            <w:r w:rsidRPr="00A571DF">
              <w:rPr>
                <w:rFonts w:eastAsia="標楷體" w:hint="eastAsia"/>
                <w:bCs/>
              </w:rPr>
              <w:t>1</w:t>
            </w:r>
            <w:r w:rsidRPr="00A571DF">
              <w:rPr>
                <w:rFonts w:eastAsia="標楷體" w:hint="eastAsia"/>
                <w:bCs/>
              </w:rPr>
              <w:t>分。</w:t>
            </w:r>
          </w:p>
        </w:tc>
      </w:tr>
    </w:tbl>
    <w:p w:rsidR="00727AC0" w:rsidRPr="00A571DF" w:rsidRDefault="00727AC0"/>
    <w:sectPr w:rsidR="00727AC0" w:rsidRPr="00A571DF">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3F" w:rsidRDefault="00467D3F">
      <w:r>
        <w:separator/>
      </w:r>
    </w:p>
  </w:endnote>
  <w:endnote w:type="continuationSeparator" w:id="0">
    <w:p w:rsidR="00467D3F" w:rsidRDefault="0046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P)">
    <w:altName w:val="新細明體"/>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2D" w:rsidRDefault="00B3532D">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B3532D" w:rsidRDefault="00B353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2D" w:rsidRDefault="00B3532D">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71DF">
      <w:rPr>
        <w:rStyle w:val="a9"/>
        <w:noProof/>
      </w:rPr>
      <w:t>1</w:t>
    </w:r>
    <w:r>
      <w:rPr>
        <w:rStyle w:val="a9"/>
      </w:rPr>
      <w:fldChar w:fldCharType="end"/>
    </w:r>
  </w:p>
  <w:p w:rsidR="00B3532D" w:rsidRDefault="00B353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3F" w:rsidRDefault="00467D3F">
      <w:r>
        <w:separator/>
      </w:r>
    </w:p>
  </w:footnote>
  <w:footnote w:type="continuationSeparator" w:id="0">
    <w:p w:rsidR="00467D3F" w:rsidRDefault="00467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649"/>
    <w:multiLevelType w:val="hybridMultilevel"/>
    <w:tmpl w:val="3D7E98EC"/>
    <w:lvl w:ilvl="0" w:tplc="155CCC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71AEA"/>
    <w:multiLevelType w:val="hybridMultilevel"/>
    <w:tmpl w:val="E4D69426"/>
    <w:lvl w:ilvl="0" w:tplc="0FD836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765839"/>
    <w:multiLevelType w:val="hybridMultilevel"/>
    <w:tmpl w:val="2EE46626"/>
    <w:lvl w:ilvl="0" w:tplc="98C07C3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8D3169"/>
    <w:multiLevelType w:val="hybridMultilevel"/>
    <w:tmpl w:val="A76A0108"/>
    <w:lvl w:ilvl="0" w:tplc="EB1AC1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ED796C"/>
    <w:multiLevelType w:val="hybridMultilevel"/>
    <w:tmpl w:val="FECEC8FA"/>
    <w:lvl w:ilvl="0" w:tplc="D012C4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255CF7"/>
    <w:multiLevelType w:val="hybridMultilevel"/>
    <w:tmpl w:val="3D126BEA"/>
    <w:lvl w:ilvl="0" w:tplc="E384FE60">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7930D8"/>
    <w:multiLevelType w:val="hybridMultilevel"/>
    <w:tmpl w:val="1CBA52C0"/>
    <w:lvl w:ilvl="0" w:tplc="375A01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193388"/>
    <w:multiLevelType w:val="hybridMultilevel"/>
    <w:tmpl w:val="E99C97BE"/>
    <w:lvl w:ilvl="0" w:tplc="104EF2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16430B"/>
    <w:multiLevelType w:val="hybridMultilevel"/>
    <w:tmpl w:val="06043EE6"/>
    <w:lvl w:ilvl="0" w:tplc="3ECECC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D70EE0"/>
    <w:multiLevelType w:val="hybridMultilevel"/>
    <w:tmpl w:val="D9FAC76E"/>
    <w:lvl w:ilvl="0" w:tplc="B8F4D8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4023AB"/>
    <w:multiLevelType w:val="hybridMultilevel"/>
    <w:tmpl w:val="116EF51A"/>
    <w:lvl w:ilvl="0" w:tplc="6CD48C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1F2163"/>
    <w:multiLevelType w:val="hybridMultilevel"/>
    <w:tmpl w:val="B944DAF8"/>
    <w:lvl w:ilvl="0" w:tplc="4F5A90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8E6FA9"/>
    <w:multiLevelType w:val="hybridMultilevel"/>
    <w:tmpl w:val="C282790E"/>
    <w:lvl w:ilvl="0" w:tplc="AD16C8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694D67"/>
    <w:multiLevelType w:val="hybridMultilevel"/>
    <w:tmpl w:val="DCB25848"/>
    <w:lvl w:ilvl="0" w:tplc="A0C08D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BD364B"/>
    <w:multiLevelType w:val="hybridMultilevel"/>
    <w:tmpl w:val="9762F818"/>
    <w:lvl w:ilvl="0" w:tplc="882201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4FB1C8F"/>
    <w:multiLevelType w:val="hybridMultilevel"/>
    <w:tmpl w:val="DF78AD36"/>
    <w:lvl w:ilvl="0" w:tplc="60E821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FC7737"/>
    <w:multiLevelType w:val="hybridMultilevel"/>
    <w:tmpl w:val="5E822506"/>
    <w:lvl w:ilvl="0" w:tplc="360602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F9726A6"/>
    <w:multiLevelType w:val="hybridMultilevel"/>
    <w:tmpl w:val="E2BCDE52"/>
    <w:lvl w:ilvl="0" w:tplc="07103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403C72"/>
    <w:multiLevelType w:val="hybridMultilevel"/>
    <w:tmpl w:val="6A66355A"/>
    <w:lvl w:ilvl="0" w:tplc="ED56A1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1604A7"/>
    <w:multiLevelType w:val="hybridMultilevel"/>
    <w:tmpl w:val="B498D182"/>
    <w:lvl w:ilvl="0" w:tplc="7FE6F7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5B6658A"/>
    <w:multiLevelType w:val="hybridMultilevel"/>
    <w:tmpl w:val="D83021C4"/>
    <w:lvl w:ilvl="0" w:tplc="08EEED5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4055334"/>
    <w:multiLevelType w:val="hybridMultilevel"/>
    <w:tmpl w:val="DE24BDD0"/>
    <w:lvl w:ilvl="0" w:tplc="87AC48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070E57"/>
    <w:multiLevelType w:val="hybridMultilevel"/>
    <w:tmpl w:val="82F8D0CC"/>
    <w:lvl w:ilvl="0" w:tplc="E2543C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97C09A6"/>
    <w:multiLevelType w:val="hybridMultilevel"/>
    <w:tmpl w:val="D67CDF64"/>
    <w:lvl w:ilvl="0" w:tplc="E2543C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CEB4287"/>
    <w:multiLevelType w:val="hybridMultilevel"/>
    <w:tmpl w:val="DFFECEAA"/>
    <w:lvl w:ilvl="0" w:tplc="80640C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936D18"/>
    <w:multiLevelType w:val="hybridMultilevel"/>
    <w:tmpl w:val="21169730"/>
    <w:lvl w:ilvl="0" w:tplc="BACE2A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0181E97"/>
    <w:multiLevelType w:val="hybridMultilevel"/>
    <w:tmpl w:val="52307760"/>
    <w:lvl w:ilvl="0" w:tplc="D0DAB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145407D"/>
    <w:multiLevelType w:val="multilevel"/>
    <w:tmpl w:val="F79E17C0"/>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1032"/>
        </w:tabs>
        <w:ind w:left="1032" w:hanging="480"/>
      </w:pPr>
      <w:rPr>
        <w:rFonts w:hint="eastAsia"/>
      </w:rPr>
    </w:lvl>
    <w:lvl w:ilvl="2">
      <w:start w:val="1"/>
      <w:numFmt w:val="lowerRoman"/>
      <w:lvlText w:val="%3."/>
      <w:lvlJc w:val="right"/>
      <w:pPr>
        <w:tabs>
          <w:tab w:val="num" w:pos="1512"/>
        </w:tabs>
        <w:ind w:left="1512" w:hanging="480"/>
      </w:pPr>
      <w:rPr>
        <w:rFonts w:hint="eastAsia"/>
      </w:rPr>
    </w:lvl>
    <w:lvl w:ilvl="3">
      <w:start w:val="1"/>
      <w:numFmt w:val="decimal"/>
      <w:lvlText w:val="%4."/>
      <w:lvlJc w:val="left"/>
      <w:pPr>
        <w:tabs>
          <w:tab w:val="num" w:pos="1992"/>
        </w:tabs>
        <w:ind w:left="1992" w:hanging="480"/>
      </w:pPr>
      <w:rPr>
        <w:rFonts w:hint="eastAsia"/>
      </w:rPr>
    </w:lvl>
    <w:lvl w:ilvl="4">
      <w:start w:val="1"/>
      <w:numFmt w:val="ideographTraditional"/>
      <w:lvlText w:val="%5、"/>
      <w:lvlJc w:val="left"/>
      <w:pPr>
        <w:tabs>
          <w:tab w:val="num" w:pos="2472"/>
        </w:tabs>
        <w:ind w:left="2472" w:hanging="480"/>
      </w:pPr>
      <w:rPr>
        <w:rFonts w:hint="eastAsia"/>
      </w:rPr>
    </w:lvl>
    <w:lvl w:ilvl="5">
      <w:start w:val="1"/>
      <w:numFmt w:val="lowerRoman"/>
      <w:lvlText w:val="%6."/>
      <w:lvlJc w:val="right"/>
      <w:pPr>
        <w:tabs>
          <w:tab w:val="num" w:pos="2952"/>
        </w:tabs>
        <w:ind w:left="2952" w:hanging="480"/>
      </w:pPr>
      <w:rPr>
        <w:rFonts w:hint="eastAsia"/>
      </w:rPr>
    </w:lvl>
    <w:lvl w:ilvl="6">
      <w:start w:val="1"/>
      <w:numFmt w:val="decimal"/>
      <w:lvlText w:val="%7."/>
      <w:lvlJc w:val="left"/>
      <w:pPr>
        <w:tabs>
          <w:tab w:val="num" w:pos="3432"/>
        </w:tabs>
        <w:ind w:left="3432" w:hanging="480"/>
      </w:pPr>
      <w:rPr>
        <w:rFonts w:hint="eastAsia"/>
      </w:rPr>
    </w:lvl>
    <w:lvl w:ilvl="7">
      <w:start w:val="1"/>
      <w:numFmt w:val="ideographTraditional"/>
      <w:lvlText w:val="%8、"/>
      <w:lvlJc w:val="left"/>
      <w:pPr>
        <w:tabs>
          <w:tab w:val="num" w:pos="3912"/>
        </w:tabs>
        <w:ind w:left="3912" w:hanging="480"/>
      </w:pPr>
      <w:rPr>
        <w:rFonts w:hint="eastAsia"/>
      </w:rPr>
    </w:lvl>
    <w:lvl w:ilvl="8">
      <w:start w:val="1"/>
      <w:numFmt w:val="lowerRoman"/>
      <w:lvlText w:val="%9."/>
      <w:lvlJc w:val="right"/>
      <w:pPr>
        <w:tabs>
          <w:tab w:val="num" w:pos="4392"/>
        </w:tabs>
        <w:ind w:left="4392" w:hanging="480"/>
      </w:pPr>
      <w:rPr>
        <w:rFonts w:hint="eastAsia"/>
      </w:rPr>
    </w:lvl>
  </w:abstractNum>
  <w:abstractNum w:abstractNumId="28" w15:restartNumberingAfterBreak="0">
    <w:nsid w:val="72D47B22"/>
    <w:multiLevelType w:val="hybridMultilevel"/>
    <w:tmpl w:val="F3E67428"/>
    <w:lvl w:ilvl="0" w:tplc="0E2E56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3490F9B"/>
    <w:multiLevelType w:val="singleLevel"/>
    <w:tmpl w:val="D4EAC04A"/>
    <w:lvl w:ilvl="0">
      <w:start w:val="1"/>
      <w:numFmt w:val="taiwaneseCountingThousand"/>
      <w:lvlText w:val="%1、"/>
      <w:lvlJc w:val="left"/>
      <w:pPr>
        <w:tabs>
          <w:tab w:val="num" w:pos="1404"/>
        </w:tabs>
        <w:ind w:left="1404" w:hanging="564"/>
      </w:pPr>
      <w:rPr>
        <w:rFonts w:ascii="Times New Roman" w:hint="eastAsia"/>
      </w:rPr>
    </w:lvl>
  </w:abstractNum>
  <w:abstractNum w:abstractNumId="30" w15:restartNumberingAfterBreak="0">
    <w:nsid w:val="7EF7180D"/>
    <w:multiLevelType w:val="hybridMultilevel"/>
    <w:tmpl w:val="56322106"/>
    <w:lvl w:ilvl="0" w:tplc="76B0B0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27"/>
  </w:num>
  <w:num w:numId="3">
    <w:abstractNumId w:val="22"/>
  </w:num>
  <w:num w:numId="4">
    <w:abstractNumId w:val="23"/>
  </w:num>
  <w:num w:numId="5">
    <w:abstractNumId w:val="4"/>
  </w:num>
  <w:num w:numId="6">
    <w:abstractNumId w:val="30"/>
  </w:num>
  <w:num w:numId="7">
    <w:abstractNumId w:val="6"/>
  </w:num>
  <w:num w:numId="8">
    <w:abstractNumId w:val="0"/>
  </w:num>
  <w:num w:numId="9">
    <w:abstractNumId w:val="11"/>
  </w:num>
  <w:num w:numId="10">
    <w:abstractNumId w:val="12"/>
  </w:num>
  <w:num w:numId="11">
    <w:abstractNumId w:val="19"/>
  </w:num>
  <w:num w:numId="12">
    <w:abstractNumId w:val="16"/>
  </w:num>
  <w:num w:numId="13">
    <w:abstractNumId w:val="1"/>
  </w:num>
  <w:num w:numId="14">
    <w:abstractNumId w:val="28"/>
  </w:num>
  <w:num w:numId="15">
    <w:abstractNumId w:val="15"/>
  </w:num>
  <w:num w:numId="16">
    <w:abstractNumId w:val="26"/>
  </w:num>
  <w:num w:numId="17">
    <w:abstractNumId w:val="24"/>
  </w:num>
  <w:num w:numId="18">
    <w:abstractNumId w:val="20"/>
  </w:num>
  <w:num w:numId="19">
    <w:abstractNumId w:val="17"/>
  </w:num>
  <w:num w:numId="20">
    <w:abstractNumId w:val="21"/>
  </w:num>
  <w:num w:numId="21">
    <w:abstractNumId w:val="8"/>
  </w:num>
  <w:num w:numId="22">
    <w:abstractNumId w:val="14"/>
  </w:num>
  <w:num w:numId="23">
    <w:abstractNumId w:val="2"/>
  </w:num>
  <w:num w:numId="24">
    <w:abstractNumId w:val="7"/>
  </w:num>
  <w:num w:numId="25">
    <w:abstractNumId w:val="18"/>
  </w:num>
  <w:num w:numId="26">
    <w:abstractNumId w:val="10"/>
  </w:num>
  <w:num w:numId="27">
    <w:abstractNumId w:val="13"/>
  </w:num>
  <w:num w:numId="28">
    <w:abstractNumId w:val="5"/>
  </w:num>
  <w:num w:numId="29">
    <w:abstractNumId w:val="3"/>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C6"/>
    <w:rsid w:val="00027995"/>
    <w:rsid w:val="00036319"/>
    <w:rsid w:val="00055E98"/>
    <w:rsid w:val="00065A0B"/>
    <w:rsid w:val="000850F7"/>
    <w:rsid w:val="00096183"/>
    <w:rsid w:val="000A087D"/>
    <w:rsid w:val="000D27A7"/>
    <w:rsid w:val="000F065E"/>
    <w:rsid w:val="0010346B"/>
    <w:rsid w:val="00105E4E"/>
    <w:rsid w:val="0010691D"/>
    <w:rsid w:val="00107832"/>
    <w:rsid w:val="00130608"/>
    <w:rsid w:val="00154FEF"/>
    <w:rsid w:val="00157B5A"/>
    <w:rsid w:val="001673F6"/>
    <w:rsid w:val="00176FDF"/>
    <w:rsid w:val="001D7BE1"/>
    <w:rsid w:val="0020501B"/>
    <w:rsid w:val="00221149"/>
    <w:rsid w:val="00233416"/>
    <w:rsid w:val="00233DE1"/>
    <w:rsid w:val="00240822"/>
    <w:rsid w:val="00254BB1"/>
    <w:rsid w:val="002938B1"/>
    <w:rsid w:val="002957E3"/>
    <w:rsid w:val="00295A55"/>
    <w:rsid w:val="002A7B5D"/>
    <w:rsid w:val="002B0EE5"/>
    <w:rsid w:val="002C51B6"/>
    <w:rsid w:val="002D2F4A"/>
    <w:rsid w:val="002D5495"/>
    <w:rsid w:val="002E3F27"/>
    <w:rsid w:val="002E4467"/>
    <w:rsid w:val="002F74C3"/>
    <w:rsid w:val="00303395"/>
    <w:rsid w:val="00324C57"/>
    <w:rsid w:val="00351E84"/>
    <w:rsid w:val="00395F77"/>
    <w:rsid w:val="003A1BEA"/>
    <w:rsid w:val="003A7F25"/>
    <w:rsid w:val="003E1FC6"/>
    <w:rsid w:val="003E5E1A"/>
    <w:rsid w:val="00411A20"/>
    <w:rsid w:val="00436028"/>
    <w:rsid w:val="00436C10"/>
    <w:rsid w:val="00443C7F"/>
    <w:rsid w:val="004571DB"/>
    <w:rsid w:val="00467D3F"/>
    <w:rsid w:val="004906E6"/>
    <w:rsid w:val="004B150C"/>
    <w:rsid w:val="004B2C9F"/>
    <w:rsid w:val="004F266F"/>
    <w:rsid w:val="0053479D"/>
    <w:rsid w:val="0057532E"/>
    <w:rsid w:val="00581094"/>
    <w:rsid w:val="005849D9"/>
    <w:rsid w:val="0059678C"/>
    <w:rsid w:val="005A2E2E"/>
    <w:rsid w:val="00600364"/>
    <w:rsid w:val="00600CEE"/>
    <w:rsid w:val="00612E88"/>
    <w:rsid w:val="006207AA"/>
    <w:rsid w:val="00646C53"/>
    <w:rsid w:val="00650C98"/>
    <w:rsid w:val="00680BB1"/>
    <w:rsid w:val="006B1B77"/>
    <w:rsid w:val="006C1E03"/>
    <w:rsid w:val="006D3F2B"/>
    <w:rsid w:val="006E7834"/>
    <w:rsid w:val="006F63A4"/>
    <w:rsid w:val="00700A47"/>
    <w:rsid w:val="007221D6"/>
    <w:rsid w:val="0072320C"/>
    <w:rsid w:val="00727AC0"/>
    <w:rsid w:val="00736356"/>
    <w:rsid w:val="007550F0"/>
    <w:rsid w:val="00756A54"/>
    <w:rsid w:val="00770170"/>
    <w:rsid w:val="007714C6"/>
    <w:rsid w:val="00780320"/>
    <w:rsid w:val="007A7AC7"/>
    <w:rsid w:val="007D66F0"/>
    <w:rsid w:val="007D7C00"/>
    <w:rsid w:val="00800492"/>
    <w:rsid w:val="00800A46"/>
    <w:rsid w:val="00803DFD"/>
    <w:rsid w:val="0080404F"/>
    <w:rsid w:val="00830999"/>
    <w:rsid w:val="00847806"/>
    <w:rsid w:val="00852D6F"/>
    <w:rsid w:val="008707E5"/>
    <w:rsid w:val="008A7054"/>
    <w:rsid w:val="008B46BB"/>
    <w:rsid w:val="008B5C02"/>
    <w:rsid w:val="008C0103"/>
    <w:rsid w:val="008F5A4F"/>
    <w:rsid w:val="009241EA"/>
    <w:rsid w:val="009378B6"/>
    <w:rsid w:val="009731B4"/>
    <w:rsid w:val="00985FA1"/>
    <w:rsid w:val="009E56ED"/>
    <w:rsid w:val="00A167CE"/>
    <w:rsid w:val="00A277B5"/>
    <w:rsid w:val="00A5142F"/>
    <w:rsid w:val="00A571DF"/>
    <w:rsid w:val="00A57384"/>
    <w:rsid w:val="00AB1676"/>
    <w:rsid w:val="00AC3D13"/>
    <w:rsid w:val="00AE1C51"/>
    <w:rsid w:val="00AE27FF"/>
    <w:rsid w:val="00AE480C"/>
    <w:rsid w:val="00AF58C9"/>
    <w:rsid w:val="00AF59BA"/>
    <w:rsid w:val="00B0053E"/>
    <w:rsid w:val="00B16260"/>
    <w:rsid w:val="00B26FD0"/>
    <w:rsid w:val="00B270DA"/>
    <w:rsid w:val="00B30161"/>
    <w:rsid w:val="00B3532D"/>
    <w:rsid w:val="00B42D0E"/>
    <w:rsid w:val="00B54DF5"/>
    <w:rsid w:val="00B56E61"/>
    <w:rsid w:val="00B770FA"/>
    <w:rsid w:val="00B77A61"/>
    <w:rsid w:val="00B85CDC"/>
    <w:rsid w:val="00BA7C83"/>
    <w:rsid w:val="00BC78F5"/>
    <w:rsid w:val="00BD325E"/>
    <w:rsid w:val="00BE26F9"/>
    <w:rsid w:val="00C00764"/>
    <w:rsid w:val="00C12935"/>
    <w:rsid w:val="00C253E0"/>
    <w:rsid w:val="00C56F8B"/>
    <w:rsid w:val="00C7184E"/>
    <w:rsid w:val="00C8570E"/>
    <w:rsid w:val="00CB17CF"/>
    <w:rsid w:val="00CC4E70"/>
    <w:rsid w:val="00D04128"/>
    <w:rsid w:val="00D15874"/>
    <w:rsid w:val="00D21080"/>
    <w:rsid w:val="00D2157B"/>
    <w:rsid w:val="00D31BC2"/>
    <w:rsid w:val="00D3298C"/>
    <w:rsid w:val="00D54BB3"/>
    <w:rsid w:val="00D84F09"/>
    <w:rsid w:val="00DA644C"/>
    <w:rsid w:val="00DB16DB"/>
    <w:rsid w:val="00DD4D82"/>
    <w:rsid w:val="00DE2030"/>
    <w:rsid w:val="00DE6634"/>
    <w:rsid w:val="00DF3612"/>
    <w:rsid w:val="00E141CE"/>
    <w:rsid w:val="00E96495"/>
    <w:rsid w:val="00E966AD"/>
    <w:rsid w:val="00EA6938"/>
    <w:rsid w:val="00EB09B1"/>
    <w:rsid w:val="00EB16E4"/>
    <w:rsid w:val="00ED32DD"/>
    <w:rsid w:val="00EE3430"/>
    <w:rsid w:val="00EE49B5"/>
    <w:rsid w:val="00EF78DA"/>
    <w:rsid w:val="00F10DCB"/>
    <w:rsid w:val="00F25ABE"/>
    <w:rsid w:val="00F31799"/>
    <w:rsid w:val="00F44936"/>
    <w:rsid w:val="00F472D2"/>
    <w:rsid w:val="00F76F89"/>
    <w:rsid w:val="00F919AD"/>
    <w:rsid w:val="00FA47C0"/>
    <w:rsid w:val="00FA5C65"/>
    <w:rsid w:val="00FB31DD"/>
    <w:rsid w:val="00FB5956"/>
    <w:rsid w:val="00FC49A9"/>
    <w:rsid w:val="00FF4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1068CA2-9B39-48F3-A191-27A33A1C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line="240" w:lineRule="exact"/>
      <w:ind w:left="-28"/>
      <w:outlineLvl w:val="0"/>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lock Text"/>
    <w:basedOn w:val="a"/>
    <w:pPr>
      <w:adjustRightInd w:val="0"/>
      <w:spacing w:line="360" w:lineRule="atLeast"/>
      <w:ind w:left="240" w:right="84" w:hanging="240"/>
      <w:textAlignment w:val="baseline"/>
    </w:pPr>
    <w:rPr>
      <w:rFonts w:ascii="標楷體" w:eastAsia="標楷體"/>
      <w:kern w:val="0"/>
      <w:sz w:val="28"/>
    </w:rPr>
  </w:style>
  <w:style w:type="paragraph" w:styleId="a6">
    <w:name w:val="Body Text Indent"/>
    <w:basedOn w:val="a"/>
    <w:pPr>
      <w:spacing w:line="360" w:lineRule="exact"/>
      <w:ind w:left="600" w:hanging="600"/>
      <w:jc w:val="both"/>
    </w:pPr>
    <w:rPr>
      <w:rFonts w:eastAsia="標楷體"/>
      <w:sz w:val="28"/>
    </w:rPr>
  </w:style>
  <w:style w:type="paragraph" w:customStyle="1" w:styleId="a7">
    <w:name w:val="１"/>
    <w:basedOn w:val="a"/>
    <w:pPr>
      <w:ind w:left="641" w:hanging="284"/>
    </w:pPr>
    <w:rPr>
      <w:rFonts w:eastAsia="華康楷書體W5(P)"/>
      <w:b/>
      <w:sz w:val="32"/>
    </w:rPr>
  </w:style>
  <w:style w:type="paragraph" w:styleId="a8">
    <w:name w:val="Body Text"/>
    <w:basedOn w:val="a"/>
    <w:pPr>
      <w:kinsoku w:val="0"/>
      <w:jc w:val="both"/>
    </w:pPr>
    <w:rPr>
      <w:rFonts w:ascii="標楷體" w:eastAsia="標楷體"/>
      <w:sz w:val="28"/>
    </w:rPr>
  </w:style>
  <w:style w:type="paragraph" w:styleId="3">
    <w:name w:val="Body Text Indent 3"/>
    <w:basedOn w:val="a"/>
    <w:link w:val="30"/>
    <w:pPr>
      <w:adjustRightInd w:val="0"/>
      <w:spacing w:line="360" w:lineRule="atLeast"/>
      <w:ind w:left="812" w:hanging="812"/>
      <w:jc w:val="both"/>
      <w:textAlignment w:val="baseline"/>
    </w:pPr>
    <w:rPr>
      <w:rFonts w:ascii="標楷體" w:eastAsia="標楷體"/>
      <w:kern w:val="0"/>
      <w:sz w:val="28"/>
    </w:rPr>
  </w:style>
  <w:style w:type="paragraph" w:styleId="2">
    <w:name w:val="Body Text Indent 2"/>
    <w:basedOn w:val="a"/>
    <w:pPr>
      <w:kinsoku w:val="0"/>
      <w:ind w:left="332" w:hanging="332"/>
      <w:jc w:val="both"/>
    </w:pPr>
    <w:rPr>
      <w:rFonts w:ascii="標楷體" w:eastAsia="標楷體"/>
      <w:sz w:val="28"/>
    </w:rPr>
  </w:style>
  <w:style w:type="character" w:styleId="a9">
    <w:name w:val="page number"/>
    <w:basedOn w:val="a0"/>
  </w:style>
  <w:style w:type="paragraph" w:styleId="20">
    <w:name w:val="Body Text 2"/>
    <w:basedOn w:val="a"/>
    <w:pPr>
      <w:kinsoku w:val="0"/>
      <w:jc w:val="both"/>
    </w:pPr>
    <w:rPr>
      <w:rFonts w:ascii="標楷體" w:eastAsia="標楷體" w:hAnsi="標楷體"/>
    </w:rPr>
  </w:style>
  <w:style w:type="paragraph" w:customStyle="1" w:styleId="aa">
    <w:name w:val="公文(主旨)"/>
    <w:basedOn w:val="a"/>
    <w:pPr>
      <w:kinsoku w:val="0"/>
      <w:snapToGrid w:val="0"/>
      <w:spacing w:after="200" w:line="500" w:lineRule="exact"/>
      <w:ind w:left="958" w:hanging="958"/>
    </w:pPr>
    <w:rPr>
      <w:rFonts w:ascii="標楷體" w:eastAsia="標楷體" w:hAnsi="標楷體"/>
      <w:sz w:val="32"/>
      <w:szCs w:val="24"/>
    </w:rPr>
  </w:style>
  <w:style w:type="character" w:customStyle="1" w:styleId="5">
    <w:name w:val="字元 字元5"/>
    <w:semiHidden/>
    <w:rPr>
      <w:rFonts w:eastAsia="標楷體"/>
      <w:kern w:val="2"/>
      <w:sz w:val="28"/>
      <w:lang w:val="en-US" w:eastAsia="zh-TW" w:bidi="ar-SA"/>
    </w:rPr>
  </w:style>
  <w:style w:type="character" w:customStyle="1" w:styleId="31">
    <w:name w:val="字元 字元3"/>
    <w:semiHidden/>
    <w:rPr>
      <w:rFonts w:ascii="標楷體" w:eastAsia="標楷體"/>
      <w:sz w:val="28"/>
      <w:lang w:val="en-US" w:eastAsia="zh-TW" w:bidi="ar-SA"/>
    </w:rPr>
  </w:style>
  <w:style w:type="character" w:customStyle="1" w:styleId="21">
    <w:name w:val="字元 字元2"/>
    <w:semiHidden/>
    <w:rPr>
      <w:rFonts w:ascii="標楷體" w:eastAsia="標楷體"/>
      <w:kern w:val="2"/>
      <w:sz w:val="28"/>
      <w:lang w:val="en-US" w:eastAsia="zh-TW" w:bidi="ar-SA"/>
    </w:rPr>
  </w:style>
  <w:style w:type="character" w:customStyle="1" w:styleId="ab">
    <w:name w:val="字元 字元"/>
    <w:semiHidden/>
    <w:rPr>
      <w:rFonts w:ascii="標楷體" w:eastAsia="標楷體" w:hAnsi="標楷體"/>
      <w:kern w:val="2"/>
      <w:sz w:val="24"/>
      <w:lang w:val="en-US" w:eastAsia="zh-TW" w:bidi="ar-SA"/>
    </w:rPr>
  </w:style>
  <w:style w:type="character" w:customStyle="1" w:styleId="4">
    <w:name w:val="字元 字元4"/>
    <w:semiHidden/>
    <w:rPr>
      <w:rFonts w:ascii="標楷體" w:eastAsia="標楷體"/>
      <w:kern w:val="2"/>
      <w:sz w:val="28"/>
      <w:lang w:val="en-US" w:eastAsia="zh-TW" w:bidi="ar-SA"/>
    </w:rPr>
  </w:style>
  <w:style w:type="character" w:customStyle="1" w:styleId="10">
    <w:name w:val="字元 字元1"/>
    <w:semiHidden/>
    <w:rPr>
      <w:rFonts w:eastAsia="新細明體"/>
      <w:kern w:val="2"/>
      <w:lang w:val="en-US" w:eastAsia="zh-TW" w:bidi="ar-SA"/>
    </w:rPr>
  </w:style>
  <w:style w:type="character" w:styleId="ac">
    <w:name w:val="Hyperlink"/>
    <w:rPr>
      <w:strike w:val="0"/>
      <w:dstrike w:val="0"/>
      <w:color w:val="3333FF"/>
      <w:u w:val="none"/>
      <w:effect w:val="none"/>
    </w:rPr>
  </w:style>
  <w:style w:type="character" w:customStyle="1" w:styleId="30">
    <w:name w:val="本文縮排 3 字元"/>
    <w:link w:val="3"/>
    <w:locked/>
    <w:rsid w:val="003E1FC6"/>
    <w:rPr>
      <w:rFonts w:ascii="標楷體" w:eastAsia="標楷體"/>
      <w:sz w:val="28"/>
      <w:lang w:val="en-US" w:eastAsia="zh-TW" w:bidi="ar-SA"/>
    </w:rPr>
  </w:style>
  <w:style w:type="character" w:customStyle="1" w:styleId="7">
    <w:name w:val="字元 字元7"/>
    <w:locked/>
    <w:rsid w:val="009241EA"/>
    <w:rPr>
      <w:rFonts w:ascii="標楷體" w:eastAsia="標楷體"/>
      <w:sz w:val="28"/>
      <w:lang w:val="en-US" w:eastAsia="zh-TW" w:bidi="ar-SA"/>
    </w:rPr>
  </w:style>
  <w:style w:type="paragraph" w:styleId="ad">
    <w:name w:val="Balloon Text"/>
    <w:basedOn w:val="a"/>
    <w:link w:val="ae"/>
    <w:rsid w:val="00303395"/>
    <w:rPr>
      <w:rFonts w:ascii="Calibri Light" w:hAnsi="Calibri Light"/>
      <w:sz w:val="18"/>
      <w:szCs w:val="18"/>
    </w:rPr>
  </w:style>
  <w:style w:type="character" w:customStyle="1" w:styleId="ae">
    <w:name w:val="註解方塊文字 字元"/>
    <w:link w:val="ad"/>
    <w:rsid w:val="0030339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F6ED-80BF-430F-B2A3-608DBEF8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財政部所屬事業98年度工作考成實施要點（核定本）</dc:title>
  <dc:subject/>
  <dc:creator>洪培銘</dc:creator>
  <cp:keywords/>
  <cp:lastModifiedBy>陳佳君</cp:lastModifiedBy>
  <cp:revision>3</cp:revision>
  <cp:lastPrinted>2018-05-14T01:39:00Z</cp:lastPrinted>
  <dcterms:created xsi:type="dcterms:W3CDTF">2018-11-02T01:24:00Z</dcterms:created>
  <dcterms:modified xsi:type="dcterms:W3CDTF">2018-11-02T01:40:00Z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