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0F" w:rsidRPr="00A0065C" w:rsidRDefault="00C9762E" w:rsidP="00DA6352">
      <w:pPr>
        <w:snapToGrid w:val="0"/>
        <w:jc w:val="center"/>
        <w:rPr>
          <w:rFonts w:ascii="Arial" w:eastAsia="標楷體" w:hAnsi="Arial" w:cs="Arial"/>
          <w:color w:val="000000" w:themeColor="text1"/>
          <w:szCs w:val="24"/>
        </w:rPr>
      </w:pPr>
      <w:r>
        <w:rPr>
          <w:rFonts w:ascii="新細明體" w:eastAsia="新細明體" w:hAnsi="新細明體" w:cs="Arial" w:hint="eastAsia"/>
          <w:b/>
          <w:color w:val="000000" w:themeColor="text1"/>
          <w:sz w:val="36"/>
          <w:szCs w:val="36"/>
        </w:rPr>
        <w:t>「</w:t>
      </w:r>
      <w:r w:rsidR="00A0065C" w:rsidRPr="00A0065C">
        <w:rPr>
          <w:rFonts w:ascii="Times New Roman" w:eastAsia="標楷體" w:hAnsi="Times New Roman"/>
          <w:b/>
          <w:noProof/>
          <w:color w:val="000000" w:themeColor="text1"/>
          <w:sz w:val="36"/>
          <w:szCs w:val="36"/>
        </w:rPr>
        <mc:AlternateContent>
          <mc:Choice Requires="wps">
            <w:drawing>
              <wp:anchor distT="0" distB="0" distL="114300" distR="114300" simplePos="0" relativeHeight="251659264" behindDoc="0" locked="0" layoutInCell="1" allowOverlap="1" wp14:anchorId="31BFE6FE" wp14:editId="2A0D6143">
                <wp:simplePos x="0" y="0"/>
                <wp:positionH relativeFrom="column">
                  <wp:posOffset>-111125</wp:posOffset>
                </wp:positionH>
                <wp:positionV relativeFrom="paragraph">
                  <wp:posOffset>-370840</wp:posOffset>
                </wp:positionV>
                <wp:extent cx="749300" cy="1403985"/>
                <wp:effectExtent l="0" t="0" r="1270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3985"/>
                        </a:xfrm>
                        <a:prstGeom prst="rect">
                          <a:avLst/>
                        </a:prstGeom>
                        <a:solidFill>
                          <a:srgbClr val="FFFFFF"/>
                        </a:solidFill>
                        <a:ln w="9525">
                          <a:solidFill>
                            <a:srgbClr val="000000"/>
                          </a:solidFill>
                          <a:miter lim="800000"/>
                          <a:headEnd/>
                          <a:tailEnd/>
                        </a:ln>
                      </wps:spPr>
                      <wps:txbx>
                        <w:txbxContent>
                          <w:p w:rsidR="00A0065C" w:rsidRPr="00677A13" w:rsidRDefault="00CA119D" w:rsidP="00A0065C">
                            <w:pPr>
                              <w:jc w:val="center"/>
                              <w:rPr>
                                <w:rFonts w:ascii="Times New Roman" w:hAnsi="Times New Roman" w:cs="Times New Roman"/>
                                <w:sz w:val="32"/>
                                <w:szCs w:val="32"/>
                              </w:rPr>
                            </w:pPr>
                            <w:r w:rsidRPr="00CA119D">
                              <w:rPr>
                                <w:rFonts w:ascii="標楷體" w:eastAsia="標楷體" w:hAnsi="標楷體" w:cs="Times New Roman" w:hint="eastAsia"/>
                                <w:sz w:val="32"/>
                                <w:szCs w:val="32"/>
                              </w:rPr>
                              <w:t>附件</w:t>
                            </w:r>
                            <w:r w:rsidR="00A0065C">
                              <w:rPr>
                                <w:rFonts w:ascii="Times New Roman" w:hAnsi="Times New Roman" w:cs="Times New Roman" w:hint="eastAsia"/>
                                <w:sz w:val="32"/>
                                <w:szCs w:val="3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5pt;margin-top:-29.2pt;width: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">
                <v:textbox style="mso-fit-shape-to-text:t">
                  <w:txbxContent>
                    <w:p w:rsidR="00A0065C" w:rsidRPr="00677A13" w:rsidRDefault="00CA119D" w:rsidP="00A0065C">
                      <w:pPr>
                        <w:jc w:val="center"/>
                        <w:rPr>
                          <w:rFonts w:ascii="Times New Roman" w:hAnsi="Times New Roman" w:cs="Times New Roman"/>
                          <w:sz w:val="32"/>
                          <w:szCs w:val="32"/>
                        </w:rPr>
                      </w:pPr>
                      <w:r w:rsidRPr="00CA119D">
                        <w:rPr>
                          <w:rFonts w:ascii="標楷體" w:eastAsia="標楷體" w:hAnsi="標楷體" w:cs="Times New Roman" w:hint="eastAsia"/>
                          <w:sz w:val="32"/>
                          <w:szCs w:val="32"/>
                        </w:rPr>
                        <w:t>附件</w:t>
                      </w:r>
                      <w:r w:rsidR="00A0065C">
                        <w:rPr>
                          <w:rFonts w:ascii="Times New Roman" w:hAnsi="Times New Roman" w:cs="Times New Roman" w:hint="eastAsia"/>
                          <w:sz w:val="32"/>
                          <w:szCs w:val="32"/>
                        </w:rPr>
                        <w:t>1</w:t>
                      </w:r>
                    </w:p>
                  </w:txbxContent>
                </v:textbox>
              </v:shape>
            </w:pict>
          </mc:Fallback>
        </mc:AlternateContent>
      </w:r>
      <w:r w:rsidR="00F847CE" w:rsidRPr="00A0065C">
        <w:rPr>
          <w:rFonts w:ascii="Arial" w:eastAsia="標楷體" w:hAnsi="Arial" w:cs="Arial"/>
          <w:b/>
          <w:color w:val="000000" w:themeColor="text1"/>
          <w:sz w:val="36"/>
          <w:szCs w:val="36"/>
        </w:rPr>
        <w:t>經濟體質強化措施</w:t>
      </w:r>
      <w:r>
        <w:rPr>
          <w:rFonts w:ascii="新細明體" w:eastAsia="新細明體" w:hAnsi="新細明體" w:cs="Arial" w:hint="eastAsia"/>
          <w:b/>
          <w:color w:val="000000" w:themeColor="text1"/>
          <w:sz w:val="36"/>
          <w:szCs w:val="36"/>
        </w:rPr>
        <w:t>」</w:t>
      </w:r>
      <w:r w:rsidR="00CA119D">
        <w:rPr>
          <w:rFonts w:ascii="新細明體" w:eastAsia="新細明體" w:hAnsi="新細明體" w:cs="Arial" w:hint="eastAsia"/>
          <w:b/>
          <w:color w:val="000000" w:themeColor="text1"/>
          <w:sz w:val="36"/>
          <w:szCs w:val="36"/>
        </w:rPr>
        <w:t>(</w:t>
      </w:r>
      <w:r w:rsidR="00CA119D" w:rsidRPr="00CA119D">
        <w:rPr>
          <w:rFonts w:ascii="Arial" w:eastAsia="標楷體" w:hAnsi="Arial" w:cs="Arial" w:hint="eastAsia"/>
          <w:b/>
          <w:color w:val="000000" w:themeColor="text1"/>
          <w:sz w:val="36"/>
          <w:szCs w:val="36"/>
        </w:rPr>
        <w:t>三</w:t>
      </w:r>
      <w:r w:rsidR="00CA119D">
        <w:rPr>
          <w:rFonts w:ascii="Arial" w:eastAsia="標楷體" w:hAnsi="Arial" w:cs="Arial" w:hint="eastAsia"/>
          <w:b/>
          <w:color w:val="000000" w:themeColor="text1"/>
          <w:sz w:val="36"/>
          <w:szCs w:val="36"/>
        </w:rPr>
        <w:t>年期程</w:t>
      </w:r>
      <w:r w:rsidR="00CA119D">
        <w:rPr>
          <w:rFonts w:ascii="Arial" w:eastAsia="標楷體" w:hAnsi="Arial" w:cs="Arial" w:hint="eastAsia"/>
          <w:b/>
          <w:color w:val="000000" w:themeColor="text1"/>
          <w:sz w:val="36"/>
          <w:szCs w:val="36"/>
        </w:rPr>
        <w:t>)</w:t>
      </w:r>
    </w:p>
    <w:p w:rsidR="00AD7175" w:rsidRPr="00A0065C" w:rsidRDefault="00AD7175" w:rsidP="00990DDE">
      <w:pPr>
        <w:snapToGrid w:val="0"/>
        <w:ind w:right="220"/>
        <w:jc w:val="right"/>
        <w:rPr>
          <w:rFonts w:ascii="Arial" w:eastAsia="標楷體" w:hAnsi="Arial" w:cs="Arial"/>
          <w:color w:val="000000" w:themeColor="text1"/>
          <w:sz w:val="22"/>
        </w:rPr>
      </w:pPr>
    </w:p>
    <w:tbl>
      <w:tblPr>
        <w:tblStyle w:val="a3"/>
        <w:tblW w:w="15048" w:type="dxa"/>
        <w:jc w:val="center"/>
        <w:tblLook w:val="04A0" w:firstRow="1" w:lastRow="0" w:firstColumn="1" w:lastColumn="0" w:noHBand="0" w:noVBand="1"/>
      </w:tblPr>
      <w:tblGrid>
        <w:gridCol w:w="2489"/>
        <w:gridCol w:w="10248"/>
        <w:gridCol w:w="2311"/>
      </w:tblGrid>
      <w:tr w:rsidR="00A0065C" w:rsidRPr="00A0065C" w:rsidTr="00D941BC">
        <w:trPr>
          <w:trHeight w:val="726"/>
          <w:tblHeader/>
          <w:jc w:val="center"/>
        </w:trPr>
        <w:tc>
          <w:tcPr>
            <w:tcW w:w="2489" w:type="dxa"/>
            <w:tcBorders>
              <w:top w:val="single" w:sz="4" w:space="0" w:color="auto"/>
            </w:tcBorders>
            <w:vAlign w:val="center"/>
          </w:tcPr>
          <w:p w:rsidR="007535BE" w:rsidRPr="00A0065C" w:rsidRDefault="007535BE" w:rsidP="00EB1023">
            <w:pPr>
              <w:snapToGrid w:val="0"/>
              <w:spacing w:line="480" w:lineRule="atLeast"/>
              <w:jc w:val="center"/>
              <w:rPr>
                <w:rFonts w:ascii="Arial" w:eastAsia="標楷體" w:hAnsi="Arial" w:cs="Arial"/>
                <w:color w:val="000000" w:themeColor="text1"/>
                <w:sz w:val="32"/>
                <w:szCs w:val="32"/>
              </w:rPr>
            </w:pPr>
            <w:r w:rsidRPr="00A0065C">
              <w:rPr>
                <w:rFonts w:ascii="Arial" w:eastAsia="標楷體" w:hAnsi="Arial" w:cs="Arial"/>
                <w:color w:val="000000" w:themeColor="text1"/>
                <w:sz w:val="32"/>
                <w:szCs w:val="32"/>
              </w:rPr>
              <w:t>推動措施</w:t>
            </w:r>
          </w:p>
        </w:tc>
        <w:tc>
          <w:tcPr>
            <w:tcW w:w="10248" w:type="dxa"/>
            <w:tcBorders>
              <w:top w:val="single" w:sz="4" w:space="0" w:color="auto"/>
            </w:tcBorders>
            <w:vAlign w:val="center"/>
          </w:tcPr>
          <w:p w:rsidR="007535BE" w:rsidRPr="00A0065C" w:rsidRDefault="00D13D52" w:rsidP="00EB1023">
            <w:pPr>
              <w:snapToGrid w:val="0"/>
              <w:spacing w:line="480" w:lineRule="atLeast"/>
              <w:jc w:val="center"/>
              <w:rPr>
                <w:rFonts w:ascii="Arial" w:eastAsia="標楷體" w:hAnsi="Arial" w:cs="Arial"/>
                <w:color w:val="000000" w:themeColor="text1"/>
                <w:sz w:val="32"/>
                <w:szCs w:val="32"/>
              </w:rPr>
            </w:pPr>
            <w:r w:rsidRPr="00A0065C">
              <w:rPr>
                <w:rFonts w:ascii="Arial" w:eastAsia="標楷體" w:hAnsi="Arial" w:cs="Arial" w:hint="eastAsia"/>
                <w:color w:val="000000" w:themeColor="text1"/>
                <w:sz w:val="32"/>
                <w:szCs w:val="32"/>
              </w:rPr>
              <w:t>具體作法</w:t>
            </w:r>
          </w:p>
        </w:tc>
        <w:tc>
          <w:tcPr>
            <w:tcW w:w="2311" w:type="dxa"/>
            <w:tcBorders>
              <w:top w:val="single" w:sz="4" w:space="0" w:color="auto"/>
            </w:tcBorders>
            <w:tcMar>
              <w:left w:w="28" w:type="dxa"/>
              <w:right w:w="28" w:type="dxa"/>
            </w:tcMar>
            <w:vAlign w:val="center"/>
          </w:tcPr>
          <w:p w:rsidR="007535BE" w:rsidRPr="00A0065C" w:rsidRDefault="007535BE" w:rsidP="00EB1023">
            <w:pPr>
              <w:snapToGrid w:val="0"/>
              <w:spacing w:line="480" w:lineRule="atLeast"/>
              <w:jc w:val="center"/>
              <w:rPr>
                <w:rFonts w:ascii="Arial" w:eastAsia="標楷體" w:hAnsi="Arial" w:cs="Arial"/>
                <w:color w:val="000000" w:themeColor="text1"/>
                <w:sz w:val="32"/>
                <w:szCs w:val="32"/>
              </w:rPr>
            </w:pPr>
            <w:r w:rsidRPr="00A0065C">
              <w:rPr>
                <w:rFonts w:ascii="Arial" w:eastAsia="標楷體" w:hAnsi="Arial" w:cs="Arial"/>
                <w:color w:val="000000" w:themeColor="text1"/>
                <w:sz w:val="32"/>
                <w:szCs w:val="32"/>
              </w:rPr>
              <w:t>主</w:t>
            </w:r>
            <w:r w:rsidRPr="00A0065C">
              <w:rPr>
                <w:rFonts w:ascii="Arial" w:eastAsia="標楷體" w:hAnsi="Arial" w:cs="Arial"/>
                <w:color w:val="000000" w:themeColor="text1"/>
                <w:sz w:val="32"/>
                <w:szCs w:val="32"/>
              </w:rPr>
              <w:t>(</w:t>
            </w:r>
            <w:r w:rsidRPr="00A0065C">
              <w:rPr>
                <w:rFonts w:ascii="Arial" w:eastAsia="標楷體" w:hAnsi="Arial" w:cs="Arial"/>
                <w:color w:val="000000" w:themeColor="text1"/>
                <w:sz w:val="32"/>
                <w:szCs w:val="32"/>
              </w:rPr>
              <w:t>協</w:t>
            </w:r>
            <w:r w:rsidRPr="00A0065C">
              <w:rPr>
                <w:rFonts w:ascii="Arial" w:eastAsia="標楷體" w:hAnsi="Arial" w:cs="Arial"/>
                <w:color w:val="000000" w:themeColor="text1"/>
                <w:sz w:val="32"/>
                <w:szCs w:val="32"/>
              </w:rPr>
              <w:t>)</w:t>
            </w:r>
            <w:r w:rsidRPr="00A0065C">
              <w:rPr>
                <w:rFonts w:ascii="Arial" w:eastAsia="標楷體" w:hAnsi="Arial" w:cs="Arial"/>
                <w:color w:val="000000" w:themeColor="text1"/>
                <w:sz w:val="32"/>
                <w:szCs w:val="32"/>
              </w:rPr>
              <w:t>辦機關</w:t>
            </w:r>
          </w:p>
        </w:tc>
      </w:tr>
      <w:tr w:rsidR="00A0065C" w:rsidRPr="00A0065C" w:rsidTr="00D941BC">
        <w:trPr>
          <w:trHeight w:val="622"/>
          <w:jc w:val="center"/>
        </w:trPr>
        <w:tc>
          <w:tcPr>
            <w:tcW w:w="15048" w:type="dxa"/>
            <w:gridSpan w:val="3"/>
          </w:tcPr>
          <w:p w:rsidR="005732A1" w:rsidRPr="00A0065C" w:rsidRDefault="005732A1" w:rsidP="00D93821">
            <w:pPr>
              <w:snapToGrid w:val="0"/>
              <w:spacing w:beforeLines="25" w:before="90" w:afterLines="25" w:after="90" w:line="480" w:lineRule="atLeast"/>
              <w:rPr>
                <w:rFonts w:ascii="Arial" w:eastAsia="標楷體" w:hAnsi="Arial" w:cs="Arial"/>
                <w:color w:val="000000" w:themeColor="text1"/>
                <w:sz w:val="28"/>
                <w:szCs w:val="28"/>
              </w:rPr>
            </w:pPr>
            <w:r w:rsidRPr="00A0065C">
              <w:rPr>
                <w:rFonts w:ascii="Arial" w:eastAsia="標楷體" w:hAnsi="Arial" w:cs="Arial" w:hint="eastAsia"/>
                <w:b/>
                <w:color w:val="000000" w:themeColor="text1"/>
                <w:sz w:val="28"/>
                <w:szCs w:val="28"/>
              </w:rPr>
              <w:t>一、產業升級：由「價格競賽」轉為「價值競爭」</w:t>
            </w:r>
          </w:p>
        </w:tc>
      </w:tr>
      <w:tr w:rsidR="00A0065C" w:rsidRPr="00A0065C" w:rsidTr="00D941BC">
        <w:trPr>
          <w:trHeight w:val="802"/>
          <w:jc w:val="center"/>
        </w:trPr>
        <w:tc>
          <w:tcPr>
            <w:tcW w:w="2489" w:type="dxa"/>
            <w:vMerge w:val="restart"/>
          </w:tcPr>
          <w:p w:rsidR="005732A1" w:rsidRPr="00A0065C" w:rsidRDefault="005732A1" w:rsidP="005732A1">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proofErr w:type="gramStart"/>
            <w:r w:rsidRPr="00A0065C">
              <w:rPr>
                <w:rFonts w:ascii="Arial" w:eastAsia="標楷體" w:hAnsi="Arial" w:cs="Arial"/>
                <w:color w:val="000000" w:themeColor="text1"/>
                <w:sz w:val="28"/>
                <w:szCs w:val="28"/>
              </w:rPr>
              <w:t>一</w:t>
            </w:r>
            <w:proofErr w:type="gramEnd"/>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打造創新創業生態體系</w:t>
            </w:r>
          </w:p>
        </w:tc>
        <w:tc>
          <w:tcPr>
            <w:tcW w:w="10248" w:type="dxa"/>
            <w:tcBorders>
              <w:top w:val="dashed" w:sz="4" w:space="0" w:color="auto"/>
            </w:tcBorders>
          </w:tcPr>
          <w:p w:rsidR="005732A1" w:rsidRPr="00A0065C" w:rsidRDefault="00A0065C" w:rsidP="00A0065C">
            <w:pPr>
              <w:pStyle w:val="aa"/>
              <w:numPr>
                <w:ilvl w:val="0"/>
                <w:numId w:val="1"/>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放寬</w:t>
            </w:r>
            <w:proofErr w:type="gramStart"/>
            <w:r w:rsidRPr="00A0065C">
              <w:rPr>
                <w:rFonts w:ascii="Arial" w:eastAsia="標楷體" w:hAnsi="Arial" w:cs="Arial" w:hint="eastAsia"/>
                <w:color w:val="000000" w:themeColor="text1"/>
                <w:sz w:val="28"/>
                <w:szCs w:val="28"/>
              </w:rPr>
              <w:t>員工獎酬相關</w:t>
            </w:r>
            <w:proofErr w:type="gramEnd"/>
            <w:r w:rsidRPr="00A0065C">
              <w:rPr>
                <w:rFonts w:ascii="Arial" w:eastAsia="標楷體" w:hAnsi="Arial" w:cs="Arial" w:hint="eastAsia"/>
                <w:color w:val="000000" w:themeColor="text1"/>
                <w:sz w:val="28"/>
                <w:szCs w:val="28"/>
              </w:rPr>
              <w:t>規定，如單一員工取得員工認股權憑證與限制員工權利新股之合計數不受限制</w:t>
            </w:r>
            <w:r w:rsidR="005732A1" w:rsidRPr="00A0065C">
              <w:rPr>
                <w:rFonts w:ascii="Arial" w:eastAsia="標楷體" w:hAnsi="Arial" w:cs="Arial"/>
                <w:color w:val="000000" w:themeColor="text1"/>
                <w:sz w:val="28"/>
                <w:szCs w:val="28"/>
              </w:rPr>
              <w:t>，協助企業留才、</w:t>
            </w:r>
            <w:proofErr w:type="gramStart"/>
            <w:r w:rsidR="005732A1" w:rsidRPr="00A0065C">
              <w:rPr>
                <w:rFonts w:ascii="Arial" w:eastAsia="標楷體" w:hAnsi="Arial" w:cs="Arial"/>
                <w:color w:val="000000" w:themeColor="text1"/>
                <w:sz w:val="28"/>
                <w:szCs w:val="28"/>
              </w:rPr>
              <w:t>攬才</w:t>
            </w:r>
            <w:proofErr w:type="gramEnd"/>
            <w:r w:rsidR="00D630CC" w:rsidRPr="00A0065C">
              <w:rPr>
                <w:rFonts w:ascii="Arial" w:eastAsia="標楷體" w:hAnsi="Arial" w:cs="Arial" w:hint="eastAsia"/>
                <w:color w:val="000000" w:themeColor="text1"/>
                <w:sz w:val="28"/>
                <w:szCs w:val="28"/>
              </w:rPr>
              <w:t>。</w:t>
            </w:r>
          </w:p>
        </w:tc>
        <w:tc>
          <w:tcPr>
            <w:tcW w:w="2311" w:type="dxa"/>
            <w:tcBorders>
              <w:top w:val="dashed" w:sz="4" w:space="0" w:color="auto"/>
            </w:tcBorders>
            <w:tcMar>
              <w:left w:w="28" w:type="dxa"/>
              <w:right w:w="28" w:type="dxa"/>
            </w:tcMar>
          </w:tcPr>
          <w:p w:rsidR="005732A1" w:rsidRPr="00A0065C" w:rsidRDefault="005732A1" w:rsidP="007A0EDA">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金管會</w:t>
            </w:r>
          </w:p>
        </w:tc>
      </w:tr>
      <w:tr w:rsidR="00A0065C" w:rsidRPr="00A0065C" w:rsidTr="00D941BC">
        <w:trPr>
          <w:trHeight w:val="1396"/>
          <w:jc w:val="center"/>
        </w:trPr>
        <w:tc>
          <w:tcPr>
            <w:tcW w:w="2489" w:type="dxa"/>
            <w:vMerge/>
          </w:tcPr>
          <w:p w:rsidR="005732A1" w:rsidRPr="00A0065C" w:rsidRDefault="005732A1"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dashed" w:sz="4" w:space="0" w:color="auto"/>
            </w:tcBorders>
          </w:tcPr>
          <w:p w:rsidR="005732A1" w:rsidRPr="00A0065C" w:rsidRDefault="005732A1" w:rsidP="000D6FBF">
            <w:pPr>
              <w:pStyle w:val="aa"/>
              <w:numPr>
                <w:ilvl w:val="0"/>
                <w:numId w:val="1"/>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引進國外新創人才及資金</w:t>
            </w:r>
            <w:r w:rsidR="00A01CA2" w:rsidRPr="00A0065C">
              <w:rPr>
                <w:rFonts w:ascii="Arial" w:eastAsia="標楷體" w:hAnsi="Arial" w:cs="Arial"/>
                <w:color w:val="000000" w:themeColor="text1"/>
                <w:sz w:val="28"/>
                <w:szCs w:val="28"/>
              </w:rPr>
              <w:t>；</w:t>
            </w:r>
            <w:r w:rsidR="00A01CA2" w:rsidRPr="00A0065C">
              <w:rPr>
                <w:rFonts w:ascii="Arial" w:eastAsia="標楷體" w:hAnsi="Arial" w:cs="Arial" w:hint="eastAsia"/>
                <w:color w:val="000000" w:themeColor="text1"/>
                <w:sz w:val="28"/>
                <w:szCs w:val="28"/>
              </w:rPr>
              <w:t>積極推動</w:t>
            </w:r>
            <w:r w:rsidR="009B2038" w:rsidRPr="00591021">
              <w:rPr>
                <w:rFonts w:ascii="Times New Roman" w:eastAsia="標楷體" w:hAnsi="Times New Roman" w:cs="Times New Roman"/>
                <w:sz w:val="28"/>
                <w:szCs w:val="28"/>
              </w:rPr>
              <w:t>「</w:t>
            </w:r>
            <w:r w:rsidR="00A01CA2" w:rsidRPr="00A0065C">
              <w:rPr>
                <w:rFonts w:ascii="Arial" w:eastAsia="標楷體" w:hAnsi="Arial" w:cs="Arial" w:hint="eastAsia"/>
                <w:color w:val="000000" w:themeColor="text1"/>
                <w:sz w:val="28"/>
                <w:szCs w:val="28"/>
              </w:rPr>
              <w:t>創業拔</w:t>
            </w:r>
            <w:proofErr w:type="gramStart"/>
            <w:r w:rsidR="00A01CA2" w:rsidRPr="00A0065C">
              <w:rPr>
                <w:rFonts w:ascii="Arial" w:eastAsia="標楷體" w:hAnsi="Arial" w:cs="Arial" w:hint="eastAsia"/>
                <w:color w:val="000000" w:themeColor="text1"/>
                <w:sz w:val="28"/>
                <w:szCs w:val="28"/>
              </w:rPr>
              <w:t>萃</w:t>
            </w:r>
            <w:proofErr w:type="gramEnd"/>
            <w:r w:rsidR="00A01CA2" w:rsidRPr="00A0065C">
              <w:rPr>
                <w:rFonts w:ascii="Arial" w:eastAsia="標楷體" w:hAnsi="Arial" w:cs="Arial" w:hint="eastAsia"/>
                <w:color w:val="000000" w:themeColor="text1"/>
                <w:sz w:val="28"/>
                <w:szCs w:val="28"/>
              </w:rPr>
              <w:t>投資計畫</w:t>
            </w:r>
            <w:r w:rsidR="009B2038" w:rsidRPr="00591021">
              <w:rPr>
                <w:rFonts w:ascii="Times New Roman" w:eastAsia="標楷體" w:hAnsi="Times New Roman" w:cs="Times New Roman"/>
                <w:sz w:val="28"/>
                <w:szCs w:val="28"/>
              </w:rPr>
              <w:t>」</w:t>
            </w:r>
            <w:r w:rsidR="00A01CA2" w:rsidRPr="00A0065C">
              <w:rPr>
                <w:rFonts w:ascii="Arial" w:eastAsia="標楷體" w:hAnsi="Arial" w:cs="Arial" w:hint="eastAsia"/>
                <w:color w:val="000000" w:themeColor="text1"/>
                <w:sz w:val="28"/>
                <w:szCs w:val="28"/>
              </w:rPr>
              <w:t>及</w:t>
            </w:r>
            <w:r w:rsidR="009B2038" w:rsidRPr="00591021">
              <w:rPr>
                <w:rFonts w:ascii="Times New Roman" w:eastAsia="標楷體" w:hAnsi="Times New Roman" w:cs="Times New Roman"/>
                <w:sz w:val="28"/>
                <w:szCs w:val="28"/>
              </w:rPr>
              <w:t>「台灣矽谷科技基金投資計畫」</w:t>
            </w:r>
            <w:r w:rsidR="000D6FBF" w:rsidRPr="00A0065C">
              <w:rPr>
                <w:rFonts w:ascii="Arial" w:eastAsia="標楷體" w:hAnsi="Arial" w:cs="Arial" w:hint="eastAsia"/>
                <w:color w:val="000000" w:themeColor="text1"/>
                <w:sz w:val="28"/>
                <w:szCs w:val="28"/>
              </w:rPr>
              <w:t>，並調整以往以製造業為思維的法制架構，</w:t>
            </w:r>
            <w:r w:rsidR="00A01CA2" w:rsidRPr="00A0065C">
              <w:rPr>
                <w:rFonts w:ascii="Arial" w:eastAsia="標楷體" w:hAnsi="Arial" w:cs="Arial" w:hint="eastAsia"/>
                <w:color w:val="000000" w:themeColor="text1"/>
                <w:sz w:val="28"/>
                <w:szCs w:val="28"/>
              </w:rPr>
              <w:t>積極</w:t>
            </w:r>
            <w:r w:rsidRPr="00A0065C">
              <w:rPr>
                <w:rFonts w:ascii="Arial" w:eastAsia="標楷體" w:hAnsi="Arial" w:cs="Arial"/>
                <w:color w:val="000000" w:themeColor="text1"/>
                <w:sz w:val="28"/>
                <w:szCs w:val="28"/>
              </w:rPr>
              <w:t>推動企業與新創事業</w:t>
            </w:r>
            <w:r w:rsidR="00A01CA2" w:rsidRPr="00A0065C">
              <w:rPr>
                <w:rFonts w:ascii="Arial" w:eastAsia="標楷體" w:hAnsi="Arial" w:cs="Arial"/>
                <w:color w:val="000000" w:themeColor="text1"/>
                <w:sz w:val="28"/>
                <w:szCs w:val="28"/>
              </w:rPr>
              <w:t>之</w:t>
            </w:r>
            <w:r w:rsidRPr="00A0065C">
              <w:rPr>
                <w:rFonts w:ascii="Arial" w:eastAsia="標楷體" w:hAnsi="Arial" w:cs="Arial"/>
                <w:color w:val="000000" w:themeColor="text1"/>
                <w:sz w:val="28"/>
                <w:szCs w:val="28"/>
              </w:rPr>
              <w:t>跨領域交流，</w:t>
            </w:r>
            <w:r w:rsidR="00A01CA2" w:rsidRPr="00A0065C">
              <w:rPr>
                <w:rFonts w:ascii="Arial" w:eastAsia="標楷體" w:hAnsi="Arial" w:cs="Arial"/>
                <w:color w:val="000000" w:themeColor="text1"/>
                <w:sz w:val="28"/>
                <w:szCs w:val="28"/>
              </w:rPr>
              <w:t>整合跨國育成</w:t>
            </w:r>
            <w:r w:rsidR="00A01CA2" w:rsidRPr="00A0065C">
              <w:rPr>
                <w:rFonts w:ascii="Arial" w:eastAsia="標楷體" w:hAnsi="Arial" w:cs="Arial" w:hint="eastAsia"/>
                <w:color w:val="000000" w:themeColor="text1"/>
                <w:sz w:val="28"/>
                <w:szCs w:val="28"/>
              </w:rPr>
              <w:t>、加速器、區域</w:t>
            </w:r>
            <w:proofErr w:type="gramStart"/>
            <w:r w:rsidR="00A01CA2" w:rsidRPr="00A0065C">
              <w:rPr>
                <w:rFonts w:ascii="Arial" w:eastAsia="標楷體" w:hAnsi="Arial" w:cs="Arial" w:hint="eastAsia"/>
                <w:color w:val="000000" w:themeColor="text1"/>
                <w:sz w:val="28"/>
                <w:szCs w:val="28"/>
              </w:rPr>
              <w:t>聯盟等精進</w:t>
            </w:r>
            <w:proofErr w:type="gramEnd"/>
            <w:r w:rsidR="00A01CA2" w:rsidRPr="00A0065C">
              <w:rPr>
                <w:rFonts w:ascii="Arial" w:eastAsia="標楷體" w:hAnsi="Arial" w:cs="Arial" w:hint="eastAsia"/>
                <w:color w:val="000000" w:themeColor="text1"/>
                <w:sz w:val="28"/>
                <w:szCs w:val="28"/>
              </w:rPr>
              <w:t>發展資源，</w:t>
            </w:r>
            <w:r w:rsidRPr="00A0065C">
              <w:rPr>
                <w:rFonts w:ascii="Arial" w:eastAsia="標楷體" w:hAnsi="Arial" w:cs="Arial"/>
                <w:color w:val="000000" w:themeColor="text1"/>
                <w:sz w:val="28"/>
                <w:szCs w:val="28"/>
              </w:rPr>
              <w:t>催化創新創業的生態系統。</w:t>
            </w:r>
          </w:p>
        </w:tc>
        <w:tc>
          <w:tcPr>
            <w:tcW w:w="2311" w:type="dxa"/>
            <w:tcBorders>
              <w:top w:val="dashed" w:sz="4" w:space="0" w:color="auto"/>
            </w:tcBorders>
            <w:tcMar>
              <w:left w:w="28" w:type="dxa"/>
              <w:right w:w="28" w:type="dxa"/>
            </w:tcMar>
          </w:tcPr>
          <w:p w:rsidR="00FF4605" w:rsidRPr="00A0065C" w:rsidRDefault="00FF4605" w:rsidP="00FF4605">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國發會</w:t>
            </w:r>
            <w:r w:rsidRPr="00A0065C">
              <w:rPr>
                <w:rFonts w:ascii="Arial" w:eastAsia="標楷體" w:hAnsi="Arial" w:cs="Arial" w:hint="eastAsia"/>
                <w:color w:val="000000" w:themeColor="text1"/>
                <w:sz w:val="28"/>
                <w:szCs w:val="28"/>
              </w:rPr>
              <w:t>(</w:t>
            </w:r>
            <w:r w:rsidRPr="00A0065C">
              <w:rPr>
                <w:rFonts w:ascii="Arial" w:eastAsia="標楷體" w:hAnsi="Arial" w:cs="Arial" w:hint="eastAsia"/>
                <w:color w:val="000000" w:themeColor="text1"/>
                <w:sz w:val="28"/>
                <w:szCs w:val="28"/>
              </w:rPr>
              <w:t>內政部、經濟部、國發基金、科技部</w:t>
            </w:r>
            <w:r w:rsidRPr="00A0065C">
              <w:rPr>
                <w:rFonts w:ascii="Arial" w:eastAsia="標楷體" w:hAnsi="Arial" w:cs="Arial" w:hint="eastAsia"/>
                <w:color w:val="000000" w:themeColor="text1"/>
                <w:sz w:val="28"/>
                <w:szCs w:val="28"/>
              </w:rPr>
              <w:t>)</w:t>
            </w:r>
          </w:p>
        </w:tc>
      </w:tr>
      <w:tr w:rsidR="00A0065C" w:rsidRPr="00A0065C" w:rsidTr="00D941BC">
        <w:trPr>
          <w:jc w:val="center"/>
        </w:trPr>
        <w:tc>
          <w:tcPr>
            <w:tcW w:w="2489" w:type="dxa"/>
            <w:tcBorders>
              <w:bottom w:val="single" w:sz="4" w:space="0" w:color="auto"/>
            </w:tcBorders>
          </w:tcPr>
          <w:p w:rsidR="007535BE" w:rsidRPr="00A0065C" w:rsidRDefault="007535BE" w:rsidP="008A45AA">
            <w:pPr>
              <w:tabs>
                <w:tab w:val="left" w:pos="357"/>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二</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推動產業鏈智慧化</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生產力</w:t>
            </w:r>
            <w:r w:rsidRPr="00A0065C">
              <w:rPr>
                <w:rFonts w:ascii="Arial" w:eastAsia="標楷體" w:hAnsi="Arial" w:cs="Arial"/>
                <w:color w:val="000000" w:themeColor="text1"/>
                <w:sz w:val="28"/>
                <w:szCs w:val="28"/>
              </w:rPr>
              <w:t>4.0)</w:t>
            </w:r>
          </w:p>
        </w:tc>
        <w:tc>
          <w:tcPr>
            <w:tcW w:w="10248" w:type="dxa"/>
            <w:tcBorders>
              <w:bottom w:val="single" w:sz="4" w:space="0" w:color="auto"/>
            </w:tcBorders>
          </w:tcPr>
          <w:p w:rsidR="007535BE" w:rsidRPr="00A0065C" w:rsidRDefault="007535BE" w:rsidP="00C80648">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推動「行政院生產力</w:t>
            </w:r>
            <w:r w:rsidRPr="00A0065C">
              <w:rPr>
                <w:rFonts w:ascii="Arial" w:eastAsia="標楷體" w:hAnsi="Arial" w:cs="Arial"/>
                <w:color w:val="000000" w:themeColor="text1"/>
                <w:sz w:val="28"/>
                <w:szCs w:val="28"/>
              </w:rPr>
              <w:t>4.0</w:t>
            </w:r>
            <w:r w:rsidRPr="00A0065C">
              <w:rPr>
                <w:rFonts w:ascii="Arial" w:eastAsia="標楷體" w:hAnsi="Arial" w:cs="Arial"/>
                <w:color w:val="000000" w:themeColor="text1"/>
                <w:sz w:val="28"/>
                <w:szCs w:val="28"/>
              </w:rPr>
              <w:t>發展方案」，策略性選擇領航製造業、領航商業服務業、領航農業等領航產業，加速產業鏈垂直、水平數位化及智慧化，導入關鍵自主技術，加速培育</w:t>
            </w:r>
            <w:proofErr w:type="gramStart"/>
            <w:r w:rsidRPr="00A0065C">
              <w:rPr>
                <w:rFonts w:ascii="Arial" w:eastAsia="標楷體" w:hAnsi="Arial" w:cs="Arial"/>
                <w:color w:val="000000" w:themeColor="text1"/>
                <w:sz w:val="28"/>
                <w:szCs w:val="28"/>
              </w:rPr>
              <w:t>產業網實系統</w:t>
            </w:r>
            <w:proofErr w:type="gramEnd"/>
            <w:r w:rsidRPr="00A0065C">
              <w:rPr>
                <w:rFonts w:ascii="Arial" w:eastAsia="標楷體" w:hAnsi="Arial" w:cs="Arial"/>
                <w:color w:val="000000" w:themeColor="text1"/>
                <w:sz w:val="28"/>
                <w:szCs w:val="28"/>
              </w:rPr>
              <w:t>軟硬實力。</w:t>
            </w:r>
          </w:p>
        </w:tc>
        <w:tc>
          <w:tcPr>
            <w:tcW w:w="2311" w:type="dxa"/>
            <w:tcBorders>
              <w:bottom w:val="single" w:sz="4" w:space="0" w:color="auto"/>
            </w:tcBorders>
            <w:tcMar>
              <w:left w:w="28" w:type="dxa"/>
              <w:right w:w="28" w:type="dxa"/>
            </w:tcMar>
          </w:tcPr>
          <w:p w:rsidR="000D60E5" w:rsidRPr="00A0065C" w:rsidRDefault="007535BE" w:rsidP="000D60E5">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科技會報辦公室</w:t>
            </w:r>
            <w:r w:rsidR="000D60E5" w:rsidRPr="00A0065C">
              <w:rPr>
                <w:rFonts w:ascii="Arial" w:eastAsia="標楷體" w:hAnsi="Arial" w:cs="Arial" w:hint="eastAsia"/>
                <w:color w:val="000000" w:themeColor="text1"/>
                <w:sz w:val="28"/>
                <w:szCs w:val="28"/>
              </w:rPr>
              <w:t xml:space="preserve"> (</w:t>
            </w:r>
            <w:r w:rsidR="000D60E5" w:rsidRPr="00A0065C">
              <w:rPr>
                <w:rFonts w:ascii="Arial" w:eastAsia="標楷體" w:hAnsi="Arial" w:cs="Arial" w:hint="eastAsia"/>
                <w:color w:val="000000" w:themeColor="text1"/>
                <w:sz w:val="28"/>
                <w:szCs w:val="28"/>
              </w:rPr>
              <w:t>經濟部、科技部、農委會</w:t>
            </w:r>
            <w:r w:rsidR="00987D98">
              <w:rPr>
                <w:rFonts w:ascii="Arial" w:eastAsia="標楷體" w:hAnsi="Arial" w:cs="Arial" w:hint="eastAsia"/>
                <w:color w:val="000000" w:themeColor="text1"/>
                <w:sz w:val="28"/>
                <w:szCs w:val="28"/>
              </w:rPr>
              <w:t>、</w:t>
            </w:r>
            <w:r w:rsidR="00987D98" w:rsidRPr="006416A8">
              <w:rPr>
                <w:rFonts w:ascii="Times New Roman" w:eastAsia="標楷體" w:hAnsi="Times New Roman" w:cs="Times New Roman" w:hint="eastAsia"/>
                <w:sz w:val="28"/>
                <w:szCs w:val="28"/>
              </w:rPr>
              <w:t>教育部、衛福部、勞動部</w:t>
            </w:r>
            <w:bookmarkStart w:id="0" w:name="_GoBack"/>
            <w:bookmarkEnd w:id="0"/>
            <w:r w:rsidR="000D60E5" w:rsidRPr="00A0065C">
              <w:rPr>
                <w:rFonts w:ascii="Arial" w:eastAsia="標楷體" w:hAnsi="Arial" w:cs="Arial" w:hint="eastAsia"/>
                <w:color w:val="000000" w:themeColor="text1"/>
                <w:sz w:val="28"/>
                <w:szCs w:val="28"/>
              </w:rPr>
              <w:t>)</w:t>
            </w:r>
          </w:p>
        </w:tc>
      </w:tr>
      <w:tr w:rsidR="00A0065C" w:rsidRPr="00A0065C" w:rsidTr="00D941BC">
        <w:trPr>
          <w:trHeight w:val="487"/>
          <w:jc w:val="center"/>
        </w:trPr>
        <w:tc>
          <w:tcPr>
            <w:tcW w:w="2489" w:type="dxa"/>
            <w:vMerge w:val="restart"/>
            <w:tcBorders>
              <w:bottom w:val="single" w:sz="4" w:space="0" w:color="auto"/>
            </w:tcBorders>
          </w:tcPr>
          <w:p w:rsidR="007535BE" w:rsidRPr="00A0065C" w:rsidRDefault="007535BE" w:rsidP="008A45AA">
            <w:pPr>
              <w:snapToGrid w:val="0"/>
              <w:spacing w:line="480" w:lineRule="atLeast"/>
              <w:ind w:leftChars="-16" w:left="441" w:rightChars="-28" w:right="-67" w:hangingChars="171" w:hanging="479"/>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三</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創新服務業發展型態</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創意臺灣</w:t>
            </w:r>
            <w:r w:rsidRPr="00A0065C">
              <w:rPr>
                <w:rFonts w:ascii="Arial" w:eastAsia="標楷體" w:hAnsi="Arial" w:cs="Arial"/>
                <w:color w:val="000000" w:themeColor="text1"/>
                <w:sz w:val="28"/>
                <w:szCs w:val="28"/>
              </w:rPr>
              <w:t>2020)</w:t>
            </w:r>
          </w:p>
        </w:tc>
        <w:tc>
          <w:tcPr>
            <w:tcW w:w="10248" w:type="dxa"/>
            <w:tcBorders>
              <w:bottom w:val="single" w:sz="4" w:space="0" w:color="auto"/>
            </w:tcBorders>
          </w:tcPr>
          <w:p w:rsidR="007535BE" w:rsidRPr="00A0065C" w:rsidRDefault="007535BE" w:rsidP="00C80648">
            <w:pPr>
              <w:pStyle w:val="aa"/>
              <w:numPr>
                <w:ilvl w:val="0"/>
                <w:numId w:val="2"/>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加速金融數位化，鼓勵網路金融創新、普及行動支付及推動巨量資料應用，建構數位化金融環境。</w:t>
            </w:r>
          </w:p>
        </w:tc>
        <w:tc>
          <w:tcPr>
            <w:tcW w:w="2311" w:type="dxa"/>
            <w:tcBorders>
              <w:bottom w:val="single" w:sz="4" w:space="0" w:color="auto"/>
            </w:tcBorders>
            <w:tcMar>
              <w:left w:w="28" w:type="dxa"/>
              <w:right w:w="28" w:type="dxa"/>
            </w:tcMar>
          </w:tcPr>
          <w:p w:rsidR="007535BE" w:rsidRPr="00A0065C" w:rsidRDefault="007535BE" w:rsidP="007535BE">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金管會</w:t>
            </w:r>
          </w:p>
        </w:tc>
      </w:tr>
      <w:tr w:rsidR="00A0065C" w:rsidRPr="00A0065C" w:rsidTr="00D941BC">
        <w:trPr>
          <w:trHeight w:val="667"/>
          <w:jc w:val="center"/>
        </w:trPr>
        <w:tc>
          <w:tcPr>
            <w:tcW w:w="2489" w:type="dxa"/>
            <w:vMerge/>
            <w:tcBorders>
              <w:top w:val="single" w:sz="4" w:space="0" w:color="auto"/>
            </w:tcBorders>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tcBorders>
          </w:tcPr>
          <w:p w:rsidR="007535BE" w:rsidRPr="00A0065C" w:rsidRDefault="007535BE" w:rsidP="00C80648">
            <w:pPr>
              <w:pStyle w:val="aa"/>
              <w:numPr>
                <w:ilvl w:val="0"/>
                <w:numId w:val="2"/>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強化智慧醫療、教育、文化娛樂及體驗服務之發展，促進生活創新應用。</w:t>
            </w:r>
          </w:p>
          <w:p w:rsidR="007535BE" w:rsidRPr="00A0065C" w:rsidRDefault="007535BE" w:rsidP="00A96248">
            <w:pPr>
              <w:pStyle w:val="aa"/>
              <w:numPr>
                <w:ilvl w:val="0"/>
                <w:numId w:val="15"/>
              </w:numPr>
              <w:snapToGrid w:val="0"/>
              <w:spacing w:line="480" w:lineRule="atLeast"/>
              <w:ind w:leftChars="0"/>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推動智慧醫療</w:t>
            </w:r>
            <w:r w:rsidRPr="00A0065C">
              <w:rPr>
                <w:rFonts w:ascii="Arial" w:eastAsia="標楷體" w:hAnsi="Arial" w:cs="Arial" w:hint="eastAsia"/>
                <w:color w:val="000000" w:themeColor="text1"/>
                <w:sz w:val="28"/>
                <w:szCs w:val="28"/>
              </w:rPr>
              <w:t>/</w:t>
            </w:r>
            <w:r w:rsidRPr="00A0065C">
              <w:rPr>
                <w:rFonts w:ascii="Arial" w:eastAsia="標楷體" w:hAnsi="Arial" w:cs="Arial" w:hint="eastAsia"/>
                <w:color w:val="000000" w:themeColor="text1"/>
                <w:sz w:val="28"/>
                <w:szCs w:val="28"/>
              </w:rPr>
              <w:t>醫院：導入智慧醫療照護模式，建立出院病人之</w:t>
            </w:r>
            <w:proofErr w:type="gramStart"/>
            <w:r w:rsidRPr="00A0065C">
              <w:rPr>
                <w:rFonts w:ascii="Arial" w:eastAsia="標楷體" w:hAnsi="Arial" w:cs="Arial" w:hint="eastAsia"/>
                <w:color w:val="000000" w:themeColor="text1"/>
                <w:sz w:val="28"/>
                <w:szCs w:val="28"/>
              </w:rPr>
              <w:t>延續性照護</w:t>
            </w:r>
            <w:proofErr w:type="gramEnd"/>
          </w:p>
          <w:p w:rsidR="007535BE" w:rsidRPr="00A0065C" w:rsidRDefault="00993A61" w:rsidP="00A96248">
            <w:pPr>
              <w:pStyle w:val="aa"/>
              <w:numPr>
                <w:ilvl w:val="0"/>
                <w:numId w:val="15"/>
              </w:numPr>
              <w:snapToGrid w:val="0"/>
              <w:spacing w:line="480" w:lineRule="atLeast"/>
              <w:ind w:leftChars="0"/>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運用技專校院「產業學院」推動計畫，強化媒合對應服務產業之計畫專班開辦。</w:t>
            </w:r>
          </w:p>
          <w:p w:rsidR="00993A61" w:rsidRPr="00A0065C" w:rsidRDefault="00993A61" w:rsidP="00A96248">
            <w:pPr>
              <w:pStyle w:val="aa"/>
              <w:numPr>
                <w:ilvl w:val="0"/>
                <w:numId w:val="15"/>
              </w:numPr>
              <w:snapToGrid w:val="0"/>
              <w:spacing w:line="480" w:lineRule="atLeast"/>
              <w:ind w:leftChars="0"/>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促成藝術產業跨界結合，協助業者拓展國內外市場及國際知名度。</w:t>
            </w:r>
          </w:p>
        </w:tc>
        <w:tc>
          <w:tcPr>
            <w:tcW w:w="2311" w:type="dxa"/>
            <w:tcBorders>
              <w:top w:val="single" w:sz="4" w:space="0" w:color="auto"/>
              <w:bottom w:val="single" w:sz="4" w:space="0" w:color="auto"/>
            </w:tcBorders>
            <w:tcMar>
              <w:left w:w="28" w:type="dxa"/>
              <w:right w:w="28" w:type="dxa"/>
            </w:tcMar>
          </w:tcPr>
          <w:p w:rsidR="00763128" w:rsidRDefault="00763128" w:rsidP="00C80648">
            <w:pPr>
              <w:snapToGrid w:val="0"/>
              <w:spacing w:line="480" w:lineRule="atLeast"/>
              <w:jc w:val="center"/>
              <w:rPr>
                <w:rFonts w:ascii="Arial" w:eastAsia="標楷體" w:hAnsi="Arial" w:cs="Arial"/>
                <w:color w:val="000000" w:themeColor="text1"/>
                <w:sz w:val="28"/>
                <w:szCs w:val="28"/>
              </w:rPr>
            </w:pPr>
          </w:p>
          <w:p w:rsidR="007535BE" w:rsidRPr="00A0065C" w:rsidRDefault="007535BE" w:rsidP="00C80648">
            <w:pPr>
              <w:snapToGrid w:val="0"/>
              <w:spacing w:line="480" w:lineRule="atLeast"/>
              <w:jc w:val="center"/>
              <w:rPr>
                <w:rFonts w:ascii="Arial" w:eastAsia="標楷體" w:hAnsi="Arial" w:cs="Arial"/>
                <w:color w:val="000000" w:themeColor="text1"/>
                <w:sz w:val="28"/>
                <w:szCs w:val="28"/>
              </w:rPr>
            </w:pPr>
            <w:proofErr w:type="gramStart"/>
            <w:r w:rsidRPr="00A0065C">
              <w:rPr>
                <w:rFonts w:ascii="Arial" w:eastAsia="標楷體" w:hAnsi="Arial" w:cs="Arial" w:hint="eastAsia"/>
                <w:color w:val="000000" w:themeColor="text1"/>
                <w:sz w:val="28"/>
                <w:szCs w:val="28"/>
              </w:rPr>
              <w:t>衛福</w:t>
            </w:r>
            <w:r w:rsidRPr="00A0065C">
              <w:rPr>
                <w:rFonts w:ascii="Arial" w:eastAsia="標楷體" w:hAnsi="Arial" w:cs="Arial"/>
                <w:color w:val="000000" w:themeColor="text1"/>
                <w:sz w:val="28"/>
                <w:szCs w:val="28"/>
              </w:rPr>
              <w:t>部</w:t>
            </w:r>
            <w:proofErr w:type="gramEnd"/>
          </w:p>
          <w:p w:rsidR="007535BE" w:rsidRPr="00A0065C" w:rsidRDefault="00993A61" w:rsidP="00C80648">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教育</w:t>
            </w:r>
            <w:r w:rsidR="007535BE" w:rsidRPr="00A0065C">
              <w:rPr>
                <w:rFonts w:ascii="Arial" w:eastAsia="標楷體" w:hAnsi="Arial" w:cs="Arial"/>
                <w:color w:val="000000" w:themeColor="text1"/>
                <w:sz w:val="28"/>
                <w:szCs w:val="28"/>
              </w:rPr>
              <w:t>部</w:t>
            </w:r>
          </w:p>
          <w:p w:rsidR="007535BE" w:rsidRPr="00A0065C" w:rsidRDefault="00993A61" w:rsidP="00C80648">
            <w:pPr>
              <w:snapToGrid w:val="0"/>
              <w:spacing w:line="480" w:lineRule="atLeast"/>
              <w:jc w:val="center"/>
              <w:rPr>
                <w:rFonts w:ascii="Arial" w:eastAsia="標楷體" w:hAnsi="Arial" w:cs="Arial"/>
                <w:b/>
                <w:color w:val="000000" w:themeColor="text1"/>
                <w:sz w:val="28"/>
                <w:szCs w:val="28"/>
              </w:rPr>
            </w:pPr>
            <w:r w:rsidRPr="00A0065C">
              <w:rPr>
                <w:rFonts w:ascii="Arial" w:eastAsia="標楷體" w:hAnsi="Arial" w:cs="Arial" w:hint="eastAsia"/>
                <w:color w:val="000000" w:themeColor="text1"/>
                <w:sz w:val="28"/>
                <w:szCs w:val="28"/>
              </w:rPr>
              <w:t>文化</w:t>
            </w:r>
            <w:r w:rsidR="007535BE" w:rsidRPr="00A0065C">
              <w:rPr>
                <w:rFonts w:ascii="Arial" w:eastAsia="標楷體" w:hAnsi="Arial" w:cs="Arial"/>
                <w:color w:val="000000" w:themeColor="text1"/>
                <w:sz w:val="28"/>
                <w:szCs w:val="28"/>
              </w:rPr>
              <w:t>部</w:t>
            </w:r>
          </w:p>
        </w:tc>
      </w:tr>
      <w:tr w:rsidR="00A0065C" w:rsidRPr="00A0065C" w:rsidTr="00D941BC">
        <w:trPr>
          <w:trHeight w:val="667"/>
          <w:jc w:val="center"/>
        </w:trPr>
        <w:tc>
          <w:tcPr>
            <w:tcW w:w="2489" w:type="dxa"/>
            <w:vMerge/>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tcBorders>
          </w:tcPr>
          <w:p w:rsidR="00F35EB5" w:rsidRPr="00F35EB5" w:rsidRDefault="007535BE" w:rsidP="007F68AC">
            <w:pPr>
              <w:pStyle w:val="aa"/>
              <w:numPr>
                <w:ilvl w:val="0"/>
                <w:numId w:val="2"/>
              </w:numPr>
              <w:snapToGrid w:val="0"/>
              <w:spacing w:line="480" w:lineRule="atLeast"/>
              <w:ind w:leftChars="-19" w:left="238" w:hanging="284"/>
              <w:jc w:val="both"/>
              <w:rPr>
                <w:rFonts w:ascii="Arial" w:eastAsia="標楷體" w:hAnsi="Arial" w:cs="Arial"/>
                <w:color w:val="000000" w:themeColor="text1"/>
                <w:sz w:val="28"/>
                <w:szCs w:val="28"/>
              </w:rPr>
            </w:pPr>
            <w:r w:rsidRPr="00763128">
              <w:rPr>
                <w:rFonts w:ascii="Arial" w:eastAsia="標楷體" w:hAnsi="Arial" w:cs="Arial"/>
                <w:kern w:val="0"/>
                <w:sz w:val="28"/>
                <w:szCs w:val="28"/>
              </w:rPr>
              <w:t>推動</w:t>
            </w:r>
            <w:r w:rsidR="00EB29EC" w:rsidRPr="00763128">
              <w:rPr>
                <w:rFonts w:ascii="Arial" w:eastAsia="標楷體" w:hAnsi="Arial" w:cs="Arial" w:hint="eastAsia"/>
                <w:kern w:val="0"/>
                <w:sz w:val="28"/>
                <w:szCs w:val="28"/>
              </w:rPr>
              <w:t>民眾</w:t>
            </w:r>
            <w:r w:rsidRPr="00763128">
              <w:rPr>
                <w:rFonts w:ascii="Arial" w:eastAsia="標楷體" w:hAnsi="Arial" w:cs="Arial"/>
                <w:kern w:val="0"/>
                <w:sz w:val="28"/>
                <w:szCs w:val="28"/>
              </w:rPr>
              <w:t>有感服務</w:t>
            </w:r>
            <w:r w:rsidRPr="00763128">
              <w:rPr>
                <w:rFonts w:ascii="Arial" w:eastAsia="標楷體" w:hAnsi="Arial" w:cs="Arial"/>
                <w:sz w:val="28"/>
                <w:szCs w:val="28"/>
              </w:rPr>
              <w:t>，</w:t>
            </w:r>
            <w:r w:rsidRPr="00F35EB5">
              <w:rPr>
                <w:rFonts w:ascii="Arial" w:eastAsia="標楷體" w:hAnsi="Arial" w:cs="Arial"/>
                <w:color w:val="000000" w:themeColor="text1"/>
                <w:sz w:val="28"/>
                <w:szCs w:val="28"/>
              </w:rPr>
              <w:t>滿足民眾「食在地」、「食便利」及「食安心」之消費需求</w:t>
            </w:r>
            <w:r w:rsidR="00D630CC" w:rsidRPr="00F35EB5">
              <w:rPr>
                <w:rFonts w:ascii="Arial" w:eastAsia="標楷體" w:hAnsi="Arial" w:cs="Arial"/>
                <w:color w:val="000000" w:themeColor="text1"/>
                <w:sz w:val="28"/>
                <w:szCs w:val="28"/>
              </w:rPr>
              <w:t>。</w:t>
            </w:r>
          </w:p>
          <w:p w:rsidR="007535BE" w:rsidRPr="00A0065C" w:rsidRDefault="00EB29EC" w:rsidP="00A96248">
            <w:pPr>
              <w:pStyle w:val="aa"/>
              <w:numPr>
                <w:ilvl w:val="0"/>
                <w:numId w:val="16"/>
              </w:numPr>
              <w:snapToGrid w:val="0"/>
              <w:spacing w:line="480" w:lineRule="atLeast"/>
              <w:ind w:leftChars="0"/>
              <w:jc w:val="both"/>
              <w:rPr>
                <w:rFonts w:ascii="Arial" w:eastAsia="標楷體" w:hAnsi="Arial" w:cs="Arial"/>
                <w:color w:val="000000" w:themeColor="text1"/>
                <w:sz w:val="28"/>
                <w:szCs w:val="28"/>
              </w:rPr>
            </w:pPr>
            <w:r w:rsidRPr="00B43286">
              <w:rPr>
                <w:rFonts w:ascii="Arial" w:eastAsia="標楷體" w:hAnsi="Arial" w:cs="Arial" w:hint="eastAsia"/>
                <w:kern w:val="0"/>
                <w:sz w:val="28"/>
                <w:szCs w:val="28"/>
              </w:rPr>
              <w:t>農業產銷智慧加值應用</w:t>
            </w:r>
            <w:r w:rsidR="007535BE" w:rsidRPr="00B43286">
              <w:rPr>
                <w:rFonts w:ascii="Arial" w:eastAsia="標楷體" w:hAnsi="Arial" w:cs="Arial" w:hint="eastAsia"/>
                <w:sz w:val="28"/>
                <w:szCs w:val="28"/>
              </w:rPr>
              <w:t>：</w:t>
            </w:r>
            <w:r w:rsidR="007535BE" w:rsidRPr="00A0065C">
              <w:rPr>
                <w:rFonts w:ascii="Arial" w:eastAsia="標楷體" w:hAnsi="Arial" w:cs="Arial" w:hint="eastAsia"/>
                <w:color w:val="000000" w:themeColor="text1"/>
                <w:sz w:val="28"/>
                <w:szCs w:val="28"/>
              </w:rPr>
              <w:t>輔導農民及農企業使用智慧工具進行田間管理</w:t>
            </w:r>
            <w:r w:rsidR="00D630CC" w:rsidRPr="00A0065C">
              <w:rPr>
                <w:rFonts w:ascii="Arial" w:eastAsia="標楷體" w:hAnsi="Arial" w:cs="Arial" w:hint="eastAsia"/>
                <w:color w:val="000000" w:themeColor="text1"/>
                <w:sz w:val="28"/>
                <w:szCs w:val="28"/>
              </w:rPr>
              <w:t>、</w:t>
            </w:r>
            <w:r w:rsidR="007535BE" w:rsidRPr="00A0065C">
              <w:rPr>
                <w:rFonts w:ascii="Arial" w:eastAsia="標楷體" w:hAnsi="Arial" w:cs="Arial" w:hint="eastAsia"/>
                <w:color w:val="000000" w:themeColor="text1"/>
                <w:sz w:val="28"/>
                <w:szCs w:val="28"/>
              </w:rPr>
              <w:t>建置「雲端智慧集貨系統平</w:t>
            </w:r>
            <w:proofErr w:type="gramStart"/>
            <w:r w:rsidR="00C37B68">
              <w:rPr>
                <w:rFonts w:ascii="Arial" w:eastAsia="標楷體" w:hAnsi="Arial" w:cs="Arial" w:hint="eastAsia"/>
                <w:color w:val="000000" w:themeColor="text1"/>
                <w:sz w:val="28"/>
                <w:szCs w:val="28"/>
              </w:rPr>
              <w:t>臺</w:t>
            </w:r>
            <w:proofErr w:type="gramEnd"/>
            <w:r w:rsidR="007535BE" w:rsidRPr="00A0065C">
              <w:rPr>
                <w:rFonts w:ascii="Arial" w:eastAsia="標楷體" w:hAnsi="Arial" w:cs="Arial" w:hint="eastAsia"/>
                <w:color w:val="000000" w:themeColor="text1"/>
                <w:sz w:val="28"/>
                <w:szCs w:val="28"/>
              </w:rPr>
              <w:t>」</w:t>
            </w:r>
            <w:r w:rsidR="00D630CC" w:rsidRPr="00A0065C">
              <w:rPr>
                <w:rFonts w:ascii="Arial" w:eastAsia="標楷體" w:hAnsi="Arial" w:cs="Arial" w:hint="eastAsia"/>
                <w:color w:val="000000" w:themeColor="text1"/>
                <w:sz w:val="28"/>
                <w:szCs w:val="28"/>
              </w:rPr>
              <w:t>、與通</w:t>
            </w:r>
            <w:r w:rsidR="00D630CC" w:rsidRPr="00A0065C">
              <w:rPr>
                <w:rFonts w:ascii="Arial" w:eastAsia="標楷體" w:hAnsi="Arial" w:cs="Arial"/>
                <w:color w:val="000000" w:themeColor="text1"/>
                <w:sz w:val="28"/>
                <w:szCs w:val="28"/>
              </w:rPr>
              <w:t>路商合作</w:t>
            </w:r>
            <w:r w:rsidR="00D630CC" w:rsidRPr="00A0065C">
              <w:rPr>
                <w:rFonts w:ascii="Arial" w:eastAsia="標楷體" w:hAnsi="Arial" w:cs="Arial" w:hint="eastAsia"/>
                <w:color w:val="000000" w:themeColor="text1"/>
                <w:sz w:val="28"/>
                <w:szCs w:val="28"/>
              </w:rPr>
              <w:t>於實體通路建置直銷專區</w:t>
            </w:r>
            <w:r w:rsidR="007535BE" w:rsidRPr="00A0065C">
              <w:rPr>
                <w:rFonts w:ascii="Arial" w:eastAsia="標楷體" w:hAnsi="Arial" w:cs="Arial"/>
                <w:color w:val="000000" w:themeColor="text1"/>
                <w:sz w:val="28"/>
                <w:szCs w:val="28"/>
              </w:rPr>
              <w:t>。</w:t>
            </w:r>
          </w:p>
          <w:p w:rsidR="007535BE" w:rsidRPr="00A0065C" w:rsidRDefault="00D630CC" w:rsidP="00A96248">
            <w:pPr>
              <w:pStyle w:val="aa"/>
              <w:numPr>
                <w:ilvl w:val="0"/>
                <w:numId w:val="16"/>
              </w:numPr>
              <w:snapToGrid w:val="0"/>
              <w:spacing w:line="480" w:lineRule="atLeast"/>
              <w:ind w:leftChars="0"/>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食品雲：</w:t>
            </w:r>
            <w:r w:rsidR="007535BE" w:rsidRPr="00A0065C">
              <w:rPr>
                <w:rFonts w:ascii="Arial" w:eastAsia="標楷體" w:hAnsi="Arial" w:cs="Arial" w:hint="eastAsia"/>
                <w:color w:val="000000" w:themeColor="text1"/>
                <w:sz w:val="28"/>
                <w:szCs w:val="28"/>
              </w:rPr>
              <w:t>建置</w:t>
            </w:r>
            <w:r w:rsidR="007535BE" w:rsidRPr="00A0065C">
              <w:rPr>
                <w:rFonts w:ascii="Arial" w:eastAsia="標楷體" w:hAnsi="Arial" w:cs="Arial"/>
                <w:color w:val="000000" w:themeColor="text1"/>
                <w:sz w:val="28"/>
                <w:szCs w:val="28"/>
              </w:rPr>
              <w:t>食品雲追溯追蹤系統</w:t>
            </w:r>
            <w:r w:rsidR="007535BE" w:rsidRPr="00A0065C">
              <w:rPr>
                <w:rFonts w:ascii="Arial" w:eastAsia="標楷體" w:hAnsi="Arial" w:cs="Arial" w:hint="eastAsia"/>
                <w:color w:val="000000" w:themeColor="text1"/>
                <w:sz w:val="28"/>
                <w:szCs w:val="28"/>
              </w:rPr>
              <w:t>。</w:t>
            </w:r>
          </w:p>
        </w:tc>
        <w:tc>
          <w:tcPr>
            <w:tcW w:w="2311" w:type="dxa"/>
            <w:tcBorders>
              <w:top w:val="single" w:sz="4" w:space="0" w:color="auto"/>
              <w:bottom w:val="single" w:sz="4" w:space="0" w:color="auto"/>
            </w:tcBorders>
            <w:tcMar>
              <w:left w:w="28" w:type="dxa"/>
              <w:right w:w="28" w:type="dxa"/>
            </w:tcMar>
          </w:tcPr>
          <w:p w:rsidR="00F35EB5" w:rsidRDefault="00F35EB5" w:rsidP="00C80648">
            <w:pPr>
              <w:snapToGrid w:val="0"/>
              <w:spacing w:line="480" w:lineRule="atLeast"/>
              <w:jc w:val="center"/>
              <w:rPr>
                <w:rFonts w:ascii="Arial" w:eastAsia="標楷體" w:hAnsi="Arial" w:cs="Arial"/>
                <w:color w:val="000000" w:themeColor="text1"/>
                <w:sz w:val="28"/>
                <w:szCs w:val="28"/>
              </w:rPr>
            </w:pPr>
          </w:p>
          <w:p w:rsidR="007535BE" w:rsidRPr="00A0065C" w:rsidRDefault="007535BE" w:rsidP="00C80648">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農委會</w:t>
            </w:r>
          </w:p>
          <w:p w:rsidR="00F35EB5" w:rsidRDefault="00F35EB5" w:rsidP="00C80648">
            <w:pPr>
              <w:snapToGrid w:val="0"/>
              <w:spacing w:line="480" w:lineRule="atLeast"/>
              <w:jc w:val="center"/>
              <w:rPr>
                <w:rFonts w:ascii="Arial" w:eastAsia="標楷體" w:hAnsi="Arial" w:cs="Arial"/>
                <w:color w:val="000000" w:themeColor="text1"/>
                <w:sz w:val="28"/>
                <w:szCs w:val="28"/>
              </w:rPr>
            </w:pPr>
          </w:p>
          <w:p w:rsidR="007535BE" w:rsidRPr="00A0065C" w:rsidRDefault="007535BE" w:rsidP="00C80648">
            <w:pPr>
              <w:snapToGrid w:val="0"/>
              <w:spacing w:line="480" w:lineRule="atLeast"/>
              <w:jc w:val="center"/>
              <w:rPr>
                <w:rFonts w:ascii="Arial" w:eastAsia="標楷體" w:hAnsi="Arial" w:cs="Arial"/>
                <w:color w:val="000000" w:themeColor="text1"/>
                <w:sz w:val="28"/>
                <w:szCs w:val="28"/>
              </w:rPr>
            </w:pPr>
            <w:proofErr w:type="gramStart"/>
            <w:r w:rsidRPr="00A0065C">
              <w:rPr>
                <w:rFonts w:ascii="Arial" w:eastAsia="標楷體" w:hAnsi="Arial" w:cs="Arial"/>
                <w:color w:val="000000" w:themeColor="text1"/>
                <w:sz w:val="28"/>
                <w:szCs w:val="28"/>
              </w:rPr>
              <w:t>衛福部</w:t>
            </w:r>
            <w:proofErr w:type="gramEnd"/>
          </w:p>
        </w:tc>
      </w:tr>
      <w:tr w:rsidR="00A0065C" w:rsidRPr="00A0065C" w:rsidTr="00137503">
        <w:trPr>
          <w:trHeight w:val="1128"/>
          <w:jc w:val="center"/>
        </w:trPr>
        <w:tc>
          <w:tcPr>
            <w:tcW w:w="2489" w:type="dxa"/>
          </w:tcPr>
          <w:p w:rsidR="000D6FBF" w:rsidRPr="00A0065C" w:rsidRDefault="000D6FBF" w:rsidP="00C80648">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四</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推動中小企業邁向中堅企業</w:t>
            </w:r>
          </w:p>
        </w:tc>
        <w:tc>
          <w:tcPr>
            <w:tcW w:w="10248" w:type="dxa"/>
          </w:tcPr>
          <w:p w:rsidR="000D6FBF" w:rsidRPr="00A0065C" w:rsidRDefault="000D6FBF" w:rsidP="009B2038">
            <w:pPr>
              <w:snapToGrid w:val="0"/>
              <w:spacing w:line="480" w:lineRule="atLeast"/>
              <w:ind w:left="-4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輔導潛力中堅企業</w:t>
            </w:r>
            <w:r w:rsidR="009B2038" w:rsidRPr="00A0065C">
              <w:rPr>
                <w:rFonts w:ascii="Arial" w:eastAsia="標楷體" w:hAnsi="Arial" w:cs="Arial"/>
                <w:color w:val="000000" w:themeColor="text1"/>
                <w:sz w:val="28"/>
                <w:szCs w:val="28"/>
              </w:rPr>
              <w:t>由</w:t>
            </w:r>
            <w:r w:rsidRPr="00A0065C">
              <w:rPr>
                <w:rFonts w:ascii="Arial" w:eastAsia="標楷體" w:hAnsi="Arial" w:cs="Arial"/>
                <w:color w:val="000000" w:themeColor="text1"/>
                <w:sz w:val="28"/>
                <w:szCs w:val="28"/>
              </w:rPr>
              <w:t>每</w:t>
            </w:r>
            <w:r w:rsidRPr="00A0065C">
              <w:rPr>
                <w:rFonts w:ascii="Arial" w:eastAsia="標楷體" w:hAnsi="Arial" w:cs="Arial"/>
                <w:color w:val="000000" w:themeColor="text1"/>
                <w:sz w:val="28"/>
                <w:szCs w:val="28"/>
              </w:rPr>
              <w:t>2</w:t>
            </w:r>
            <w:r w:rsidRPr="00A0065C">
              <w:rPr>
                <w:rFonts w:ascii="Arial" w:eastAsia="標楷體" w:hAnsi="Arial" w:cs="Arial"/>
                <w:color w:val="000000" w:themeColor="text1"/>
                <w:sz w:val="28"/>
                <w:szCs w:val="28"/>
              </w:rPr>
              <w:t>年</w:t>
            </w:r>
            <w:r w:rsidRPr="00A0065C">
              <w:rPr>
                <w:rFonts w:ascii="Arial" w:eastAsia="標楷體" w:hAnsi="Arial" w:cs="Arial"/>
                <w:color w:val="000000" w:themeColor="text1"/>
                <w:sz w:val="28"/>
                <w:szCs w:val="28"/>
              </w:rPr>
              <w:t>50</w:t>
            </w:r>
            <w:r w:rsidRPr="00A0065C">
              <w:rPr>
                <w:rFonts w:ascii="Arial" w:eastAsia="標楷體" w:hAnsi="Arial" w:cs="Arial"/>
                <w:color w:val="000000" w:themeColor="text1"/>
                <w:sz w:val="28"/>
                <w:szCs w:val="28"/>
              </w:rPr>
              <w:t>家擴增為每年</w:t>
            </w:r>
            <w:r w:rsidRPr="00A0065C">
              <w:rPr>
                <w:rFonts w:ascii="Arial" w:eastAsia="標楷體" w:hAnsi="Arial" w:cs="Arial"/>
                <w:color w:val="000000" w:themeColor="text1"/>
                <w:sz w:val="28"/>
                <w:szCs w:val="28"/>
              </w:rPr>
              <w:t>50</w:t>
            </w:r>
            <w:r w:rsidRPr="00A0065C">
              <w:rPr>
                <w:rFonts w:ascii="Arial" w:eastAsia="標楷體" w:hAnsi="Arial" w:cs="Arial"/>
                <w:color w:val="000000" w:themeColor="text1"/>
                <w:sz w:val="28"/>
                <w:szCs w:val="28"/>
              </w:rPr>
              <w:t>家；善用人才、技術、智財及品牌行銷輔導資源，結合協力廠商建構供應鏈生態體系運作平</w:t>
            </w:r>
            <w:proofErr w:type="gramStart"/>
            <w:r w:rsidR="00C37B68">
              <w:rPr>
                <w:rFonts w:ascii="Arial" w:eastAsia="標楷體" w:hAnsi="Arial" w:cs="Arial"/>
                <w:color w:val="000000" w:themeColor="text1"/>
                <w:sz w:val="28"/>
                <w:szCs w:val="28"/>
              </w:rPr>
              <w:t>臺</w:t>
            </w:r>
            <w:proofErr w:type="gramEnd"/>
            <w:r w:rsidRPr="00A0065C">
              <w:rPr>
                <w:rFonts w:ascii="Arial" w:eastAsia="標楷體" w:hAnsi="Arial" w:cs="Arial"/>
                <w:color w:val="000000" w:themeColor="text1"/>
                <w:sz w:val="28"/>
                <w:szCs w:val="28"/>
              </w:rPr>
              <w:t>。</w:t>
            </w:r>
          </w:p>
        </w:tc>
        <w:tc>
          <w:tcPr>
            <w:tcW w:w="2311" w:type="dxa"/>
            <w:tcBorders>
              <w:top w:val="single" w:sz="4" w:space="0" w:color="auto"/>
            </w:tcBorders>
            <w:tcMar>
              <w:left w:w="28" w:type="dxa"/>
              <w:right w:w="28" w:type="dxa"/>
            </w:tcMar>
          </w:tcPr>
          <w:p w:rsidR="000D6FBF" w:rsidRPr="00A0065C" w:rsidRDefault="000D6FBF" w:rsidP="000D6FBF">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經濟部</w:t>
            </w:r>
            <w:r w:rsidRPr="00A0065C">
              <w:rPr>
                <w:rFonts w:ascii="Arial" w:eastAsia="標楷體" w:hAnsi="Arial" w:cs="Arial" w:hint="eastAsia"/>
                <w:color w:val="000000" w:themeColor="text1"/>
                <w:sz w:val="28"/>
                <w:szCs w:val="28"/>
              </w:rPr>
              <w:t>(</w:t>
            </w:r>
            <w:r w:rsidRPr="00A0065C">
              <w:rPr>
                <w:rFonts w:ascii="Arial" w:eastAsia="標楷體" w:hAnsi="Arial" w:cs="Arial"/>
                <w:color w:val="000000" w:themeColor="text1"/>
                <w:sz w:val="28"/>
                <w:szCs w:val="28"/>
              </w:rPr>
              <w:t>勞動部</w:t>
            </w:r>
            <w:r w:rsidRPr="00A0065C">
              <w:rPr>
                <w:rFonts w:ascii="Arial" w:eastAsia="標楷體" w:hAnsi="Arial" w:cs="Arial" w:hint="eastAsia"/>
                <w:color w:val="000000" w:themeColor="text1"/>
                <w:sz w:val="28"/>
                <w:szCs w:val="28"/>
              </w:rPr>
              <w:t>)</w:t>
            </w:r>
          </w:p>
        </w:tc>
      </w:tr>
      <w:tr w:rsidR="00A0065C" w:rsidRPr="00A0065C" w:rsidTr="005F6139">
        <w:trPr>
          <w:trHeight w:val="1440"/>
          <w:jc w:val="center"/>
        </w:trPr>
        <w:tc>
          <w:tcPr>
            <w:tcW w:w="2489" w:type="dxa"/>
          </w:tcPr>
          <w:p w:rsidR="00D60D5E" w:rsidRPr="00A0065C" w:rsidRDefault="00D60D5E" w:rsidP="00C80648">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五</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鞏固</w:t>
            </w:r>
            <w:r w:rsidR="009B2038">
              <w:rPr>
                <w:rFonts w:ascii="Arial" w:eastAsia="標楷體" w:hAnsi="Arial" w:cs="Arial" w:hint="eastAsia"/>
                <w:color w:val="000000" w:themeColor="text1"/>
                <w:sz w:val="28"/>
                <w:szCs w:val="28"/>
              </w:rPr>
              <w:t>五大</w:t>
            </w:r>
            <w:r w:rsidRPr="00A0065C">
              <w:rPr>
                <w:rFonts w:ascii="Arial" w:eastAsia="標楷體" w:hAnsi="Arial" w:cs="Arial"/>
                <w:color w:val="000000" w:themeColor="text1"/>
                <w:sz w:val="28"/>
                <w:szCs w:val="28"/>
              </w:rPr>
              <w:t>主力產業既有優勢</w:t>
            </w:r>
          </w:p>
        </w:tc>
        <w:tc>
          <w:tcPr>
            <w:tcW w:w="10248" w:type="dxa"/>
            <w:tcBorders>
              <w:top w:val="single" w:sz="4" w:space="0" w:color="auto"/>
            </w:tcBorders>
          </w:tcPr>
          <w:p w:rsidR="009B2038" w:rsidRDefault="00D60D5E" w:rsidP="009B2038">
            <w:pPr>
              <w:pStyle w:val="aa"/>
              <w:numPr>
                <w:ilvl w:val="0"/>
                <w:numId w:val="22"/>
              </w:numPr>
              <w:snapToGrid w:val="0"/>
              <w:spacing w:line="480" w:lineRule="atLeast"/>
              <w:ind w:leftChars="0" w:left="282" w:hanging="282"/>
              <w:jc w:val="both"/>
              <w:rPr>
                <w:rFonts w:ascii="Arial" w:eastAsia="標楷體" w:hAnsi="Arial" w:cs="Arial"/>
                <w:color w:val="000000" w:themeColor="text1"/>
                <w:sz w:val="28"/>
                <w:szCs w:val="28"/>
              </w:rPr>
            </w:pPr>
            <w:r w:rsidRPr="009B2038">
              <w:rPr>
                <w:rFonts w:ascii="Arial" w:eastAsia="標楷體" w:hAnsi="Arial" w:cs="Arial"/>
                <w:kern w:val="0"/>
                <w:sz w:val="28"/>
                <w:szCs w:val="28"/>
              </w:rPr>
              <w:t>挑選</w:t>
            </w:r>
            <w:r w:rsidRPr="00A0065C">
              <w:rPr>
                <w:rFonts w:ascii="Arial" w:eastAsia="標楷體" w:hAnsi="Arial" w:cs="Arial"/>
                <w:color w:val="000000" w:themeColor="text1"/>
                <w:sz w:val="28"/>
                <w:szCs w:val="28"/>
              </w:rPr>
              <w:t>具國際競爭力及受大陸自主供應鏈威脅之主力產業，如：半導體、面板、車輛、機械、紡織，全力輔導</w:t>
            </w:r>
            <w:r w:rsidR="009B2038" w:rsidRPr="00A0065C">
              <w:rPr>
                <w:rFonts w:ascii="Arial" w:eastAsia="標楷體" w:hAnsi="Arial" w:cs="Arial"/>
                <w:color w:val="000000" w:themeColor="text1"/>
                <w:sz w:val="28"/>
                <w:szCs w:val="28"/>
              </w:rPr>
              <w:t>。</w:t>
            </w:r>
          </w:p>
          <w:p w:rsidR="00D60D5E" w:rsidRPr="00A0065C" w:rsidRDefault="00D60D5E" w:rsidP="009B2038">
            <w:pPr>
              <w:pStyle w:val="aa"/>
              <w:numPr>
                <w:ilvl w:val="0"/>
                <w:numId w:val="22"/>
              </w:numPr>
              <w:snapToGrid w:val="0"/>
              <w:spacing w:line="480" w:lineRule="atLeast"/>
              <w:ind w:leftChars="0" w:left="282" w:hanging="282"/>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協助開發關鍵技術及零組件，推動產學聯盟整合研發能量，協助建立自有品牌等。</w:t>
            </w:r>
          </w:p>
        </w:tc>
        <w:tc>
          <w:tcPr>
            <w:tcW w:w="2311" w:type="dxa"/>
            <w:tcBorders>
              <w:top w:val="single" w:sz="4" w:space="0" w:color="auto"/>
            </w:tcBorders>
            <w:tcMar>
              <w:left w:w="28" w:type="dxa"/>
              <w:right w:w="28" w:type="dxa"/>
            </w:tcMar>
          </w:tcPr>
          <w:p w:rsidR="009B2038" w:rsidRDefault="009B2038" w:rsidP="00D60D5E">
            <w:pPr>
              <w:snapToGrid w:val="0"/>
              <w:spacing w:line="480" w:lineRule="atLeast"/>
              <w:jc w:val="center"/>
              <w:rPr>
                <w:rFonts w:ascii="Arial" w:eastAsia="標楷體" w:hAnsi="Arial" w:cs="Arial"/>
                <w:color w:val="000000" w:themeColor="text1"/>
                <w:sz w:val="28"/>
                <w:szCs w:val="28"/>
              </w:rPr>
            </w:pPr>
            <w:r>
              <w:rPr>
                <w:rFonts w:ascii="Arial" w:eastAsia="標楷體" w:hAnsi="Arial" w:cs="Arial"/>
                <w:color w:val="000000" w:themeColor="text1"/>
                <w:sz w:val="28"/>
                <w:szCs w:val="28"/>
              </w:rPr>
              <w:t>經濟部</w:t>
            </w:r>
          </w:p>
          <w:p w:rsidR="009B2038" w:rsidRDefault="009B2038" w:rsidP="00D60D5E">
            <w:pPr>
              <w:snapToGrid w:val="0"/>
              <w:spacing w:line="480" w:lineRule="atLeast"/>
              <w:jc w:val="center"/>
              <w:rPr>
                <w:rFonts w:ascii="Arial" w:eastAsia="標楷體" w:hAnsi="Arial" w:cs="Arial"/>
                <w:color w:val="000000" w:themeColor="text1"/>
                <w:sz w:val="28"/>
                <w:szCs w:val="28"/>
              </w:rPr>
            </w:pPr>
          </w:p>
          <w:p w:rsidR="00D60D5E" w:rsidRPr="00A0065C" w:rsidRDefault="00D60D5E" w:rsidP="00D60D5E">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科技部</w:t>
            </w:r>
          </w:p>
        </w:tc>
      </w:tr>
      <w:tr w:rsidR="00A0065C" w:rsidRPr="00A0065C" w:rsidTr="00D941BC">
        <w:trPr>
          <w:trHeight w:val="726"/>
          <w:jc w:val="center"/>
        </w:trPr>
        <w:tc>
          <w:tcPr>
            <w:tcW w:w="15048" w:type="dxa"/>
            <w:gridSpan w:val="3"/>
            <w:tcBorders>
              <w:bottom w:val="single" w:sz="4" w:space="0" w:color="auto"/>
            </w:tcBorders>
          </w:tcPr>
          <w:p w:rsidR="00D93821" w:rsidRPr="00A0065C" w:rsidRDefault="009B2038" w:rsidP="00D93821">
            <w:pPr>
              <w:snapToGrid w:val="0"/>
              <w:spacing w:beforeLines="25" w:before="90" w:afterLines="25" w:after="90" w:line="480" w:lineRule="atLeast"/>
              <w:rPr>
                <w:rFonts w:ascii="Arial" w:eastAsia="標楷體" w:hAnsi="Arial" w:cs="Arial"/>
                <w:color w:val="000000" w:themeColor="text1"/>
                <w:sz w:val="28"/>
                <w:szCs w:val="28"/>
              </w:rPr>
            </w:pPr>
            <w:r>
              <w:rPr>
                <w:rFonts w:ascii="Arial" w:eastAsia="標楷體" w:hAnsi="Arial" w:cs="Arial"/>
                <w:b/>
                <w:color w:val="000000" w:themeColor="text1"/>
                <w:sz w:val="28"/>
                <w:szCs w:val="28"/>
              </w:rPr>
              <w:t>二、出口</w:t>
            </w:r>
            <w:r>
              <w:rPr>
                <w:rFonts w:ascii="Arial" w:eastAsia="標楷體" w:hAnsi="Arial" w:cs="Arial" w:hint="eastAsia"/>
                <w:b/>
                <w:color w:val="000000" w:themeColor="text1"/>
                <w:sz w:val="28"/>
                <w:szCs w:val="28"/>
              </w:rPr>
              <w:t>拓展</w:t>
            </w:r>
            <w:r w:rsidR="00D93821" w:rsidRPr="00A0065C">
              <w:rPr>
                <w:rFonts w:ascii="Arial" w:eastAsia="標楷體" w:hAnsi="Arial" w:cs="Arial"/>
                <w:b/>
                <w:color w:val="000000" w:themeColor="text1"/>
                <w:sz w:val="28"/>
                <w:szCs w:val="28"/>
              </w:rPr>
              <w:t>：由「</w:t>
            </w:r>
            <w:proofErr w:type="gramStart"/>
            <w:r w:rsidR="00D93821" w:rsidRPr="00A0065C">
              <w:rPr>
                <w:rFonts w:ascii="Arial" w:eastAsia="標楷體" w:hAnsi="Arial" w:cs="Arial"/>
                <w:b/>
                <w:color w:val="000000" w:themeColor="text1"/>
                <w:sz w:val="28"/>
                <w:szCs w:val="28"/>
              </w:rPr>
              <w:t>中間財</w:t>
            </w:r>
            <w:proofErr w:type="gramEnd"/>
            <w:r w:rsidR="00D93821" w:rsidRPr="00A0065C">
              <w:rPr>
                <w:rFonts w:ascii="Arial" w:eastAsia="標楷體" w:hAnsi="Arial" w:cs="Arial"/>
                <w:b/>
                <w:color w:val="000000" w:themeColor="text1"/>
                <w:sz w:val="28"/>
                <w:szCs w:val="28"/>
              </w:rPr>
              <w:t>商品出口」轉為「系統化商品與服務」雙驅動</w:t>
            </w:r>
          </w:p>
        </w:tc>
      </w:tr>
      <w:tr w:rsidR="00A0065C" w:rsidRPr="00A0065C" w:rsidTr="00137503">
        <w:trPr>
          <w:trHeight w:val="1629"/>
          <w:jc w:val="center"/>
        </w:trPr>
        <w:tc>
          <w:tcPr>
            <w:tcW w:w="2489" w:type="dxa"/>
            <w:vMerge w:val="restart"/>
          </w:tcPr>
          <w:p w:rsidR="007535BE" w:rsidRPr="00A0065C" w:rsidRDefault="007535BE" w:rsidP="00C80648">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proofErr w:type="gramStart"/>
            <w:r w:rsidRPr="00A0065C">
              <w:rPr>
                <w:rFonts w:ascii="Arial" w:eastAsia="標楷體" w:hAnsi="Arial" w:cs="Arial"/>
                <w:color w:val="000000" w:themeColor="text1"/>
                <w:sz w:val="28"/>
                <w:szCs w:val="28"/>
              </w:rPr>
              <w:t>一</w:t>
            </w:r>
            <w:proofErr w:type="gramEnd"/>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服務業走出去拓展全球市場</w:t>
            </w:r>
          </w:p>
        </w:tc>
        <w:tc>
          <w:tcPr>
            <w:tcW w:w="10248" w:type="dxa"/>
            <w:tcBorders>
              <w:bottom w:val="single" w:sz="4" w:space="0" w:color="auto"/>
            </w:tcBorders>
          </w:tcPr>
          <w:p w:rsidR="00674905" w:rsidRPr="00A0065C" w:rsidRDefault="007535BE" w:rsidP="00674905">
            <w:pPr>
              <w:pStyle w:val="aa"/>
              <w:numPr>
                <w:ilvl w:val="0"/>
                <w:numId w:val="5"/>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推動至少</w:t>
            </w:r>
            <w:r w:rsidRPr="00A0065C">
              <w:rPr>
                <w:rFonts w:ascii="Arial" w:eastAsia="標楷體" w:hAnsi="Arial" w:cs="Arial"/>
                <w:color w:val="000000" w:themeColor="text1"/>
                <w:sz w:val="28"/>
                <w:szCs w:val="28"/>
              </w:rPr>
              <w:t xml:space="preserve"> 10 </w:t>
            </w:r>
            <w:proofErr w:type="gramStart"/>
            <w:r w:rsidRPr="00A0065C">
              <w:rPr>
                <w:rFonts w:ascii="Arial" w:eastAsia="標楷體" w:hAnsi="Arial" w:cs="Arial"/>
                <w:color w:val="000000" w:themeColor="text1"/>
                <w:sz w:val="28"/>
                <w:szCs w:val="28"/>
              </w:rPr>
              <w:t>個</w:t>
            </w:r>
            <w:proofErr w:type="gramEnd"/>
            <w:r w:rsidRPr="00A0065C">
              <w:rPr>
                <w:rFonts w:ascii="Arial" w:eastAsia="標楷體" w:hAnsi="Arial" w:cs="Arial"/>
                <w:color w:val="000000" w:themeColor="text1"/>
                <w:sz w:val="28"/>
                <w:szCs w:val="28"/>
              </w:rPr>
              <w:t>具潛力之整廠輸出</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系統整合案例，整合相關政策工具</w:t>
            </w:r>
            <w:r w:rsidR="00674905" w:rsidRPr="00A0065C">
              <w:rPr>
                <w:rFonts w:ascii="Arial" w:eastAsia="標楷體" w:hAnsi="Arial" w:cs="Arial"/>
                <w:color w:val="000000" w:themeColor="text1"/>
                <w:sz w:val="28"/>
                <w:szCs w:val="28"/>
              </w:rPr>
              <w:t>，</w:t>
            </w:r>
            <w:r w:rsidR="00674905" w:rsidRPr="00A0065C">
              <w:rPr>
                <w:rFonts w:ascii="Arial" w:eastAsia="標楷體" w:hAnsi="Arial" w:cs="Arial" w:hint="eastAsia"/>
                <w:color w:val="000000" w:themeColor="text1"/>
                <w:sz w:val="28"/>
                <w:szCs w:val="28"/>
              </w:rPr>
              <w:t>並成立推動平</w:t>
            </w:r>
            <w:proofErr w:type="gramStart"/>
            <w:r w:rsidR="00C37B68">
              <w:rPr>
                <w:rFonts w:ascii="Arial" w:eastAsia="標楷體" w:hAnsi="Arial" w:cs="Arial" w:hint="eastAsia"/>
                <w:color w:val="000000" w:themeColor="text1"/>
                <w:sz w:val="28"/>
                <w:szCs w:val="28"/>
              </w:rPr>
              <w:t>臺</w:t>
            </w:r>
            <w:proofErr w:type="gramEnd"/>
            <w:r w:rsidR="00674905" w:rsidRPr="00A0065C">
              <w:rPr>
                <w:rFonts w:ascii="Arial" w:eastAsia="標楷體" w:hAnsi="Arial" w:cs="Arial" w:hint="eastAsia"/>
                <w:color w:val="000000" w:themeColor="text1"/>
                <w:sz w:val="28"/>
                <w:szCs w:val="28"/>
              </w:rPr>
              <w:t>，於國內市場進行服務試煉及推廣，並將具</w:t>
            </w:r>
            <w:proofErr w:type="gramStart"/>
            <w:r w:rsidR="00674905" w:rsidRPr="00A0065C">
              <w:rPr>
                <w:rFonts w:ascii="Arial" w:eastAsia="標楷體" w:hAnsi="Arial" w:cs="Arial" w:hint="eastAsia"/>
                <w:color w:val="000000" w:themeColor="text1"/>
                <w:sz w:val="28"/>
                <w:szCs w:val="28"/>
              </w:rPr>
              <w:t>實績者推至</w:t>
            </w:r>
            <w:proofErr w:type="gramEnd"/>
            <w:r w:rsidR="00674905" w:rsidRPr="00A0065C">
              <w:rPr>
                <w:rFonts w:ascii="Arial" w:eastAsia="標楷體" w:hAnsi="Arial" w:cs="Arial" w:hint="eastAsia"/>
                <w:color w:val="000000" w:themeColor="text1"/>
                <w:sz w:val="28"/>
                <w:szCs w:val="28"/>
              </w:rPr>
              <w:t>海外；中長期以孵育新案例，</w:t>
            </w:r>
            <w:r w:rsidRPr="00A0065C">
              <w:rPr>
                <w:rFonts w:ascii="Arial" w:eastAsia="標楷體" w:hAnsi="Arial" w:cs="Arial"/>
                <w:color w:val="000000" w:themeColor="text1"/>
                <w:sz w:val="28"/>
                <w:szCs w:val="28"/>
              </w:rPr>
              <w:t>促成國內軟硬體及服務業者形成出口旗艦。</w:t>
            </w:r>
          </w:p>
        </w:tc>
        <w:tc>
          <w:tcPr>
            <w:tcW w:w="2311" w:type="dxa"/>
            <w:tcBorders>
              <w:bottom w:val="single" w:sz="4" w:space="0" w:color="auto"/>
            </w:tcBorders>
            <w:tcMar>
              <w:left w:w="28" w:type="dxa"/>
              <w:right w:w="28" w:type="dxa"/>
            </w:tcMar>
          </w:tcPr>
          <w:p w:rsidR="000D60E5" w:rsidRPr="00A0065C" w:rsidRDefault="000D60E5" w:rsidP="000D60E5">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經濟部</w:t>
            </w:r>
            <w:r w:rsidRPr="00A0065C">
              <w:rPr>
                <w:rFonts w:ascii="Arial" w:eastAsia="標楷體" w:hAnsi="Arial" w:cs="Arial" w:hint="eastAsia"/>
                <w:color w:val="000000" w:themeColor="text1"/>
                <w:sz w:val="28"/>
                <w:szCs w:val="28"/>
              </w:rPr>
              <w:t>(</w:t>
            </w:r>
            <w:r w:rsidRPr="00A0065C">
              <w:rPr>
                <w:rFonts w:ascii="Arial" w:eastAsia="標楷體" w:hAnsi="Arial" w:cs="Arial" w:hint="eastAsia"/>
                <w:color w:val="000000" w:themeColor="text1"/>
                <w:sz w:val="28"/>
                <w:szCs w:val="28"/>
              </w:rPr>
              <w:t>交通部、</w:t>
            </w:r>
            <w:proofErr w:type="gramStart"/>
            <w:r w:rsidRPr="00A0065C">
              <w:rPr>
                <w:rFonts w:ascii="Arial" w:eastAsia="標楷體" w:hAnsi="Arial" w:cs="Arial" w:hint="eastAsia"/>
                <w:color w:val="000000" w:themeColor="text1"/>
                <w:sz w:val="28"/>
                <w:szCs w:val="28"/>
              </w:rPr>
              <w:t>衛福部</w:t>
            </w:r>
            <w:proofErr w:type="gramEnd"/>
            <w:r w:rsidRPr="00A0065C">
              <w:rPr>
                <w:rFonts w:ascii="Arial" w:eastAsia="標楷體" w:hAnsi="Arial" w:cs="Arial" w:hint="eastAsia"/>
                <w:color w:val="000000" w:themeColor="text1"/>
                <w:sz w:val="28"/>
                <w:szCs w:val="28"/>
              </w:rPr>
              <w:t>、教育部、國發會</w:t>
            </w:r>
            <w:r w:rsidRPr="00A0065C">
              <w:rPr>
                <w:rFonts w:ascii="Arial" w:eastAsia="標楷體" w:hAnsi="Arial" w:cs="Arial" w:hint="eastAsia"/>
                <w:color w:val="000000" w:themeColor="text1"/>
                <w:sz w:val="28"/>
                <w:szCs w:val="28"/>
              </w:rPr>
              <w:t>)</w:t>
            </w:r>
          </w:p>
        </w:tc>
      </w:tr>
      <w:tr w:rsidR="00A0065C" w:rsidRPr="00A0065C" w:rsidTr="00D941BC">
        <w:trPr>
          <w:trHeight w:val="1329"/>
          <w:jc w:val="center"/>
        </w:trPr>
        <w:tc>
          <w:tcPr>
            <w:tcW w:w="2489" w:type="dxa"/>
            <w:vMerge/>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dashed" w:sz="4" w:space="0" w:color="auto"/>
              <w:bottom w:val="single" w:sz="4" w:space="0" w:color="auto"/>
            </w:tcBorders>
          </w:tcPr>
          <w:p w:rsidR="007535BE" w:rsidRPr="00A0065C" w:rsidRDefault="007535BE" w:rsidP="00993A61">
            <w:pPr>
              <w:pStyle w:val="aa"/>
              <w:numPr>
                <w:ilvl w:val="0"/>
                <w:numId w:val="5"/>
              </w:numPr>
              <w:snapToGrid w:val="0"/>
              <w:spacing w:line="480" w:lineRule="atLeast"/>
              <w:ind w:leftChars="-19" w:left="238" w:hanging="284"/>
              <w:jc w:val="both"/>
              <w:rPr>
                <w:rFonts w:ascii="Arial" w:eastAsia="標楷體" w:hAnsi="Arial" w:cs="Arial"/>
                <w:color w:val="000000" w:themeColor="text1"/>
                <w:sz w:val="28"/>
                <w:szCs w:val="28"/>
              </w:rPr>
            </w:pPr>
            <w:proofErr w:type="gramStart"/>
            <w:r w:rsidRPr="00A0065C">
              <w:rPr>
                <w:rFonts w:ascii="Arial" w:eastAsia="標楷體" w:hAnsi="Arial" w:cs="Arial"/>
                <w:color w:val="000000" w:themeColor="text1"/>
                <w:sz w:val="28"/>
                <w:szCs w:val="28"/>
              </w:rPr>
              <w:t>推動文創國家</w:t>
            </w:r>
            <w:proofErr w:type="gramEnd"/>
            <w:r w:rsidRPr="00A0065C">
              <w:rPr>
                <w:rFonts w:ascii="Arial" w:eastAsia="標楷體" w:hAnsi="Arial" w:cs="Arial"/>
                <w:color w:val="000000" w:themeColor="text1"/>
                <w:sz w:val="28"/>
                <w:szCs w:val="28"/>
              </w:rPr>
              <w:t>總動員，整合跨部會資源，如：投融資、無形資產</w:t>
            </w:r>
            <w:proofErr w:type="gramStart"/>
            <w:r w:rsidRPr="00A0065C">
              <w:rPr>
                <w:rFonts w:ascii="Arial" w:eastAsia="標楷體" w:hAnsi="Arial" w:cs="Arial"/>
                <w:color w:val="000000" w:themeColor="text1"/>
                <w:sz w:val="28"/>
                <w:szCs w:val="28"/>
              </w:rPr>
              <w:t>鑑</w:t>
            </w:r>
            <w:proofErr w:type="gramEnd"/>
            <w:r w:rsidRPr="00A0065C">
              <w:rPr>
                <w:rFonts w:ascii="Arial" w:eastAsia="標楷體" w:hAnsi="Arial" w:cs="Arial"/>
                <w:color w:val="000000" w:themeColor="text1"/>
                <w:sz w:val="28"/>
                <w:szCs w:val="28"/>
              </w:rPr>
              <w:t>價、智財保護、產學合作、海外行銷等，推動文化創意產業輸出。</w:t>
            </w:r>
          </w:p>
        </w:tc>
        <w:tc>
          <w:tcPr>
            <w:tcW w:w="2311" w:type="dxa"/>
            <w:tcBorders>
              <w:top w:val="dashed" w:sz="4" w:space="0" w:color="auto"/>
              <w:bottom w:val="single" w:sz="4" w:space="0" w:color="auto"/>
            </w:tcBorders>
            <w:tcMar>
              <w:left w:w="28" w:type="dxa"/>
              <w:right w:w="28" w:type="dxa"/>
            </w:tcMar>
          </w:tcPr>
          <w:p w:rsidR="007535BE" w:rsidRPr="00A0065C" w:rsidRDefault="007535BE" w:rsidP="00763128">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文化</w:t>
            </w:r>
            <w:r w:rsidRPr="00EA0F14">
              <w:rPr>
                <w:rFonts w:ascii="Arial" w:eastAsia="標楷體" w:hAnsi="Arial" w:cs="Arial"/>
                <w:color w:val="000000" w:themeColor="text1"/>
                <w:sz w:val="28"/>
                <w:szCs w:val="28"/>
              </w:rPr>
              <w:t>部</w:t>
            </w:r>
            <w:r w:rsidR="00763128" w:rsidRPr="00F642FB">
              <w:rPr>
                <w:rFonts w:ascii="Arial" w:eastAsia="標楷體" w:hAnsi="Arial" w:cs="Arial" w:hint="eastAsia"/>
                <w:color w:val="000000" w:themeColor="text1"/>
                <w:sz w:val="28"/>
                <w:szCs w:val="28"/>
              </w:rPr>
              <w:t>(</w:t>
            </w:r>
            <w:r w:rsidR="00763128" w:rsidRPr="00F642FB">
              <w:rPr>
                <w:rFonts w:ascii="Arial" w:eastAsia="標楷體" w:hAnsi="Arial" w:cs="Arial" w:hint="eastAsia"/>
                <w:color w:val="000000" w:themeColor="text1"/>
                <w:sz w:val="28"/>
                <w:szCs w:val="28"/>
              </w:rPr>
              <w:t>經濟部、內政部</w:t>
            </w:r>
            <w:r w:rsidR="00763128" w:rsidRPr="00F642FB">
              <w:rPr>
                <w:rFonts w:ascii="Arial" w:eastAsia="標楷體" w:hAnsi="Arial" w:cs="Arial" w:hint="eastAsia"/>
                <w:color w:val="000000" w:themeColor="text1"/>
                <w:sz w:val="28"/>
                <w:szCs w:val="28"/>
              </w:rPr>
              <w:t xml:space="preserve">) </w:t>
            </w:r>
          </w:p>
        </w:tc>
      </w:tr>
      <w:tr w:rsidR="00A0065C" w:rsidRPr="00A0065C" w:rsidTr="00137503">
        <w:trPr>
          <w:trHeight w:val="1447"/>
          <w:jc w:val="center"/>
        </w:trPr>
        <w:tc>
          <w:tcPr>
            <w:tcW w:w="2489" w:type="dxa"/>
            <w:vMerge w:val="restart"/>
          </w:tcPr>
          <w:p w:rsidR="007535BE" w:rsidRPr="00A0065C" w:rsidRDefault="007535BE" w:rsidP="00C80648">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lastRenderedPageBreak/>
              <w:t>(</w:t>
            </w:r>
            <w:r w:rsidRPr="00A0065C">
              <w:rPr>
                <w:rFonts w:ascii="Arial" w:eastAsia="標楷體" w:hAnsi="Arial" w:cs="Arial"/>
                <w:color w:val="000000" w:themeColor="text1"/>
                <w:sz w:val="28"/>
                <w:szCs w:val="28"/>
              </w:rPr>
              <w:t>二</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服務業引進來擴大產業規模</w:t>
            </w:r>
          </w:p>
        </w:tc>
        <w:tc>
          <w:tcPr>
            <w:tcW w:w="10248" w:type="dxa"/>
            <w:tcBorders>
              <w:bottom w:val="single" w:sz="4" w:space="0" w:color="auto"/>
            </w:tcBorders>
          </w:tcPr>
          <w:p w:rsidR="007535BE" w:rsidRPr="00A0065C" w:rsidRDefault="007535BE" w:rsidP="00137503">
            <w:pPr>
              <w:pStyle w:val="aa"/>
              <w:numPr>
                <w:ilvl w:val="0"/>
                <w:numId w:val="6"/>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擴大觀光業火車頭角色，</w:t>
            </w:r>
            <w:r w:rsidR="00137503" w:rsidRPr="00A0065C">
              <w:rPr>
                <w:rFonts w:ascii="Arial" w:eastAsia="標楷體" w:hAnsi="Arial" w:cs="Arial" w:hint="eastAsia"/>
                <w:color w:val="000000" w:themeColor="text1"/>
                <w:sz w:val="28"/>
                <w:szCs w:val="28"/>
              </w:rPr>
              <w:t>推動「觀光大國行動方案」，有效</w:t>
            </w:r>
            <w:r w:rsidRPr="00A0065C">
              <w:rPr>
                <w:rFonts w:ascii="Arial" w:eastAsia="標楷體" w:hAnsi="Arial" w:cs="Arial"/>
                <w:color w:val="000000" w:themeColor="text1"/>
                <w:sz w:val="28"/>
                <w:szCs w:val="28"/>
              </w:rPr>
              <w:t>結合</w:t>
            </w:r>
            <w:proofErr w:type="gramStart"/>
            <w:r w:rsidRPr="00A0065C">
              <w:rPr>
                <w:rFonts w:ascii="Arial" w:eastAsia="標楷體" w:hAnsi="Arial" w:cs="Arial"/>
                <w:color w:val="000000" w:themeColor="text1"/>
                <w:sz w:val="28"/>
                <w:szCs w:val="28"/>
              </w:rPr>
              <w:t>醫美健</w:t>
            </w:r>
            <w:proofErr w:type="gramEnd"/>
            <w:r w:rsidRPr="00A0065C">
              <w:rPr>
                <w:rFonts w:ascii="Arial" w:eastAsia="標楷體" w:hAnsi="Arial" w:cs="Arial"/>
                <w:color w:val="000000" w:themeColor="text1"/>
                <w:sz w:val="28"/>
                <w:szCs w:val="28"/>
              </w:rPr>
              <w:t>檢、美食、農業、</w:t>
            </w:r>
            <w:proofErr w:type="gramStart"/>
            <w:r w:rsidRPr="00A0065C">
              <w:rPr>
                <w:rFonts w:ascii="Arial" w:eastAsia="標楷體" w:hAnsi="Arial" w:cs="Arial"/>
                <w:color w:val="000000" w:themeColor="text1"/>
                <w:sz w:val="28"/>
                <w:szCs w:val="28"/>
              </w:rPr>
              <w:t>文創</w:t>
            </w:r>
            <w:proofErr w:type="gramEnd"/>
            <w:r w:rsidRPr="00A0065C">
              <w:rPr>
                <w:rFonts w:ascii="Arial" w:eastAsia="標楷體" w:hAnsi="Arial" w:cs="Arial"/>
                <w:color w:val="000000" w:themeColor="text1"/>
                <w:sz w:val="28"/>
                <w:szCs w:val="28"/>
              </w:rPr>
              <w:t>、觀光工廠等，打造質量優化、創意加值、處處皆可觀光的觀光大國。</w:t>
            </w:r>
          </w:p>
        </w:tc>
        <w:tc>
          <w:tcPr>
            <w:tcW w:w="2311" w:type="dxa"/>
            <w:tcBorders>
              <w:bottom w:val="single" w:sz="4" w:space="0" w:color="auto"/>
            </w:tcBorders>
            <w:tcMar>
              <w:left w:w="28" w:type="dxa"/>
              <w:right w:w="28" w:type="dxa"/>
            </w:tcMar>
          </w:tcPr>
          <w:p w:rsidR="000D60E5" w:rsidRPr="00A0065C" w:rsidRDefault="00D941BC" w:rsidP="005B4575">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交通部</w:t>
            </w:r>
            <w:r w:rsidR="000D60E5" w:rsidRPr="00A0065C">
              <w:rPr>
                <w:rFonts w:ascii="Arial" w:eastAsia="標楷體" w:hAnsi="Arial" w:cs="Arial" w:hint="eastAsia"/>
                <w:color w:val="000000" w:themeColor="text1"/>
                <w:sz w:val="28"/>
                <w:szCs w:val="28"/>
              </w:rPr>
              <w:t>(</w:t>
            </w:r>
            <w:proofErr w:type="gramStart"/>
            <w:r w:rsidR="000D60E5" w:rsidRPr="00A0065C">
              <w:rPr>
                <w:rFonts w:ascii="Arial" w:eastAsia="標楷體" w:hAnsi="Arial" w:cs="Arial" w:hint="eastAsia"/>
                <w:color w:val="000000" w:themeColor="text1"/>
                <w:sz w:val="28"/>
                <w:szCs w:val="28"/>
              </w:rPr>
              <w:t>衛福部</w:t>
            </w:r>
            <w:proofErr w:type="gramEnd"/>
            <w:r w:rsidR="000D60E5" w:rsidRPr="00A0065C">
              <w:rPr>
                <w:rFonts w:ascii="Arial" w:eastAsia="標楷體" w:hAnsi="Arial" w:cs="Arial" w:hint="eastAsia"/>
                <w:color w:val="000000" w:themeColor="text1"/>
                <w:sz w:val="28"/>
                <w:szCs w:val="28"/>
              </w:rPr>
              <w:t>、經濟部、農委會、文化部</w:t>
            </w:r>
            <w:r w:rsidR="000D60E5" w:rsidRPr="00A0065C">
              <w:rPr>
                <w:rFonts w:ascii="Arial" w:eastAsia="標楷體" w:hAnsi="Arial" w:cs="Arial" w:hint="eastAsia"/>
                <w:color w:val="000000" w:themeColor="text1"/>
                <w:sz w:val="28"/>
                <w:szCs w:val="28"/>
              </w:rPr>
              <w:t>)</w:t>
            </w:r>
          </w:p>
        </w:tc>
      </w:tr>
      <w:tr w:rsidR="00FD1C01" w:rsidRPr="00A0065C" w:rsidTr="00D62FD2">
        <w:trPr>
          <w:trHeight w:val="1766"/>
          <w:jc w:val="center"/>
        </w:trPr>
        <w:tc>
          <w:tcPr>
            <w:tcW w:w="2489" w:type="dxa"/>
            <w:vMerge/>
          </w:tcPr>
          <w:p w:rsidR="00FD1C01" w:rsidRPr="00A0065C" w:rsidRDefault="00FD1C01" w:rsidP="00C80648">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p>
        </w:tc>
        <w:tc>
          <w:tcPr>
            <w:tcW w:w="10248" w:type="dxa"/>
          </w:tcPr>
          <w:p w:rsidR="00AF6207" w:rsidRPr="00F642FB" w:rsidRDefault="00FD1C01" w:rsidP="008F287B">
            <w:pPr>
              <w:pStyle w:val="aa"/>
              <w:numPr>
                <w:ilvl w:val="0"/>
                <w:numId w:val="6"/>
              </w:numPr>
              <w:snapToGrid w:val="0"/>
              <w:spacing w:line="480" w:lineRule="atLeast"/>
              <w:ind w:leftChars="-19" w:left="238" w:hanging="284"/>
              <w:jc w:val="both"/>
              <w:rPr>
                <w:rFonts w:ascii="Arial" w:eastAsia="標楷體" w:hAnsi="Arial" w:cs="Arial"/>
                <w:color w:val="000000" w:themeColor="text1"/>
                <w:sz w:val="28"/>
                <w:szCs w:val="28"/>
              </w:rPr>
            </w:pPr>
            <w:r w:rsidRPr="00F642FB">
              <w:rPr>
                <w:rFonts w:ascii="Arial" w:eastAsia="標楷體" w:hAnsi="Arial" w:cs="Arial" w:hint="eastAsia"/>
                <w:color w:val="000000" w:themeColor="text1"/>
                <w:sz w:val="28"/>
                <w:szCs w:val="28"/>
              </w:rPr>
              <w:t>擴大觀光服務輸出，包括：實施東南亞優質團觀光簽證便捷措施，並免收簽證費；積極爭取海外</w:t>
            </w:r>
            <w:proofErr w:type="gramStart"/>
            <w:r w:rsidRPr="00F642FB">
              <w:rPr>
                <w:rFonts w:ascii="Arial" w:eastAsia="標楷體" w:hAnsi="Arial" w:cs="Arial" w:hint="eastAsia"/>
                <w:color w:val="000000" w:themeColor="text1"/>
                <w:sz w:val="28"/>
                <w:szCs w:val="28"/>
              </w:rPr>
              <w:t>臺</w:t>
            </w:r>
            <w:proofErr w:type="gramEnd"/>
            <w:r w:rsidRPr="00F642FB">
              <w:rPr>
                <w:rFonts w:ascii="Arial" w:eastAsia="標楷體" w:hAnsi="Arial" w:cs="Arial" w:hint="eastAsia"/>
                <w:color w:val="000000" w:themeColor="text1"/>
                <w:sz w:val="28"/>
                <w:szCs w:val="28"/>
              </w:rPr>
              <w:t>商來</w:t>
            </w:r>
            <w:proofErr w:type="gramStart"/>
            <w:r w:rsidR="00C37B68">
              <w:rPr>
                <w:rFonts w:ascii="Arial" w:eastAsia="標楷體" w:hAnsi="Arial" w:cs="Arial" w:hint="eastAsia"/>
                <w:color w:val="000000" w:themeColor="text1"/>
                <w:sz w:val="28"/>
                <w:szCs w:val="28"/>
              </w:rPr>
              <w:t>臺</w:t>
            </w:r>
            <w:proofErr w:type="gramEnd"/>
            <w:r w:rsidRPr="00F642FB">
              <w:rPr>
                <w:rFonts w:ascii="Arial" w:eastAsia="標楷體" w:hAnsi="Arial" w:cs="Arial" w:hint="eastAsia"/>
                <w:color w:val="000000" w:themeColor="text1"/>
                <w:sz w:val="28"/>
                <w:szCs w:val="28"/>
              </w:rPr>
              <w:t>獎勵旅遊；調降退稅門檻，</w:t>
            </w:r>
            <w:r w:rsidRPr="00F642FB">
              <w:rPr>
                <w:rFonts w:ascii="Arial" w:eastAsia="標楷體" w:hAnsi="Arial" w:cs="Arial" w:hint="eastAsia"/>
                <w:color w:val="000000" w:themeColor="text1"/>
                <w:sz w:val="28"/>
                <w:szCs w:val="28"/>
              </w:rPr>
              <w:t>e</w:t>
            </w:r>
            <w:r w:rsidRPr="00F642FB">
              <w:rPr>
                <w:rFonts w:ascii="Arial" w:eastAsia="標楷體" w:hAnsi="Arial" w:cs="Arial" w:hint="eastAsia"/>
                <w:color w:val="000000" w:themeColor="text1"/>
                <w:sz w:val="28"/>
                <w:szCs w:val="28"/>
              </w:rPr>
              <w:t>化退稅手續；</w:t>
            </w:r>
            <w:r w:rsidR="008F287B" w:rsidRPr="00F642FB">
              <w:rPr>
                <w:rFonts w:ascii="Arial" w:eastAsia="標楷體" w:hAnsi="Arial" w:cs="Arial" w:hint="eastAsia"/>
                <w:color w:val="000000" w:themeColor="text1"/>
                <w:sz w:val="28"/>
                <w:szCs w:val="28"/>
              </w:rPr>
              <w:t>放寬大陸人士來</w:t>
            </w:r>
            <w:proofErr w:type="gramStart"/>
            <w:r w:rsidR="008F287B" w:rsidRPr="00F642FB">
              <w:rPr>
                <w:rFonts w:ascii="Arial" w:eastAsia="標楷體" w:hAnsi="Arial" w:cs="Arial" w:hint="eastAsia"/>
                <w:color w:val="000000" w:themeColor="text1"/>
                <w:sz w:val="28"/>
                <w:szCs w:val="28"/>
              </w:rPr>
              <w:t>臺</w:t>
            </w:r>
            <w:proofErr w:type="gramEnd"/>
            <w:r w:rsidR="008F287B" w:rsidRPr="00F642FB">
              <w:rPr>
                <w:rFonts w:ascii="Arial" w:eastAsia="標楷體" w:hAnsi="Arial" w:cs="Arial" w:hint="eastAsia"/>
                <w:color w:val="000000" w:themeColor="text1"/>
                <w:sz w:val="28"/>
                <w:szCs w:val="28"/>
              </w:rPr>
              <w:t>自由行配額及放寬離島專案配額</w:t>
            </w:r>
            <w:r w:rsidR="002D0E2F" w:rsidRPr="00F642FB">
              <w:rPr>
                <w:rFonts w:ascii="Arial" w:eastAsia="標楷體" w:hAnsi="Arial" w:cs="Arial" w:hint="eastAsia"/>
                <w:color w:val="000000" w:themeColor="text1"/>
                <w:sz w:val="28"/>
                <w:szCs w:val="28"/>
              </w:rPr>
              <w:t>。</w:t>
            </w:r>
          </w:p>
        </w:tc>
        <w:tc>
          <w:tcPr>
            <w:tcW w:w="2311" w:type="dxa"/>
            <w:tcMar>
              <w:left w:w="28" w:type="dxa"/>
              <w:right w:w="28" w:type="dxa"/>
            </w:tcMar>
          </w:tcPr>
          <w:p w:rsidR="00FD1C01" w:rsidRPr="00F642FB" w:rsidRDefault="00FD1C01" w:rsidP="009B2038">
            <w:pPr>
              <w:snapToGrid w:val="0"/>
              <w:spacing w:line="480" w:lineRule="atLeast"/>
              <w:jc w:val="both"/>
              <w:rPr>
                <w:rFonts w:ascii="Arial" w:eastAsia="標楷體" w:hAnsi="Arial" w:cs="Arial"/>
                <w:color w:val="000000" w:themeColor="text1"/>
                <w:sz w:val="28"/>
                <w:szCs w:val="28"/>
              </w:rPr>
            </w:pPr>
            <w:r w:rsidRPr="00F642FB">
              <w:rPr>
                <w:rFonts w:ascii="Arial" w:eastAsia="標楷體" w:hAnsi="Arial" w:cs="Arial" w:hint="eastAsia"/>
                <w:color w:val="000000" w:themeColor="text1"/>
                <w:sz w:val="28"/>
                <w:szCs w:val="28"/>
              </w:rPr>
              <w:t>交通部</w:t>
            </w:r>
            <w:r w:rsidR="00763128" w:rsidRPr="00F642FB">
              <w:rPr>
                <w:rFonts w:ascii="Arial" w:eastAsia="標楷體" w:hAnsi="Arial" w:cs="Arial" w:hint="eastAsia"/>
                <w:color w:val="000000" w:themeColor="text1"/>
                <w:sz w:val="28"/>
                <w:szCs w:val="28"/>
              </w:rPr>
              <w:t>、經濟部</w:t>
            </w:r>
            <w:r w:rsidR="009B2038" w:rsidRPr="00F642FB">
              <w:rPr>
                <w:rFonts w:ascii="Arial" w:eastAsia="標楷體" w:hAnsi="Arial" w:cs="Arial" w:hint="eastAsia"/>
                <w:color w:val="000000" w:themeColor="text1"/>
                <w:sz w:val="28"/>
                <w:szCs w:val="28"/>
              </w:rPr>
              <w:t>、財政部</w:t>
            </w:r>
            <w:r w:rsidR="00763128" w:rsidRPr="00F642FB">
              <w:rPr>
                <w:rFonts w:ascii="Arial" w:eastAsia="標楷體" w:hAnsi="Arial" w:cs="Arial" w:hint="eastAsia"/>
                <w:color w:val="000000" w:themeColor="text1"/>
                <w:sz w:val="28"/>
                <w:szCs w:val="28"/>
              </w:rPr>
              <w:t>(</w:t>
            </w:r>
            <w:r w:rsidR="00763128" w:rsidRPr="00F642FB">
              <w:rPr>
                <w:rFonts w:ascii="Arial" w:eastAsia="標楷體" w:hAnsi="Arial" w:cs="Arial" w:hint="eastAsia"/>
                <w:color w:val="000000" w:themeColor="text1"/>
                <w:sz w:val="28"/>
                <w:szCs w:val="28"/>
              </w:rPr>
              <w:t>外交部</w:t>
            </w:r>
            <w:r w:rsidR="009B2038" w:rsidRPr="00F642FB">
              <w:rPr>
                <w:rFonts w:ascii="Arial" w:eastAsia="標楷體" w:hAnsi="Arial" w:cs="Arial" w:hint="eastAsia"/>
                <w:color w:val="000000" w:themeColor="text1"/>
                <w:sz w:val="28"/>
                <w:szCs w:val="28"/>
              </w:rPr>
              <w:t>、內政部、陸委會</w:t>
            </w:r>
            <w:r w:rsidR="009B2038">
              <w:rPr>
                <w:rFonts w:ascii="Arial" w:eastAsia="標楷體" w:hAnsi="Arial" w:cs="Arial" w:hint="eastAsia"/>
                <w:color w:val="000000" w:themeColor="text1"/>
                <w:sz w:val="28"/>
                <w:szCs w:val="28"/>
              </w:rPr>
              <w:t>、</w:t>
            </w:r>
            <w:r w:rsidR="003F0D0A" w:rsidRPr="00F642FB">
              <w:rPr>
                <w:rFonts w:ascii="Arial" w:eastAsia="標楷體" w:hAnsi="Arial" w:cs="Arial" w:hint="eastAsia"/>
                <w:color w:val="000000" w:themeColor="text1"/>
                <w:sz w:val="28"/>
                <w:szCs w:val="28"/>
              </w:rPr>
              <w:t>行政院主計總處</w:t>
            </w:r>
            <w:r w:rsidR="00763128" w:rsidRPr="00F642FB">
              <w:rPr>
                <w:rFonts w:ascii="Arial" w:eastAsia="標楷體" w:hAnsi="Arial" w:cs="Arial" w:hint="eastAsia"/>
                <w:color w:val="000000" w:themeColor="text1"/>
                <w:sz w:val="28"/>
                <w:szCs w:val="28"/>
              </w:rPr>
              <w:t>)</w:t>
            </w:r>
          </w:p>
        </w:tc>
      </w:tr>
      <w:tr w:rsidR="00A0065C" w:rsidRPr="00A0065C" w:rsidTr="00BA75CF">
        <w:trPr>
          <w:trHeight w:val="556"/>
          <w:jc w:val="center"/>
        </w:trPr>
        <w:tc>
          <w:tcPr>
            <w:tcW w:w="2489" w:type="dxa"/>
            <w:vMerge/>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tcBorders>
          </w:tcPr>
          <w:p w:rsidR="007535BE" w:rsidRPr="00F642FB" w:rsidRDefault="007535BE" w:rsidP="00FD1C01">
            <w:pPr>
              <w:pStyle w:val="aa"/>
              <w:numPr>
                <w:ilvl w:val="0"/>
                <w:numId w:val="6"/>
              </w:numPr>
              <w:snapToGrid w:val="0"/>
              <w:spacing w:line="480" w:lineRule="atLeast"/>
              <w:ind w:leftChars="-19" w:left="238" w:hanging="284"/>
              <w:jc w:val="both"/>
              <w:rPr>
                <w:rFonts w:ascii="Arial" w:eastAsia="標楷體" w:hAnsi="Arial" w:cs="Arial"/>
                <w:color w:val="000000" w:themeColor="text1"/>
                <w:sz w:val="28"/>
                <w:szCs w:val="28"/>
              </w:rPr>
            </w:pPr>
            <w:r w:rsidRPr="00F642FB">
              <w:rPr>
                <w:rFonts w:ascii="Arial" w:eastAsia="標楷體" w:hAnsi="Arial" w:cs="Arial"/>
                <w:color w:val="000000" w:themeColor="text1"/>
                <w:sz w:val="28"/>
                <w:szCs w:val="28"/>
              </w:rPr>
              <w:t>鼓勵發展銀髮養生產業，吸引國際銀髮族來</w:t>
            </w:r>
            <w:proofErr w:type="gramStart"/>
            <w:r w:rsidRPr="00F642FB">
              <w:rPr>
                <w:rFonts w:ascii="Arial" w:eastAsia="標楷體" w:hAnsi="Arial" w:cs="Arial"/>
                <w:color w:val="000000" w:themeColor="text1"/>
                <w:sz w:val="28"/>
                <w:szCs w:val="28"/>
              </w:rPr>
              <w:t>臺</w:t>
            </w:r>
            <w:proofErr w:type="gramEnd"/>
            <w:r w:rsidRPr="00F642FB">
              <w:rPr>
                <w:rFonts w:ascii="Arial" w:eastAsia="標楷體" w:hAnsi="Arial" w:cs="Arial"/>
                <w:color w:val="000000" w:themeColor="text1"/>
                <w:sz w:val="28"/>
                <w:szCs w:val="28"/>
              </w:rPr>
              <w:t>觀光、</w:t>
            </w:r>
            <w:proofErr w:type="gramStart"/>
            <w:r w:rsidRPr="00F642FB">
              <w:rPr>
                <w:rFonts w:ascii="Arial" w:eastAsia="標楷體" w:hAnsi="Arial" w:cs="Arial"/>
                <w:color w:val="000000" w:themeColor="text1"/>
                <w:sz w:val="28"/>
                <w:szCs w:val="28"/>
              </w:rPr>
              <w:t>長宿</w:t>
            </w:r>
            <w:proofErr w:type="gramEnd"/>
            <w:r w:rsidRPr="00F642FB">
              <w:rPr>
                <w:rFonts w:ascii="Arial" w:eastAsia="標楷體" w:hAnsi="Arial" w:cs="Arial"/>
                <w:color w:val="000000" w:themeColor="text1"/>
                <w:sz w:val="28"/>
                <w:szCs w:val="28"/>
              </w:rPr>
              <w:t>。</w:t>
            </w:r>
          </w:p>
        </w:tc>
        <w:tc>
          <w:tcPr>
            <w:tcW w:w="2311" w:type="dxa"/>
            <w:tcBorders>
              <w:top w:val="single" w:sz="4" w:space="0" w:color="auto"/>
              <w:bottom w:val="single" w:sz="4" w:space="0" w:color="auto"/>
            </w:tcBorders>
            <w:tcMar>
              <w:left w:w="28" w:type="dxa"/>
              <w:right w:w="28" w:type="dxa"/>
            </w:tcMar>
          </w:tcPr>
          <w:p w:rsidR="005B4575" w:rsidRPr="00F642FB" w:rsidRDefault="00763128" w:rsidP="00763128">
            <w:pPr>
              <w:snapToGrid w:val="0"/>
              <w:spacing w:line="480" w:lineRule="atLeast"/>
              <w:rPr>
                <w:rFonts w:ascii="Arial" w:eastAsia="標楷體" w:hAnsi="Arial" w:cs="Arial"/>
                <w:color w:val="000000" w:themeColor="text1"/>
                <w:sz w:val="28"/>
                <w:szCs w:val="28"/>
              </w:rPr>
            </w:pPr>
            <w:r w:rsidRPr="00F642FB">
              <w:rPr>
                <w:rFonts w:ascii="Arial" w:eastAsia="標楷體" w:hAnsi="Arial" w:cs="Arial" w:hint="eastAsia"/>
                <w:color w:val="000000" w:themeColor="text1"/>
                <w:sz w:val="28"/>
                <w:szCs w:val="28"/>
              </w:rPr>
              <w:t>經濟部</w:t>
            </w:r>
            <w:r w:rsidRPr="00F642FB">
              <w:rPr>
                <w:rFonts w:ascii="Arial" w:eastAsia="標楷體" w:hAnsi="Arial" w:cs="Arial" w:hint="eastAsia"/>
                <w:color w:val="000000" w:themeColor="text1"/>
                <w:sz w:val="28"/>
                <w:szCs w:val="28"/>
              </w:rPr>
              <w:t>(</w:t>
            </w:r>
            <w:proofErr w:type="gramStart"/>
            <w:r w:rsidR="005B4575" w:rsidRPr="00F642FB">
              <w:rPr>
                <w:rFonts w:ascii="Arial" w:eastAsia="標楷體" w:hAnsi="Arial" w:cs="Arial" w:hint="eastAsia"/>
                <w:color w:val="000000" w:themeColor="text1"/>
                <w:sz w:val="28"/>
                <w:szCs w:val="28"/>
              </w:rPr>
              <w:t>衛福部</w:t>
            </w:r>
            <w:proofErr w:type="gramEnd"/>
            <w:r w:rsidRPr="00F642FB">
              <w:rPr>
                <w:rFonts w:ascii="Arial" w:eastAsia="標楷體" w:hAnsi="Arial" w:cs="Arial" w:hint="eastAsia"/>
                <w:color w:val="000000" w:themeColor="text1"/>
                <w:sz w:val="28"/>
                <w:szCs w:val="28"/>
              </w:rPr>
              <w:t>、</w:t>
            </w:r>
            <w:r w:rsidR="005B4575" w:rsidRPr="00F642FB">
              <w:rPr>
                <w:rFonts w:ascii="Arial" w:eastAsia="標楷體" w:hAnsi="Arial" w:cs="Arial" w:hint="eastAsia"/>
                <w:color w:val="000000" w:themeColor="text1"/>
                <w:sz w:val="28"/>
                <w:szCs w:val="28"/>
              </w:rPr>
              <w:t>交通部、</w:t>
            </w:r>
            <w:r w:rsidRPr="00F642FB">
              <w:rPr>
                <w:rFonts w:ascii="Arial" w:eastAsia="標楷體" w:hAnsi="Arial" w:cs="Arial" w:hint="eastAsia"/>
                <w:color w:val="000000" w:themeColor="text1"/>
                <w:sz w:val="28"/>
                <w:szCs w:val="28"/>
              </w:rPr>
              <w:t>科技部</w:t>
            </w:r>
            <w:r w:rsidR="005B4575" w:rsidRPr="00F642FB">
              <w:rPr>
                <w:rFonts w:ascii="Arial" w:eastAsia="標楷體" w:hAnsi="Arial" w:cs="Arial" w:hint="eastAsia"/>
                <w:color w:val="000000" w:themeColor="text1"/>
                <w:sz w:val="28"/>
                <w:szCs w:val="28"/>
              </w:rPr>
              <w:t>)</w:t>
            </w:r>
          </w:p>
        </w:tc>
      </w:tr>
      <w:tr w:rsidR="00A0065C" w:rsidRPr="00A0065C" w:rsidTr="00D941BC">
        <w:trPr>
          <w:trHeight w:val="1092"/>
          <w:jc w:val="center"/>
        </w:trPr>
        <w:tc>
          <w:tcPr>
            <w:tcW w:w="2489" w:type="dxa"/>
            <w:vMerge w:val="restart"/>
          </w:tcPr>
          <w:p w:rsidR="007535BE" w:rsidRPr="00A0065C" w:rsidRDefault="007535BE" w:rsidP="00C80648">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三</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掌握全球市場新興商機</w:t>
            </w:r>
          </w:p>
        </w:tc>
        <w:tc>
          <w:tcPr>
            <w:tcW w:w="10248" w:type="dxa"/>
            <w:tcBorders>
              <w:bottom w:val="single" w:sz="4" w:space="0" w:color="auto"/>
              <w:right w:val="single" w:sz="4" w:space="0" w:color="auto"/>
            </w:tcBorders>
          </w:tcPr>
          <w:p w:rsidR="007535BE" w:rsidRPr="00F642FB" w:rsidRDefault="007535BE" w:rsidP="003B37AD">
            <w:pPr>
              <w:pStyle w:val="aa"/>
              <w:numPr>
                <w:ilvl w:val="0"/>
                <w:numId w:val="7"/>
              </w:numPr>
              <w:snapToGrid w:val="0"/>
              <w:spacing w:line="480" w:lineRule="atLeast"/>
              <w:ind w:leftChars="-19" w:left="238" w:hanging="284"/>
              <w:jc w:val="both"/>
              <w:rPr>
                <w:rFonts w:ascii="Arial" w:eastAsia="標楷體" w:hAnsi="Arial" w:cs="Arial"/>
                <w:color w:val="000000" w:themeColor="text1"/>
                <w:sz w:val="28"/>
                <w:szCs w:val="28"/>
              </w:rPr>
            </w:pPr>
            <w:r w:rsidRPr="00F642FB">
              <w:rPr>
                <w:rFonts w:ascii="Arial" w:eastAsia="標楷體" w:hAnsi="Arial" w:cs="Arial"/>
                <w:color w:val="000000" w:themeColor="text1"/>
                <w:sz w:val="28"/>
                <w:szCs w:val="28"/>
              </w:rPr>
              <w:t>拓展新興</w:t>
            </w:r>
            <w:proofErr w:type="gramStart"/>
            <w:r w:rsidRPr="00F642FB">
              <w:rPr>
                <w:rFonts w:ascii="Arial" w:eastAsia="標楷體" w:hAnsi="Arial" w:cs="Arial"/>
                <w:color w:val="000000" w:themeColor="text1"/>
                <w:sz w:val="28"/>
                <w:szCs w:val="28"/>
              </w:rPr>
              <w:t>市場內需商機</w:t>
            </w:r>
            <w:proofErr w:type="gramEnd"/>
            <w:r w:rsidRPr="00F642FB">
              <w:rPr>
                <w:rFonts w:ascii="Arial" w:eastAsia="標楷體" w:hAnsi="Arial" w:cs="Arial"/>
                <w:color w:val="000000" w:themeColor="text1"/>
                <w:sz w:val="28"/>
                <w:szCs w:val="28"/>
              </w:rPr>
              <w:t>，評估選擇潛在合作對象，運用我國生產及研發技術優勢，結合在地國通路、品牌業者，經營內需市場。</w:t>
            </w:r>
          </w:p>
        </w:tc>
        <w:tc>
          <w:tcPr>
            <w:tcW w:w="2311" w:type="dxa"/>
            <w:tcBorders>
              <w:left w:val="single" w:sz="4" w:space="0" w:color="auto"/>
              <w:bottom w:val="single" w:sz="4" w:space="0" w:color="auto"/>
            </w:tcBorders>
            <w:tcMar>
              <w:left w:w="28" w:type="dxa"/>
              <w:right w:w="28" w:type="dxa"/>
            </w:tcMar>
          </w:tcPr>
          <w:p w:rsidR="007535BE" w:rsidRPr="00F642FB" w:rsidRDefault="007535BE" w:rsidP="003B37AD">
            <w:pPr>
              <w:snapToGrid w:val="0"/>
              <w:spacing w:line="480" w:lineRule="atLeast"/>
              <w:jc w:val="center"/>
              <w:rPr>
                <w:rFonts w:ascii="Arial" w:eastAsia="標楷體" w:hAnsi="Arial" w:cs="Arial"/>
                <w:color w:val="000000" w:themeColor="text1"/>
                <w:sz w:val="28"/>
                <w:szCs w:val="28"/>
              </w:rPr>
            </w:pPr>
            <w:r w:rsidRPr="00F642FB">
              <w:rPr>
                <w:rFonts w:ascii="Arial" w:eastAsia="標楷體" w:hAnsi="Arial" w:cs="Arial"/>
                <w:color w:val="000000" w:themeColor="text1"/>
                <w:sz w:val="28"/>
                <w:szCs w:val="28"/>
              </w:rPr>
              <w:t>經濟部</w:t>
            </w:r>
          </w:p>
        </w:tc>
      </w:tr>
      <w:tr w:rsidR="00A0065C" w:rsidRPr="00A0065C" w:rsidTr="005B4575">
        <w:trPr>
          <w:trHeight w:val="597"/>
          <w:jc w:val="center"/>
        </w:trPr>
        <w:tc>
          <w:tcPr>
            <w:tcW w:w="2489" w:type="dxa"/>
            <w:vMerge/>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right w:val="single" w:sz="4" w:space="0" w:color="auto"/>
            </w:tcBorders>
          </w:tcPr>
          <w:p w:rsidR="007535BE" w:rsidRPr="00A0065C" w:rsidRDefault="007535BE" w:rsidP="00C80648">
            <w:pPr>
              <w:pStyle w:val="aa"/>
              <w:numPr>
                <w:ilvl w:val="0"/>
                <w:numId w:val="7"/>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重新布局歐美市場，增列美國、德國、伊朗為加強拓展重點市場，爭取歐美景氣復甦及伊朗市場開放商機，尤其是善用「企業歐洲網路」</w:t>
            </w:r>
            <w:r w:rsidRPr="00A0065C">
              <w:rPr>
                <w:rFonts w:ascii="Arial" w:eastAsia="標楷體" w:hAnsi="Arial" w:cs="Arial"/>
                <w:color w:val="000000" w:themeColor="text1"/>
                <w:sz w:val="28"/>
                <w:szCs w:val="28"/>
              </w:rPr>
              <w:t>(EEN)</w:t>
            </w:r>
            <w:r w:rsidRPr="00A0065C">
              <w:rPr>
                <w:rFonts w:ascii="Arial" w:eastAsia="標楷體" w:hAnsi="Arial" w:cs="Arial"/>
                <w:color w:val="000000" w:themeColor="text1"/>
                <w:sz w:val="28"/>
                <w:szCs w:val="28"/>
              </w:rPr>
              <w:t>平</w:t>
            </w:r>
            <w:proofErr w:type="gramStart"/>
            <w:r w:rsidR="00C37B68">
              <w:rPr>
                <w:rFonts w:ascii="Arial" w:eastAsia="標楷體" w:hAnsi="Arial" w:cs="Arial"/>
                <w:color w:val="000000" w:themeColor="text1"/>
                <w:sz w:val="28"/>
                <w:szCs w:val="28"/>
              </w:rPr>
              <w:t>臺</w:t>
            </w:r>
            <w:proofErr w:type="gramEnd"/>
            <w:r w:rsidRPr="00A0065C">
              <w:rPr>
                <w:rFonts w:ascii="Arial" w:eastAsia="標楷體" w:hAnsi="Arial" w:cs="Arial"/>
                <w:color w:val="000000" w:themeColor="text1"/>
                <w:sz w:val="28"/>
                <w:szCs w:val="28"/>
              </w:rPr>
              <w:t>，加速與歐盟企業合作。</w:t>
            </w:r>
          </w:p>
        </w:tc>
        <w:tc>
          <w:tcPr>
            <w:tcW w:w="2311" w:type="dxa"/>
            <w:tcBorders>
              <w:top w:val="single" w:sz="4" w:space="0" w:color="auto"/>
              <w:left w:val="single" w:sz="4" w:space="0" w:color="auto"/>
              <w:bottom w:val="single" w:sz="4" w:space="0" w:color="auto"/>
            </w:tcBorders>
            <w:tcMar>
              <w:left w:w="28" w:type="dxa"/>
              <w:right w:w="28" w:type="dxa"/>
            </w:tcMar>
          </w:tcPr>
          <w:p w:rsidR="007535BE" w:rsidRPr="00A0065C" w:rsidRDefault="007535BE" w:rsidP="00D36FB8">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經濟部</w:t>
            </w:r>
            <w:r w:rsidR="005B4575" w:rsidRPr="00A0065C">
              <w:rPr>
                <w:rFonts w:ascii="Arial" w:eastAsia="標楷體" w:hAnsi="Arial" w:cs="Arial" w:hint="eastAsia"/>
                <w:color w:val="000000" w:themeColor="text1"/>
                <w:sz w:val="28"/>
                <w:szCs w:val="28"/>
              </w:rPr>
              <w:t>(</w:t>
            </w:r>
            <w:r w:rsidRPr="00A0065C">
              <w:rPr>
                <w:rFonts w:ascii="Arial" w:eastAsia="標楷體" w:hAnsi="Arial" w:cs="Arial"/>
                <w:color w:val="000000" w:themeColor="text1"/>
                <w:sz w:val="28"/>
                <w:szCs w:val="28"/>
              </w:rPr>
              <w:t>外交部</w:t>
            </w:r>
            <w:r w:rsidR="005B4575" w:rsidRPr="00A0065C">
              <w:rPr>
                <w:rFonts w:ascii="Arial" w:eastAsia="標楷體" w:hAnsi="Arial" w:cs="Arial" w:hint="eastAsia"/>
                <w:color w:val="000000" w:themeColor="text1"/>
                <w:sz w:val="28"/>
                <w:szCs w:val="28"/>
              </w:rPr>
              <w:t>)</w:t>
            </w:r>
          </w:p>
        </w:tc>
      </w:tr>
      <w:tr w:rsidR="00A0065C" w:rsidRPr="00A0065C" w:rsidTr="00D941BC">
        <w:trPr>
          <w:trHeight w:val="1070"/>
          <w:jc w:val="center"/>
        </w:trPr>
        <w:tc>
          <w:tcPr>
            <w:tcW w:w="2489" w:type="dxa"/>
            <w:vMerge w:val="restart"/>
          </w:tcPr>
          <w:p w:rsidR="007535BE" w:rsidRPr="00A0065C" w:rsidRDefault="007535BE" w:rsidP="005B4575">
            <w:pPr>
              <w:tabs>
                <w:tab w:val="left" w:pos="388"/>
              </w:tabs>
              <w:snapToGrid w:val="0"/>
              <w:spacing w:line="480" w:lineRule="atLeast"/>
              <w:ind w:leftChars="-16" w:left="528" w:rightChars="-28" w:right="-67"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四</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虛實</w:t>
            </w:r>
            <w:proofErr w:type="gramStart"/>
            <w:r w:rsidRPr="00A0065C">
              <w:rPr>
                <w:rFonts w:ascii="Arial" w:eastAsia="標楷體" w:hAnsi="Arial" w:cs="Arial"/>
                <w:color w:val="000000" w:themeColor="text1"/>
                <w:sz w:val="28"/>
                <w:szCs w:val="28"/>
              </w:rPr>
              <w:t>併</w:t>
            </w:r>
            <w:proofErr w:type="gramEnd"/>
            <w:r w:rsidRPr="00A0065C">
              <w:rPr>
                <w:rFonts w:ascii="Arial" w:eastAsia="標楷體" w:hAnsi="Arial" w:cs="Arial"/>
                <w:color w:val="000000" w:themeColor="text1"/>
                <w:sz w:val="28"/>
                <w:szCs w:val="28"/>
              </w:rPr>
              <w:t>進金融支援</w:t>
            </w:r>
          </w:p>
        </w:tc>
        <w:tc>
          <w:tcPr>
            <w:tcW w:w="10248" w:type="dxa"/>
            <w:tcBorders>
              <w:bottom w:val="single" w:sz="4" w:space="0" w:color="auto"/>
            </w:tcBorders>
          </w:tcPr>
          <w:p w:rsidR="007535BE" w:rsidRPr="00A0065C" w:rsidRDefault="007535BE" w:rsidP="00C80648">
            <w:pPr>
              <w:pStyle w:val="aa"/>
              <w:numPr>
                <w:ilvl w:val="0"/>
                <w:numId w:val="8"/>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促進電商平</w:t>
            </w:r>
            <w:proofErr w:type="gramStart"/>
            <w:r w:rsidR="00C37B68">
              <w:rPr>
                <w:rFonts w:ascii="Arial" w:eastAsia="標楷體" w:hAnsi="Arial" w:cs="Arial"/>
                <w:color w:val="000000" w:themeColor="text1"/>
                <w:sz w:val="28"/>
                <w:szCs w:val="28"/>
              </w:rPr>
              <w:t>臺</w:t>
            </w:r>
            <w:proofErr w:type="gramEnd"/>
            <w:r w:rsidRPr="00A0065C">
              <w:rPr>
                <w:rFonts w:ascii="Arial" w:eastAsia="標楷體" w:hAnsi="Arial" w:cs="Arial"/>
                <w:color w:val="000000" w:themeColor="text1"/>
                <w:sz w:val="28"/>
                <w:szCs w:val="28"/>
              </w:rPr>
              <w:t>國際化，鼓勵國內電商布局東協等新興市場；結盟</w:t>
            </w:r>
            <w:proofErr w:type="gramStart"/>
            <w:r w:rsidRPr="00A0065C">
              <w:rPr>
                <w:rFonts w:ascii="Arial" w:eastAsia="標楷體" w:hAnsi="Arial" w:cs="Arial"/>
                <w:color w:val="000000" w:themeColor="text1"/>
                <w:sz w:val="28"/>
                <w:szCs w:val="28"/>
              </w:rPr>
              <w:t>跨國境電商</w:t>
            </w:r>
            <w:proofErr w:type="gramEnd"/>
            <w:r w:rsidRPr="00A0065C">
              <w:rPr>
                <w:rFonts w:ascii="Arial" w:eastAsia="標楷體" w:hAnsi="Arial" w:cs="Arial"/>
                <w:color w:val="000000" w:themeColor="text1"/>
                <w:sz w:val="28"/>
                <w:szCs w:val="28"/>
              </w:rPr>
              <w:t>，擴大支援中小、中堅企業建構線上購物城。</w:t>
            </w:r>
          </w:p>
        </w:tc>
        <w:tc>
          <w:tcPr>
            <w:tcW w:w="2311" w:type="dxa"/>
            <w:tcBorders>
              <w:bottom w:val="single" w:sz="4" w:space="0" w:color="auto"/>
            </w:tcBorders>
            <w:tcMar>
              <w:left w:w="28" w:type="dxa"/>
              <w:right w:w="28" w:type="dxa"/>
            </w:tcMar>
          </w:tcPr>
          <w:p w:rsidR="007535BE" w:rsidRPr="00F642FB" w:rsidRDefault="007535BE" w:rsidP="00D36FB8">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經</w:t>
            </w:r>
            <w:r w:rsidRPr="00A0065C">
              <w:rPr>
                <w:rFonts w:ascii="Arial" w:eastAsia="標楷體" w:hAnsi="Arial" w:cs="Arial" w:hint="eastAsia"/>
                <w:color w:val="000000" w:themeColor="text1"/>
                <w:sz w:val="28"/>
                <w:szCs w:val="28"/>
              </w:rPr>
              <w:t>濟部</w:t>
            </w:r>
            <w:r w:rsidR="00D36FB8">
              <w:rPr>
                <w:rFonts w:ascii="Arial" w:eastAsia="標楷體" w:hAnsi="Arial" w:cs="Arial" w:hint="eastAsia"/>
                <w:color w:val="000000" w:themeColor="text1"/>
                <w:sz w:val="28"/>
                <w:szCs w:val="28"/>
              </w:rPr>
              <w:t>(</w:t>
            </w:r>
            <w:r w:rsidRPr="00F642FB">
              <w:rPr>
                <w:rFonts w:ascii="Arial" w:eastAsia="標楷體" w:hAnsi="Arial" w:cs="Arial" w:hint="eastAsia"/>
                <w:color w:val="000000" w:themeColor="text1"/>
                <w:sz w:val="28"/>
                <w:szCs w:val="28"/>
              </w:rPr>
              <w:t>金管會</w:t>
            </w:r>
            <w:r w:rsidR="00D36FB8">
              <w:rPr>
                <w:rFonts w:ascii="Arial" w:eastAsia="標楷體" w:hAnsi="Arial" w:cs="Arial" w:hint="eastAsia"/>
                <w:color w:val="000000" w:themeColor="text1"/>
                <w:sz w:val="28"/>
                <w:szCs w:val="28"/>
              </w:rPr>
              <w:t>)</w:t>
            </w:r>
          </w:p>
        </w:tc>
      </w:tr>
      <w:tr w:rsidR="00A0065C" w:rsidRPr="00A0065C" w:rsidTr="00D941BC">
        <w:trPr>
          <w:trHeight w:val="1234"/>
          <w:jc w:val="center"/>
        </w:trPr>
        <w:tc>
          <w:tcPr>
            <w:tcW w:w="2489" w:type="dxa"/>
            <w:vMerge/>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tcBorders>
          </w:tcPr>
          <w:p w:rsidR="007535BE" w:rsidRPr="00A0065C" w:rsidRDefault="007535BE" w:rsidP="00C80648">
            <w:pPr>
              <w:pStyle w:val="aa"/>
              <w:numPr>
                <w:ilvl w:val="0"/>
                <w:numId w:val="8"/>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輸銀</w:t>
            </w:r>
            <w:r w:rsidRPr="00A0065C">
              <w:rPr>
                <w:rFonts w:ascii="Arial" w:eastAsia="標楷體" w:hAnsi="Arial" w:cs="Arial"/>
                <w:color w:val="000000" w:themeColor="text1"/>
                <w:sz w:val="28"/>
                <w:szCs w:val="28"/>
              </w:rPr>
              <w:t>3</w:t>
            </w:r>
            <w:r w:rsidRPr="00A0065C">
              <w:rPr>
                <w:rFonts w:ascii="Arial" w:eastAsia="標楷體" w:hAnsi="Arial" w:cs="Arial"/>
                <w:color w:val="000000" w:themeColor="text1"/>
                <w:sz w:val="28"/>
                <w:szCs w:val="28"/>
              </w:rPr>
              <w:t>年增資新臺幣</w:t>
            </w:r>
            <w:r w:rsidRPr="00A0065C">
              <w:rPr>
                <w:rFonts w:ascii="Arial" w:eastAsia="標楷體" w:hAnsi="Arial" w:cs="Arial"/>
                <w:color w:val="000000" w:themeColor="text1"/>
                <w:sz w:val="28"/>
                <w:szCs w:val="28"/>
              </w:rPr>
              <w:t>200</w:t>
            </w:r>
            <w:r w:rsidRPr="00A0065C">
              <w:rPr>
                <w:rFonts w:ascii="Arial" w:eastAsia="標楷體" w:hAnsi="Arial" w:cs="Arial"/>
                <w:color w:val="000000" w:themeColor="text1"/>
                <w:sz w:val="28"/>
                <w:szCs w:val="28"/>
              </w:rPr>
              <w:t>億元，並建立聯貸平</w:t>
            </w:r>
            <w:proofErr w:type="gramStart"/>
            <w:r w:rsidR="00C37B68">
              <w:rPr>
                <w:rFonts w:ascii="Arial" w:eastAsia="標楷體" w:hAnsi="Arial" w:cs="Arial"/>
                <w:color w:val="000000" w:themeColor="text1"/>
                <w:sz w:val="28"/>
                <w:szCs w:val="28"/>
              </w:rPr>
              <w:t>臺</w:t>
            </w:r>
            <w:proofErr w:type="gramEnd"/>
            <w:r w:rsidRPr="00A0065C">
              <w:rPr>
                <w:rFonts w:ascii="Arial" w:eastAsia="標楷體" w:hAnsi="Arial" w:cs="Arial"/>
                <w:color w:val="000000" w:themeColor="text1"/>
                <w:sz w:val="28"/>
                <w:szCs w:val="28"/>
              </w:rPr>
              <w:t>，由</w:t>
            </w:r>
            <w:proofErr w:type="gramStart"/>
            <w:r w:rsidRPr="00A0065C">
              <w:rPr>
                <w:rFonts w:ascii="Arial" w:eastAsia="標楷體" w:hAnsi="Arial" w:cs="Arial"/>
                <w:color w:val="000000" w:themeColor="text1"/>
                <w:sz w:val="28"/>
                <w:szCs w:val="28"/>
              </w:rPr>
              <w:t>輸銀主政</w:t>
            </w:r>
            <w:proofErr w:type="gramEnd"/>
            <w:r w:rsidRPr="00A0065C">
              <w:rPr>
                <w:rFonts w:ascii="Arial" w:eastAsia="標楷體" w:hAnsi="Arial" w:cs="Arial"/>
                <w:color w:val="000000" w:themeColor="text1"/>
                <w:sz w:val="28"/>
                <w:szCs w:val="28"/>
              </w:rPr>
              <w:t>，結合商業銀行</w:t>
            </w:r>
            <w:proofErr w:type="gramStart"/>
            <w:r w:rsidRPr="00A0065C">
              <w:rPr>
                <w:rFonts w:ascii="Arial" w:eastAsia="標楷體" w:hAnsi="Arial" w:cs="Arial"/>
                <w:color w:val="000000" w:themeColor="text1"/>
                <w:sz w:val="28"/>
                <w:szCs w:val="28"/>
              </w:rPr>
              <w:t>採</w:t>
            </w:r>
            <w:proofErr w:type="gramEnd"/>
            <w:r w:rsidRPr="00A0065C">
              <w:rPr>
                <w:rFonts w:ascii="Arial" w:eastAsia="標楷體" w:hAnsi="Arial" w:cs="Arial"/>
                <w:color w:val="000000" w:themeColor="text1"/>
                <w:sz w:val="28"/>
                <w:szCs w:val="28"/>
              </w:rPr>
              <w:t>專案融資方式，擴大輸出融資、保險與信用保證之能量。</w:t>
            </w:r>
          </w:p>
        </w:tc>
        <w:tc>
          <w:tcPr>
            <w:tcW w:w="2311" w:type="dxa"/>
            <w:tcBorders>
              <w:top w:val="single" w:sz="4" w:space="0" w:color="auto"/>
            </w:tcBorders>
            <w:tcMar>
              <w:left w:w="28" w:type="dxa"/>
              <w:right w:w="28" w:type="dxa"/>
            </w:tcMar>
          </w:tcPr>
          <w:p w:rsidR="007535BE" w:rsidRPr="00A0065C" w:rsidRDefault="007535BE" w:rsidP="00C80648">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財政部</w:t>
            </w:r>
          </w:p>
        </w:tc>
      </w:tr>
      <w:tr w:rsidR="00A0065C" w:rsidRPr="00A0065C" w:rsidTr="00D941BC">
        <w:trPr>
          <w:trHeight w:val="734"/>
          <w:jc w:val="center"/>
        </w:trPr>
        <w:tc>
          <w:tcPr>
            <w:tcW w:w="15048" w:type="dxa"/>
            <w:gridSpan w:val="3"/>
          </w:tcPr>
          <w:p w:rsidR="00D93821" w:rsidRPr="00A0065C" w:rsidRDefault="00D93821" w:rsidP="009B2038">
            <w:pPr>
              <w:snapToGrid w:val="0"/>
              <w:spacing w:beforeLines="25" w:before="90" w:afterLines="25" w:after="90" w:line="480" w:lineRule="atLeast"/>
              <w:rPr>
                <w:rFonts w:ascii="Arial" w:eastAsia="標楷體" w:hAnsi="Arial" w:cs="Arial"/>
                <w:color w:val="000000" w:themeColor="text1"/>
                <w:sz w:val="28"/>
                <w:szCs w:val="28"/>
              </w:rPr>
            </w:pPr>
            <w:r w:rsidRPr="00A0065C">
              <w:rPr>
                <w:rFonts w:ascii="Arial" w:eastAsia="標楷體" w:hAnsi="Arial" w:cs="Arial"/>
                <w:b/>
                <w:color w:val="000000" w:themeColor="text1"/>
                <w:sz w:val="28"/>
                <w:szCs w:val="28"/>
              </w:rPr>
              <w:t>三、投資</w:t>
            </w:r>
            <w:r w:rsidR="009B2038" w:rsidRPr="00A0065C">
              <w:rPr>
                <w:rFonts w:ascii="Arial" w:eastAsia="標楷體" w:hAnsi="Arial" w:cs="Arial"/>
                <w:b/>
                <w:color w:val="000000" w:themeColor="text1"/>
                <w:sz w:val="28"/>
                <w:szCs w:val="28"/>
              </w:rPr>
              <w:t>促進</w:t>
            </w:r>
            <w:r w:rsidRPr="00A0065C">
              <w:rPr>
                <w:rFonts w:ascii="Arial" w:eastAsia="標楷體" w:hAnsi="Arial" w:cs="Arial"/>
                <w:b/>
                <w:color w:val="000000" w:themeColor="text1"/>
                <w:sz w:val="28"/>
                <w:szCs w:val="28"/>
              </w:rPr>
              <w:t>：引導「國內外民間資金」及「政府資源」投入</w:t>
            </w:r>
          </w:p>
        </w:tc>
      </w:tr>
      <w:tr w:rsidR="00A0065C" w:rsidRPr="00A0065C" w:rsidTr="00137503">
        <w:trPr>
          <w:trHeight w:val="1589"/>
          <w:jc w:val="center"/>
        </w:trPr>
        <w:tc>
          <w:tcPr>
            <w:tcW w:w="2489" w:type="dxa"/>
            <w:vMerge w:val="restart"/>
            <w:tcBorders>
              <w:right w:val="single" w:sz="4" w:space="0" w:color="auto"/>
            </w:tcBorders>
            <w:tcMar>
              <w:right w:w="28" w:type="dxa"/>
            </w:tcMar>
          </w:tcPr>
          <w:p w:rsidR="007535BE" w:rsidRPr="00A0065C" w:rsidRDefault="007535BE" w:rsidP="00C80648">
            <w:pPr>
              <w:tabs>
                <w:tab w:val="left" w:pos="388"/>
              </w:tabs>
              <w:snapToGrid w:val="0"/>
              <w:spacing w:line="480" w:lineRule="atLeast"/>
              <w:ind w:leftChars="-16" w:left="528" w:rightChars="5" w:right="12"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proofErr w:type="gramStart"/>
            <w:r w:rsidRPr="00A0065C">
              <w:rPr>
                <w:rFonts w:ascii="Arial" w:eastAsia="標楷體" w:hAnsi="Arial" w:cs="Arial"/>
                <w:color w:val="000000" w:themeColor="text1"/>
                <w:sz w:val="28"/>
                <w:szCs w:val="28"/>
              </w:rPr>
              <w:t>一</w:t>
            </w:r>
            <w:proofErr w:type="gramEnd"/>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擴大公共投資</w:t>
            </w:r>
          </w:p>
        </w:tc>
        <w:tc>
          <w:tcPr>
            <w:tcW w:w="10248" w:type="dxa"/>
            <w:tcBorders>
              <w:top w:val="single" w:sz="4" w:space="0" w:color="auto"/>
              <w:left w:val="single" w:sz="4" w:space="0" w:color="auto"/>
              <w:bottom w:val="single" w:sz="4" w:space="0" w:color="auto"/>
              <w:right w:val="single" w:sz="4" w:space="0" w:color="auto"/>
            </w:tcBorders>
          </w:tcPr>
          <w:p w:rsidR="007535BE" w:rsidRPr="00A0065C" w:rsidRDefault="007535BE" w:rsidP="00D93821">
            <w:pPr>
              <w:pStyle w:val="aa"/>
              <w:numPr>
                <w:ilvl w:val="0"/>
                <w:numId w:val="9"/>
              </w:numPr>
              <w:snapToGrid w:val="0"/>
              <w:spacing w:line="480" w:lineRule="atLeast"/>
              <w:ind w:leftChars="-19" w:left="238" w:hanging="284"/>
              <w:jc w:val="both"/>
              <w:rPr>
                <w:rFonts w:ascii="Arial" w:eastAsia="標楷體" w:hAnsi="Arial" w:cs="Arial"/>
                <w:color w:val="000000" w:themeColor="text1"/>
                <w:sz w:val="28"/>
                <w:szCs w:val="28"/>
              </w:rPr>
            </w:pPr>
            <w:proofErr w:type="gramStart"/>
            <w:r w:rsidRPr="00A0065C">
              <w:rPr>
                <w:rFonts w:ascii="Arial" w:eastAsia="標楷體" w:hAnsi="Arial" w:cs="Arial"/>
                <w:color w:val="000000" w:themeColor="text1"/>
                <w:sz w:val="28"/>
                <w:szCs w:val="28"/>
              </w:rPr>
              <w:t>健全促</w:t>
            </w:r>
            <w:proofErr w:type="gramEnd"/>
            <w:r w:rsidRPr="00A0065C">
              <w:rPr>
                <w:rFonts w:ascii="Arial" w:eastAsia="標楷體" w:hAnsi="Arial" w:cs="Arial"/>
                <w:color w:val="000000" w:themeColor="text1"/>
                <w:sz w:val="28"/>
                <w:szCs w:val="28"/>
              </w:rPr>
              <w:t>參法制，提高民間參與公共建設誘因，如鼓勵民間參與綠色能源及水資源產業；加速保險法修正條文立法進程，引導保險業資金投資公共建設等。</w:t>
            </w:r>
          </w:p>
        </w:tc>
        <w:tc>
          <w:tcPr>
            <w:tcW w:w="2311" w:type="dxa"/>
            <w:tcBorders>
              <w:top w:val="dashed" w:sz="4" w:space="0" w:color="auto"/>
              <w:left w:val="single" w:sz="4" w:space="0" w:color="auto"/>
              <w:bottom w:val="single" w:sz="4" w:space="0" w:color="auto"/>
              <w:right w:val="single" w:sz="4" w:space="0" w:color="auto"/>
            </w:tcBorders>
            <w:tcMar>
              <w:left w:w="28" w:type="dxa"/>
              <w:right w:w="28" w:type="dxa"/>
            </w:tcMar>
          </w:tcPr>
          <w:p w:rsidR="005B4575" w:rsidRPr="00A0065C" w:rsidRDefault="005B4575" w:rsidP="005B4575">
            <w:pPr>
              <w:snapToGrid w:val="0"/>
              <w:spacing w:line="480" w:lineRule="atLeast"/>
              <w:ind w:leftChars="-43" w:left="37" w:hangingChars="50" w:hanging="140"/>
              <w:jc w:val="center"/>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財政部</w:t>
            </w:r>
            <w:r w:rsidRPr="00A0065C">
              <w:rPr>
                <w:rFonts w:ascii="Arial" w:eastAsia="標楷體" w:hAnsi="Arial" w:cs="Arial" w:hint="eastAsia"/>
                <w:color w:val="000000" w:themeColor="text1"/>
                <w:sz w:val="28"/>
                <w:szCs w:val="28"/>
              </w:rPr>
              <w:t>(</w:t>
            </w:r>
            <w:r w:rsidRPr="00A0065C">
              <w:rPr>
                <w:rFonts w:ascii="Arial" w:eastAsia="標楷體" w:hAnsi="Arial" w:cs="Arial" w:hint="eastAsia"/>
                <w:color w:val="000000" w:themeColor="text1"/>
                <w:sz w:val="28"/>
                <w:szCs w:val="28"/>
              </w:rPr>
              <w:t>經濟部、</w:t>
            </w:r>
          </w:p>
          <w:p w:rsidR="007535BE" w:rsidRPr="00A0065C" w:rsidRDefault="005B4575" w:rsidP="005B4575">
            <w:pPr>
              <w:snapToGrid w:val="0"/>
              <w:spacing w:line="480" w:lineRule="atLeast"/>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環保署、金管會、內政部</w:t>
            </w:r>
            <w:r w:rsidRPr="00A0065C">
              <w:rPr>
                <w:rFonts w:ascii="Arial" w:eastAsia="標楷體" w:hAnsi="Arial" w:cs="Arial" w:hint="eastAsia"/>
                <w:color w:val="000000" w:themeColor="text1"/>
                <w:sz w:val="28"/>
                <w:szCs w:val="28"/>
              </w:rPr>
              <w:t>)</w:t>
            </w:r>
          </w:p>
        </w:tc>
      </w:tr>
      <w:tr w:rsidR="00A0065C" w:rsidRPr="00A0065C" w:rsidTr="00137503">
        <w:trPr>
          <w:trHeight w:val="1555"/>
          <w:jc w:val="center"/>
        </w:trPr>
        <w:tc>
          <w:tcPr>
            <w:tcW w:w="2489" w:type="dxa"/>
            <w:vMerge/>
            <w:tcMar>
              <w:right w:w="28" w:type="dxa"/>
            </w:tcMar>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tcBorders>
          </w:tcPr>
          <w:p w:rsidR="007535BE" w:rsidRPr="00A0065C" w:rsidRDefault="003E43CC" w:rsidP="003E43CC">
            <w:pPr>
              <w:pStyle w:val="aa"/>
              <w:numPr>
                <w:ilvl w:val="0"/>
                <w:numId w:val="9"/>
              </w:numPr>
              <w:snapToGrid w:val="0"/>
              <w:spacing w:line="480" w:lineRule="atLeast"/>
              <w:ind w:leftChars="-19" w:left="238" w:hanging="284"/>
              <w:jc w:val="both"/>
              <w:rPr>
                <w:rFonts w:ascii="Arial" w:eastAsia="標楷體" w:hAnsi="Arial" w:cs="Arial"/>
                <w:color w:val="000000" w:themeColor="text1"/>
                <w:sz w:val="28"/>
                <w:szCs w:val="28"/>
              </w:rPr>
            </w:pPr>
            <w:r w:rsidRPr="003E43CC">
              <w:rPr>
                <w:rFonts w:ascii="Arial" w:eastAsia="標楷體" w:hAnsi="Arial" w:cs="Arial" w:hint="eastAsia"/>
                <w:color w:val="000000" w:themeColor="text1"/>
                <w:sz w:val="28"/>
                <w:szCs w:val="28"/>
              </w:rPr>
              <w:t>提升既有公共建設計畫、公營事業投資預算之執行率。如：提前執行台</w:t>
            </w:r>
            <w:r w:rsidRPr="003E43CC">
              <w:rPr>
                <w:rFonts w:ascii="Arial" w:eastAsia="標楷體" w:hAnsi="Arial" w:cs="Arial" w:hint="eastAsia"/>
                <w:color w:val="000000" w:themeColor="text1"/>
                <w:sz w:val="28"/>
                <w:szCs w:val="28"/>
              </w:rPr>
              <w:t xml:space="preserve"> 20 </w:t>
            </w:r>
            <w:r w:rsidR="009B2038">
              <w:rPr>
                <w:rFonts w:ascii="Arial" w:eastAsia="標楷體" w:hAnsi="Arial" w:cs="Arial" w:hint="eastAsia"/>
                <w:color w:val="000000" w:themeColor="text1"/>
                <w:sz w:val="28"/>
                <w:szCs w:val="28"/>
              </w:rPr>
              <w:t>線公路等</w:t>
            </w:r>
            <w:r w:rsidRPr="003E43CC">
              <w:rPr>
                <w:rFonts w:ascii="Arial" w:eastAsia="標楷體" w:hAnsi="Arial" w:cs="Arial" w:hint="eastAsia"/>
                <w:color w:val="000000" w:themeColor="text1"/>
                <w:sz w:val="28"/>
                <w:szCs w:val="28"/>
              </w:rPr>
              <w:t>公共設施興建計畫，以提升公共投資成效</w:t>
            </w:r>
          </w:p>
        </w:tc>
        <w:tc>
          <w:tcPr>
            <w:tcW w:w="2311" w:type="dxa"/>
            <w:tcBorders>
              <w:top w:val="single" w:sz="4" w:space="0" w:color="auto"/>
              <w:bottom w:val="single" w:sz="4" w:space="0" w:color="auto"/>
            </w:tcBorders>
            <w:tcMar>
              <w:left w:w="28" w:type="dxa"/>
              <w:right w:w="28" w:type="dxa"/>
            </w:tcMar>
          </w:tcPr>
          <w:p w:rsidR="003E43CC" w:rsidRPr="00A0065C" w:rsidRDefault="003E43CC" w:rsidP="003E43CC">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交通部</w:t>
            </w:r>
          </w:p>
          <w:p w:rsidR="003E43CC" w:rsidRPr="00A0065C" w:rsidRDefault="003E43CC" w:rsidP="003E43CC">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工程會</w:t>
            </w:r>
          </w:p>
          <w:p w:rsidR="005B4575" w:rsidRPr="00A0065C" w:rsidRDefault="003E43CC" w:rsidP="003E43CC">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經濟部</w:t>
            </w:r>
          </w:p>
        </w:tc>
      </w:tr>
      <w:tr w:rsidR="00A0065C" w:rsidRPr="00A0065C" w:rsidTr="00D941BC">
        <w:trPr>
          <w:trHeight w:val="525"/>
          <w:jc w:val="center"/>
        </w:trPr>
        <w:tc>
          <w:tcPr>
            <w:tcW w:w="2489" w:type="dxa"/>
            <w:vMerge/>
            <w:tcMar>
              <w:right w:w="28" w:type="dxa"/>
            </w:tcMar>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tcBorders>
          </w:tcPr>
          <w:p w:rsidR="007535BE" w:rsidRPr="00A0065C" w:rsidRDefault="003E43CC" w:rsidP="003E43CC">
            <w:pPr>
              <w:pStyle w:val="aa"/>
              <w:numPr>
                <w:ilvl w:val="0"/>
                <w:numId w:val="9"/>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105</w:t>
            </w:r>
            <w:r w:rsidRPr="00A0065C">
              <w:rPr>
                <w:rFonts w:ascii="Arial" w:eastAsia="標楷體" w:hAnsi="Arial" w:cs="Arial"/>
                <w:color w:val="000000" w:themeColor="text1"/>
                <w:sz w:val="28"/>
                <w:szCs w:val="28"/>
              </w:rPr>
              <w:t>年優先編列有助於改善投資環境之公共建設預算；擴編科技</w:t>
            </w:r>
            <w:r w:rsidR="009B2038">
              <w:rPr>
                <w:rFonts w:ascii="Arial" w:eastAsia="標楷體" w:hAnsi="Arial" w:cs="Arial" w:hint="eastAsia"/>
                <w:color w:val="000000" w:themeColor="text1"/>
                <w:sz w:val="28"/>
                <w:szCs w:val="28"/>
              </w:rPr>
              <w:t>發展</w:t>
            </w:r>
            <w:r w:rsidRPr="00A0065C">
              <w:rPr>
                <w:rFonts w:ascii="Arial" w:eastAsia="標楷體" w:hAnsi="Arial" w:cs="Arial"/>
                <w:color w:val="000000" w:themeColor="text1"/>
                <w:sz w:val="28"/>
                <w:szCs w:val="28"/>
              </w:rPr>
              <w:t>預算，全力推動產業數位化與智慧化。</w:t>
            </w:r>
          </w:p>
        </w:tc>
        <w:tc>
          <w:tcPr>
            <w:tcW w:w="2311" w:type="dxa"/>
            <w:tcBorders>
              <w:top w:val="single" w:sz="4" w:space="0" w:color="auto"/>
            </w:tcBorders>
            <w:tcMar>
              <w:left w:w="28" w:type="dxa"/>
              <w:right w:w="28" w:type="dxa"/>
            </w:tcMar>
          </w:tcPr>
          <w:p w:rsidR="003E43CC" w:rsidRPr="00A0065C" w:rsidRDefault="003E43CC" w:rsidP="003E43CC">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主計總處</w:t>
            </w:r>
            <w:r w:rsidRPr="00A0065C">
              <w:rPr>
                <w:rFonts w:ascii="Arial" w:eastAsia="標楷體" w:hAnsi="Arial" w:cs="Arial" w:hint="eastAsia"/>
                <w:color w:val="000000" w:themeColor="text1"/>
                <w:sz w:val="28"/>
                <w:szCs w:val="28"/>
              </w:rPr>
              <w:t>(</w:t>
            </w:r>
            <w:r w:rsidRPr="00A0065C">
              <w:rPr>
                <w:rFonts w:ascii="Arial" w:eastAsia="標楷體" w:hAnsi="Arial" w:cs="Arial" w:hint="eastAsia"/>
                <w:color w:val="000000" w:themeColor="text1"/>
                <w:sz w:val="28"/>
                <w:szCs w:val="28"/>
              </w:rPr>
              <w:t>交通部、</w:t>
            </w:r>
          </w:p>
          <w:p w:rsidR="007535BE" w:rsidRPr="00A0065C" w:rsidRDefault="003E43CC" w:rsidP="003E43CC">
            <w:pPr>
              <w:snapToGrid w:val="0"/>
              <w:spacing w:line="480" w:lineRule="atLeast"/>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經濟部、科技會報</w:t>
            </w:r>
            <w:r w:rsidRPr="00A0065C">
              <w:rPr>
                <w:rFonts w:ascii="Arial" w:eastAsia="標楷體" w:hAnsi="Arial" w:cs="Arial"/>
                <w:color w:val="000000" w:themeColor="text1"/>
                <w:sz w:val="28"/>
                <w:szCs w:val="28"/>
              </w:rPr>
              <w:t>辦公室</w:t>
            </w:r>
            <w:r w:rsidRPr="00A0065C">
              <w:rPr>
                <w:rFonts w:ascii="Arial" w:eastAsia="標楷體" w:hAnsi="Arial" w:cs="Arial" w:hint="eastAsia"/>
                <w:color w:val="000000" w:themeColor="text1"/>
                <w:sz w:val="28"/>
                <w:szCs w:val="28"/>
              </w:rPr>
              <w:t>)</w:t>
            </w:r>
          </w:p>
        </w:tc>
      </w:tr>
      <w:tr w:rsidR="00A0065C" w:rsidRPr="00A0065C" w:rsidTr="00D941BC">
        <w:trPr>
          <w:jc w:val="center"/>
        </w:trPr>
        <w:tc>
          <w:tcPr>
            <w:tcW w:w="2489" w:type="dxa"/>
            <w:vMerge w:val="restart"/>
            <w:tcMar>
              <w:right w:w="28" w:type="dxa"/>
            </w:tcMar>
          </w:tcPr>
          <w:p w:rsidR="00A0065C" w:rsidRPr="00A0065C" w:rsidRDefault="00A0065C" w:rsidP="00C80648">
            <w:pPr>
              <w:tabs>
                <w:tab w:val="left" w:pos="388"/>
              </w:tabs>
              <w:snapToGrid w:val="0"/>
              <w:spacing w:line="480" w:lineRule="atLeast"/>
              <w:ind w:leftChars="-16" w:left="528" w:rightChars="5" w:right="12"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二</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吸引民間投資</w:t>
            </w:r>
          </w:p>
        </w:tc>
        <w:tc>
          <w:tcPr>
            <w:tcW w:w="10248" w:type="dxa"/>
            <w:tcBorders>
              <w:bottom w:val="single" w:sz="4" w:space="0" w:color="auto"/>
            </w:tcBorders>
          </w:tcPr>
          <w:p w:rsidR="00A0065C" w:rsidRPr="00A0065C" w:rsidRDefault="00A0065C" w:rsidP="009B2038">
            <w:pPr>
              <w:pStyle w:val="aa"/>
              <w:numPr>
                <w:ilvl w:val="0"/>
                <w:numId w:val="18"/>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鎖定具投資潛力標的，如</w:t>
            </w:r>
            <w:r w:rsidR="009B2038" w:rsidRPr="00A0065C">
              <w:rPr>
                <w:rFonts w:ascii="Arial" w:eastAsia="標楷體" w:hAnsi="Arial" w:cs="Arial"/>
                <w:color w:val="000000" w:themeColor="text1"/>
                <w:sz w:val="28"/>
                <w:szCs w:val="28"/>
              </w:rPr>
              <w:t>生技醫療、</w:t>
            </w:r>
            <w:proofErr w:type="gramStart"/>
            <w:r w:rsidRPr="00A0065C">
              <w:rPr>
                <w:rFonts w:ascii="Arial" w:eastAsia="標楷體" w:hAnsi="Arial" w:cs="Arial"/>
                <w:color w:val="000000" w:themeColor="text1"/>
                <w:sz w:val="28"/>
                <w:szCs w:val="28"/>
              </w:rPr>
              <w:t>綠能</w:t>
            </w:r>
            <w:proofErr w:type="gramEnd"/>
            <w:r w:rsidRPr="00A0065C">
              <w:rPr>
                <w:rFonts w:ascii="Arial" w:eastAsia="標楷體" w:hAnsi="Arial" w:cs="Arial"/>
                <w:color w:val="000000" w:themeColor="text1"/>
                <w:sz w:val="28"/>
                <w:szCs w:val="28"/>
              </w:rPr>
              <w:t>、智慧城市及大型公共建設，運用政府政策工具，誘發商機，提高擁有關鍵技術外商來</w:t>
            </w:r>
            <w:proofErr w:type="gramStart"/>
            <w:r w:rsidRPr="00A0065C">
              <w:rPr>
                <w:rFonts w:ascii="Arial" w:eastAsia="標楷體" w:hAnsi="Arial" w:cs="Arial"/>
                <w:color w:val="000000" w:themeColor="text1"/>
                <w:sz w:val="28"/>
                <w:szCs w:val="28"/>
              </w:rPr>
              <w:t>臺</w:t>
            </w:r>
            <w:proofErr w:type="gramEnd"/>
            <w:r w:rsidRPr="00A0065C">
              <w:rPr>
                <w:rFonts w:ascii="Arial" w:eastAsia="標楷體" w:hAnsi="Arial" w:cs="Arial"/>
                <w:color w:val="000000" w:themeColor="text1"/>
                <w:sz w:val="28"/>
                <w:szCs w:val="28"/>
              </w:rPr>
              <w:t>意願，吸引國內外投資。</w:t>
            </w:r>
          </w:p>
        </w:tc>
        <w:tc>
          <w:tcPr>
            <w:tcW w:w="2311" w:type="dxa"/>
            <w:tcBorders>
              <w:bottom w:val="single" w:sz="4" w:space="0" w:color="auto"/>
            </w:tcBorders>
            <w:tcMar>
              <w:left w:w="28" w:type="dxa"/>
              <w:right w:w="28" w:type="dxa"/>
            </w:tcMar>
          </w:tcPr>
          <w:p w:rsidR="009B2038" w:rsidRPr="008F287B" w:rsidRDefault="00A0065C" w:rsidP="009B2038">
            <w:pPr>
              <w:snapToGrid w:val="0"/>
              <w:spacing w:line="480" w:lineRule="atLeast"/>
              <w:jc w:val="center"/>
              <w:rPr>
                <w:rFonts w:ascii="Arial" w:eastAsia="標楷體" w:hAnsi="Arial" w:cs="Arial"/>
                <w:sz w:val="28"/>
                <w:szCs w:val="28"/>
              </w:rPr>
            </w:pPr>
            <w:r w:rsidRPr="008F287B">
              <w:rPr>
                <w:rFonts w:ascii="Arial" w:eastAsia="標楷體" w:hAnsi="Arial" w:cs="Arial" w:hint="eastAsia"/>
                <w:sz w:val="28"/>
                <w:szCs w:val="28"/>
              </w:rPr>
              <w:t>經濟部</w:t>
            </w:r>
            <w:r w:rsidRPr="008F287B">
              <w:rPr>
                <w:rFonts w:ascii="Arial" w:eastAsia="標楷體" w:hAnsi="Arial" w:cs="Arial" w:hint="eastAsia"/>
                <w:sz w:val="28"/>
                <w:szCs w:val="28"/>
              </w:rPr>
              <w:t>(</w:t>
            </w:r>
            <w:r w:rsidRPr="008F287B">
              <w:rPr>
                <w:rFonts w:ascii="Arial" w:eastAsia="標楷體" w:hAnsi="Arial" w:cs="Arial" w:hint="eastAsia"/>
                <w:sz w:val="28"/>
                <w:szCs w:val="28"/>
              </w:rPr>
              <w:t>科技會報</w:t>
            </w:r>
            <w:r w:rsidRPr="008F287B">
              <w:rPr>
                <w:rFonts w:ascii="Arial" w:eastAsia="標楷體" w:hAnsi="Arial" w:cs="Arial"/>
                <w:sz w:val="28"/>
                <w:szCs w:val="28"/>
              </w:rPr>
              <w:t>辦公室</w:t>
            </w:r>
            <w:r w:rsidR="009B2038" w:rsidRPr="008F287B">
              <w:rPr>
                <w:rFonts w:ascii="Arial" w:eastAsia="標楷體" w:hAnsi="Arial" w:cs="Arial" w:hint="eastAsia"/>
                <w:sz w:val="28"/>
                <w:szCs w:val="28"/>
              </w:rPr>
              <w:t>、金管會、</w:t>
            </w:r>
          </w:p>
          <w:p w:rsidR="00A0065C" w:rsidRPr="009B2038" w:rsidRDefault="009B2038" w:rsidP="00D36FB8">
            <w:pPr>
              <w:snapToGrid w:val="0"/>
              <w:spacing w:line="480" w:lineRule="atLeast"/>
              <w:jc w:val="both"/>
              <w:rPr>
                <w:rFonts w:ascii="Arial" w:eastAsia="標楷體" w:hAnsi="Arial" w:cs="Arial"/>
                <w:sz w:val="28"/>
                <w:szCs w:val="28"/>
              </w:rPr>
            </w:pPr>
            <w:r w:rsidRPr="008F287B">
              <w:rPr>
                <w:rFonts w:ascii="Arial" w:eastAsia="標楷體" w:hAnsi="Arial" w:cs="Arial" w:hint="eastAsia"/>
                <w:sz w:val="28"/>
                <w:szCs w:val="28"/>
              </w:rPr>
              <w:t>教育部</w:t>
            </w:r>
            <w:r>
              <w:rPr>
                <w:rFonts w:ascii="Arial" w:eastAsia="標楷體" w:hAnsi="Arial" w:cs="Arial" w:hint="eastAsia"/>
                <w:sz w:val="28"/>
                <w:szCs w:val="28"/>
              </w:rPr>
              <w:t>、財政部</w:t>
            </w:r>
            <w:r w:rsidR="00A0065C" w:rsidRPr="008F287B">
              <w:rPr>
                <w:rFonts w:ascii="Arial" w:eastAsia="標楷體" w:hAnsi="Arial" w:cs="Arial" w:hint="eastAsia"/>
                <w:sz w:val="28"/>
                <w:szCs w:val="28"/>
              </w:rPr>
              <w:t>、交通部</w:t>
            </w:r>
            <w:r w:rsidR="00A0065C" w:rsidRPr="008F287B">
              <w:rPr>
                <w:rFonts w:ascii="Arial" w:eastAsia="標楷體" w:hAnsi="Arial" w:cs="Arial" w:hint="eastAsia"/>
                <w:sz w:val="28"/>
                <w:szCs w:val="28"/>
              </w:rPr>
              <w:t>)</w:t>
            </w:r>
          </w:p>
        </w:tc>
      </w:tr>
      <w:tr w:rsidR="00807D8D" w:rsidRPr="00A0065C" w:rsidTr="00244D03">
        <w:trPr>
          <w:trHeight w:val="970"/>
          <w:jc w:val="center"/>
        </w:trPr>
        <w:tc>
          <w:tcPr>
            <w:tcW w:w="2489" w:type="dxa"/>
            <w:vMerge/>
            <w:tcMar>
              <w:right w:w="28" w:type="dxa"/>
            </w:tcMar>
          </w:tcPr>
          <w:p w:rsidR="00807D8D" w:rsidRPr="00A0065C" w:rsidRDefault="00807D8D" w:rsidP="00C80648">
            <w:pPr>
              <w:tabs>
                <w:tab w:val="left" w:pos="388"/>
              </w:tabs>
              <w:snapToGrid w:val="0"/>
              <w:spacing w:line="480" w:lineRule="atLeast"/>
              <w:ind w:leftChars="-16" w:left="528" w:rightChars="5" w:right="12" w:hangingChars="202" w:hanging="566"/>
              <w:jc w:val="both"/>
              <w:rPr>
                <w:rFonts w:ascii="Arial" w:eastAsia="標楷體" w:hAnsi="Arial" w:cs="Arial"/>
                <w:color w:val="000000" w:themeColor="text1"/>
                <w:sz w:val="28"/>
                <w:szCs w:val="28"/>
              </w:rPr>
            </w:pPr>
          </w:p>
        </w:tc>
        <w:tc>
          <w:tcPr>
            <w:tcW w:w="10248" w:type="dxa"/>
          </w:tcPr>
          <w:p w:rsidR="00807D8D" w:rsidRPr="00A0065C" w:rsidRDefault="0003773D" w:rsidP="001D32E3">
            <w:pPr>
              <w:pStyle w:val="aa"/>
              <w:numPr>
                <w:ilvl w:val="0"/>
                <w:numId w:val="18"/>
              </w:numPr>
              <w:snapToGrid w:val="0"/>
              <w:spacing w:line="480" w:lineRule="atLeast"/>
              <w:ind w:leftChars="-19" w:left="238" w:hanging="284"/>
              <w:jc w:val="both"/>
              <w:rPr>
                <w:rFonts w:ascii="Arial" w:eastAsia="標楷體" w:hAnsi="Arial" w:cs="Arial"/>
                <w:color w:val="000000" w:themeColor="text1"/>
                <w:sz w:val="28"/>
                <w:szCs w:val="28"/>
              </w:rPr>
            </w:pPr>
            <w:proofErr w:type="gramStart"/>
            <w:r w:rsidRPr="0003773D">
              <w:rPr>
                <w:rFonts w:ascii="Arial" w:eastAsia="標楷體" w:hAnsi="Arial" w:cs="Arial" w:hint="eastAsia"/>
                <w:color w:val="000000" w:themeColor="text1"/>
                <w:sz w:val="28"/>
                <w:szCs w:val="28"/>
              </w:rPr>
              <w:t>研</w:t>
            </w:r>
            <w:proofErr w:type="gramEnd"/>
            <w:r w:rsidRPr="0003773D">
              <w:rPr>
                <w:rFonts w:ascii="Arial" w:eastAsia="標楷體" w:hAnsi="Arial" w:cs="Arial" w:hint="eastAsia"/>
                <w:color w:val="000000" w:themeColor="text1"/>
                <w:sz w:val="28"/>
                <w:szCs w:val="28"/>
              </w:rPr>
              <w:t>議調整保險業投資用不動產年化收益率</w:t>
            </w:r>
            <w:r w:rsidRPr="0003773D">
              <w:rPr>
                <w:rFonts w:ascii="Arial" w:eastAsia="標楷體" w:hAnsi="Arial" w:cs="Arial" w:hint="eastAsia"/>
                <w:color w:val="000000" w:themeColor="text1"/>
                <w:sz w:val="28"/>
                <w:szCs w:val="28"/>
              </w:rPr>
              <w:t>2.875</w:t>
            </w:r>
            <w:r w:rsidRPr="0003773D">
              <w:rPr>
                <w:rFonts w:ascii="Arial" w:eastAsia="標楷體" w:hAnsi="Arial" w:cs="Arial" w:hint="eastAsia"/>
                <w:color w:val="000000" w:themeColor="text1"/>
                <w:sz w:val="28"/>
                <w:szCs w:val="28"/>
              </w:rPr>
              <w:t>％</w:t>
            </w:r>
            <w:r w:rsidR="001D32E3" w:rsidRPr="001D32E3">
              <w:rPr>
                <w:rFonts w:ascii="Arial" w:eastAsia="標楷體" w:hAnsi="Arial" w:cs="Arial" w:hint="eastAsia"/>
                <w:color w:val="000000" w:themeColor="text1"/>
                <w:sz w:val="28"/>
                <w:szCs w:val="28"/>
              </w:rPr>
              <w:t>限制</w:t>
            </w:r>
            <w:r w:rsidRPr="0003773D">
              <w:rPr>
                <w:rFonts w:ascii="Arial" w:eastAsia="標楷體" w:hAnsi="Arial" w:cs="Arial" w:hint="eastAsia"/>
                <w:color w:val="000000" w:themeColor="text1"/>
                <w:sz w:val="28"/>
                <w:szCs w:val="28"/>
              </w:rPr>
              <w:t>可行性</w:t>
            </w:r>
            <w:r w:rsidR="00807D8D">
              <w:rPr>
                <w:rFonts w:ascii="Arial" w:eastAsia="標楷體" w:hAnsi="Arial" w:cs="Arial" w:hint="eastAsia"/>
                <w:color w:val="000000" w:themeColor="text1"/>
                <w:sz w:val="28"/>
                <w:szCs w:val="28"/>
              </w:rPr>
              <w:t>；</w:t>
            </w:r>
            <w:proofErr w:type="gramStart"/>
            <w:r w:rsidR="00807D8D" w:rsidRPr="00A0065C">
              <w:rPr>
                <w:rFonts w:ascii="Arial" w:eastAsia="標楷體" w:hAnsi="Arial" w:cs="Arial" w:hint="eastAsia"/>
                <w:color w:val="000000" w:themeColor="text1"/>
                <w:sz w:val="28"/>
                <w:szCs w:val="28"/>
              </w:rPr>
              <w:t>研</w:t>
            </w:r>
            <w:proofErr w:type="gramEnd"/>
            <w:r w:rsidR="00807D8D" w:rsidRPr="00A0065C">
              <w:rPr>
                <w:rFonts w:ascii="Arial" w:eastAsia="標楷體" w:hAnsi="Arial" w:cs="Arial" w:hint="eastAsia"/>
                <w:color w:val="000000" w:themeColor="text1"/>
                <w:sz w:val="28"/>
                <w:szCs w:val="28"/>
              </w:rPr>
              <w:t>議放寬保險業者投資銀髮照顧相關產業</w:t>
            </w:r>
            <w:r w:rsidR="00807D8D">
              <w:rPr>
                <w:rFonts w:ascii="Arial" w:eastAsia="標楷體" w:hAnsi="Arial" w:cs="Arial" w:hint="eastAsia"/>
                <w:color w:val="000000" w:themeColor="text1"/>
                <w:sz w:val="28"/>
                <w:szCs w:val="28"/>
              </w:rPr>
              <w:t>。</w:t>
            </w:r>
          </w:p>
        </w:tc>
        <w:tc>
          <w:tcPr>
            <w:tcW w:w="2311" w:type="dxa"/>
            <w:tcMar>
              <w:left w:w="28" w:type="dxa"/>
              <w:right w:w="28" w:type="dxa"/>
            </w:tcMar>
          </w:tcPr>
          <w:p w:rsidR="00807D8D" w:rsidRPr="00A0065C" w:rsidRDefault="00807D8D" w:rsidP="005B4575">
            <w:pPr>
              <w:snapToGrid w:val="0"/>
              <w:spacing w:line="480" w:lineRule="atLeast"/>
              <w:jc w:val="center"/>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金管會</w:t>
            </w:r>
          </w:p>
        </w:tc>
      </w:tr>
      <w:tr w:rsidR="00A0065C" w:rsidRPr="00A0065C" w:rsidTr="00D941BC">
        <w:trPr>
          <w:trHeight w:val="665"/>
          <w:jc w:val="center"/>
        </w:trPr>
        <w:tc>
          <w:tcPr>
            <w:tcW w:w="2489" w:type="dxa"/>
            <w:vMerge w:val="restart"/>
            <w:tcMar>
              <w:right w:w="28" w:type="dxa"/>
            </w:tcMar>
          </w:tcPr>
          <w:p w:rsidR="007535BE" w:rsidRPr="00A0065C" w:rsidRDefault="007535BE" w:rsidP="00C80648">
            <w:pPr>
              <w:tabs>
                <w:tab w:val="left" w:pos="388"/>
              </w:tabs>
              <w:snapToGrid w:val="0"/>
              <w:spacing w:line="480" w:lineRule="atLeast"/>
              <w:ind w:leftChars="-16" w:left="528" w:rightChars="5" w:right="12"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三</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r w:rsidRPr="00A0065C">
              <w:rPr>
                <w:rFonts w:ascii="Arial" w:eastAsia="標楷體" w:hAnsi="Arial" w:cs="Arial"/>
                <w:color w:val="000000" w:themeColor="text1"/>
                <w:sz w:val="28"/>
                <w:szCs w:val="28"/>
              </w:rPr>
              <w:t>協助企業取得投資及</w:t>
            </w:r>
            <w:proofErr w:type="gramStart"/>
            <w:r w:rsidRPr="00A0065C">
              <w:rPr>
                <w:rFonts w:ascii="Arial" w:eastAsia="標楷體" w:hAnsi="Arial" w:cs="Arial"/>
                <w:color w:val="000000" w:themeColor="text1"/>
                <w:sz w:val="28"/>
                <w:szCs w:val="28"/>
              </w:rPr>
              <w:t>併</w:t>
            </w:r>
            <w:proofErr w:type="gramEnd"/>
            <w:r w:rsidRPr="00A0065C">
              <w:rPr>
                <w:rFonts w:ascii="Arial" w:eastAsia="標楷體" w:hAnsi="Arial" w:cs="Arial"/>
                <w:color w:val="000000" w:themeColor="text1"/>
                <w:sz w:val="28"/>
                <w:szCs w:val="28"/>
              </w:rPr>
              <w:t>購資金</w:t>
            </w:r>
          </w:p>
        </w:tc>
        <w:tc>
          <w:tcPr>
            <w:tcW w:w="10248" w:type="dxa"/>
            <w:tcBorders>
              <w:bottom w:val="single" w:sz="4" w:space="0" w:color="auto"/>
            </w:tcBorders>
          </w:tcPr>
          <w:p w:rsidR="007535BE" w:rsidRPr="00A0065C" w:rsidRDefault="007535BE" w:rsidP="00FE37E7">
            <w:pPr>
              <w:pStyle w:val="aa"/>
              <w:numPr>
                <w:ilvl w:val="0"/>
                <w:numId w:val="10"/>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提供新臺幣</w:t>
            </w:r>
            <w:r w:rsidRPr="00A0065C">
              <w:rPr>
                <w:rFonts w:ascii="Arial" w:eastAsia="標楷體" w:hAnsi="Arial" w:cs="Arial"/>
                <w:color w:val="000000" w:themeColor="text1"/>
                <w:sz w:val="28"/>
                <w:szCs w:val="28"/>
              </w:rPr>
              <w:t>5,000</w:t>
            </w:r>
            <w:r w:rsidRPr="00A0065C">
              <w:rPr>
                <w:rFonts w:ascii="Arial" w:eastAsia="標楷體" w:hAnsi="Arial" w:cs="Arial"/>
                <w:color w:val="000000" w:themeColor="text1"/>
                <w:sz w:val="28"/>
                <w:szCs w:val="28"/>
              </w:rPr>
              <w:t>億元貸款總額度，協助非中小企業取得營運資金，擴大投資。</w:t>
            </w:r>
          </w:p>
        </w:tc>
        <w:tc>
          <w:tcPr>
            <w:tcW w:w="2311" w:type="dxa"/>
            <w:tcBorders>
              <w:top w:val="single" w:sz="4" w:space="0" w:color="auto"/>
              <w:bottom w:val="single" w:sz="4" w:space="0" w:color="auto"/>
            </w:tcBorders>
            <w:tcMar>
              <w:left w:w="28" w:type="dxa"/>
              <w:right w:w="28" w:type="dxa"/>
            </w:tcMar>
          </w:tcPr>
          <w:p w:rsidR="007535BE" w:rsidRPr="00A0065C" w:rsidRDefault="007535BE" w:rsidP="00F535A0">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金管會</w:t>
            </w:r>
          </w:p>
        </w:tc>
      </w:tr>
      <w:tr w:rsidR="00A0065C" w:rsidRPr="00A0065C" w:rsidTr="00D941BC">
        <w:trPr>
          <w:trHeight w:val="488"/>
          <w:jc w:val="center"/>
        </w:trPr>
        <w:tc>
          <w:tcPr>
            <w:tcW w:w="2489" w:type="dxa"/>
            <w:vMerge/>
            <w:tcMar>
              <w:right w:w="28" w:type="dxa"/>
            </w:tcMar>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tcBorders>
          </w:tcPr>
          <w:p w:rsidR="007535BE" w:rsidRPr="00A0065C" w:rsidRDefault="007535BE" w:rsidP="00843333">
            <w:pPr>
              <w:pStyle w:val="aa"/>
              <w:numPr>
                <w:ilvl w:val="0"/>
                <w:numId w:val="10"/>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增加中小企業放款餘額</w:t>
            </w:r>
            <w:r w:rsidR="009854EA">
              <w:rPr>
                <w:rFonts w:ascii="Arial" w:eastAsia="標楷體" w:hAnsi="Arial" w:cs="Arial" w:hint="eastAsia"/>
                <w:color w:val="000000" w:themeColor="text1"/>
                <w:sz w:val="28"/>
                <w:szCs w:val="28"/>
              </w:rPr>
              <w:t>5</w:t>
            </w:r>
            <w:r w:rsidRPr="00A0065C">
              <w:rPr>
                <w:rFonts w:ascii="Arial" w:eastAsia="標楷體" w:hAnsi="Arial" w:cs="Arial"/>
                <w:color w:val="000000" w:themeColor="text1"/>
                <w:sz w:val="28"/>
                <w:szCs w:val="28"/>
              </w:rPr>
              <w:t>,400</w:t>
            </w:r>
            <w:r w:rsidRPr="00A0065C">
              <w:rPr>
                <w:rFonts w:ascii="Arial" w:eastAsia="標楷體" w:hAnsi="Arial" w:cs="Arial"/>
                <w:color w:val="000000" w:themeColor="text1"/>
                <w:sz w:val="28"/>
                <w:szCs w:val="28"/>
              </w:rPr>
              <w:t>億元</w:t>
            </w:r>
            <w:r w:rsidR="003C3A88" w:rsidRPr="00A0065C">
              <w:rPr>
                <w:rFonts w:ascii="Arial" w:eastAsia="標楷體" w:hAnsi="Arial" w:cs="Arial" w:hint="eastAsia"/>
                <w:color w:val="000000" w:themeColor="text1"/>
                <w:sz w:val="28"/>
                <w:szCs w:val="28"/>
              </w:rPr>
              <w:t>(</w:t>
            </w:r>
            <w:r w:rsidRPr="00A0065C">
              <w:rPr>
                <w:rFonts w:ascii="Arial" w:eastAsia="標楷體" w:hAnsi="Arial" w:cs="Arial"/>
                <w:color w:val="000000" w:themeColor="text1"/>
                <w:sz w:val="28"/>
                <w:szCs w:val="28"/>
              </w:rPr>
              <w:t>1</w:t>
            </w:r>
            <w:r w:rsidR="009854EA">
              <w:rPr>
                <w:rFonts w:ascii="Arial" w:eastAsia="標楷體" w:hAnsi="Arial" w:cs="Arial" w:hint="eastAsia"/>
                <w:color w:val="000000" w:themeColor="text1"/>
                <w:sz w:val="28"/>
                <w:szCs w:val="28"/>
              </w:rPr>
              <w:t>8</w:t>
            </w:r>
            <w:r w:rsidR="009854EA">
              <w:rPr>
                <w:rFonts w:ascii="Arial" w:eastAsia="標楷體" w:hAnsi="Arial" w:cs="Arial" w:hint="eastAsia"/>
                <w:color w:val="000000" w:themeColor="text1"/>
                <w:sz w:val="28"/>
                <w:szCs w:val="28"/>
              </w:rPr>
              <w:t>個月</w:t>
            </w:r>
            <w:r w:rsidR="003C3A88" w:rsidRPr="00A0065C">
              <w:rPr>
                <w:rFonts w:ascii="Arial" w:eastAsia="標楷體" w:hAnsi="Arial" w:cs="Arial" w:hint="eastAsia"/>
                <w:color w:val="000000" w:themeColor="text1"/>
                <w:sz w:val="28"/>
                <w:szCs w:val="28"/>
              </w:rPr>
              <w:t>)</w:t>
            </w:r>
            <w:r w:rsidRPr="00A0065C">
              <w:rPr>
                <w:rFonts w:ascii="Arial" w:eastAsia="標楷體" w:hAnsi="Arial" w:cs="Arial" w:hint="eastAsia"/>
                <w:color w:val="000000" w:themeColor="text1"/>
                <w:sz w:val="28"/>
                <w:szCs w:val="28"/>
              </w:rPr>
              <w:t>，</w:t>
            </w:r>
            <w:r w:rsidR="00843333" w:rsidRPr="00A0065C">
              <w:rPr>
                <w:rFonts w:ascii="Arial" w:eastAsia="標楷體" w:hAnsi="Arial" w:cs="Arial" w:hint="eastAsia"/>
                <w:color w:val="000000" w:themeColor="text1"/>
                <w:sz w:val="28"/>
                <w:szCs w:val="28"/>
              </w:rPr>
              <w:t>提供銀</w:t>
            </w:r>
            <w:r w:rsidR="003C3A88" w:rsidRPr="00A0065C">
              <w:rPr>
                <w:rFonts w:ascii="Arial" w:eastAsia="標楷體" w:hAnsi="Arial" w:cs="Arial" w:hint="eastAsia"/>
                <w:color w:val="000000" w:themeColor="text1"/>
                <w:sz w:val="28"/>
                <w:szCs w:val="28"/>
              </w:rPr>
              <w:t>行</w:t>
            </w:r>
            <w:r w:rsidR="00843333" w:rsidRPr="00A0065C">
              <w:rPr>
                <w:rFonts w:ascii="Arial" w:eastAsia="標楷體" w:hAnsi="Arial" w:cs="Arial" w:hint="eastAsia"/>
                <w:color w:val="000000" w:themeColor="text1"/>
                <w:sz w:val="28"/>
                <w:szCs w:val="28"/>
              </w:rPr>
              <w:t>提高</w:t>
            </w:r>
            <w:r w:rsidR="003C3A88" w:rsidRPr="00A0065C">
              <w:rPr>
                <w:rFonts w:ascii="Arial" w:eastAsia="標楷體" w:hAnsi="Arial" w:cs="Arial" w:hint="eastAsia"/>
                <w:color w:val="000000" w:themeColor="text1"/>
                <w:sz w:val="28"/>
                <w:szCs w:val="28"/>
              </w:rPr>
              <w:t>放</w:t>
            </w:r>
            <w:r w:rsidRPr="00A0065C">
              <w:rPr>
                <w:rFonts w:ascii="Arial" w:eastAsia="標楷體" w:hAnsi="Arial" w:cs="Arial" w:hint="eastAsia"/>
                <w:color w:val="000000" w:themeColor="text1"/>
                <w:sz w:val="28"/>
                <w:szCs w:val="28"/>
              </w:rPr>
              <w:t>款意願</w:t>
            </w:r>
            <w:r w:rsidR="00843333" w:rsidRPr="00A0065C">
              <w:rPr>
                <w:rFonts w:ascii="Arial" w:eastAsia="標楷體" w:hAnsi="Arial" w:cs="Arial" w:hint="eastAsia"/>
                <w:color w:val="000000" w:themeColor="text1"/>
                <w:sz w:val="28"/>
                <w:szCs w:val="28"/>
              </w:rPr>
              <w:t>等獎勵措施</w:t>
            </w:r>
            <w:r w:rsidRPr="00A0065C">
              <w:rPr>
                <w:rFonts w:ascii="Arial" w:eastAsia="標楷體" w:hAnsi="Arial" w:cs="Arial"/>
                <w:color w:val="000000" w:themeColor="text1"/>
                <w:sz w:val="28"/>
                <w:szCs w:val="28"/>
              </w:rPr>
              <w:t>，</w:t>
            </w:r>
            <w:r w:rsidRPr="00A0065C">
              <w:rPr>
                <w:rFonts w:ascii="Arial" w:eastAsia="標楷體" w:hAnsi="Arial" w:cs="Arial" w:hint="eastAsia"/>
                <w:color w:val="000000" w:themeColor="text1"/>
                <w:sz w:val="28"/>
                <w:szCs w:val="28"/>
              </w:rPr>
              <w:t>以</w:t>
            </w:r>
            <w:r w:rsidRPr="00A0065C">
              <w:rPr>
                <w:rFonts w:ascii="Arial" w:eastAsia="標楷體" w:hAnsi="Arial" w:cs="Arial"/>
                <w:color w:val="000000" w:themeColor="text1"/>
                <w:sz w:val="28"/>
                <w:szCs w:val="28"/>
              </w:rPr>
              <w:t>協助</w:t>
            </w:r>
            <w:r w:rsidRPr="00A0065C">
              <w:rPr>
                <w:rFonts w:ascii="Arial" w:eastAsia="標楷體" w:hAnsi="Arial" w:cs="Arial" w:hint="eastAsia"/>
                <w:color w:val="000000" w:themeColor="text1"/>
                <w:sz w:val="28"/>
                <w:szCs w:val="28"/>
              </w:rPr>
              <w:t>中小企業</w:t>
            </w:r>
            <w:r w:rsidR="009D0A59" w:rsidRPr="00A0065C">
              <w:rPr>
                <w:rFonts w:ascii="Arial" w:eastAsia="標楷體" w:hAnsi="Arial" w:cs="Arial" w:hint="eastAsia"/>
                <w:color w:val="000000" w:themeColor="text1"/>
                <w:sz w:val="28"/>
                <w:szCs w:val="28"/>
              </w:rPr>
              <w:t>順利</w:t>
            </w:r>
            <w:r w:rsidRPr="00A0065C">
              <w:rPr>
                <w:rFonts w:ascii="Arial" w:eastAsia="標楷體" w:hAnsi="Arial" w:cs="Arial"/>
                <w:color w:val="000000" w:themeColor="text1"/>
                <w:sz w:val="28"/>
                <w:szCs w:val="28"/>
              </w:rPr>
              <w:t>取得融資。</w:t>
            </w:r>
          </w:p>
        </w:tc>
        <w:tc>
          <w:tcPr>
            <w:tcW w:w="2311" w:type="dxa"/>
            <w:tcBorders>
              <w:top w:val="single" w:sz="4" w:space="0" w:color="auto"/>
              <w:bottom w:val="single" w:sz="4" w:space="0" w:color="auto"/>
            </w:tcBorders>
            <w:tcMar>
              <w:left w:w="28" w:type="dxa"/>
              <w:right w:w="28" w:type="dxa"/>
            </w:tcMar>
          </w:tcPr>
          <w:p w:rsidR="007535BE" w:rsidRPr="00A0065C" w:rsidRDefault="007535BE" w:rsidP="005B4575">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金管會</w:t>
            </w:r>
          </w:p>
        </w:tc>
      </w:tr>
      <w:tr w:rsidR="00A0065C" w:rsidRPr="00A0065C" w:rsidTr="009D0A59">
        <w:trPr>
          <w:trHeight w:val="1025"/>
          <w:jc w:val="center"/>
        </w:trPr>
        <w:tc>
          <w:tcPr>
            <w:tcW w:w="2489" w:type="dxa"/>
            <w:vMerge/>
            <w:tcMar>
              <w:right w:w="28" w:type="dxa"/>
            </w:tcMar>
          </w:tcPr>
          <w:p w:rsidR="007535BE" w:rsidRPr="00A0065C" w:rsidRDefault="007535BE" w:rsidP="00C80648">
            <w:pPr>
              <w:tabs>
                <w:tab w:val="left" w:pos="672"/>
              </w:tabs>
              <w:snapToGrid w:val="0"/>
              <w:spacing w:line="480" w:lineRule="atLeast"/>
              <w:ind w:leftChars="86" w:left="696" w:hangingChars="175" w:hanging="490"/>
              <w:rPr>
                <w:rFonts w:ascii="Arial" w:eastAsia="標楷體" w:hAnsi="Arial" w:cs="Arial"/>
                <w:color w:val="000000" w:themeColor="text1"/>
                <w:sz w:val="28"/>
                <w:szCs w:val="28"/>
              </w:rPr>
            </w:pPr>
          </w:p>
        </w:tc>
        <w:tc>
          <w:tcPr>
            <w:tcW w:w="10248" w:type="dxa"/>
            <w:tcBorders>
              <w:top w:val="single" w:sz="4" w:space="0" w:color="auto"/>
              <w:bottom w:val="single" w:sz="4" w:space="0" w:color="auto"/>
            </w:tcBorders>
          </w:tcPr>
          <w:p w:rsidR="00335509" w:rsidRPr="00A0065C" w:rsidRDefault="00D369E8" w:rsidP="00335509">
            <w:pPr>
              <w:pStyle w:val="aa"/>
              <w:numPr>
                <w:ilvl w:val="0"/>
                <w:numId w:val="10"/>
              </w:numPr>
              <w:snapToGrid w:val="0"/>
              <w:spacing w:line="480" w:lineRule="atLeast"/>
              <w:ind w:leftChars="-19" w:left="238" w:hanging="284"/>
              <w:jc w:val="both"/>
              <w:rPr>
                <w:rFonts w:ascii="Arial" w:eastAsia="標楷體" w:hAnsi="Arial" w:cs="Arial"/>
                <w:color w:val="000000" w:themeColor="text1"/>
                <w:sz w:val="28"/>
                <w:szCs w:val="28"/>
              </w:rPr>
            </w:pPr>
            <w:r w:rsidRPr="00A0065C">
              <w:rPr>
                <w:rFonts w:ascii="Arial" w:eastAsia="標楷體" w:hAnsi="Arial" w:cs="Arial" w:hint="eastAsia"/>
                <w:color w:val="000000" w:themeColor="text1"/>
                <w:sz w:val="28"/>
                <w:szCs w:val="28"/>
              </w:rPr>
              <w:t>國發基金與民間合組</w:t>
            </w:r>
            <w:proofErr w:type="gramStart"/>
            <w:r w:rsidRPr="00A0065C">
              <w:rPr>
                <w:rFonts w:ascii="Arial" w:eastAsia="標楷體" w:hAnsi="Arial" w:cs="Arial" w:hint="eastAsia"/>
                <w:color w:val="000000" w:themeColor="text1"/>
                <w:sz w:val="28"/>
                <w:szCs w:val="28"/>
              </w:rPr>
              <w:t>併</w:t>
            </w:r>
            <w:proofErr w:type="gramEnd"/>
            <w:r w:rsidRPr="00A0065C">
              <w:rPr>
                <w:rFonts w:ascii="Arial" w:eastAsia="標楷體" w:hAnsi="Arial" w:cs="Arial" w:hint="eastAsia"/>
                <w:color w:val="000000" w:themeColor="text1"/>
                <w:sz w:val="28"/>
                <w:szCs w:val="28"/>
              </w:rPr>
              <w:t>購基金，並放寬企業</w:t>
            </w:r>
            <w:proofErr w:type="gramStart"/>
            <w:r w:rsidRPr="00A0065C">
              <w:rPr>
                <w:rFonts w:ascii="Arial" w:eastAsia="標楷體" w:hAnsi="Arial" w:cs="Arial" w:hint="eastAsia"/>
                <w:color w:val="000000" w:themeColor="text1"/>
                <w:sz w:val="28"/>
                <w:szCs w:val="28"/>
              </w:rPr>
              <w:t>併</w:t>
            </w:r>
            <w:proofErr w:type="gramEnd"/>
            <w:r w:rsidRPr="00A0065C">
              <w:rPr>
                <w:rFonts w:ascii="Arial" w:eastAsia="標楷體" w:hAnsi="Arial" w:cs="Arial" w:hint="eastAsia"/>
                <w:color w:val="000000" w:themeColor="text1"/>
                <w:sz w:val="28"/>
                <w:szCs w:val="28"/>
              </w:rPr>
              <w:t>購融資條件，協助企業取得</w:t>
            </w:r>
            <w:proofErr w:type="gramStart"/>
            <w:r w:rsidRPr="00A0065C">
              <w:rPr>
                <w:rFonts w:ascii="Arial" w:eastAsia="標楷體" w:hAnsi="Arial" w:cs="Arial" w:hint="eastAsia"/>
                <w:color w:val="000000" w:themeColor="text1"/>
                <w:sz w:val="28"/>
                <w:szCs w:val="28"/>
              </w:rPr>
              <w:t>併</w:t>
            </w:r>
            <w:proofErr w:type="gramEnd"/>
            <w:r w:rsidRPr="00A0065C">
              <w:rPr>
                <w:rFonts w:ascii="Arial" w:eastAsia="標楷體" w:hAnsi="Arial" w:cs="Arial" w:hint="eastAsia"/>
                <w:color w:val="000000" w:themeColor="text1"/>
                <w:sz w:val="28"/>
                <w:szCs w:val="28"/>
              </w:rPr>
              <w:t>購資金。</w:t>
            </w:r>
          </w:p>
        </w:tc>
        <w:tc>
          <w:tcPr>
            <w:tcW w:w="2311" w:type="dxa"/>
            <w:tcBorders>
              <w:top w:val="single" w:sz="4" w:space="0" w:color="auto"/>
              <w:bottom w:val="single" w:sz="4" w:space="0" w:color="auto"/>
            </w:tcBorders>
            <w:tcMar>
              <w:left w:w="28" w:type="dxa"/>
              <w:right w:w="28" w:type="dxa"/>
            </w:tcMar>
          </w:tcPr>
          <w:p w:rsidR="00C71212" w:rsidRPr="00A0065C" w:rsidRDefault="007535BE" w:rsidP="004E0447">
            <w:pPr>
              <w:snapToGrid w:val="0"/>
              <w:spacing w:line="480" w:lineRule="atLeast"/>
              <w:jc w:val="center"/>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國發基金</w:t>
            </w:r>
          </w:p>
        </w:tc>
      </w:tr>
      <w:tr w:rsidR="00A0065C" w:rsidRPr="00A0065C" w:rsidTr="00137503">
        <w:trPr>
          <w:trHeight w:val="1122"/>
          <w:jc w:val="center"/>
        </w:trPr>
        <w:tc>
          <w:tcPr>
            <w:tcW w:w="2489" w:type="dxa"/>
            <w:vMerge w:val="restart"/>
            <w:tcMar>
              <w:right w:w="28" w:type="dxa"/>
            </w:tcMar>
          </w:tcPr>
          <w:p w:rsidR="005B4575" w:rsidRPr="00A0065C" w:rsidRDefault="005B4575" w:rsidP="00947E2A">
            <w:pPr>
              <w:tabs>
                <w:tab w:val="left" w:pos="388"/>
              </w:tabs>
              <w:snapToGrid w:val="0"/>
              <w:spacing w:line="480" w:lineRule="atLeast"/>
              <w:ind w:leftChars="-16" w:left="528" w:rightChars="5" w:right="12" w:hangingChars="202" w:hanging="566"/>
              <w:jc w:val="both"/>
              <w:rPr>
                <w:rFonts w:ascii="Arial" w:eastAsia="標楷體" w:hAnsi="Arial" w:cs="Arial"/>
                <w:color w:val="000000" w:themeColor="text1"/>
                <w:sz w:val="28"/>
                <w:szCs w:val="28"/>
              </w:rPr>
            </w:pP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四</w:t>
            </w:r>
            <w:r w:rsidRPr="00A0065C">
              <w:rPr>
                <w:rFonts w:ascii="Arial" w:eastAsia="標楷體" w:hAnsi="Arial" w:cs="Arial"/>
                <w:color w:val="000000" w:themeColor="text1"/>
                <w:sz w:val="28"/>
                <w:szCs w:val="28"/>
              </w:rPr>
              <w:t>)</w:t>
            </w:r>
            <w:r w:rsidRPr="00A0065C">
              <w:rPr>
                <w:rFonts w:ascii="Arial" w:eastAsia="標楷體" w:hAnsi="Arial" w:cs="Arial"/>
                <w:color w:val="000000" w:themeColor="text1"/>
                <w:sz w:val="28"/>
                <w:szCs w:val="28"/>
              </w:rPr>
              <w:tab/>
            </w:r>
            <w:proofErr w:type="gramStart"/>
            <w:r w:rsidRPr="00A0065C">
              <w:rPr>
                <w:rFonts w:ascii="Arial" w:eastAsia="標楷體" w:hAnsi="Arial" w:cs="Arial"/>
                <w:color w:val="000000" w:themeColor="text1"/>
                <w:sz w:val="28"/>
                <w:szCs w:val="28"/>
              </w:rPr>
              <w:t>研</w:t>
            </w:r>
            <w:proofErr w:type="gramEnd"/>
            <w:r w:rsidRPr="00A0065C">
              <w:rPr>
                <w:rFonts w:ascii="Arial" w:eastAsia="標楷體" w:hAnsi="Arial" w:cs="Arial"/>
                <w:color w:val="000000" w:themeColor="text1"/>
                <w:sz w:val="28"/>
                <w:szCs w:val="28"/>
              </w:rPr>
              <w:t>議成立主權基金</w:t>
            </w:r>
          </w:p>
        </w:tc>
        <w:tc>
          <w:tcPr>
            <w:tcW w:w="10248" w:type="dxa"/>
            <w:tcBorders>
              <w:top w:val="single" w:sz="4" w:space="0" w:color="auto"/>
              <w:bottom w:val="single" w:sz="4" w:space="0" w:color="auto"/>
            </w:tcBorders>
          </w:tcPr>
          <w:p w:rsidR="005B4575" w:rsidRPr="008C0AC7" w:rsidRDefault="0077247B" w:rsidP="0077247B">
            <w:pPr>
              <w:pStyle w:val="aa"/>
              <w:numPr>
                <w:ilvl w:val="0"/>
                <w:numId w:val="11"/>
              </w:numPr>
              <w:snapToGrid w:val="0"/>
              <w:spacing w:line="480" w:lineRule="atLeast"/>
              <w:ind w:leftChars="-19" w:left="238" w:hanging="284"/>
              <w:jc w:val="both"/>
              <w:rPr>
                <w:rFonts w:ascii="Arial" w:eastAsia="標楷體" w:hAnsi="Arial" w:cs="Arial"/>
                <w:sz w:val="28"/>
                <w:szCs w:val="28"/>
              </w:rPr>
            </w:pPr>
            <w:r w:rsidRPr="008C0AC7">
              <w:rPr>
                <w:rFonts w:ascii="Arial" w:eastAsia="標楷體" w:hAnsi="Arial" w:cs="Arial" w:hint="eastAsia"/>
                <w:sz w:val="28"/>
                <w:szCs w:val="28"/>
              </w:rPr>
              <w:t>加強</w:t>
            </w:r>
            <w:r w:rsidR="00FB37BB" w:rsidRPr="008C0AC7">
              <w:rPr>
                <w:rFonts w:ascii="Arial" w:eastAsia="標楷體" w:hAnsi="Arial" w:cs="Arial" w:hint="eastAsia"/>
                <w:sz w:val="28"/>
                <w:szCs w:val="28"/>
              </w:rPr>
              <w:t>政府</w:t>
            </w:r>
            <w:r w:rsidRPr="008C0AC7">
              <w:rPr>
                <w:rFonts w:ascii="Arial" w:eastAsia="標楷體" w:hAnsi="Arial" w:cs="Arial" w:hint="eastAsia"/>
                <w:sz w:val="28"/>
                <w:szCs w:val="28"/>
              </w:rPr>
              <w:t>退休及保險</w:t>
            </w:r>
            <w:r w:rsidRPr="008C0AC7">
              <w:rPr>
                <w:rFonts w:ascii="Arial" w:eastAsia="標楷體" w:hAnsi="Arial" w:cs="Arial"/>
                <w:sz w:val="28"/>
                <w:szCs w:val="28"/>
              </w:rPr>
              <w:t>基金</w:t>
            </w:r>
            <w:r w:rsidR="005B4575" w:rsidRPr="008C0AC7">
              <w:rPr>
                <w:rFonts w:ascii="Arial" w:eastAsia="標楷體" w:hAnsi="Arial" w:cs="Arial"/>
                <w:sz w:val="28"/>
                <w:szCs w:val="28"/>
              </w:rPr>
              <w:t>運用</w:t>
            </w:r>
            <w:r w:rsidRPr="008C0AC7">
              <w:rPr>
                <w:rFonts w:ascii="Arial" w:eastAsia="標楷體" w:hAnsi="Arial" w:cs="Arial" w:hint="eastAsia"/>
                <w:sz w:val="28"/>
                <w:szCs w:val="28"/>
              </w:rPr>
              <w:t>之</w:t>
            </w:r>
            <w:r w:rsidR="005B4575" w:rsidRPr="008C0AC7">
              <w:rPr>
                <w:rFonts w:ascii="Arial" w:eastAsia="標楷體" w:hAnsi="Arial" w:cs="Arial"/>
                <w:sz w:val="28"/>
                <w:szCs w:val="28"/>
              </w:rPr>
              <w:t>橫向聯繫合作，提升基金營運效率與</w:t>
            </w:r>
            <w:r w:rsidRPr="008C0AC7">
              <w:rPr>
                <w:rFonts w:ascii="Arial" w:eastAsia="標楷體" w:hAnsi="Arial" w:cs="Arial" w:hint="eastAsia"/>
                <w:sz w:val="28"/>
                <w:szCs w:val="28"/>
              </w:rPr>
              <w:t>長期</w:t>
            </w:r>
            <w:r w:rsidR="005B4575" w:rsidRPr="008C0AC7">
              <w:rPr>
                <w:rFonts w:ascii="Arial" w:eastAsia="標楷體" w:hAnsi="Arial" w:cs="Arial"/>
                <w:sz w:val="28"/>
                <w:szCs w:val="28"/>
              </w:rPr>
              <w:t>投資績效。</w:t>
            </w:r>
          </w:p>
        </w:tc>
        <w:tc>
          <w:tcPr>
            <w:tcW w:w="2311" w:type="dxa"/>
            <w:tcBorders>
              <w:top w:val="single" w:sz="4" w:space="0" w:color="auto"/>
            </w:tcBorders>
            <w:tcMar>
              <w:left w:w="28" w:type="dxa"/>
              <w:right w:w="28" w:type="dxa"/>
            </w:tcMar>
          </w:tcPr>
          <w:p w:rsidR="005B4575" w:rsidRPr="008C0AC7" w:rsidRDefault="003B37AD" w:rsidP="00EA0F14">
            <w:pPr>
              <w:snapToGrid w:val="0"/>
              <w:spacing w:line="480" w:lineRule="atLeast"/>
              <w:jc w:val="both"/>
              <w:rPr>
                <w:rFonts w:ascii="Arial" w:eastAsia="標楷體" w:hAnsi="Arial" w:cs="Arial"/>
                <w:sz w:val="28"/>
                <w:szCs w:val="28"/>
              </w:rPr>
            </w:pPr>
            <w:r w:rsidRPr="008C0AC7">
              <w:rPr>
                <w:rFonts w:ascii="Arial" w:eastAsia="標楷體" w:hAnsi="Arial" w:cs="Arial" w:hint="eastAsia"/>
                <w:sz w:val="28"/>
                <w:szCs w:val="28"/>
              </w:rPr>
              <w:t>金管會</w:t>
            </w:r>
            <w:r w:rsidRPr="008C0AC7">
              <w:rPr>
                <w:rFonts w:ascii="Arial" w:eastAsia="標楷體" w:hAnsi="Arial" w:cs="Arial" w:hint="eastAsia"/>
                <w:sz w:val="28"/>
                <w:szCs w:val="28"/>
              </w:rPr>
              <w:t>(</w:t>
            </w:r>
            <w:r w:rsidR="005B4575" w:rsidRPr="008C0AC7">
              <w:rPr>
                <w:rFonts w:ascii="Arial" w:eastAsia="標楷體" w:hAnsi="Arial" w:cs="Arial" w:hint="eastAsia"/>
                <w:sz w:val="28"/>
                <w:szCs w:val="28"/>
              </w:rPr>
              <w:t>勞動部</w:t>
            </w:r>
            <w:r w:rsidRPr="008C0AC7">
              <w:rPr>
                <w:rFonts w:ascii="Arial" w:eastAsia="標楷體" w:hAnsi="Arial" w:cs="Arial" w:hint="eastAsia"/>
                <w:sz w:val="28"/>
                <w:szCs w:val="28"/>
              </w:rPr>
              <w:t>、</w:t>
            </w:r>
            <w:r w:rsidR="005B4575" w:rsidRPr="008C0AC7">
              <w:rPr>
                <w:rFonts w:ascii="Arial" w:eastAsia="標楷體" w:hAnsi="Arial" w:cs="Arial" w:hint="eastAsia"/>
                <w:sz w:val="28"/>
                <w:szCs w:val="28"/>
              </w:rPr>
              <w:t>交通部</w:t>
            </w:r>
            <w:r w:rsidR="005B4575" w:rsidRPr="008C0AC7">
              <w:rPr>
                <w:rFonts w:ascii="Arial" w:eastAsia="標楷體" w:hAnsi="Arial" w:cs="Arial" w:hint="eastAsia"/>
                <w:sz w:val="28"/>
                <w:szCs w:val="28"/>
              </w:rPr>
              <w:t>)</w:t>
            </w:r>
          </w:p>
        </w:tc>
      </w:tr>
      <w:tr w:rsidR="00A0065C" w:rsidRPr="00A0065C" w:rsidTr="00542CAE">
        <w:trPr>
          <w:trHeight w:val="926"/>
          <w:jc w:val="center"/>
        </w:trPr>
        <w:tc>
          <w:tcPr>
            <w:tcW w:w="2489" w:type="dxa"/>
            <w:vMerge/>
          </w:tcPr>
          <w:p w:rsidR="005B4575" w:rsidRPr="00A0065C" w:rsidRDefault="005B4575" w:rsidP="00F973B2">
            <w:pPr>
              <w:snapToGrid w:val="0"/>
              <w:spacing w:line="480" w:lineRule="atLeast"/>
              <w:rPr>
                <w:rFonts w:ascii="Arial" w:eastAsia="標楷體" w:hAnsi="Arial" w:cs="Arial"/>
                <w:color w:val="000000" w:themeColor="text1"/>
                <w:sz w:val="28"/>
                <w:szCs w:val="28"/>
              </w:rPr>
            </w:pPr>
          </w:p>
        </w:tc>
        <w:tc>
          <w:tcPr>
            <w:tcW w:w="10248" w:type="dxa"/>
            <w:tcBorders>
              <w:top w:val="dotted" w:sz="4" w:space="0" w:color="auto"/>
            </w:tcBorders>
          </w:tcPr>
          <w:p w:rsidR="005B4575" w:rsidRPr="00A0065C" w:rsidRDefault="005B4575" w:rsidP="009B2038">
            <w:pPr>
              <w:pStyle w:val="aa"/>
              <w:numPr>
                <w:ilvl w:val="0"/>
                <w:numId w:val="11"/>
              </w:numPr>
              <w:snapToGrid w:val="0"/>
              <w:spacing w:line="480" w:lineRule="atLeast"/>
              <w:ind w:leftChars="-19" w:left="238" w:hanging="284"/>
              <w:jc w:val="both"/>
              <w:rPr>
                <w:rFonts w:ascii="Arial" w:eastAsia="標楷體" w:hAnsi="Arial" w:cs="Arial"/>
                <w:color w:val="000000" w:themeColor="text1"/>
                <w:sz w:val="28"/>
                <w:szCs w:val="28"/>
              </w:rPr>
            </w:pPr>
            <w:proofErr w:type="gramStart"/>
            <w:r w:rsidRPr="00A0065C">
              <w:rPr>
                <w:rFonts w:ascii="Arial" w:eastAsia="標楷體" w:hAnsi="Arial" w:cs="Arial" w:hint="eastAsia"/>
                <w:color w:val="000000" w:themeColor="text1"/>
                <w:sz w:val="28"/>
                <w:szCs w:val="28"/>
              </w:rPr>
              <w:t>研</w:t>
            </w:r>
            <w:proofErr w:type="gramEnd"/>
            <w:r w:rsidRPr="00A0065C">
              <w:rPr>
                <w:rFonts w:ascii="Arial" w:eastAsia="標楷體" w:hAnsi="Arial" w:cs="Arial" w:hint="eastAsia"/>
                <w:color w:val="000000" w:themeColor="text1"/>
                <w:sz w:val="28"/>
                <w:szCs w:val="28"/>
              </w:rPr>
              <w:t>議成立主權基金，就組織法制、資金籌措、人事制度、薪資結構等層面進行</w:t>
            </w:r>
            <w:proofErr w:type="gramStart"/>
            <w:r w:rsidRPr="00A0065C">
              <w:rPr>
                <w:rFonts w:ascii="Arial" w:eastAsia="標楷體" w:hAnsi="Arial" w:cs="Arial" w:hint="eastAsia"/>
                <w:color w:val="000000" w:themeColor="text1"/>
                <w:sz w:val="28"/>
                <w:szCs w:val="28"/>
              </w:rPr>
              <w:t>研</w:t>
            </w:r>
            <w:proofErr w:type="gramEnd"/>
            <w:r w:rsidRPr="00A0065C">
              <w:rPr>
                <w:rFonts w:ascii="Arial" w:eastAsia="標楷體" w:hAnsi="Arial" w:cs="Arial" w:hint="eastAsia"/>
                <w:color w:val="000000" w:themeColor="text1"/>
                <w:sz w:val="28"/>
                <w:szCs w:val="28"/>
              </w:rPr>
              <w:t>析。</w:t>
            </w:r>
          </w:p>
        </w:tc>
        <w:tc>
          <w:tcPr>
            <w:tcW w:w="2311" w:type="dxa"/>
            <w:tcMar>
              <w:left w:w="28" w:type="dxa"/>
              <w:right w:w="28" w:type="dxa"/>
            </w:tcMar>
          </w:tcPr>
          <w:p w:rsidR="005B4575" w:rsidRPr="003C04C3" w:rsidRDefault="00D925AC" w:rsidP="009B2038">
            <w:pPr>
              <w:snapToGrid w:val="0"/>
              <w:spacing w:line="480" w:lineRule="atLeast"/>
              <w:rPr>
                <w:rFonts w:ascii="Arial" w:eastAsia="標楷體" w:hAnsi="Arial" w:cs="Arial"/>
                <w:color w:val="000000" w:themeColor="text1"/>
                <w:sz w:val="28"/>
                <w:szCs w:val="28"/>
              </w:rPr>
            </w:pPr>
            <w:r w:rsidRPr="003C04C3">
              <w:rPr>
                <w:rFonts w:ascii="Arial" w:eastAsia="標楷體" w:hAnsi="Arial" w:cs="Arial" w:hint="eastAsia"/>
                <w:color w:val="000000" w:themeColor="text1"/>
                <w:sz w:val="28"/>
                <w:szCs w:val="28"/>
              </w:rPr>
              <w:t>國發會</w:t>
            </w:r>
            <w:r w:rsidRPr="003C04C3">
              <w:rPr>
                <w:rFonts w:ascii="Arial" w:eastAsia="標楷體" w:hAnsi="Arial" w:cs="Arial" w:hint="eastAsia"/>
                <w:color w:val="000000" w:themeColor="text1"/>
                <w:sz w:val="28"/>
                <w:szCs w:val="28"/>
              </w:rPr>
              <w:t>(</w:t>
            </w:r>
            <w:r w:rsidR="009B2038" w:rsidRPr="003C04C3">
              <w:rPr>
                <w:rFonts w:ascii="Arial" w:eastAsia="標楷體" w:hAnsi="Arial" w:cs="Arial" w:hint="eastAsia"/>
                <w:color w:val="000000" w:themeColor="text1"/>
                <w:sz w:val="28"/>
                <w:szCs w:val="28"/>
              </w:rPr>
              <w:t>勞動部、</w:t>
            </w:r>
            <w:r w:rsidRPr="003C04C3">
              <w:rPr>
                <w:rFonts w:ascii="Arial" w:eastAsia="標楷體" w:hAnsi="Arial" w:cs="Arial" w:hint="eastAsia"/>
                <w:color w:val="000000" w:themeColor="text1"/>
                <w:sz w:val="28"/>
                <w:szCs w:val="28"/>
              </w:rPr>
              <w:t>交通部</w:t>
            </w:r>
            <w:r w:rsidRPr="003C04C3">
              <w:rPr>
                <w:rFonts w:ascii="Arial" w:eastAsia="標楷體" w:hAnsi="Arial" w:cs="Arial" w:hint="eastAsia"/>
                <w:color w:val="000000" w:themeColor="text1"/>
                <w:sz w:val="28"/>
                <w:szCs w:val="28"/>
              </w:rPr>
              <w:t>)</w:t>
            </w:r>
          </w:p>
        </w:tc>
      </w:tr>
    </w:tbl>
    <w:p w:rsidR="00A24AFA" w:rsidRPr="00A0065C" w:rsidRDefault="00A24AFA" w:rsidP="00C80648">
      <w:pPr>
        <w:snapToGrid w:val="0"/>
        <w:spacing w:line="480" w:lineRule="atLeast"/>
        <w:rPr>
          <w:rFonts w:ascii="Arial" w:eastAsia="標楷體" w:hAnsi="Arial" w:cs="Arial"/>
          <w:color w:val="000000" w:themeColor="text1"/>
          <w:sz w:val="28"/>
          <w:szCs w:val="28"/>
        </w:rPr>
      </w:pPr>
    </w:p>
    <w:sectPr w:rsidR="00A24AFA" w:rsidRPr="00A0065C" w:rsidSect="00EE7A75">
      <w:footerReference w:type="default" r:id="rId9"/>
      <w:pgSz w:w="16838" w:h="11906" w:orient="landscape" w:code="9"/>
      <w:pgMar w:top="1440" w:right="1080" w:bottom="0" w:left="108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EF" w:rsidRDefault="00687CEF" w:rsidP="001B3BB1">
      <w:r>
        <w:separator/>
      </w:r>
    </w:p>
  </w:endnote>
  <w:endnote w:type="continuationSeparator" w:id="0">
    <w:p w:rsidR="00687CEF" w:rsidRDefault="00687CEF" w:rsidP="001B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25621"/>
      <w:docPartObj>
        <w:docPartGallery w:val="Page Numbers (Bottom of Page)"/>
        <w:docPartUnique/>
      </w:docPartObj>
    </w:sdtPr>
    <w:sdtEndPr/>
    <w:sdtContent>
      <w:p w:rsidR="00CE0791" w:rsidRDefault="00F973B2" w:rsidP="00240225">
        <w:pPr>
          <w:pStyle w:val="a8"/>
          <w:jc w:val="center"/>
        </w:pPr>
        <w:r>
          <w:fldChar w:fldCharType="begin"/>
        </w:r>
        <w:r>
          <w:instrText>PAGE   \* MERGEFORMAT</w:instrText>
        </w:r>
        <w:r>
          <w:fldChar w:fldCharType="separate"/>
        </w:r>
        <w:r w:rsidR="00987D98" w:rsidRPr="00987D98">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EF" w:rsidRDefault="00687CEF" w:rsidP="001B3BB1">
      <w:r>
        <w:separator/>
      </w:r>
    </w:p>
  </w:footnote>
  <w:footnote w:type="continuationSeparator" w:id="0">
    <w:p w:rsidR="00687CEF" w:rsidRDefault="00687CEF" w:rsidP="001B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1.4pt" o:bullet="t">
        <v:imagedata r:id="rId1" o:title="art9337"/>
      </v:shape>
    </w:pict>
  </w:numPicBullet>
  <w:abstractNum w:abstractNumId="0">
    <w:nsid w:val="05746190"/>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226CF"/>
    <w:multiLevelType w:val="hybridMultilevel"/>
    <w:tmpl w:val="1876D6EC"/>
    <w:lvl w:ilvl="0" w:tplc="E102A51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B438FA"/>
    <w:multiLevelType w:val="hybridMultilevel"/>
    <w:tmpl w:val="04C2D604"/>
    <w:lvl w:ilvl="0" w:tplc="A65CA72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476C66"/>
    <w:multiLevelType w:val="hybridMultilevel"/>
    <w:tmpl w:val="AD8A1E4E"/>
    <w:lvl w:ilvl="0" w:tplc="20CA496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AC3F91"/>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0E0676"/>
    <w:multiLevelType w:val="hybridMultilevel"/>
    <w:tmpl w:val="B950C78E"/>
    <w:lvl w:ilvl="0" w:tplc="9CF61660">
      <w:start w:val="1"/>
      <w:numFmt w:val="decimal"/>
      <w:lvlText w:val="(%1)"/>
      <w:lvlJc w:val="left"/>
      <w:pPr>
        <w:ind w:left="355" w:hanging="360"/>
      </w:pPr>
      <w:rPr>
        <w:rFonts w:hint="default"/>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6">
    <w:nsid w:val="26151DF9"/>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4542DD"/>
    <w:multiLevelType w:val="hybridMultilevel"/>
    <w:tmpl w:val="9FDC68CE"/>
    <w:lvl w:ilvl="0" w:tplc="F742326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A24466"/>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484EED"/>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3055F4"/>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64346E"/>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C639F1"/>
    <w:multiLevelType w:val="hybridMultilevel"/>
    <w:tmpl w:val="B950C78E"/>
    <w:lvl w:ilvl="0" w:tplc="9CF61660">
      <w:start w:val="1"/>
      <w:numFmt w:val="decimal"/>
      <w:lvlText w:val="(%1)"/>
      <w:lvlJc w:val="left"/>
      <w:pPr>
        <w:ind w:left="355" w:hanging="360"/>
      </w:pPr>
      <w:rPr>
        <w:rFonts w:hint="default"/>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3">
    <w:nsid w:val="5275113C"/>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EA5E7D"/>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D6F44B5"/>
    <w:multiLevelType w:val="hybridMultilevel"/>
    <w:tmpl w:val="350C950E"/>
    <w:lvl w:ilvl="0" w:tplc="A4F25B2E">
      <w:start w:val="1"/>
      <w:numFmt w:val="bullet"/>
      <w:lvlText w:val=""/>
      <w:lvlPicBulletId w:val="0"/>
      <w:lvlJc w:val="left"/>
      <w:pPr>
        <w:tabs>
          <w:tab w:val="num" w:pos="720"/>
        </w:tabs>
        <w:ind w:left="720" w:hanging="360"/>
      </w:pPr>
      <w:rPr>
        <w:rFonts w:ascii="Symbol" w:hAnsi="Symbol" w:hint="default"/>
      </w:rPr>
    </w:lvl>
    <w:lvl w:ilvl="1" w:tplc="8836259C" w:tentative="1">
      <w:start w:val="1"/>
      <w:numFmt w:val="bullet"/>
      <w:lvlText w:val=""/>
      <w:lvlPicBulletId w:val="0"/>
      <w:lvlJc w:val="left"/>
      <w:pPr>
        <w:tabs>
          <w:tab w:val="num" w:pos="1440"/>
        </w:tabs>
        <w:ind w:left="1440" w:hanging="360"/>
      </w:pPr>
      <w:rPr>
        <w:rFonts w:ascii="Symbol" w:hAnsi="Symbol" w:hint="default"/>
      </w:rPr>
    </w:lvl>
    <w:lvl w:ilvl="2" w:tplc="39340FD2" w:tentative="1">
      <w:start w:val="1"/>
      <w:numFmt w:val="bullet"/>
      <w:lvlText w:val=""/>
      <w:lvlPicBulletId w:val="0"/>
      <w:lvlJc w:val="left"/>
      <w:pPr>
        <w:tabs>
          <w:tab w:val="num" w:pos="2160"/>
        </w:tabs>
        <w:ind w:left="2160" w:hanging="360"/>
      </w:pPr>
      <w:rPr>
        <w:rFonts w:ascii="Symbol" w:hAnsi="Symbol" w:hint="default"/>
      </w:rPr>
    </w:lvl>
    <w:lvl w:ilvl="3" w:tplc="589A8EE2" w:tentative="1">
      <w:start w:val="1"/>
      <w:numFmt w:val="bullet"/>
      <w:lvlText w:val=""/>
      <w:lvlPicBulletId w:val="0"/>
      <w:lvlJc w:val="left"/>
      <w:pPr>
        <w:tabs>
          <w:tab w:val="num" w:pos="2880"/>
        </w:tabs>
        <w:ind w:left="2880" w:hanging="360"/>
      </w:pPr>
      <w:rPr>
        <w:rFonts w:ascii="Symbol" w:hAnsi="Symbol" w:hint="default"/>
      </w:rPr>
    </w:lvl>
    <w:lvl w:ilvl="4" w:tplc="1F3A5F36" w:tentative="1">
      <w:start w:val="1"/>
      <w:numFmt w:val="bullet"/>
      <w:lvlText w:val=""/>
      <w:lvlPicBulletId w:val="0"/>
      <w:lvlJc w:val="left"/>
      <w:pPr>
        <w:tabs>
          <w:tab w:val="num" w:pos="3600"/>
        </w:tabs>
        <w:ind w:left="3600" w:hanging="360"/>
      </w:pPr>
      <w:rPr>
        <w:rFonts w:ascii="Symbol" w:hAnsi="Symbol" w:hint="default"/>
      </w:rPr>
    </w:lvl>
    <w:lvl w:ilvl="5" w:tplc="092C2154" w:tentative="1">
      <w:start w:val="1"/>
      <w:numFmt w:val="bullet"/>
      <w:lvlText w:val=""/>
      <w:lvlPicBulletId w:val="0"/>
      <w:lvlJc w:val="left"/>
      <w:pPr>
        <w:tabs>
          <w:tab w:val="num" w:pos="4320"/>
        </w:tabs>
        <w:ind w:left="4320" w:hanging="360"/>
      </w:pPr>
      <w:rPr>
        <w:rFonts w:ascii="Symbol" w:hAnsi="Symbol" w:hint="default"/>
      </w:rPr>
    </w:lvl>
    <w:lvl w:ilvl="6" w:tplc="165AEC08" w:tentative="1">
      <w:start w:val="1"/>
      <w:numFmt w:val="bullet"/>
      <w:lvlText w:val=""/>
      <w:lvlPicBulletId w:val="0"/>
      <w:lvlJc w:val="left"/>
      <w:pPr>
        <w:tabs>
          <w:tab w:val="num" w:pos="5040"/>
        </w:tabs>
        <w:ind w:left="5040" w:hanging="360"/>
      </w:pPr>
      <w:rPr>
        <w:rFonts w:ascii="Symbol" w:hAnsi="Symbol" w:hint="default"/>
      </w:rPr>
    </w:lvl>
    <w:lvl w:ilvl="7" w:tplc="75E2024A" w:tentative="1">
      <w:start w:val="1"/>
      <w:numFmt w:val="bullet"/>
      <w:lvlText w:val=""/>
      <w:lvlPicBulletId w:val="0"/>
      <w:lvlJc w:val="left"/>
      <w:pPr>
        <w:tabs>
          <w:tab w:val="num" w:pos="5760"/>
        </w:tabs>
        <w:ind w:left="5760" w:hanging="360"/>
      </w:pPr>
      <w:rPr>
        <w:rFonts w:ascii="Symbol" w:hAnsi="Symbol" w:hint="default"/>
      </w:rPr>
    </w:lvl>
    <w:lvl w:ilvl="8" w:tplc="4C76B8C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4E616DC"/>
    <w:multiLevelType w:val="hybridMultilevel"/>
    <w:tmpl w:val="60889E84"/>
    <w:lvl w:ilvl="0" w:tplc="0409000F">
      <w:start w:val="1"/>
      <w:numFmt w:val="decimal"/>
      <w:lvlText w:val="%1."/>
      <w:lvlJc w:val="left"/>
      <w:pPr>
        <w:ind w:left="480" w:hanging="480"/>
      </w:pPr>
    </w:lvl>
    <w:lvl w:ilvl="1" w:tplc="CE72A3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751971"/>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C81743"/>
    <w:multiLevelType w:val="hybridMultilevel"/>
    <w:tmpl w:val="36408A78"/>
    <w:lvl w:ilvl="0" w:tplc="D6284C6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EA6701"/>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86447A"/>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EFE335B"/>
    <w:multiLevelType w:val="hybridMultilevel"/>
    <w:tmpl w:val="32A0B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9"/>
  </w:num>
  <w:num w:numId="3">
    <w:abstractNumId w:val="16"/>
  </w:num>
  <w:num w:numId="4">
    <w:abstractNumId w:val="6"/>
  </w:num>
  <w:num w:numId="5">
    <w:abstractNumId w:val="17"/>
  </w:num>
  <w:num w:numId="6">
    <w:abstractNumId w:val="11"/>
  </w:num>
  <w:num w:numId="7">
    <w:abstractNumId w:val="21"/>
  </w:num>
  <w:num w:numId="8">
    <w:abstractNumId w:val="20"/>
  </w:num>
  <w:num w:numId="9">
    <w:abstractNumId w:val="13"/>
  </w:num>
  <w:num w:numId="10">
    <w:abstractNumId w:val="4"/>
  </w:num>
  <w:num w:numId="11">
    <w:abstractNumId w:val="3"/>
  </w:num>
  <w:num w:numId="12">
    <w:abstractNumId w:val="18"/>
  </w:num>
  <w:num w:numId="13">
    <w:abstractNumId w:val="2"/>
  </w:num>
  <w:num w:numId="14">
    <w:abstractNumId w:val="1"/>
  </w:num>
  <w:num w:numId="15">
    <w:abstractNumId w:val="5"/>
  </w:num>
  <w:num w:numId="16">
    <w:abstractNumId w:val="12"/>
  </w:num>
  <w:num w:numId="17">
    <w:abstractNumId w:val="14"/>
  </w:num>
  <w:num w:numId="18">
    <w:abstractNumId w:val="9"/>
  </w:num>
  <w:num w:numId="19">
    <w:abstractNumId w:val="7"/>
  </w:num>
  <w:num w:numId="20">
    <w:abstractNumId w:val="15"/>
  </w:num>
  <w:num w:numId="21">
    <w:abstractNumId w:val="10"/>
  </w:num>
  <w:num w:numId="2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FA"/>
    <w:rsid w:val="000025AC"/>
    <w:rsid w:val="000030B9"/>
    <w:rsid w:val="0000650E"/>
    <w:rsid w:val="000109FA"/>
    <w:rsid w:val="000117C3"/>
    <w:rsid w:val="00013A59"/>
    <w:rsid w:val="000155DB"/>
    <w:rsid w:val="0003773D"/>
    <w:rsid w:val="00043F11"/>
    <w:rsid w:val="000455EF"/>
    <w:rsid w:val="000473A7"/>
    <w:rsid w:val="00072EFF"/>
    <w:rsid w:val="00082660"/>
    <w:rsid w:val="000902CA"/>
    <w:rsid w:val="000919D1"/>
    <w:rsid w:val="000A068D"/>
    <w:rsid w:val="000A0DD2"/>
    <w:rsid w:val="000A36C6"/>
    <w:rsid w:val="000A4196"/>
    <w:rsid w:val="000A67B5"/>
    <w:rsid w:val="000B3119"/>
    <w:rsid w:val="000B5F91"/>
    <w:rsid w:val="000B723E"/>
    <w:rsid w:val="000C46F3"/>
    <w:rsid w:val="000C7B33"/>
    <w:rsid w:val="000D60E5"/>
    <w:rsid w:val="000D63DF"/>
    <w:rsid w:val="000D6FBF"/>
    <w:rsid w:val="000E2A85"/>
    <w:rsid w:val="000E54CA"/>
    <w:rsid w:val="000F1648"/>
    <w:rsid w:val="000F475D"/>
    <w:rsid w:val="000F593A"/>
    <w:rsid w:val="00105A09"/>
    <w:rsid w:val="00111664"/>
    <w:rsid w:val="00121E88"/>
    <w:rsid w:val="00127F0F"/>
    <w:rsid w:val="00132F68"/>
    <w:rsid w:val="001340FB"/>
    <w:rsid w:val="0013498B"/>
    <w:rsid w:val="001357B2"/>
    <w:rsid w:val="00137503"/>
    <w:rsid w:val="001519C9"/>
    <w:rsid w:val="00155F1F"/>
    <w:rsid w:val="00166300"/>
    <w:rsid w:val="00167E87"/>
    <w:rsid w:val="00175532"/>
    <w:rsid w:val="0017676E"/>
    <w:rsid w:val="00180C54"/>
    <w:rsid w:val="00180E00"/>
    <w:rsid w:val="00186F96"/>
    <w:rsid w:val="00187B70"/>
    <w:rsid w:val="0019413C"/>
    <w:rsid w:val="001949C2"/>
    <w:rsid w:val="00196756"/>
    <w:rsid w:val="001A2902"/>
    <w:rsid w:val="001B37AD"/>
    <w:rsid w:val="001B3BB1"/>
    <w:rsid w:val="001B5527"/>
    <w:rsid w:val="001D2E76"/>
    <w:rsid w:val="001D32E3"/>
    <w:rsid w:val="001D6728"/>
    <w:rsid w:val="001E1396"/>
    <w:rsid w:val="001E6F9E"/>
    <w:rsid w:val="001F059A"/>
    <w:rsid w:val="001F0C33"/>
    <w:rsid w:val="001F1115"/>
    <w:rsid w:val="001F4802"/>
    <w:rsid w:val="001F57E0"/>
    <w:rsid w:val="00205BBE"/>
    <w:rsid w:val="00211F38"/>
    <w:rsid w:val="00222A86"/>
    <w:rsid w:val="00222D0A"/>
    <w:rsid w:val="002320D0"/>
    <w:rsid w:val="0023624A"/>
    <w:rsid w:val="00237CDF"/>
    <w:rsid w:val="00240141"/>
    <w:rsid w:val="00240225"/>
    <w:rsid w:val="00245487"/>
    <w:rsid w:val="00251914"/>
    <w:rsid w:val="00252E55"/>
    <w:rsid w:val="00254D2A"/>
    <w:rsid w:val="002553C2"/>
    <w:rsid w:val="002578B8"/>
    <w:rsid w:val="002746A1"/>
    <w:rsid w:val="002859FB"/>
    <w:rsid w:val="002A0226"/>
    <w:rsid w:val="002A3693"/>
    <w:rsid w:val="002B2046"/>
    <w:rsid w:val="002B2302"/>
    <w:rsid w:val="002C24CA"/>
    <w:rsid w:val="002C3EB7"/>
    <w:rsid w:val="002D0E2F"/>
    <w:rsid w:val="002D5748"/>
    <w:rsid w:val="002D68E3"/>
    <w:rsid w:val="002D6D15"/>
    <w:rsid w:val="002E51A2"/>
    <w:rsid w:val="002E718D"/>
    <w:rsid w:val="002E7FB5"/>
    <w:rsid w:val="002F5521"/>
    <w:rsid w:val="00303214"/>
    <w:rsid w:val="00314D25"/>
    <w:rsid w:val="00317E29"/>
    <w:rsid w:val="00321ECC"/>
    <w:rsid w:val="00330C26"/>
    <w:rsid w:val="00335509"/>
    <w:rsid w:val="00342006"/>
    <w:rsid w:val="00345BDD"/>
    <w:rsid w:val="00350794"/>
    <w:rsid w:val="00354A88"/>
    <w:rsid w:val="00356243"/>
    <w:rsid w:val="00361FB5"/>
    <w:rsid w:val="003668C9"/>
    <w:rsid w:val="003722C5"/>
    <w:rsid w:val="00374A68"/>
    <w:rsid w:val="003803BB"/>
    <w:rsid w:val="00382603"/>
    <w:rsid w:val="0038390B"/>
    <w:rsid w:val="003A1D66"/>
    <w:rsid w:val="003B3064"/>
    <w:rsid w:val="003B37AD"/>
    <w:rsid w:val="003B3B4A"/>
    <w:rsid w:val="003B727A"/>
    <w:rsid w:val="003C04C3"/>
    <w:rsid w:val="003C2A7D"/>
    <w:rsid w:val="003C3A88"/>
    <w:rsid w:val="003C3DF2"/>
    <w:rsid w:val="003C49A1"/>
    <w:rsid w:val="003C7606"/>
    <w:rsid w:val="003D66E1"/>
    <w:rsid w:val="003E43CC"/>
    <w:rsid w:val="003E546E"/>
    <w:rsid w:val="003F0D0A"/>
    <w:rsid w:val="004049EF"/>
    <w:rsid w:val="00414A8B"/>
    <w:rsid w:val="00440E8A"/>
    <w:rsid w:val="004425EF"/>
    <w:rsid w:val="004604A5"/>
    <w:rsid w:val="004674AF"/>
    <w:rsid w:val="00480BC7"/>
    <w:rsid w:val="004A3572"/>
    <w:rsid w:val="004A6649"/>
    <w:rsid w:val="004B1EE8"/>
    <w:rsid w:val="004B2BD4"/>
    <w:rsid w:val="004B5918"/>
    <w:rsid w:val="004C412C"/>
    <w:rsid w:val="004E0447"/>
    <w:rsid w:val="004E4B98"/>
    <w:rsid w:val="004E67FD"/>
    <w:rsid w:val="004E7266"/>
    <w:rsid w:val="004F0BD5"/>
    <w:rsid w:val="0050250F"/>
    <w:rsid w:val="005166B0"/>
    <w:rsid w:val="0052005A"/>
    <w:rsid w:val="005207D5"/>
    <w:rsid w:val="00521EC3"/>
    <w:rsid w:val="00526C30"/>
    <w:rsid w:val="00532B8A"/>
    <w:rsid w:val="00545444"/>
    <w:rsid w:val="00553E68"/>
    <w:rsid w:val="005732A1"/>
    <w:rsid w:val="005778A2"/>
    <w:rsid w:val="005778FC"/>
    <w:rsid w:val="00583EEB"/>
    <w:rsid w:val="00584175"/>
    <w:rsid w:val="00591453"/>
    <w:rsid w:val="005A26D9"/>
    <w:rsid w:val="005A741F"/>
    <w:rsid w:val="005B4575"/>
    <w:rsid w:val="005B6ADB"/>
    <w:rsid w:val="005B7601"/>
    <w:rsid w:val="005C00AD"/>
    <w:rsid w:val="005C1598"/>
    <w:rsid w:val="005C6702"/>
    <w:rsid w:val="005D0642"/>
    <w:rsid w:val="005E21F5"/>
    <w:rsid w:val="005E2873"/>
    <w:rsid w:val="005F1C50"/>
    <w:rsid w:val="005F60FA"/>
    <w:rsid w:val="006200ED"/>
    <w:rsid w:val="00622991"/>
    <w:rsid w:val="00630439"/>
    <w:rsid w:val="00630EEA"/>
    <w:rsid w:val="00633943"/>
    <w:rsid w:val="00634BCC"/>
    <w:rsid w:val="006459A1"/>
    <w:rsid w:val="00650711"/>
    <w:rsid w:val="00665590"/>
    <w:rsid w:val="00666519"/>
    <w:rsid w:val="006703C7"/>
    <w:rsid w:val="00673155"/>
    <w:rsid w:val="006743AC"/>
    <w:rsid w:val="00674905"/>
    <w:rsid w:val="006830F1"/>
    <w:rsid w:val="00683F0D"/>
    <w:rsid w:val="006847DA"/>
    <w:rsid w:val="00685F26"/>
    <w:rsid w:val="0068608E"/>
    <w:rsid w:val="00687CEF"/>
    <w:rsid w:val="00691E53"/>
    <w:rsid w:val="006941BC"/>
    <w:rsid w:val="006A0E99"/>
    <w:rsid w:val="006B0C17"/>
    <w:rsid w:val="006B57AB"/>
    <w:rsid w:val="006B6D11"/>
    <w:rsid w:val="006C1BD7"/>
    <w:rsid w:val="006C4038"/>
    <w:rsid w:val="006D5E93"/>
    <w:rsid w:val="006E2777"/>
    <w:rsid w:val="006E32B1"/>
    <w:rsid w:val="00704593"/>
    <w:rsid w:val="00705DDA"/>
    <w:rsid w:val="00710B57"/>
    <w:rsid w:val="00712283"/>
    <w:rsid w:val="00713405"/>
    <w:rsid w:val="00713547"/>
    <w:rsid w:val="0071599C"/>
    <w:rsid w:val="007204F4"/>
    <w:rsid w:val="007222DA"/>
    <w:rsid w:val="00726E14"/>
    <w:rsid w:val="007305C6"/>
    <w:rsid w:val="007312ED"/>
    <w:rsid w:val="00733281"/>
    <w:rsid w:val="0073355F"/>
    <w:rsid w:val="00733DB4"/>
    <w:rsid w:val="007451FF"/>
    <w:rsid w:val="007535BE"/>
    <w:rsid w:val="00763128"/>
    <w:rsid w:val="00771AF2"/>
    <w:rsid w:val="0077215E"/>
    <w:rsid w:val="007723E1"/>
    <w:rsid w:val="0077247B"/>
    <w:rsid w:val="00776601"/>
    <w:rsid w:val="0078028B"/>
    <w:rsid w:val="00785BF5"/>
    <w:rsid w:val="0079074E"/>
    <w:rsid w:val="007A062B"/>
    <w:rsid w:val="007A29C2"/>
    <w:rsid w:val="007B2F50"/>
    <w:rsid w:val="007B4CC9"/>
    <w:rsid w:val="007D1471"/>
    <w:rsid w:val="007E4A90"/>
    <w:rsid w:val="007F148B"/>
    <w:rsid w:val="007F1EF7"/>
    <w:rsid w:val="007F32FF"/>
    <w:rsid w:val="007F3F39"/>
    <w:rsid w:val="007F446B"/>
    <w:rsid w:val="007F68AC"/>
    <w:rsid w:val="007F6FBD"/>
    <w:rsid w:val="00802B46"/>
    <w:rsid w:val="00807D8D"/>
    <w:rsid w:val="0081004B"/>
    <w:rsid w:val="008107DA"/>
    <w:rsid w:val="00811AE4"/>
    <w:rsid w:val="00814541"/>
    <w:rsid w:val="00816A13"/>
    <w:rsid w:val="00817417"/>
    <w:rsid w:val="00817F81"/>
    <w:rsid w:val="00823F11"/>
    <w:rsid w:val="008270F7"/>
    <w:rsid w:val="008324A7"/>
    <w:rsid w:val="00834745"/>
    <w:rsid w:val="008352A3"/>
    <w:rsid w:val="00835A90"/>
    <w:rsid w:val="00837395"/>
    <w:rsid w:val="00840BB4"/>
    <w:rsid w:val="00841D38"/>
    <w:rsid w:val="008429C7"/>
    <w:rsid w:val="0084313B"/>
    <w:rsid w:val="00843333"/>
    <w:rsid w:val="00847297"/>
    <w:rsid w:val="008504EA"/>
    <w:rsid w:val="008547DB"/>
    <w:rsid w:val="00857557"/>
    <w:rsid w:val="00861068"/>
    <w:rsid w:val="00862708"/>
    <w:rsid w:val="00867F36"/>
    <w:rsid w:val="00872476"/>
    <w:rsid w:val="0087488E"/>
    <w:rsid w:val="00875BF8"/>
    <w:rsid w:val="00883CDA"/>
    <w:rsid w:val="0089059D"/>
    <w:rsid w:val="008912B6"/>
    <w:rsid w:val="008931F7"/>
    <w:rsid w:val="0089754C"/>
    <w:rsid w:val="008A3808"/>
    <w:rsid w:val="008A45AA"/>
    <w:rsid w:val="008A7DCD"/>
    <w:rsid w:val="008B7550"/>
    <w:rsid w:val="008B7A05"/>
    <w:rsid w:val="008C0AC7"/>
    <w:rsid w:val="008C4ACA"/>
    <w:rsid w:val="008D18DC"/>
    <w:rsid w:val="008D3488"/>
    <w:rsid w:val="008D4389"/>
    <w:rsid w:val="008D6FA6"/>
    <w:rsid w:val="008D7EB4"/>
    <w:rsid w:val="008E5ABC"/>
    <w:rsid w:val="008F287B"/>
    <w:rsid w:val="008F2A3E"/>
    <w:rsid w:val="008F32CF"/>
    <w:rsid w:val="008F40E8"/>
    <w:rsid w:val="008F5FFE"/>
    <w:rsid w:val="009005B6"/>
    <w:rsid w:val="00912F72"/>
    <w:rsid w:val="00926AAF"/>
    <w:rsid w:val="00931D2F"/>
    <w:rsid w:val="00955104"/>
    <w:rsid w:val="0095569E"/>
    <w:rsid w:val="009629CA"/>
    <w:rsid w:val="009658B5"/>
    <w:rsid w:val="00966E2D"/>
    <w:rsid w:val="00967168"/>
    <w:rsid w:val="009715D8"/>
    <w:rsid w:val="00972F42"/>
    <w:rsid w:val="009854EA"/>
    <w:rsid w:val="0098601F"/>
    <w:rsid w:val="00986866"/>
    <w:rsid w:val="00987D98"/>
    <w:rsid w:val="00990DDE"/>
    <w:rsid w:val="00993A61"/>
    <w:rsid w:val="009A2AB0"/>
    <w:rsid w:val="009A4047"/>
    <w:rsid w:val="009A50FE"/>
    <w:rsid w:val="009B2038"/>
    <w:rsid w:val="009B435F"/>
    <w:rsid w:val="009B5157"/>
    <w:rsid w:val="009C4423"/>
    <w:rsid w:val="009C462B"/>
    <w:rsid w:val="009D0A59"/>
    <w:rsid w:val="009D24D8"/>
    <w:rsid w:val="009D310C"/>
    <w:rsid w:val="009D4FC1"/>
    <w:rsid w:val="009D6F87"/>
    <w:rsid w:val="009F1AE8"/>
    <w:rsid w:val="009F5CA7"/>
    <w:rsid w:val="009F6B57"/>
    <w:rsid w:val="00A0065C"/>
    <w:rsid w:val="00A01CA2"/>
    <w:rsid w:val="00A04AC2"/>
    <w:rsid w:val="00A05C3F"/>
    <w:rsid w:val="00A17D82"/>
    <w:rsid w:val="00A2073B"/>
    <w:rsid w:val="00A24AFA"/>
    <w:rsid w:val="00A26BEF"/>
    <w:rsid w:val="00A31516"/>
    <w:rsid w:val="00A31B98"/>
    <w:rsid w:val="00A33371"/>
    <w:rsid w:val="00A42A0C"/>
    <w:rsid w:val="00A42B3D"/>
    <w:rsid w:val="00A43013"/>
    <w:rsid w:val="00A47D9D"/>
    <w:rsid w:val="00A50CDB"/>
    <w:rsid w:val="00A60564"/>
    <w:rsid w:val="00A666B6"/>
    <w:rsid w:val="00A66E9C"/>
    <w:rsid w:val="00A70A63"/>
    <w:rsid w:val="00A7731D"/>
    <w:rsid w:val="00A80C8D"/>
    <w:rsid w:val="00A810D6"/>
    <w:rsid w:val="00A92A24"/>
    <w:rsid w:val="00A956D9"/>
    <w:rsid w:val="00A96248"/>
    <w:rsid w:val="00AA54E5"/>
    <w:rsid w:val="00AA7AC6"/>
    <w:rsid w:val="00AB1A2A"/>
    <w:rsid w:val="00AC152D"/>
    <w:rsid w:val="00AC44E4"/>
    <w:rsid w:val="00AC5BF4"/>
    <w:rsid w:val="00AC72B6"/>
    <w:rsid w:val="00AC7A39"/>
    <w:rsid w:val="00AD1456"/>
    <w:rsid w:val="00AD7175"/>
    <w:rsid w:val="00AF17D3"/>
    <w:rsid w:val="00AF6207"/>
    <w:rsid w:val="00AF7C4D"/>
    <w:rsid w:val="00B04C06"/>
    <w:rsid w:val="00B13BC9"/>
    <w:rsid w:val="00B148B3"/>
    <w:rsid w:val="00B14C10"/>
    <w:rsid w:val="00B24DD7"/>
    <w:rsid w:val="00B43286"/>
    <w:rsid w:val="00B52205"/>
    <w:rsid w:val="00B609A4"/>
    <w:rsid w:val="00B66338"/>
    <w:rsid w:val="00B75D06"/>
    <w:rsid w:val="00B80AFF"/>
    <w:rsid w:val="00B90899"/>
    <w:rsid w:val="00B926F8"/>
    <w:rsid w:val="00B94143"/>
    <w:rsid w:val="00BA75CF"/>
    <w:rsid w:val="00BA7EA8"/>
    <w:rsid w:val="00BB52B8"/>
    <w:rsid w:val="00BB795A"/>
    <w:rsid w:val="00BC295E"/>
    <w:rsid w:val="00BC52C2"/>
    <w:rsid w:val="00BD3309"/>
    <w:rsid w:val="00BE0F7C"/>
    <w:rsid w:val="00BE34E6"/>
    <w:rsid w:val="00BE4A5C"/>
    <w:rsid w:val="00BE4ECD"/>
    <w:rsid w:val="00BE7A1B"/>
    <w:rsid w:val="00BF4D5D"/>
    <w:rsid w:val="00BF4D6C"/>
    <w:rsid w:val="00C00105"/>
    <w:rsid w:val="00C00288"/>
    <w:rsid w:val="00C041CC"/>
    <w:rsid w:val="00C13199"/>
    <w:rsid w:val="00C13839"/>
    <w:rsid w:val="00C1718E"/>
    <w:rsid w:val="00C37B68"/>
    <w:rsid w:val="00C47306"/>
    <w:rsid w:val="00C5130A"/>
    <w:rsid w:val="00C57233"/>
    <w:rsid w:val="00C61916"/>
    <w:rsid w:val="00C656D3"/>
    <w:rsid w:val="00C71212"/>
    <w:rsid w:val="00C76200"/>
    <w:rsid w:val="00C80648"/>
    <w:rsid w:val="00C9007F"/>
    <w:rsid w:val="00C9619A"/>
    <w:rsid w:val="00C9762E"/>
    <w:rsid w:val="00CA0C5A"/>
    <w:rsid w:val="00CA119D"/>
    <w:rsid w:val="00CA1548"/>
    <w:rsid w:val="00CA4A19"/>
    <w:rsid w:val="00CB1346"/>
    <w:rsid w:val="00CB63D4"/>
    <w:rsid w:val="00CC5C8E"/>
    <w:rsid w:val="00CC74A4"/>
    <w:rsid w:val="00CD5161"/>
    <w:rsid w:val="00CD7CCB"/>
    <w:rsid w:val="00CE0791"/>
    <w:rsid w:val="00CE13DB"/>
    <w:rsid w:val="00CE1E20"/>
    <w:rsid w:val="00CE533A"/>
    <w:rsid w:val="00CE541D"/>
    <w:rsid w:val="00CE6A56"/>
    <w:rsid w:val="00CE7418"/>
    <w:rsid w:val="00CF111E"/>
    <w:rsid w:val="00CF5371"/>
    <w:rsid w:val="00CF685D"/>
    <w:rsid w:val="00D01E18"/>
    <w:rsid w:val="00D04ABC"/>
    <w:rsid w:val="00D04F8F"/>
    <w:rsid w:val="00D06F6E"/>
    <w:rsid w:val="00D111D2"/>
    <w:rsid w:val="00D13D52"/>
    <w:rsid w:val="00D205F1"/>
    <w:rsid w:val="00D369E8"/>
    <w:rsid w:val="00D36FB8"/>
    <w:rsid w:val="00D52618"/>
    <w:rsid w:val="00D5428E"/>
    <w:rsid w:val="00D60D5E"/>
    <w:rsid w:val="00D6279E"/>
    <w:rsid w:val="00D630CC"/>
    <w:rsid w:val="00D669F0"/>
    <w:rsid w:val="00D810A4"/>
    <w:rsid w:val="00D82604"/>
    <w:rsid w:val="00D8565D"/>
    <w:rsid w:val="00D925AC"/>
    <w:rsid w:val="00D93821"/>
    <w:rsid w:val="00D941BC"/>
    <w:rsid w:val="00D96F00"/>
    <w:rsid w:val="00DA1978"/>
    <w:rsid w:val="00DA416E"/>
    <w:rsid w:val="00DA6352"/>
    <w:rsid w:val="00DA6A59"/>
    <w:rsid w:val="00DB2CAF"/>
    <w:rsid w:val="00DB3B79"/>
    <w:rsid w:val="00DC0242"/>
    <w:rsid w:val="00DD360B"/>
    <w:rsid w:val="00DE24C4"/>
    <w:rsid w:val="00E025EC"/>
    <w:rsid w:val="00E042B5"/>
    <w:rsid w:val="00E05595"/>
    <w:rsid w:val="00E50B0E"/>
    <w:rsid w:val="00E536A7"/>
    <w:rsid w:val="00E55D55"/>
    <w:rsid w:val="00E73B32"/>
    <w:rsid w:val="00E8060D"/>
    <w:rsid w:val="00E84863"/>
    <w:rsid w:val="00E84AF5"/>
    <w:rsid w:val="00EA0F14"/>
    <w:rsid w:val="00EA53CD"/>
    <w:rsid w:val="00EA5E7E"/>
    <w:rsid w:val="00EB1023"/>
    <w:rsid w:val="00EB29EC"/>
    <w:rsid w:val="00EB2D0F"/>
    <w:rsid w:val="00EB32B3"/>
    <w:rsid w:val="00EC05F8"/>
    <w:rsid w:val="00EC40C0"/>
    <w:rsid w:val="00EC7089"/>
    <w:rsid w:val="00ED1825"/>
    <w:rsid w:val="00ED5F32"/>
    <w:rsid w:val="00EE1EE3"/>
    <w:rsid w:val="00EE3361"/>
    <w:rsid w:val="00EE7A75"/>
    <w:rsid w:val="00EF1B29"/>
    <w:rsid w:val="00EF6E22"/>
    <w:rsid w:val="00F045CA"/>
    <w:rsid w:val="00F14C19"/>
    <w:rsid w:val="00F20474"/>
    <w:rsid w:val="00F20CC4"/>
    <w:rsid w:val="00F24D65"/>
    <w:rsid w:val="00F3078A"/>
    <w:rsid w:val="00F327AE"/>
    <w:rsid w:val="00F35EB5"/>
    <w:rsid w:val="00F42E68"/>
    <w:rsid w:val="00F464E8"/>
    <w:rsid w:val="00F50580"/>
    <w:rsid w:val="00F535A0"/>
    <w:rsid w:val="00F5496B"/>
    <w:rsid w:val="00F642FB"/>
    <w:rsid w:val="00F64C7A"/>
    <w:rsid w:val="00F6522B"/>
    <w:rsid w:val="00F67DA1"/>
    <w:rsid w:val="00F724D5"/>
    <w:rsid w:val="00F72F94"/>
    <w:rsid w:val="00F753B4"/>
    <w:rsid w:val="00F7556C"/>
    <w:rsid w:val="00F80F95"/>
    <w:rsid w:val="00F847CE"/>
    <w:rsid w:val="00F8538F"/>
    <w:rsid w:val="00F85AE0"/>
    <w:rsid w:val="00F91093"/>
    <w:rsid w:val="00F911B1"/>
    <w:rsid w:val="00F973B2"/>
    <w:rsid w:val="00FB37BB"/>
    <w:rsid w:val="00FC3676"/>
    <w:rsid w:val="00FC3902"/>
    <w:rsid w:val="00FC7A26"/>
    <w:rsid w:val="00FD1C01"/>
    <w:rsid w:val="00FE37E7"/>
    <w:rsid w:val="00FF4605"/>
    <w:rsid w:val="00FF539D"/>
    <w:rsid w:val="00FF5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74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34745"/>
    <w:rPr>
      <w:rFonts w:asciiTheme="majorHAnsi" w:eastAsiaTheme="majorEastAsia" w:hAnsiTheme="majorHAnsi" w:cstheme="majorBidi"/>
      <w:sz w:val="18"/>
      <w:szCs w:val="18"/>
    </w:rPr>
  </w:style>
  <w:style w:type="paragraph" w:styleId="a6">
    <w:name w:val="header"/>
    <w:basedOn w:val="a"/>
    <w:link w:val="a7"/>
    <w:uiPriority w:val="99"/>
    <w:unhideWhenUsed/>
    <w:rsid w:val="001B3BB1"/>
    <w:pPr>
      <w:tabs>
        <w:tab w:val="center" w:pos="4153"/>
        <w:tab w:val="right" w:pos="8306"/>
      </w:tabs>
      <w:snapToGrid w:val="0"/>
    </w:pPr>
    <w:rPr>
      <w:sz w:val="20"/>
      <w:szCs w:val="20"/>
    </w:rPr>
  </w:style>
  <w:style w:type="character" w:customStyle="1" w:styleId="a7">
    <w:name w:val="頁首 字元"/>
    <w:basedOn w:val="a0"/>
    <w:link w:val="a6"/>
    <w:uiPriority w:val="99"/>
    <w:rsid w:val="001B3BB1"/>
    <w:rPr>
      <w:sz w:val="20"/>
      <w:szCs w:val="20"/>
    </w:rPr>
  </w:style>
  <w:style w:type="paragraph" w:styleId="a8">
    <w:name w:val="footer"/>
    <w:basedOn w:val="a"/>
    <w:link w:val="a9"/>
    <w:uiPriority w:val="99"/>
    <w:unhideWhenUsed/>
    <w:rsid w:val="001B3BB1"/>
    <w:pPr>
      <w:tabs>
        <w:tab w:val="center" w:pos="4153"/>
        <w:tab w:val="right" w:pos="8306"/>
      </w:tabs>
      <w:snapToGrid w:val="0"/>
    </w:pPr>
    <w:rPr>
      <w:sz w:val="20"/>
      <w:szCs w:val="20"/>
    </w:rPr>
  </w:style>
  <w:style w:type="character" w:customStyle="1" w:styleId="a9">
    <w:name w:val="頁尾 字元"/>
    <w:basedOn w:val="a0"/>
    <w:link w:val="a8"/>
    <w:uiPriority w:val="99"/>
    <w:rsid w:val="001B3BB1"/>
    <w:rPr>
      <w:sz w:val="20"/>
      <w:szCs w:val="20"/>
    </w:rPr>
  </w:style>
  <w:style w:type="paragraph" w:styleId="aa">
    <w:name w:val="List Paragraph"/>
    <w:basedOn w:val="a"/>
    <w:link w:val="ab"/>
    <w:uiPriority w:val="34"/>
    <w:qFormat/>
    <w:rsid w:val="000C46F3"/>
    <w:pPr>
      <w:ind w:leftChars="200" w:left="480"/>
    </w:pPr>
  </w:style>
  <w:style w:type="paragraph" w:styleId="ac">
    <w:name w:val="footnote text"/>
    <w:basedOn w:val="a"/>
    <w:link w:val="ad"/>
    <w:semiHidden/>
    <w:rsid w:val="00C5130A"/>
    <w:pPr>
      <w:snapToGrid w:val="0"/>
    </w:pPr>
    <w:rPr>
      <w:rFonts w:ascii="Times New Roman" w:eastAsia="新細明體" w:hAnsi="Times New Roman" w:cs="Times New Roman"/>
      <w:sz w:val="20"/>
      <w:szCs w:val="20"/>
    </w:rPr>
  </w:style>
  <w:style w:type="character" w:customStyle="1" w:styleId="ad">
    <w:name w:val="註腳文字 字元"/>
    <w:basedOn w:val="a0"/>
    <w:link w:val="ac"/>
    <w:semiHidden/>
    <w:rsid w:val="00C5130A"/>
    <w:rPr>
      <w:rFonts w:ascii="Times New Roman" w:eastAsia="新細明體" w:hAnsi="Times New Roman" w:cs="Times New Roman"/>
      <w:sz w:val="20"/>
      <w:szCs w:val="20"/>
    </w:rPr>
  </w:style>
  <w:style w:type="character" w:styleId="ae">
    <w:name w:val="footnote reference"/>
    <w:semiHidden/>
    <w:rsid w:val="00C5130A"/>
    <w:rPr>
      <w:rFonts w:cs="Times New Roman"/>
      <w:vertAlign w:val="superscript"/>
    </w:rPr>
  </w:style>
  <w:style w:type="character" w:customStyle="1" w:styleId="ab">
    <w:name w:val="清單段落 字元"/>
    <w:link w:val="aa"/>
    <w:uiPriority w:val="34"/>
    <w:rsid w:val="008D3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74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34745"/>
    <w:rPr>
      <w:rFonts w:asciiTheme="majorHAnsi" w:eastAsiaTheme="majorEastAsia" w:hAnsiTheme="majorHAnsi" w:cstheme="majorBidi"/>
      <w:sz w:val="18"/>
      <w:szCs w:val="18"/>
    </w:rPr>
  </w:style>
  <w:style w:type="paragraph" w:styleId="a6">
    <w:name w:val="header"/>
    <w:basedOn w:val="a"/>
    <w:link w:val="a7"/>
    <w:uiPriority w:val="99"/>
    <w:unhideWhenUsed/>
    <w:rsid w:val="001B3BB1"/>
    <w:pPr>
      <w:tabs>
        <w:tab w:val="center" w:pos="4153"/>
        <w:tab w:val="right" w:pos="8306"/>
      </w:tabs>
      <w:snapToGrid w:val="0"/>
    </w:pPr>
    <w:rPr>
      <w:sz w:val="20"/>
      <w:szCs w:val="20"/>
    </w:rPr>
  </w:style>
  <w:style w:type="character" w:customStyle="1" w:styleId="a7">
    <w:name w:val="頁首 字元"/>
    <w:basedOn w:val="a0"/>
    <w:link w:val="a6"/>
    <w:uiPriority w:val="99"/>
    <w:rsid w:val="001B3BB1"/>
    <w:rPr>
      <w:sz w:val="20"/>
      <w:szCs w:val="20"/>
    </w:rPr>
  </w:style>
  <w:style w:type="paragraph" w:styleId="a8">
    <w:name w:val="footer"/>
    <w:basedOn w:val="a"/>
    <w:link w:val="a9"/>
    <w:uiPriority w:val="99"/>
    <w:unhideWhenUsed/>
    <w:rsid w:val="001B3BB1"/>
    <w:pPr>
      <w:tabs>
        <w:tab w:val="center" w:pos="4153"/>
        <w:tab w:val="right" w:pos="8306"/>
      </w:tabs>
      <w:snapToGrid w:val="0"/>
    </w:pPr>
    <w:rPr>
      <w:sz w:val="20"/>
      <w:szCs w:val="20"/>
    </w:rPr>
  </w:style>
  <w:style w:type="character" w:customStyle="1" w:styleId="a9">
    <w:name w:val="頁尾 字元"/>
    <w:basedOn w:val="a0"/>
    <w:link w:val="a8"/>
    <w:uiPriority w:val="99"/>
    <w:rsid w:val="001B3BB1"/>
    <w:rPr>
      <w:sz w:val="20"/>
      <w:szCs w:val="20"/>
    </w:rPr>
  </w:style>
  <w:style w:type="paragraph" w:styleId="aa">
    <w:name w:val="List Paragraph"/>
    <w:basedOn w:val="a"/>
    <w:link w:val="ab"/>
    <w:uiPriority w:val="34"/>
    <w:qFormat/>
    <w:rsid w:val="000C46F3"/>
    <w:pPr>
      <w:ind w:leftChars="200" w:left="480"/>
    </w:pPr>
  </w:style>
  <w:style w:type="paragraph" w:styleId="ac">
    <w:name w:val="footnote text"/>
    <w:basedOn w:val="a"/>
    <w:link w:val="ad"/>
    <w:semiHidden/>
    <w:rsid w:val="00C5130A"/>
    <w:pPr>
      <w:snapToGrid w:val="0"/>
    </w:pPr>
    <w:rPr>
      <w:rFonts w:ascii="Times New Roman" w:eastAsia="新細明體" w:hAnsi="Times New Roman" w:cs="Times New Roman"/>
      <w:sz w:val="20"/>
      <w:szCs w:val="20"/>
    </w:rPr>
  </w:style>
  <w:style w:type="character" w:customStyle="1" w:styleId="ad">
    <w:name w:val="註腳文字 字元"/>
    <w:basedOn w:val="a0"/>
    <w:link w:val="ac"/>
    <w:semiHidden/>
    <w:rsid w:val="00C5130A"/>
    <w:rPr>
      <w:rFonts w:ascii="Times New Roman" w:eastAsia="新細明體" w:hAnsi="Times New Roman" w:cs="Times New Roman"/>
      <w:sz w:val="20"/>
      <w:szCs w:val="20"/>
    </w:rPr>
  </w:style>
  <w:style w:type="character" w:styleId="ae">
    <w:name w:val="footnote reference"/>
    <w:semiHidden/>
    <w:rsid w:val="00C5130A"/>
    <w:rPr>
      <w:rFonts w:cs="Times New Roman"/>
      <w:vertAlign w:val="superscript"/>
    </w:rPr>
  </w:style>
  <w:style w:type="character" w:customStyle="1" w:styleId="ab">
    <w:name w:val="清單段落 字元"/>
    <w:link w:val="aa"/>
    <w:uiPriority w:val="34"/>
    <w:rsid w:val="008D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3526">
      <w:bodyDiv w:val="1"/>
      <w:marLeft w:val="0"/>
      <w:marRight w:val="0"/>
      <w:marTop w:val="0"/>
      <w:marBottom w:val="0"/>
      <w:divBdr>
        <w:top w:val="none" w:sz="0" w:space="0" w:color="auto"/>
        <w:left w:val="none" w:sz="0" w:space="0" w:color="auto"/>
        <w:bottom w:val="none" w:sz="0" w:space="0" w:color="auto"/>
        <w:right w:val="none" w:sz="0" w:space="0" w:color="auto"/>
      </w:divBdr>
      <w:divsChild>
        <w:div w:id="2077360936">
          <w:marLeft w:val="446"/>
          <w:marRight w:val="0"/>
          <w:marTop w:val="120"/>
          <w:marBottom w:val="120"/>
          <w:divBdr>
            <w:top w:val="none" w:sz="0" w:space="0" w:color="auto"/>
            <w:left w:val="none" w:sz="0" w:space="0" w:color="auto"/>
            <w:bottom w:val="none" w:sz="0" w:space="0" w:color="auto"/>
            <w:right w:val="none" w:sz="0" w:space="0" w:color="auto"/>
          </w:divBdr>
        </w:div>
        <w:div w:id="1395010907">
          <w:marLeft w:val="446"/>
          <w:marRight w:val="0"/>
          <w:marTop w:val="120"/>
          <w:marBottom w:val="120"/>
          <w:divBdr>
            <w:top w:val="none" w:sz="0" w:space="0" w:color="auto"/>
            <w:left w:val="none" w:sz="0" w:space="0" w:color="auto"/>
            <w:bottom w:val="none" w:sz="0" w:space="0" w:color="auto"/>
            <w:right w:val="none" w:sz="0" w:space="0" w:color="auto"/>
          </w:divBdr>
        </w:div>
      </w:divsChild>
    </w:div>
    <w:div w:id="175657432">
      <w:bodyDiv w:val="1"/>
      <w:marLeft w:val="0"/>
      <w:marRight w:val="0"/>
      <w:marTop w:val="0"/>
      <w:marBottom w:val="0"/>
      <w:divBdr>
        <w:top w:val="none" w:sz="0" w:space="0" w:color="auto"/>
        <w:left w:val="none" w:sz="0" w:space="0" w:color="auto"/>
        <w:bottom w:val="none" w:sz="0" w:space="0" w:color="auto"/>
        <w:right w:val="none" w:sz="0" w:space="0" w:color="auto"/>
      </w:divBdr>
      <w:divsChild>
        <w:div w:id="1934776930">
          <w:marLeft w:val="446"/>
          <w:marRight w:val="0"/>
          <w:marTop w:val="120"/>
          <w:marBottom w:val="0"/>
          <w:divBdr>
            <w:top w:val="none" w:sz="0" w:space="0" w:color="auto"/>
            <w:left w:val="none" w:sz="0" w:space="0" w:color="auto"/>
            <w:bottom w:val="none" w:sz="0" w:space="0" w:color="auto"/>
            <w:right w:val="none" w:sz="0" w:space="0" w:color="auto"/>
          </w:divBdr>
        </w:div>
        <w:div w:id="262306521">
          <w:marLeft w:val="446"/>
          <w:marRight w:val="0"/>
          <w:marTop w:val="120"/>
          <w:marBottom w:val="0"/>
          <w:divBdr>
            <w:top w:val="none" w:sz="0" w:space="0" w:color="auto"/>
            <w:left w:val="none" w:sz="0" w:space="0" w:color="auto"/>
            <w:bottom w:val="none" w:sz="0" w:space="0" w:color="auto"/>
            <w:right w:val="none" w:sz="0" w:space="0" w:color="auto"/>
          </w:divBdr>
        </w:div>
        <w:div w:id="1110121564">
          <w:marLeft w:val="446"/>
          <w:marRight w:val="0"/>
          <w:marTop w:val="120"/>
          <w:marBottom w:val="0"/>
          <w:divBdr>
            <w:top w:val="none" w:sz="0" w:space="0" w:color="auto"/>
            <w:left w:val="none" w:sz="0" w:space="0" w:color="auto"/>
            <w:bottom w:val="none" w:sz="0" w:space="0" w:color="auto"/>
            <w:right w:val="none" w:sz="0" w:space="0" w:color="auto"/>
          </w:divBdr>
        </w:div>
      </w:divsChild>
    </w:div>
    <w:div w:id="208959712">
      <w:bodyDiv w:val="1"/>
      <w:marLeft w:val="0"/>
      <w:marRight w:val="0"/>
      <w:marTop w:val="0"/>
      <w:marBottom w:val="0"/>
      <w:divBdr>
        <w:top w:val="none" w:sz="0" w:space="0" w:color="auto"/>
        <w:left w:val="none" w:sz="0" w:space="0" w:color="auto"/>
        <w:bottom w:val="none" w:sz="0" w:space="0" w:color="auto"/>
        <w:right w:val="none" w:sz="0" w:space="0" w:color="auto"/>
      </w:divBdr>
      <w:divsChild>
        <w:div w:id="967198393">
          <w:marLeft w:val="446"/>
          <w:marRight w:val="0"/>
          <w:marTop w:val="0"/>
          <w:marBottom w:val="0"/>
          <w:divBdr>
            <w:top w:val="none" w:sz="0" w:space="0" w:color="auto"/>
            <w:left w:val="none" w:sz="0" w:space="0" w:color="auto"/>
            <w:bottom w:val="none" w:sz="0" w:space="0" w:color="auto"/>
            <w:right w:val="none" w:sz="0" w:space="0" w:color="auto"/>
          </w:divBdr>
        </w:div>
        <w:div w:id="1514107255">
          <w:marLeft w:val="446"/>
          <w:marRight w:val="0"/>
          <w:marTop w:val="0"/>
          <w:marBottom w:val="0"/>
          <w:divBdr>
            <w:top w:val="none" w:sz="0" w:space="0" w:color="auto"/>
            <w:left w:val="none" w:sz="0" w:space="0" w:color="auto"/>
            <w:bottom w:val="none" w:sz="0" w:space="0" w:color="auto"/>
            <w:right w:val="none" w:sz="0" w:space="0" w:color="auto"/>
          </w:divBdr>
        </w:div>
      </w:divsChild>
    </w:div>
    <w:div w:id="933592966">
      <w:bodyDiv w:val="1"/>
      <w:marLeft w:val="0"/>
      <w:marRight w:val="0"/>
      <w:marTop w:val="0"/>
      <w:marBottom w:val="0"/>
      <w:divBdr>
        <w:top w:val="none" w:sz="0" w:space="0" w:color="auto"/>
        <w:left w:val="none" w:sz="0" w:space="0" w:color="auto"/>
        <w:bottom w:val="none" w:sz="0" w:space="0" w:color="auto"/>
        <w:right w:val="none" w:sz="0" w:space="0" w:color="auto"/>
      </w:divBdr>
      <w:divsChild>
        <w:div w:id="740368054">
          <w:marLeft w:val="446"/>
          <w:marRight w:val="0"/>
          <w:marTop w:val="120"/>
          <w:marBottom w:val="120"/>
          <w:divBdr>
            <w:top w:val="none" w:sz="0" w:space="0" w:color="auto"/>
            <w:left w:val="none" w:sz="0" w:space="0" w:color="auto"/>
            <w:bottom w:val="none" w:sz="0" w:space="0" w:color="auto"/>
            <w:right w:val="none" w:sz="0" w:space="0" w:color="auto"/>
          </w:divBdr>
        </w:div>
      </w:divsChild>
    </w:div>
    <w:div w:id="11251956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070">
          <w:marLeft w:val="446"/>
          <w:marRight w:val="0"/>
          <w:marTop w:val="0"/>
          <w:marBottom w:val="0"/>
          <w:divBdr>
            <w:top w:val="none" w:sz="0" w:space="0" w:color="auto"/>
            <w:left w:val="none" w:sz="0" w:space="0" w:color="auto"/>
            <w:bottom w:val="none" w:sz="0" w:space="0" w:color="auto"/>
            <w:right w:val="none" w:sz="0" w:space="0" w:color="auto"/>
          </w:divBdr>
        </w:div>
        <w:div w:id="56049433">
          <w:marLeft w:val="446"/>
          <w:marRight w:val="0"/>
          <w:marTop w:val="0"/>
          <w:marBottom w:val="0"/>
          <w:divBdr>
            <w:top w:val="none" w:sz="0" w:space="0" w:color="auto"/>
            <w:left w:val="none" w:sz="0" w:space="0" w:color="auto"/>
            <w:bottom w:val="none" w:sz="0" w:space="0" w:color="auto"/>
            <w:right w:val="none" w:sz="0" w:space="0" w:color="auto"/>
          </w:divBdr>
        </w:div>
      </w:divsChild>
    </w:div>
    <w:div w:id="1322541753">
      <w:bodyDiv w:val="1"/>
      <w:marLeft w:val="0"/>
      <w:marRight w:val="0"/>
      <w:marTop w:val="0"/>
      <w:marBottom w:val="0"/>
      <w:divBdr>
        <w:top w:val="none" w:sz="0" w:space="0" w:color="auto"/>
        <w:left w:val="none" w:sz="0" w:space="0" w:color="auto"/>
        <w:bottom w:val="none" w:sz="0" w:space="0" w:color="auto"/>
        <w:right w:val="none" w:sz="0" w:space="0" w:color="auto"/>
      </w:divBdr>
    </w:div>
    <w:div w:id="1448351166">
      <w:bodyDiv w:val="1"/>
      <w:marLeft w:val="0"/>
      <w:marRight w:val="0"/>
      <w:marTop w:val="0"/>
      <w:marBottom w:val="0"/>
      <w:divBdr>
        <w:top w:val="none" w:sz="0" w:space="0" w:color="auto"/>
        <w:left w:val="none" w:sz="0" w:space="0" w:color="auto"/>
        <w:bottom w:val="none" w:sz="0" w:space="0" w:color="auto"/>
        <w:right w:val="none" w:sz="0" w:space="0" w:color="auto"/>
      </w:divBdr>
      <w:divsChild>
        <w:div w:id="1418794582">
          <w:marLeft w:val="446"/>
          <w:marRight w:val="0"/>
          <w:marTop w:val="0"/>
          <w:marBottom w:val="0"/>
          <w:divBdr>
            <w:top w:val="none" w:sz="0" w:space="0" w:color="auto"/>
            <w:left w:val="none" w:sz="0" w:space="0" w:color="auto"/>
            <w:bottom w:val="none" w:sz="0" w:space="0" w:color="auto"/>
            <w:right w:val="none" w:sz="0" w:space="0" w:color="auto"/>
          </w:divBdr>
        </w:div>
        <w:div w:id="300812544">
          <w:marLeft w:val="446"/>
          <w:marRight w:val="0"/>
          <w:marTop w:val="0"/>
          <w:marBottom w:val="0"/>
          <w:divBdr>
            <w:top w:val="none" w:sz="0" w:space="0" w:color="auto"/>
            <w:left w:val="none" w:sz="0" w:space="0" w:color="auto"/>
            <w:bottom w:val="none" w:sz="0" w:space="0" w:color="auto"/>
            <w:right w:val="none" w:sz="0" w:space="0" w:color="auto"/>
          </w:divBdr>
        </w:div>
      </w:divsChild>
    </w:div>
    <w:div w:id="1469201102">
      <w:bodyDiv w:val="1"/>
      <w:marLeft w:val="0"/>
      <w:marRight w:val="0"/>
      <w:marTop w:val="0"/>
      <w:marBottom w:val="0"/>
      <w:divBdr>
        <w:top w:val="none" w:sz="0" w:space="0" w:color="auto"/>
        <w:left w:val="none" w:sz="0" w:space="0" w:color="auto"/>
        <w:bottom w:val="none" w:sz="0" w:space="0" w:color="auto"/>
        <w:right w:val="none" w:sz="0" w:space="0" w:color="auto"/>
      </w:divBdr>
      <w:divsChild>
        <w:div w:id="1227499216">
          <w:marLeft w:val="446"/>
          <w:marRight w:val="0"/>
          <w:marTop w:val="120"/>
          <w:marBottom w:val="120"/>
          <w:divBdr>
            <w:top w:val="none" w:sz="0" w:space="0" w:color="auto"/>
            <w:left w:val="none" w:sz="0" w:space="0" w:color="auto"/>
            <w:bottom w:val="none" w:sz="0" w:space="0" w:color="auto"/>
            <w:right w:val="none" w:sz="0" w:space="0" w:color="auto"/>
          </w:divBdr>
        </w:div>
        <w:div w:id="288516309">
          <w:marLeft w:val="446"/>
          <w:marRight w:val="0"/>
          <w:marTop w:val="120"/>
          <w:marBottom w:val="120"/>
          <w:divBdr>
            <w:top w:val="none" w:sz="0" w:space="0" w:color="auto"/>
            <w:left w:val="none" w:sz="0" w:space="0" w:color="auto"/>
            <w:bottom w:val="none" w:sz="0" w:space="0" w:color="auto"/>
            <w:right w:val="none" w:sz="0" w:space="0" w:color="auto"/>
          </w:divBdr>
        </w:div>
      </w:divsChild>
    </w:div>
    <w:div w:id="1669559728">
      <w:bodyDiv w:val="1"/>
      <w:marLeft w:val="0"/>
      <w:marRight w:val="0"/>
      <w:marTop w:val="0"/>
      <w:marBottom w:val="0"/>
      <w:divBdr>
        <w:top w:val="none" w:sz="0" w:space="0" w:color="auto"/>
        <w:left w:val="none" w:sz="0" w:space="0" w:color="auto"/>
        <w:bottom w:val="none" w:sz="0" w:space="0" w:color="auto"/>
        <w:right w:val="none" w:sz="0" w:space="0" w:color="auto"/>
      </w:divBdr>
      <w:divsChild>
        <w:div w:id="1308241009">
          <w:marLeft w:val="446"/>
          <w:marRight w:val="0"/>
          <w:marTop w:val="120"/>
          <w:marBottom w:val="120"/>
          <w:divBdr>
            <w:top w:val="none" w:sz="0" w:space="0" w:color="auto"/>
            <w:left w:val="none" w:sz="0" w:space="0" w:color="auto"/>
            <w:bottom w:val="none" w:sz="0" w:space="0" w:color="auto"/>
            <w:right w:val="none" w:sz="0" w:space="0" w:color="auto"/>
          </w:divBdr>
        </w:div>
        <w:div w:id="48770634">
          <w:marLeft w:val="446"/>
          <w:marRight w:val="0"/>
          <w:marTop w:val="120"/>
          <w:marBottom w:val="120"/>
          <w:divBdr>
            <w:top w:val="none" w:sz="0" w:space="0" w:color="auto"/>
            <w:left w:val="none" w:sz="0" w:space="0" w:color="auto"/>
            <w:bottom w:val="none" w:sz="0" w:space="0" w:color="auto"/>
            <w:right w:val="none" w:sz="0" w:space="0" w:color="auto"/>
          </w:divBdr>
        </w:div>
      </w:divsChild>
    </w:div>
    <w:div w:id="2065833711">
      <w:bodyDiv w:val="1"/>
      <w:marLeft w:val="0"/>
      <w:marRight w:val="0"/>
      <w:marTop w:val="0"/>
      <w:marBottom w:val="0"/>
      <w:divBdr>
        <w:top w:val="none" w:sz="0" w:space="0" w:color="auto"/>
        <w:left w:val="none" w:sz="0" w:space="0" w:color="auto"/>
        <w:bottom w:val="none" w:sz="0" w:space="0" w:color="auto"/>
        <w:right w:val="none" w:sz="0" w:space="0" w:color="auto"/>
      </w:divBdr>
      <w:divsChild>
        <w:div w:id="1087072253">
          <w:marLeft w:val="446"/>
          <w:marRight w:val="0"/>
          <w:marTop w:val="120"/>
          <w:marBottom w:val="120"/>
          <w:divBdr>
            <w:top w:val="none" w:sz="0" w:space="0" w:color="auto"/>
            <w:left w:val="none" w:sz="0" w:space="0" w:color="auto"/>
            <w:bottom w:val="none" w:sz="0" w:space="0" w:color="auto"/>
            <w:right w:val="none" w:sz="0" w:space="0" w:color="auto"/>
          </w:divBdr>
        </w:div>
      </w:divsChild>
    </w:div>
    <w:div w:id="2075010304">
      <w:bodyDiv w:val="1"/>
      <w:marLeft w:val="0"/>
      <w:marRight w:val="0"/>
      <w:marTop w:val="0"/>
      <w:marBottom w:val="0"/>
      <w:divBdr>
        <w:top w:val="none" w:sz="0" w:space="0" w:color="auto"/>
        <w:left w:val="none" w:sz="0" w:space="0" w:color="auto"/>
        <w:bottom w:val="none" w:sz="0" w:space="0" w:color="auto"/>
        <w:right w:val="none" w:sz="0" w:space="0" w:color="auto"/>
      </w:divBdr>
      <w:divsChild>
        <w:div w:id="1847745432">
          <w:marLeft w:val="446"/>
          <w:marRight w:val="0"/>
          <w:marTop w:val="120"/>
          <w:marBottom w:val="120"/>
          <w:divBdr>
            <w:top w:val="none" w:sz="0" w:space="0" w:color="auto"/>
            <w:left w:val="none" w:sz="0" w:space="0" w:color="auto"/>
            <w:bottom w:val="none" w:sz="0" w:space="0" w:color="auto"/>
            <w:right w:val="none" w:sz="0" w:space="0" w:color="auto"/>
          </w:divBdr>
        </w:div>
        <w:div w:id="676228727">
          <w:marLeft w:val="446"/>
          <w:marRight w:val="0"/>
          <w:marTop w:val="120"/>
          <w:marBottom w:val="120"/>
          <w:divBdr>
            <w:top w:val="none" w:sz="0" w:space="0" w:color="auto"/>
            <w:left w:val="none" w:sz="0" w:space="0" w:color="auto"/>
            <w:bottom w:val="none" w:sz="0" w:space="0" w:color="auto"/>
            <w:right w:val="none" w:sz="0" w:space="0" w:color="auto"/>
          </w:divBdr>
        </w:div>
        <w:div w:id="54395997">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019C-29BA-479C-A9EA-FD9C8B99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32</cp:revision>
  <cp:lastPrinted>2015-09-04T10:26:00Z</cp:lastPrinted>
  <dcterms:created xsi:type="dcterms:W3CDTF">2015-08-27T07:59:00Z</dcterms:created>
  <dcterms:modified xsi:type="dcterms:W3CDTF">2015-09-04T10:29:00Z</dcterms:modified>
</cp:coreProperties>
</file>