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DFB0" w14:textId="77777777" w:rsidR="00743251" w:rsidRDefault="007346D4">
      <w:pPr>
        <w:rPr>
          <w:rFonts w:ascii="微軟正黑體" w:eastAsia="微軟正黑體" w:hAnsi="微軟正黑體" w:cs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cs="微軟正黑體"/>
          <w:noProof/>
          <w:sz w:val="32"/>
          <w:szCs w:val="32"/>
        </w:rPr>
        <w:drawing>
          <wp:inline distT="0" distB="0" distL="0" distR="0" wp14:anchorId="526F05B3" wp14:editId="340CA15B">
            <wp:extent cx="1455420" cy="320040"/>
            <wp:effectExtent l="0" t="0" r="0" b="3810"/>
            <wp:docPr id="1073741825" name="officeArt object" descr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圖片 12" descr="圖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5957" cy="3201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CFF1F68" w14:textId="77777777" w:rsidR="00743251" w:rsidRDefault="007346D4">
      <w:pPr>
        <w:spacing w:before="180"/>
        <w:jc w:val="center"/>
        <w:rPr>
          <w:rFonts w:ascii="微軟正黑體" w:eastAsia="微軟正黑體" w:hAnsi="微軟正黑體" w:cs="微軟正黑體"/>
          <w:b/>
          <w:bCs/>
          <w:sz w:val="32"/>
          <w:szCs w:val="32"/>
          <w:lang w:val="zh-TW"/>
        </w:rPr>
      </w:pPr>
      <w:r>
        <w:rPr>
          <w:rFonts w:ascii="微軟正黑體" w:eastAsia="微軟正黑體" w:hAnsi="微軟正黑體" w:cs="微軟正黑體"/>
          <w:b/>
          <w:bCs/>
          <w:sz w:val="32"/>
          <w:szCs w:val="32"/>
          <w:lang w:val="zh-TW"/>
        </w:rPr>
        <w:t>國家發展委員會 新聞稿</w:t>
      </w:r>
    </w:p>
    <w:p w14:paraId="3264A2A9" w14:textId="77777777" w:rsidR="00743251" w:rsidRPr="00F56534" w:rsidRDefault="007346D4" w:rsidP="00F56534">
      <w:pPr>
        <w:spacing w:before="180" w:after="180"/>
        <w:ind w:leftChars="-177" w:left="-424" w:rightChars="-203" w:right="-487" w:hanging="1"/>
        <w:jc w:val="center"/>
        <w:rPr>
          <w:rFonts w:ascii="微軟正黑體" w:eastAsia="微軟正黑體" w:hAnsi="微軟正黑體" w:cs="微軟正黑體"/>
          <w:b/>
          <w:bCs/>
          <w:kern w:val="0"/>
          <w:sz w:val="36"/>
          <w:szCs w:val="36"/>
        </w:rPr>
      </w:pPr>
      <w:r w:rsidRPr="00F56534">
        <w:rPr>
          <w:rFonts w:ascii="微軟正黑體" w:eastAsia="微軟正黑體" w:hAnsi="微軟正黑體" w:cs="微軟正黑體"/>
          <w:b/>
          <w:bCs/>
          <w:kern w:val="0"/>
          <w:sz w:val="36"/>
          <w:szCs w:val="36"/>
          <w:lang w:val="zh-TW"/>
        </w:rPr>
        <w:t>國發會發布「中華民國人口推估（</w:t>
      </w:r>
      <w:r w:rsidRPr="00F56534">
        <w:rPr>
          <w:rFonts w:ascii="微軟正黑體" w:eastAsia="微軟正黑體" w:hAnsi="微軟正黑體" w:cs="微軟正黑體"/>
          <w:b/>
          <w:bCs/>
          <w:kern w:val="0"/>
          <w:sz w:val="36"/>
          <w:szCs w:val="36"/>
        </w:rPr>
        <w:t>2024</w:t>
      </w:r>
      <w:r w:rsidRPr="00F56534">
        <w:rPr>
          <w:rFonts w:ascii="微軟正黑體" w:eastAsia="微軟正黑體" w:hAnsi="微軟正黑體" w:cs="微軟正黑體"/>
          <w:b/>
          <w:bCs/>
          <w:kern w:val="0"/>
          <w:sz w:val="36"/>
          <w:szCs w:val="36"/>
          <w:lang w:val="zh-TW"/>
        </w:rPr>
        <w:t>年至</w:t>
      </w:r>
      <w:r w:rsidRPr="00F56534">
        <w:rPr>
          <w:rFonts w:ascii="微軟正黑體" w:eastAsia="微軟正黑體" w:hAnsi="微軟正黑體" w:cs="微軟正黑體"/>
          <w:b/>
          <w:bCs/>
          <w:kern w:val="0"/>
          <w:sz w:val="36"/>
          <w:szCs w:val="36"/>
        </w:rPr>
        <w:t>2070</w:t>
      </w:r>
      <w:r w:rsidRPr="00F56534">
        <w:rPr>
          <w:rFonts w:ascii="微軟正黑體" w:eastAsia="微軟正黑體" w:hAnsi="微軟正黑體" w:cs="微軟正黑體"/>
          <w:b/>
          <w:bCs/>
          <w:kern w:val="0"/>
          <w:sz w:val="36"/>
          <w:szCs w:val="36"/>
          <w:lang w:val="zh-TW"/>
        </w:rPr>
        <w:t>年）」</w:t>
      </w:r>
    </w:p>
    <w:p w14:paraId="59C10AFB" w14:textId="77777777" w:rsidR="00743251" w:rsidRDefault="007346D4">
      <w:pPr>
        <w:ind w:right="85"/>
        <w:rPr>
          <w:rFonts w:ascii="微軟正黑體" w:eastAsia="微軟正黑體" w:hAnsi="微軟正黑體" w:cs="微軟正黑體"/>
          <w:kern w:val="0"/>
          <w:sz w:val="28"/>
          <w:szCs w:val="28"/>
        </w:rPr>
      </w:pPr>
      <w:r>
        <w:rPr>
          <w:rFonts w:ascii="微軟正黑體" w:eastAsia="微軟正黑體" w:hAnsi="微軟正黑體" w:cs="微軟正黑體"/>
          <w:kern w:val="0"/>
          <w:sz w:val="28"/>
          <w:szCs w:val="28"/>
          <w:lang w:val="zh-TW"/>
        </w:rPr>
        <w:t>發布日期：</w:t>
      </w:r>
      <w:r>
        <w:rPr>
          <w:rFonts w:ascii="微軟正黑體" w:eastAsia="微軟正黑體" w:hAnsi="微軟正黑體" w:cs="微軟正黑體"/>
          <w:kern w:val="0"/>
          <w:sz w:val="28"/>
          <w:szCs w:val="28"/>
        </w:rPr>
        <w:t>113</w:t>
      </w:r>
      <w:r>
        <w:rPr>
          <w:rFonts w:ascii="微軟正黑體" w:eastAsia="微軟正黑體" w:hAnsi="微軟正黑體" w:cs="微軟正黑體"/>
          <w:kern w:val="0"/>
          <w:sz w:val="28"/>
          <w:szCs w:val="28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28"/>
          <w:szCs w:val="28"/>
        </w:rPr>
        <w:t>10</w:t>
      </w:r>
      <w:r>
        <w:rPr>
          <w:rFonts w:ascii="微軟正黑體" w:eastAsia="微軟正黑體" w:hAnsi="微軟正黑體" w:cs="微軟正黑體"/>
          <w:kern w:val="0"/>
          <w:sz w:val="28"/>
          <w:szCs w:val="28"/>
          <w:lang w:val="zh-TW"/>
        </w:rPr>
        <w:t>月</w:t>
      </w:r>
      <w:r>
        <w:rPr>
          <w:rFonts w:ascii="微軟正黑體" w:eastAsia="微軟正黑體" w:hAnsi="微軟正黑體" w:cs="微軟正黑體"/>
          <w:kern w:val="0"/>
          <w:sz w:val="28"/>
          <w:szCs w:val="28"/>
        </w:rPr>
        <w:t>17</w:t>
      </w:r>
      <w:r>
        <w:rPr>
          <w:rFonts w:ascii="微軟正黑體" w:eastAsia="微軟正黑體" w:hAnsi="微軟正黑體" w:cs="微軟正黑體"/>
          <w:kern w:val="0"/>
          <w:sz w:val="28"/>
          <w:szCs w:val="28"/>
          <w:lang w:val="zh-TW"/>
        </w:rPr>
        <w:t>日</w:t>
      </w:r>
    </w:p>
    <w:p w14:paraId="5DCF1400" w14:textId="77777777" w:rsidR="00743251" w:rsidRDefault="007346D4">
      <w:pPr>
        <w:ind w:right="84"/>
        <w:rPr>
          <w:rFonts w:ascii="微軟正黑體" w:eastAsia="微軟正黑體" w:hAnsi="微軟正黑體" w:cs="微軟正黑體"/>
          <w:color w:val="FF0000"/>
          <w:kern w:val="0"/>
          <w:sz w:val="28"/>
          <w:szCs w:val="28"/>
          <w:u w:color="FF0000"/>
          <w:lang w:val="zh-TW"/>
        </w:rPr>
      </w:pPr>
      <w:r>
        <w:rPr>
          <w:rFonts w:ascii="微軟正黑體" w:eastAsia="微軟正黑體" w:hAnsi="微軟正黑體" w:cs="微軟正黑體"/>
          <w:kern w:val="0"/>
          <w:sz w:val="28"/>
          <w:szCs w:val="28"/>
          <w:lang w:val="zh-TW"/>
        </w:rPr>
        <w:t>發布單位：人力發展處</w:t>
      </w:r>
    </w:p>
    <w:p w14:paraId="6C3F3584" w14:textId="77777777" w:rsidR="00743251" w:rsidRDefault="007346D4">
      <w:pPr>
        <w:spacing w:before="180" w:after="180"/>
        <w:jc w:val="both"/>
        <w:rPr>
          <w:rFonts w:ascii="微軟正黑體" w:eastAsia="微軟正黑體" w:hAnsi="微軟正黑體" w:cs="微軟正黑體"/>
          <w:kern w:val="0"/>
          <w:sz w:val="32"/>
          <w:szCs w:val="32"/>
        </w:rPr>
      </w:pP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 xml:space="preserve">　　國發會於今（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17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）日第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124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次委員會議，提報最新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2024-2070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年人口推估結果，顯示我國未來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長期少子高齡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化現象將更趨明顯。國發會表示，人口結構變遷已逐漸擴大對我國社會各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方各面的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影響，後續將偕同各相關部會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針對少子化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、勞動市場、經濟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/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產業、財政收支及社會環境等面向人口課題，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研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議強化性因應對策。</w:t>
      </w:r>
    </w:p>
    <w:p w14:paraId="4FF4E9E9" w14:textId="77777777" w:rsidR="00743251" w:rsidRPr="00993E3D" w:rsidRDefault="007346D4">
      <w:pPr>
        <w:spacing w:before="180" w:after="180"/>
        <w:ind w:firstLine="640"/>
        <w:jc w:val="both"/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</w:pP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國發會每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2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年依據最新戶籍人口資料，更新不同生育情境下，我國未來約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50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年人口結構的可能發展。為使人口推估更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臻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完善，國發會今年參考國際作法，針對我國生育趨勢辦理專家調查，作為生育率設定之參考。根據最新推估，假設未來每位婦女一生僅生育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1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名子女之中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推估下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，未來短期人口重要時點將維持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前一版推估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，長期，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少子高齡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化現象則更趨明顯，重要推估結果如下：</w:t>
      </w:r>
    </w:p>
    <w:p w14:paraId="01BE6B49" w14:textId="77777777" w:rsidR="00743251" w:rsidRPr="00993E3D" w:rsidRDefault="007346D4">
      <w:pPr>
        <w:pStyle w:val="a6"/>
        <w:numPr>
          <w:ilvl w:val="0"/>
          <w:numId w:val="2"/>
        </w:numPr>
        <w:spacing w:before="180" w:after="180"/>
        <w:jc w:val="both"/>
        <w:rPr>
          <w:rFonts w:ascii="微軟正黑體" w:eastAsia="微軟正黑體" w:hAnsi="微軟正黑體" w:cs="微軟正黑體" w:hint="default"/>
          <w:color w:val="auto"/>
          <w:sz w:val="32"/>
          <w:szCs w:val="32"/>
          <w:lang w:val="zh-TW"/>
        </w:rPr>
      </w:pPr>
      <w:r w:rsidRPr="00993E3D">
        <w:rPr>
          <w:rFonts w:ascii="微軟正黑體" w:eastAsia="微軟正黑體" w:hAnsi="微軟正黑體" w:cs="微軟正黑體"/>
          <w:b/>
          <w:bCs/>
          <w:color w:val="auto"/>
          <w:kern w:val="0"/>
          <w:sz w:val="32"/>
          <w:szCs w:val="32"/>
          <w:lang w:val="zh-TW"/>
        </w:rPr>
        <w:t>未來總人口持續下降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：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2024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年，全球約有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1/4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個國家或地區進入人口負成長，包含我國、日本、韓國、中國及泰國等亞鄰國家。預估未來我國總人口將由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2024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年之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2,340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萬人，減少至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2070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年之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1,497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萬人，減少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844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萬人，其中，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0-14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歲幼年人口減少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171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萬人，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15-64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歲青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lastRenderedPageBreak/>
        <w:t>壯年人口減少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920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萬人，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65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歲以上老年人口則增加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</w:rPr>
        <w:t>248</w:t>
      </w:r>
      <w:r w:rsidRPr="00993E3D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lang w:val="zh-TW"/>
        </w:rPr>
        <w:t>萬人。</w:t>
      </w:r>
    </w:p>
    <w:p w14:paraId="0126889E" w14:textId="77777777" w:rsidR="00743251" w:rsidRDefault="007346D4">
      <w:pPr>
        <w:pStyle w:val="a6"/>
        <w:numPr>
          <w:ilvl w:val="0"/>
          <w:numId w:val="2"/>
        </w:numPr>
        <w:spacing w:before="180" w:after="180"/>
        <w:jc w:val="both"/>
        <w:rPr>
          <w:rFonts w:ascii="微軟正黑體" w:eastAsia="微軟正黑體" w:hAnsi="微軟正黑體" w:cs="微軟正黑體" w:hint="default"/>
          <w:sz w:val="32"/>
          <w:szCs w:val="32"/>
          <w:lang w:val="zh-TW"/>
        </w:rPr>
      </w:pPr>
      <w:r>
        <w:rPr>
          <w:rFonts w:ascii="微軟正黑體" w:eastAsia="微軟正黑體" w:hAnsi="微軟正黑體" w:cs="微軟正黑體"/>
          <w:b/>
          <w:bCs/>
          <w:kern w:val="0"/>
          <w:sz w:val="32"/>
          <w:szCs w:val="32"/>
          <w:lang w:val="zh-TW"/>
        </w:rPr>
        <w:t>進入「超高齡社會」時點維持</w:t>
      </w:r>
      <w:r>
        <w:rPr>
          <w:rFonts w:ascii="微軟正黑體" w:eastAsia="微軟正黑體" w:hAnsi="微軟正黑體" w:cs="微軟正黑體"/>
          <w:b/>
          <w:bCs/>
          <w:kern w:val="0"/>
          <w:sz w:val="32"/>
          <w:szCs w:val="32"/>
        </w:rPr>
        <w:t>2025</w:t>
      </w:r>
      <w:r>
        <w:rPr>
          <w:rFonts w:ascii="微軟正黑體" w:eastAsia="微軟正黑體" w:hAnsi="微軟正黑體" w:cs="微軟正黑體"/>
          <w:b/>
          <w:bCs/>
          <w:kern w:val="0"/>
          <w:sz w:val="32"/>
          <w:szCs w:val="32"/>
          <w:lang w:val="zh-TW"/>
        </w:rPr>
        <w:t>年不變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：人口高齡化為已開發國家共同面臨的課題，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2024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年，全球已有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40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個國家和地區邁入超高齡社會，包括日本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(2005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、德國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(2007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、法國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(2018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等。預估我國將於明年加入此行列，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65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歲以上老年人口占比超過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20%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。韓國及加拿大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(2025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、英國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(2028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、美國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(2029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、澳洲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(2031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、中國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(2032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、新加坡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(2037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等國，也預估在未來數年陸續邁入超高齡社會。</w:t>
      </w:r>
    </w:p>
    <w:p w14:paraId="3E53D89D" w14:textId="116C1590" w:rsidR="00743251" w:rsidRDefault="007346D4">
      <w:pPr>
        <w:pStyle w:val="a6"/>
        <w:numPr>
          <w:ilvl w:val="0"/>
          <w:numId w:val="2"/>
        </w:numPr>
        <w:spacing w:before="180" w:after="180"/>
        <w:jc w:val="both"/>
        <w:rPr>
          <w:rFonts w:ascii="微軟正黑體" w:eastAsia="微軟正黑體" w:hAnsi="微軟正黑體" w:cs="微軟正黑體" w:hint="default"/>
          <w:b/>
          <w:bCs/>
          <w:sz w:val="32"/>
          <w:szCs w:val="32"/>
          <w:lang w:val="zh-TW"/>
        </w:rPr>
      </w:pPr>
      <w:r>
        <w:rPr>
          <w:rFonts w:ascii="微軟正黑體" w:eastAsia="微軟正黑體" w:hAnsi="微軟正黑體" w:cs="微軟正黑體"/>
          <w:b/>
          <w:bCs/>
          <w:kern w:val="0"/>
          <w:sz w:val="32"/>
          <w:szCs w:val="32"/>
          <w:lang w:val="zh-TW"/>
        </w:rPr>
        <w:t>「人口紅利」結束時點維持</w:t>
      </w:r>
      <w:r>
        <w:rPr>
          <w:rFonts w:ascii="微軟正黑體" w:eastAsia="微軟正黑體" w:hAnsi="微軟正黑體" w:cs="微軟正黑體"/>
          <w:b/>
          <w:bCs/>
          <w:kern w:val="0"/>
          <w:sz w:val="32"/>
          <w:szCs w:val="32"/>
        </w:rPr>
        <w:t>2028</w:t>
      </w:r>
      <w:r>
        <w:rPr>
          <w:rFonts w:ascii="微軟正黑體" w:eastAsia="微軟正黑體" w:hAnsi="微軟正黑體" w:cs="微軟正黑體"/>
          <w:b/>
          <w:bCs/>
          <w:kern w:val="0"/>
          <w:sz w:val="32"/>
          <w:szCs w:val="32"/>
          <w:lang w:val="zh-TW"/>
        </w:rPr>
        <w:t>年不變：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2024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年，約有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</w:rPr>
        <w:t>3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成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的國家和地區有人口紅利，包含我國、中國、韓國、新加坡、泰國、越南、印尼等。預估我國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15-64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歲工作年齡人口占總人口的比率將於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2028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年低於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2/3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，人口紅利消失。韓國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(2030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、泰國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(203</w:t>
      </w:r>
      <w:r w:rsidR="00880367">
        <w:rPr>
          <w:rFonts w:ascii="微軟正黑體" w:eastAsia="微軟正黑體" w:hAnsi="微軟正黑體" w:cs="微軟正黑體"/>
          <w:kern w:val="0"/>
          <w:sz w:val="32"/>
          <w:szCs w:val="32"/>
        </w:rPr>
        <w:t>3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、中國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(203</w:t>
      </w:r>
      <w:r w:rsidR="00880367">
        <w:rPr>
          <w:rFonts w:ascii="微軟正黑體" w:eastAsia="微軟正黑體" w:hAnsi="微軟正黑體" w:cs="微軟正黑體"/>
          <w:kern w:val="0"/>
          <w:sz w:val="32"/>
          <w:szCs w:val="32"/>
        </w:rPr>
        <w:t>7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、越南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</w:t>
      </w:r>
      <w:r w:rsidR="00880367">
        <w:rPr>
          <w:rFonts w:ascii="微軟正黑體" w:eastAsia="微軟正黑體" w:hAnsi="微軟正黑體" w:cs="微軟正黑體"/>
          <w:kern w:val="0"/>
          <w:sz w:val="32"/>
          <w:szCs w:val="32"/>
        </w:rPr>
        <w:t>40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、新加坡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(204</w:t>
      </w:r>
      <w:r w:rsidR="00880367">
        <w:rPr>
          <w:rFonts w:ascii="微軟正黑體" w:eastAsia="微軟正黑體" w:hAnsi="微軟正黑體" w:cs="微軟正黑體"/>
          <w:kern w:val="0"/>
          <w:sz w:val="32"/>
          <w:szCs w:val="32"/>
        </w:rPr>
        <w:t>1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、印尼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(204</w:t>
      </w:r>
      <w:r w:rsidR="00880367">
        <w:rPr>
          <w:rFonts w:ascii="微軟正黑體" w:eastAsia="微軟正黑體" w:hAnsi="微軟正黑體" w:cs="微軟正黑體"/>
          <w:kern w:val="0"/>
          <w:sz w:val="32"/>
          <w:szCs w:val="32"/>
        </w:rPr>
        <w:t>5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等國，亦將於未來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20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年面臨人口紅利消失課題。</w:t>
      </w:r>
    </w:p>
    <w:p w14:paraId="31A9C6E3" w14:textId="77777777" w:rsidR="00743251" w:rsidRDefault="007346D4">
      <w:pPr>
        <w:pStyle w:val="a6"/>
        <w:numPr>
          <w:ilvl w:val="0"/>
          <w:numId w:val="2"/>
        </w:numPr>
        <w:spacing w:before="180" w:after="180"/>
        <w:jc w:val="both"/>
        <w:rPr>
          <w:rFonts w:ascii="微軟正黑體" w:eastAsia="微軟正黑體" w:hAnsi="微軟正黑體" w:cs="微軟正黑體" w:hint="default"/>
          <w:sz w:val="32"/>
          <w:szCs w:val="32"/>
          <w:lang w:val="zh-TW"/>
        </w:rPr>
      </w:pPr>
      <w:r>
        <w:rPr>
          <w:rFonts w:ascii="微軟正黑體" w:eastAsia="微軟正黑體" w:hAnsi="微軟正黑體" w:cs="微軟正黑體"/>
          <w:b/>
          <w:bCs/>
          <w:kern w:val="0"/>
          <w:sz w:val="32"/>
          <w:szCs w:val="32"/>
          <w:lang w:val="zh-TW"/>
        </w:rPr>
        <w:t>未來長期老化程度再提升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：因國人壽命延長，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加上少子化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影響，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65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歲以上老年人口占總人口之比率預估由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2024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19.2%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，提高至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2070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年之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46.5%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；同</w:t>
      </w:r>
      <w:proofErr w:type="gramStart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期間，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年齡中位數由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45.1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歲提高至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62.4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歲；與此同時，由原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3.6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名青壯年人口扶養每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1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名老年人口，減少為每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1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名青壯年人口即需扶養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1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名老人。</w:t>
      </w:r>
    </w:p>
    <w:p w14:paraId="593FC09D" w14:textId="77777777" w:rsidR="00743251" w:rsidRPr="007346D4" w:rsidRDefault="007346D4">
      <w:pPr>
        <w:spacing w:before="180" w:after="180"/>
        <w:ind w:firstLine="640"/>
        <w:jc w:val="both"/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</w:pPr>
      <w:r w:rsidRPr="007346D4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lastRenderedPageBreak/>
        <w:t>國發會表示，我國即將進入人口轉型關鍵時點，人口減少與高齡化雖將對經濟、社會帶來深遠影響，但也將成為推動產業升級轉型、發展創新經濟的新契機。</w:t>
      </w:r>
    </w:p>
    <w:p w14:paraId="7DCD322E" w14:textId="0BF6618E" w:rsidR="00743251" w:rsidRPr="009231F1" w:rsidRDefault="007346D4">
      <w:pPr>
        <w:spacing w:before="180" w:after="180"/>
        <w:ind w:firstLine="640"/>
        <w:jc w:val="both"/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</w:rPr>
      </w:pPr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今日會議與陳政委時中偕同各相關部會，</w:t>
      </w:r>
      <w:r w:rsidR="009231F1" w:rsidRPr="009231F1">
        <w:rPr>
          <w:rFonts w:ascii="微軟正黑體" w:eastAsia="微軟正黑體" w:hAnsi="微軟正黑體" w:cs="微軟正黑體" w:hint="eastAsia"/>
          <w:color w:val="auto"/>
          <w:kern w:val="0"/>
          <w:sz w:val="32"/>
          <w:szCs w:val="32"/>
          <w:u w:color="FF0000"/>
          <w:lang w:val="zh-TW"/>
        </w:rPr>
        <w:t>參考國際現況及案例，</w:t>
      </w:r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共同</w:t>
      </w:r>
      <w:proofErr w:type="gramStart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研</w:t>
      </w:r>
      <w:proofErr w:type="gramEnd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議強化因應策略，包括：</w:t>
      </w:r>
      <w:proofErr w:type="gramStart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在少子化</w:t>
      </w:r>
      <w:proofErr w:type="gramEnd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方面，</w:t>
      </w:r>
      <w:proofErr w:type="gramStart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研</w:t>
      </w:r>
      <w:proofErr w:type="gramEnd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議擴大</w:t>
      </w:r>
      <w:r w:rsidRPr="009231F1">
        <w:rPr>
          <w:rFonts w:ascii="微軟正黑體" w:eastAsia="微軟正黑體" w:hAnsi="微軟正黑體" w:cs="微軟正黑體"/>
          <w:color w:val="auto"/>
          <w:sz w:val="32"/>
          <w:szCs w:val="32"/>
          <w:u w:color="FF0000"/>
          <w:lang w:val="zh-TW"/>
        </w:rPr>
        <w:t>人工生殖補助對象、延長育嬰留職停薪津貼等；在</w:t>
      </w:r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勞動市場方面，持續</w:t>
      </w:r>
      <w:r w:rsidRPr="009231F1">
        <w:rPr>
          <w:rFonts w:ascii="微軟正黑體" w:eastAsia="微軟正黑體" w:hAnsi="微軟正黑體" w:cs="微軟正黑體"/>
          <w:color w:val="auto"/>
          <w:sz w:val="32"/>
          <w:szCs w:val="32"/>
          <w:u w:color="FF0000"/>
          <w:lang w:val="zh-TW"/>
        </w:rPr>
        <w:t>擴大中高齡及婦女勞動參與、吸引全球優秀人才對策、及持續厚植產業人才培育等；在</w:t>
      </w:r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經濟</w:t>
      </w:r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</w:rPr>
        <w:t>/</w:t>
      </w:r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產業方面，應積極應用</w:t>
      </w:r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</w:rPr>
        <w:t>AI</w:t>
      </w:r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技術強化產業升級轉型，並降低產業人力需求等；在財政收支方面，</w:t>
      </w:r>
      <w:proofErr w:type="gramStart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研</w:t>
      </w:r>
      <w:proofErr w:type="gramEnd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議因納稅人口減少、社福支出增加，而影響財政穩健之因應作法；在社會環境方面，</w:t>
      </w:r>
      <w:proofErr w:type="gramStart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研</w:t>
      </w:r>
      <w:proofErr w:type="gramEnd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議因應超高齡社會，持續擴充醫療及照顧服務能量，及導入智慧科技，創造健康及</w:t>
      </w:r>
      <w:proofErr w:type="gramStart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照護新模式</w:t>
      </w:r>
      <w:proofErr w:type="gramEnd"/>
      <w:r w:rsidRPr="009231F1">
        <w:rPr>
          <w:rFonts w:ascii="微軟正黑體" w:eastAsia="微軟正黑體" w:hAnsi="微軟正黑體" w:cs="微軟正黑體"/>
          <w:color w:val="auto"/>
          <w:kern w:val="0"/>
          <w:sz w:val="32"/>
          <w:szCs w:val="32"/>
          <w:u w:color="FF0000"/>
          <w:lang w:val="zh-TW"/>
        </w:rPr>
        <w:t>等作法。後續將視情況每季或每半年檢視執行成效，並滾動式調整優化或新增相關創新政策。</w:t>
      </w:r>
    </w:p>
    <w:p w14:paraId="440B052C" w14:textId="3F781DD2" w:rsidR="00743251" w:rsidRPr="00F56534" w:rsidRDefault="007346D4" w:rsidP="00F56534">
      <w:pPr>
        <w:spacing w:before="180" w:after="180"/>
        <w:ind w:rightChars="-85" w:right="-204" w:firstLine="640"/>
        <w:rPr>
          <w:rFonts w:ascii="微軟正黑體" w:eastAsia="微軟正黑體" w:hAnsi="微軟正黑體" w:cs="微軟正黑體"/>
          <w:kern w:val="0"/>
          <w:sz w:val="32"/>
          <w:szCs w:val="32"/>
        </w:rPr>
      </w:pP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如想了解更多人口推估相關資訊</w:t>
      </w:r>
      <w:r w:rsidRPr="007346D4">
        <w:rPr>
          <w:rFonts w:ascii="微軟正黑體" w:eastAsia="微軟正黑體" w:hAnsi="微軟正黑體" w:cs="微軟正黑體"/>
          <w:kern w:val="0"/>
          <w:sz w:val="32"/>
          <w:szCs w:val="32"/>
        </w:rPr>
        <w:t>，</w:t>
      </w: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請至本會「人口推估查詢系統」網站查詢下載</w:t>
      </w:r>
      <w:proofErr w:type="gramStart"/>
      <w:r w:rsidRPr="007346D4">
        <w:rPr>
          <w:rFonts w:ascii="微軟正黑體" w:eastAsia="微軟正黑體" w:hAnsi="微軟正黑體" w:cs="微軟正黑體"/>
          <w:kern w:val="0"/>
          <w:sz w:val="32"/>
          <w:szCs w:val="32"/>
        </w:rPr>
        <w:t>（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網址</w:t>
      </w:r>
      <w:r w:rsidRPr="007346D4">
        <w:rPr>
          <w:rFonts w:ascii="微軟正黑體" w:eastAsia="微軟正黑體" w:hAnsi="微軟正黑體" w:cs="微軟正黑體"/>
          <w:kern w:val="0"/>
          <w:sz w:val="32"/>
          <w:szCs w:val="32"/>
        </w:rPr>
        <w:t>：</w:t>
      </w:r>
      <w:hyperlink r:id="rId8" w:history="1">
        <w:r w:rsidR="00F56534" w:rsidRPr="0072255F">
          <w:rPr>
            <w:rStyle w:val="a3"/>
            <w:rFonts w:ascii="微軟正黑體" w:eastAsia="微軟正黑體" w:hAnsi="微軟正黑體" w:cs="微軟正黑體"/>
            <w:kern w:val="0"/>
            <w:sz w:val="32"/>
            <w:szCs w:val="32"/>
          </w:rPr>
          <w:t>https://pop-proj.ndc.gov.tw/</w:t>
        </w:r>
      </w:hyperlink>
      <w:proofErr w:type="gramStart"/>
      <w:r w:rsidRPr="007346D4">
        <w:rPr>
          <w:rFonts w:ascii="微軟正黑體" w:eastAsia="微軟正黑體" w:hAnsi="微軟正黑體" w:cs="微軟正黑體"/>
          <w:kern w:val="0"/>
          <w:sz w:val="32"/>
          <w:szCs w:val="32"/>
        </w:rPr>
        <w:t>）</w:t>
      </w:r>
      <w:proofErr w:type="gramEnd"/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。</w:t>
      </w:r>
    </w:p>
    <w:p w14:paraId="743E7748" w14:textId="77777777" w:rsidR="00F56534" w:rsidRPr="00F56534" w:rsidRDefault="00F56534">
      <w:pPr>
        <w:spacing w:before="180" w:after="180"/>
        <w:ind w:firstLine="640"/>
        <w:rPr>
          <w:rFonts w:ascii="微軟正黑體" w:eastAsia="微軟正黑體" w:hAnsi="微軟正黑體" w:cs="微軟正黑體" w:hint="eastAsia"/>
          <w:kern w:val="0"/>
          <w:sz w:val="32"/>
          <w:szCs w:val="32"/>
        </w:rPr>
      </w:pPr>
    </w:p>
    <w:p w14:paraId="75D24990" w14:textId="77777777" w:rsidR="00743251" w:rsidRDefault="007346D4">
      <w:pPr>
        <w:jc w:val="both"/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</w:pP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聯絡人：人力發展處謝處長佳宜</w:t>
      </w:r>
    </w:p>
    <w:p w14:paraId="1F5D1EB0" w14:textId="77777777" w:rsidR="00743251" w:rsidRDefault="007346D4">
      <w:pPr>
        <w:jc w:val="both"/>
      </w:pPr>
      <w:r>
        <w:rPr>
          <w:rFonts w:ascii="微軟正黑體" w:eastAsia="微軟正黑體" w:hAnsi="微軟正黑體" w:cs="微軟正黑體"/>
          <w:kern w:val="0"/>
          <w:sz w:val="32"/>
          <w:szCs w:val="32"/>
          <w:lang w:val="zh-TW"/>
        </w:rPr>
        <w:t>辦公室電話：</w:t>
      </w:r>
      <w:r>
        <w:rPr>
          <w:rFonts w:ascii="微軟正黑體" w:eastAsia="微軟正黑體" w:hAnsi="微軟正黑體" w:cs="微軟正黑體"/>
          <w:kern w:val="0"/>
          <w:sz w:val="32"/>
          <w:szCs w:val="32"/>
        </w:rPr>
        <w:t>02-2316-5377</w:t>
      </w:r>
    </w:p>
    <w:sectPr w:rsidR="00743251">
      <w:headerReference w:type="default" r:id="rId9"/>
      <w:footerReference w:type="default" r:id="rId1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6FBC" w14:textId="77777777" w:rsidR="005C2832" w:rsidRDefault="005C2832">
      <w:r>
        <w:separator/>
      </w:r>
    </w:p>
  </w:endnote>
  <w:endnote w:type="continuationSeparator" w:id="0">
    <w:p w14:paraId="5A46BA73" w14:textId="77777777" w:rsidR="005C2832" w:rsidRDefault="005C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55F1" w14:textId="77777777" w:rsidR="00743251" w:rsidRDefault="007346D4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838C" w14:textId="77777777" w:rsidR="005C2832" w:rsidRDefault="005C2832">
      <w:r>
        <w:separator/>
      </w:r>
    </w:p>
  </w:footnote>
  <w:footnote w:type="continuationSeparator" w:id="0">
    <w:p w14:paraId="7A8C9872" w14:textId="77777777" w:rsidR="005C2832" w:rsidRDefault="005C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8A87" w14:textId="77777777" w:rsidR="00743251" w:rsidRDefault="007432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7EF4"/>
    <w:multiLevelType w:val="hybridMultilevel"/>
    <w:tmpl w:val="F48C3B8C"/>
    <w:numStyleLink w:val="1"/>
  </w:abstractNum>
  <w:abstractNum w:abstractNumId="1" w15:restartNumberingAfterBreak="0">
    <w:nsid w:val="3365677A"/>
    <w:multiLevelType w:val="hybridMultilevel"/>
    <w:tmpl w:val="F48C3B8C"/>
    <w:styleLink w:val="1"/>
    <w:lvl w:ilvl="0" w:tplc="D7184FB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D653C6">
      <w:start w:val="1"/>
      <w:numFmt w:val="decimal"/>
      <w:lvlText w:val="%2."/>
      <w:lvlJc w:val="left"/>
      <w:pPr>
        <w:ind w:left="95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BECF86">
      <w:start w:val="1"/>
      <w:numFmt w:val="lowerRoman"/>
      <w:lvlText w:val="%3."/>
      <w:lvlJc w:val="left"/>
      <w:pPr>
        <w:ind w:left="1437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587F58">
      <w:start w:val="1"/>
      <w:numFmt w:val="decimal"/>
      <w:lvlText w:val="%4."/>
      <w:lvlJc w:val="left"/>
      <w:pPr>
        <w:ind w:left="191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1400B4">
      <w:start w:val="1"/>
      <w:numFmt w:val="decimal"/>
      <w:lvlText w:val="%5."/>
      <w:lvlJc w:val="left"/>
      <w:pPr>
        <w:ind w:left="239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66F88">
      <w:start w:val="1"/>
      <w:numFmt w:val="lowerRoman"/>
      <w:lvlText w:val="%6."/>
      <w:lvlJc w:val="left"/>
      <w:pPr>
        <w:ind w:left="2877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9C0514">
      <w:start w:val="1"/>
      <w:numFmt w:val="decimal"/>
      <w:lvlText w:val="%7."/>
      <w:lvlJc w:val="left"/>
      <w:pPr>
        <w:ind w:left="335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4D546">
      <w:start w:val="1"/>
      <w:numFmt w:val="decimal"/>
      <w:lvlText w:val="%8."/>
      <w:lvlJc w:val="left"/>
      <w:pPr>
        <w:ind w:left="383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7CB79E">
      <w:start w:val="1"/>
      <w:numFmt w:val="lowerRoman"/>
      <w:lvlText w:val="%9."/>
      <w:lvlJc w:val="left"/>
      <w:pPr>
        <w:ind w:left="4317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51"/>
    <w:rsid w:val="005C2832"/>
    <w:rsid w:val="007346D4"/>
    <w:rsid w:val="00743251"/>
    <w:rsid w:val="00880367"/>
    <w:rsid w:val="009231F1"/>
    <w:rsid w:val="00993E3D"/>
    <w:rsid w:val="00C11FC7"/>
    <w:rsid w:val="00F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EB58"/>
  <w15:docId w15:val="{0225C151-2157-428B-99CC-060104E6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character" w:styleId="a7">
    <w:name w:val="Unresolved Mention"/>
    <w:basedOn w:val="a0"/>
    <w:uiPriority w:val="99"/>
    <w:semiHidden/>
    <w:unhideWhenUsed/>
    <w:rsid w:val="00F5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-proj.ndc.gov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樓彥成</cp:lastModifiedBy>
  <cp:revision>6</cp:revision>
  <cp:lastPrinted>2024-10-15T06:10:00Z</cp:lastPrinted>
  <dcterms:created xsi:type="dcterms:W3CDTF">2024-10-15T01:27:00Z</dcterms:created>
  <dcterms:modified xsi:type="dcterms:W3CDTF">2024-10-17T07:29:00Z</dcterms:modified>
</cp:coreProperties>
</file>