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5A9D" w14:textId="77777777" w:rsidR="004F362F" w:rsidRDefault="00C34BE3">
      <w:pPr>
        <w:rPr>
          <w:rFonts w:ascii="Times New Roman" w:eastAsia="Times New Roman" w:hAnsi="Times New Roman" w:cs="Times New Roman"/>
          <w:b/>
          <w:sz w:val="27"/>
          <w:szCs w:val="27"/>
        </w:rPr>
      </w:pPr>
      <w:r>
        <w:rPr>
          <w:rFonts w:ascii="Times New Roman" w:eastAsia="Times New Roman" w:hAnsi="Times New Roman" w:cs="Times New Roman"/>
          <w:noProof/>
        </w:rPr>
        <w:drawing>
          <wp:inline distT="0" distB="0" distL="0" distR="0" wp14:anchorId="2B455294" wp14:editId="1D7DB50F">
            <wp:extent cx="1343977" cy="2682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977" cy="268291"/>
                    </a:xfrm>
                    <a:prstGeom prst="rect">
                      <a:avLst/>
                    </a:prstGeom>
                    <a:ln/>
                  </pic:spPr>
                </pic:pic>
              </a:graphicData>
            </a:graphic>
          </wp:inline>
        </w:drawing>
      </w:r>
    </w:p>
    <w:p w14:paraId="2EB96126" w14:textId="520C1569" w:rsidR="004F362F" w:rsidRPr="0030768F" w:rsidRDefault="00C34BE3" w:rsidP="0030768F">
      <w:pPr>
        <w:spacing w:beforeLines="50" w:before="120" w:afterLines="50" w:after="120" w:line="480" w:lineRule="exact"/>
        <w:jc w:val="center"/>
        <w:rPr>
          <w:rFonts w:ascii="微軟正黑體" w:eastAsia="微軟正黑體" w:hAnsi="微軟正黑體" w:cs="Times New Roman"/>
          <w:b/>
          <w:sz w:val="36"/>
          <w:szCs w:val="36"/>
        </w:rPr>
      </w:pPr>
      <w:r w:rsidRPr="0030768F">
        <w:rPr>
          <w:rFonts w:ascii="微軟正黑體" w:eastAsia="微軟正黑體" w:hAnsi="微軟正黑體" w:cs="Gungsuh"/>
          <w:b/>
          <w:sz w:val="36"/>
          <w:szCs w:val="36"/>
        </w:rPr>
        <w:t>國家發展委員會 新聞稿</w:t>
      </w:r>
      <w:r w:rsidRPr="0030768F">
        <w:rPr>
          <w:rFonts w:ascii="微軟正黑體" w:eastAsia="微軟正黑體" w:hAnsi="微軟正黑體"/>
          <w:b/>
          <w:noProof/>
        </w:rPr>
        <mc:AlternateContent>
          <mc:Choice Requires="wps">
            <w:drawing>
              <wp:anchor distT="0" distB="0" distL="114300" distR="114300" simplePos="0" relativeHeight="251658240" behindDoc="0" locked="0" layoutInCell="1" hidden="0" allowOverlap="1" wp14:anchorId="7A97CA40" wp14:editId="2C36F63B">
                <wp:simplePos x="0" y="0"/>
                <wp:positionH relativeFrom="column">
                  <wp:posOffset>4457700</wp:posOffset>
                </wp:positionH>
                <wp:positionV relativeFrom="paragraph">
                  <wp:posOffset>-342899</wp:posOffset>
                </wp:positionV>
                <wp:extent cx="809625" cy="352425"/>
                <wp:effectExtent l="0" t="0" r="0" b="0"/>
                <wp:wrapNone/>
                <wp:docPr id="1" name="矩形 1"/>
                <wp:cNvGraphicFramePr/>
                <a:graphic xmlns:a="http://schemas.openxmlformats.org/drawingml/2006/main">
                  <a:graphicData uri="http://schemas.microsoft.com/office/word/2010/wordprocessingShape">
                    <wps:wsp>
                      <wps:cNvSpPr/>
                      <wps:spPr>
                        <a:xfrm>
                          <a:off x="4945950" y="3608550"/>
                          <a:ext cx="800100" cy="342900"/>
                        </a:xfrm>
                        <a:prstGeom prst="rect">
                          <a:avLst/>
                        </a:prstGeom>
                        <a:solidFill>
                          <a:srgbClr val="FFFFFF"/>
                        </a:solidFill>
                        <a:ln>
                          <a:noFill/>
                        </a:ln>
                      </wps:spPr>
                      <wps:txbx>
                        <w:txbxContent>
                          <w:p w14:paraId="621EF7AD" w14:textId="77777777" w:rsidR="004F362F" w:rsidRDefault="004F362F">
                            <w:pPr>
                              <w:spacing w:line="279" w:lineRule="auto"/>
                              <w:textDirection w:val="btLr"/>
                            </w:pPr>
                          </w:p>
                        </w:txbxContent>
                      </wps:txbx>
                      <wps:bodyPr spcFirstLastPara="1" wrap="square" lIns="91425" tIns="45700" rIns="91425" bIns="45700" anchor="t" anchorCtr="0">
                        <a:noAutofit/>
                      </wps:bodyPr>
                    </wps:wsp>
                  </a:graphicData>
                </a:graphic>
              </wp:anchor>
            </w:drawing>
          </mc:Choice>
          <mc:Fallback>
            <w:pict>
              <v:rect w14:anchorId="7A97CA40" id="矩形 1" o:spid="_x0000_s1026" style="position:absolute;left:0;text-align:left;margin-left:351pt;margin-top:-27pt;width:63.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" stroked="f">
                <v:textbox inset="2.53958mm,1.2694mm,2.53958mm,1.2694mm">
                  <w:txbxContent>
                    <w:p w14:paraId="621EF7AD" w14:textId="77777777" w:rsidR="004F362F" w:rsidRDefault="004F362F">
                      <w:pPr>
                        <w:spacing w:line="279" w:lineRule="auto"/>
                        <w:textDirection w:val="btLr"/>
                      </w:pPr>
                    </w:p>
                  </w:txbxContent>
                </v:textbox>
              </v:rect>
            </w:pict>
          </mc:Fallback>
        </mc:AlternateContent>
      </w:r>
    </w:p>
    <w:p w14:paraId="18D0CCB1" w14:textId="31496239" w:rsidR="004F362F" w:rsidRPr="0030768F" w:rsidRDefault="00C34BE3" w:rsidP="0030768F">
      <w:pPr>
        <w:spacing w:beforeLines="50" w:before="120" w:afterLines="50" w:after="120" w:line="480" w:lineRule="exact"/>
        <w:jc w:val="center"/>
        <w:rPr>
          <w:rFonts w:ascii="微軟正黑體" w:eastAsia="微軟正黑體" w:hAnsi="微軟正黑體" w:cs="Times New Roman"/>
          <w:b/>
          <w:sz w:val="36"/>
          <w:szCs w:val="36"/>
        </w:rPr>
      </w:pPr>
      <w:r w:rsidRPr="0030768F">
        <w:rPr>
          <w:rFonts w:ascii="微軟正黑體" w:eastAsia="微軟正黑體" w:hAnsi="微軟正黑體" w:cs="Gungsuh"/>
          <w:b/>
          <w:sz w:val="36"/>
          <w:szCs w:val="36"/>
        </w:rPr>
        <w:t>國發會推動台日創新合作備受矚目</w:t>
      </w:r>
    </w:p>
    <w:p w14:paraId="1D496CA2" w14:textId="77777777" w:rsidR="004F362F" w:rsidRPr="0030768F" w:rsidRDefault="00C34BE3" w:rsidP="0030768F">
      <w:pPr>
        <w:spacing w:beforeLines="50" w:before="120" w:afterLines="50" w:after="120" w:line="480" w:lineRule="exact"/>
        <w:jc w:val="center"/>
        <w:rPr>
          <w:rFonts w:ascii="微軟正黑體" w:eastAsia="微軟正黑體" w:hAnsi="微軟正黑體" w:cs="Times New Roman"/>
          <w:b/>
          <w:sz w:val="36"/>
          <w:szCs w:val="36"/>
        </w:rPr>
      </w:pPr>
      <w:r w:rsidRPr="0030768F">
        <w:rPr>
          <w:rFonts w:ascii="微軟正黑體" w:eastAsia="微軟正黑體" w:hAnsi="微軟正黑體" w:cs="Gungsuh"/>
          <w:b/>
          <w:sz w:val="36"/>
          <w:szCs w:val="36"/>
        </w:rPr>
        <w:t>逾百家日本媒體參加記者會</w:t>
      </w:r>
    </w:p>
    <w:p w14:paraId="24D93D86" w14:textId="77777777" w:rsidR="004F362F" w:rsidRPr="0030768F" w:rsidRDefault="004F362F" w:rsidP="0030768F">
      <w:pPr>
        <w:spacing w:beforeLines="50" w:before="120" w:afterLines="50" w:after="120" w:line="480" w:lineRule="exact"/>
        <w:jc w:val="center"/>
        <w:rPr>
          <w:rFonts w:ascii="微軟正黑體" w:eastAsia="微軟正黑體" w:hAnsi="微軟正黑體" w:cs="Times New Roman"/>
          <w:bCs/>
          <w:color w:val="FF0000"/>
          <w:sz w:val="36"/>
          <w:szCs w:val="36"/>
        </w:rPr>
      </w:pPr>
    </w:p>
    <w:p w14:paraId="3D19F9C6" w14:textId="77777777" w:rsidR="004F362F" w:rsidRPr="0030768F" w:rsidRDefault="00C34BE3" w:rsidP="0030768F">
      <w:pPr>
        <w:spacing w:beforeLines="50" w:before="120" w:afterLines="50" w:after="120" w:line="480" w:lineRule="exact"/>
        <w:rPr>
          <w:rFonts w:ascii="微軟正黑體" w:eastAsia="微軟正黑體" w:hAnsi="微軟正黑體" w:cs="Times New Roman"/>
          <w:bCs/>
          <w:sz w:val="28"/>
          <w:szCs w:val="28"/>
        </w:rPr>
      </w:pPr>
      <w:r w:rsidRPr="0030768F">
        <w:rPr>
          <w:rFonts w:ascii="微軟正黑體" w:eastAsia="微軟正黑體" w:hAnsi="微軟正黑體" w:cs="Gungsuh"/>
          <w:bCs/>
          <w:sz w:val="28"/>
          <w:szCs w:val="28"/>
        </w:rPr>
        <w:t>發布日期：113年9月17日</w:t>
      </w:r>
    </w:p>
    <w:p w14:paraId="288FEE55" w14:textId="77777777" w:rsidR="004F362F" w:rsidRPr="0030768F" w:rsidRDefault="00C34BE3" w:rsidP="0030768F">
      <w:pPr>
        <w:spacing w:beforeLines="50" w:before="120" w:afterLines="50" w:after="120" w:line="480" w:lineRule="exact"/>
        <w:rPr>
          <w:rFonts w:ascii="微軟正黑體" w:eastAsia="微軟正黑體" w:hAnsi="微軟正黑體" w:cs="Times New Roman"/>
          <w:bCs/>
          <w:sz w:val="28"/>
          <w:szCs w:val="28"/>
        </w:rPr>
      </w:pPr>
      <w:r w:rsidRPr="0030768F">
        <w:rPr>
          <w:rFonts w:ascii="微軟正黑體" w:eastAsia="微軟正黑體" w:hAnsi="微軟正黑體" w:cs="Gungsuh"/>
          <w:bCs/>
          <w:sz w:val="28"/>
          <w:szCs w:val="28"/>
        </w:rPr>
        <w:t>發布單位：產業發展處</w:t>
      </w:r>
    </w:p>
    <w:p w14:paraId="34B6FEB5" w14:textId="42C1A910" w:rsidR="004F362F" w:rsidRPr="0030768F" w:rsidRDefault="00C34BE3" w:rsidP="00AB45D0">
      <w:pPr>
        <w:widowControl/>
        <w:shd w:val="clear" w:color="auto" w:fill="FDFDFD"/>
        <w:spacing w:beforeLines="50" w:before="120" w:afterLines="50" w:after="120" w:line="460" w:lineRule="exact"/>
        <w:ind w:firstLine="707"/>
        <w:jc w:val="both"/>
        <w:rPr>
          <w:rFonts w:ascii="微軟正黑體" w:eastAsia="微軟正黑體" w:hAnsi="微軟正黑體" w:cs="Quattrocento Sans"/>
          <w:bCs/>
          <w:sz w:val="21"/>
          <w:szCs w:val="21"/>
        </w:rPr>
      </w:pPr>
      <w:r w:rsidRPr="0030768F">
        <w:rPr>
          <w:rFonts w:ascii="微軟正黑體" w:eastAsia="微軟正黑體" w:hAnsi="微軟正黑體" w:cs="Gungsuh"/>
          <w:bCs/>
          <w:sz w:val="32"/>
          <w:szCs w:val="32"/>
        </w:rPr>
        <w:t>國家發展委員會劉</w:t>
      </w:r>
      <w:r w:rsidR="0030768F">
        <w:rPr>
          <w:rFonts w:ascii="微軟正黑體" w:eastAsia="微軟正黑體" w:hAnsi="微軟正黑體" w:cs="Gungsuh" w:hint="eastAsia"/>
          <w:bCs/>
          <w:sz w:val="32"/>
          <w:szCs w:val="32"/>
        </w:rPr>
        <w:t>鏡清</w:t>
      </w:r>
      <w:r w:rsidRPr="0030768F">
        <w:rPr>
          <w:rFonts w:ascii="微軟正黑體" w:eastAsia="微軟正黑體" w:hAnsi="微軟正黑體" w:cs="Gungsuh"/>
          <w:bCs/>
          <w:sz w:val="32"/>
          <w:szCs w:val="32"/>
        </w:rPr>
        <w:t>主委繼今天上午出席與東京都政府共同舉辦的「台灣・日本創新高峰會」，下午應邀參加日本</w:t>
      </w:r>
      <w:r w:rsidR="00FD68A2">
        <w:rPr>
          <w:rFonts w:ascii="微軟正黑體" w:eastAsia="微軟正黑體" w:hAnsi="微軟正黑體" w:cs="Gungsuh" w:hint="eastAsia"/>
          <w:bCs/>
          <w:sz w:val="32"/>
          <w:szCs w:val="32"/>
        </w:rPr>
        <w:t>國家記者</w:t>
      </w:r>
      <w:r w:rsidRPr="0030768F">
        <w:rPr>
          <w:rFonts w:ascii="微軟正黑體" w:eastAsia="微軟正黑體" w:hAnsi="微軟正黑體" w:cs="Gungsuh"/>
          <w:bCs/>
          <w:sz w:val="32"/>
          <w:szCs w:val="32"/>
        </w:rPr>
        <w:t>俱樂部(</w:t>
      </w:r>
      <w:r w:rsidR="00FD68A2" w:rsidRPr="0030768F">
        <w:rPr>
          <w:rFonts w:ascii="微軟正黑體" w:eastAsia="微軟正黑體" w:hAnsi="微軟正黑體" w:cs="Gungsuh"/>
          <w:bCs/>
          <w:sz w:val="32"/>
          <w:szCs w:val="32"/>
        </w:rPr>
        <w:t xml:space="preserve">Japan National Press Club, </w:t>
      </w:r>
      <w:r w:rsidRPr="0030768F">
        <w:rPr>
          <w:rFonts w:ascii="微軟正黑體" w:eastAsia="微軟正黑體" w:hAnsi="微軟正黑體" w:cs="Gungsuh"/>
          <w:bCs/>
          <w:sz w:val="32"/>
          <w:szCs w:val="32"/>
        </w:rPr>
        <w:t>JNPC)聯合記者會，這是賴總統</w:t>
      </w:r>
      <w:r w:rsidR="00FD68A2">
        <w:rPr>
          <w:rFonts w:ascii="微軟正黑體" w:eastAsia="微軟正黑體" w:hAnsi="微軟正黑體" w:cs="Gungsuh" w:hint="eastAsia"/>
          <w:bCs/>
          <w:sz w:val="32"/>
          <w:szCs w:val="32"/>
        </w:rPr>
        <w:t>5</w:t>
      </w:r>
      <w:r w:rsidR="00FD68A2">
        <w:rPr>
          <w:rFonts w:ascii="微軟正黑體" w:eastAsia="微軟正黑體" w:hAnsi="微軟正黑體" w:cs="Gungsuh"/>
          <w:bCs/>
          <w:sz w:val="32"/>
          <w:szCs w:val="32"/>
        </w:rPr>
        <w:t>20</w:t>
      </w:r>
      <w:r w:rsidR="00FD68A2">
        <w:rPr>
          <w:rFonts w:ascii="微軟正黑體" w:eastAsia="微軟正黑體" w:hAnsi="微軟正黑體" w:cs="Gungsuh" w:hint="eastAsia"/>
          <w:bCs/>
          <w:sz w:val="32"/>
          <w:szCs w:val="32"/>
        </w:rPr>
        <w:t>就任</w:t>
      </w:r>
      <w:r w:rsidRPr="0030768F">
        <w:rPr>
          <w:rFonts w:ascii="微軟正黑體" w:eastAsia="微軟正黑體" w:hAnsi="微軟正黑體" w:cs="Gungsuh"/>
          <w:bCs/>
          <w:sz w:val="32"/>
          <w:szCs w:val="32"/>
        </w:rPr>
        <w:t>後</w:t>
      </w:r>
      <w:r w:rsidR="00FD68A2">
        <w:rPr>
          <w:rFonts w:ascii="微軟正黑體" w:eastAsia="微軟正黑體" w:hAnsi="微軟正黑體" w:cs="Gungsuh" w:hint="eastAsia"/>
          <w:bCs/>
          <w:sz w:val="32"/>
          <w:szCs w:val="32"/>
        </w:rPr>
        <w:t>首</w:t>
      </w:r>
      <w:r w:rsidRPr="0030768F">
        <w:rPr>
          <w:rFonts w:ascii="微軟正黑體" w:eastAsia="微軟正黑體" w:hAnsi="微軟正黑體" w:cs="Gungsuh"/>
          <w:bCs/>
          <w:sz w:val="32"/>
          <w:szCs w:val="32"/>
        </w:rPr>
        <w:t>位</w:t>
      </w:r>
      <w:r w:rsidR="00FD68A2">
        <w:rPr>
          <w:rFonts w:ascii="微軟正黑體" w:eastAsia="微軟正黑體" w:hAnsi="微軟正黑體" w:cs="Gungsuh" w:hint="eastAsia"/>
          <w:bCs/>
          <w:sz w:val="32"/>
          <w:szCs w:val="32"/>
        </w:rPr>
        <w:t>部會首長同時</w:t>
      </w:r>
      <w:r w:rsidR="005E3FFB">
        <w:rPr>
          <w:rFonts w:ascii="微軟正黑體" w:eastAsia="微軟正黑體" w:hAnsi="微軟正黑體" w:cs="Gungsuh" w:hint="eastAsia"/>
          <w:bCs/>
          <w:sz w:val="32"/>
          <w:szCs w:val="32"/>
        </w:rPr>
        <w:t>接受</w:t>
      </w:r>
      <w:r w:rsidR="00FD68A2">
        <w:rPr>
          <w:rFonts w:ascii="微軟正黑體" w:eastAsia="微軟正黑體" w:hAnsi="微軟正黑體" w:cs="Gungsuh" w:hint="eastAsia"/>
          <w:bCs/>
          <w:sz w:val="32"/>
          <w:szCs w:val="32"/>
        </w:rPr>
        <w:t>日本眾多重要平面及電子媒體</w:t>
      </w:r>
      <w:r w:rsidR="005E3FFB">
        <w:rPr>
          <w:rFonts w:ascii="微軟正黑體" w:eastAsia="微軟正黑體" w:hAnsi="微軟正黑體" w:cs="Gungsuh" w:hint="eastAsia"/>
          <w:bCs/>
          <w:color w:val="000000" w:themeColor="text1"/>
          <w:sz w:val="32"/>
          <w:szCs w:val="32"/>
        </w:rPr>
        <w:t>採訪</w:t>
      </w:r>
      <w:r w:rsidR="00FD68A2">
        <w:rPr>
          <w:rFonts w:ascii="微軟正黑體" w:eastAsia="微軟正黑體" w:hAnsi="微軟正黑體" w:cs="Gungsuh" w:hint="eastAsia"/>
          <w:bCs/>
          <w:color w:val="000000" w:themeColor="text1"/>
          <w:sz w:val="32"/>
          <w:szCs w:val="32"/>
        </w:rPr>
        <w:t>。本次記者會</w:t>
      </w:r>
      <w:r w:rsidRPr="0030768F">
        <w:rPr>
          <w:rFonts w:ascii="微軟正黑體" w:eastAsia="微軟正黑體" w:hAnsi="微軟正黑體" w:cs="Gungsuh"/>
          <w:bCs/>
          <w:color w:val="000000" w:themeColor="text1"/>
          <w:sz w:val="32"/>
          <w:szCs w:val="32"/>
        </w:rPr>
        <w:t>媒體出席相當踴躍，包括朝日、NHK、東京電視台、日本電視</w:t>
      </w:r>
      <w:r w:rsidRPr="00B0333A">
        <w:rPr>
          <w:rFonts w:ascii="微軟正黑體" w:eastAsia="微軟正黑體" w:hAnsi="微軟正黑體" w:cs="Gungsuh"/>
          <w:bCs/>
          <w:color w:val="000000" w:themeColor="text1"/>
          <w:sz w:val="32"/>
          <w:szCs w:val="32"/>
        </w:rPr>
        <w:t>台</w:t>
      </w:r>
      <w:r w:rsidR="0085746B">
        <w:rPr>
          <w:rFonts w:ascii="微軟正黑體" w:eastAsia="微軟正黑體" w:hAnsi="微軟正黑體" w:cs="Gungsuh" w:hint="eastAsia"/>
          <w:bCs/>
          <w:color w:val="000000" w:themeColor="text1"/>
          <w:sz w:val="32"/>
          <w:szCs w:val="32"/>
        </w:rPr>
        <w:t>、西日本新聞社</w:t>
      </w:r>
      <w:r w:rsidRPr="00B0333A">
        <w:rPr>
          <w:rFonts w:ascii="微軟正黑體" w:eastAsia="微軟正黑體" w:hAnsi="微軟正黑體" w:cs="Gungsuh"/>
          <w:bCs/>
          <w:color w:val="000000" w:themeColor="text1"/>
          <w:sz w:val="32"/>
          <w:szCs w:val="32"/>
        </w:rPr>
        <w:t>等，線上線下合計超過百家。</w:t>
      </w:r>
      <w:r w:rsidR="00B0333A" w:rsidRPr="00B0333A">
        <w:rPr>
          <w:rFonts w:ascii="微軟正黑體" w:eastAsia="微軟正黑體" w:hAnsi="微軟正黑體" w:cs="Gungsuh" w:hint="eastAsia"/>
          <w:bCs/>
          <w:color w:val="000000" w:themeColor="text1"/>
          <w:sz w:val="32"/>
          <w:szCs w:val="32"/>
        </w:rPr>
        <w:t>會後劉主委</w:t>
      </w:r>
      <w:r w:rsidR="001134B5">
        <w:rPr>
          <w:rFonts w:ascii="微軟正黑體" w:eastAsia="微軟正黑體" w:hAnsi="微軟正黑體" w:cs="Gungsuh" w:hint="eastAsia"/>
          <w:bCs/>
          <w:color w:val="000000" w:themeColor="text1"/>
          <w:sz w:val="32"/>
          <w:szCs w:val="32"/>
        </w:rPr>
        <w:t>並</w:t>
      </w:r>
      <w:r w:rsidR="00B0333A" w:rsidRPr="00B0333A">
        <w:rPr>
          <w:rFonts w:ascii="微軟正黑體" w:eastAsia="微軟正黑體" w:hAnsi="微軟正黑體" w:cs="Gungsuh" w:hint="eastAsia"/>
          <w:bCs/>
          <w:color w:val="000000" w:themeColor="text1"/>
          <w:sz w:val="32"/>
          <w:szCs w:val="32"/>
        </w:rPr>
        <w:t>接受</w:t>
      </w:r>
      <w:r w:rsidR="00B0333A" w:rsidRPr="00B0333A">
        <w:rPr>
          <w:rFonts w:ascii="微軟正黑體" w:eastAsia="微軟正黑體" w:hAnsi="微軟正黑體" w:cs="Gungsuh"/>
          <w:bCs/>
          <w:color w:val="000000" w:themeColor="text1"/>
          <w:sz w:val="32"/>
          <w:szCs w:val="32"/>
        </w:rPr>
        <w:t>日經</w:t>
      </w:r>
      <w:r w:rsidR="00B0333A" w:rsidRPr="00B0333A">
        <w:rPr>
          <w:rFonts w:ascii="微軟正黑體" w:eastAsia="微軟正黑體" w:hAnsi="微軟正黑體" w:cs="Gungsuh" w:hint="eastAsia"/>
          <w:bCs/>
          <w:color w:val="000000" w:themeColor="text1"/>
          <w:sz w:val="32"/>
          <w:szCs w:val="32"/>
        </w:rPr>
        <w:t>亞洲、</w:t>
      </w:r>
      <w:r w:rsidR="00B0333A" w:rsidRPr="00B0333A">
        <w:rPr>
          <w:rFonts w:ascii="微軟正黑體" w:eastAsia="微軟正黑體" w:hAnsi="微軟正黑體" w:cs="Gungsuh"/>
          <w:bCs/>
          <w:color w:val="000000" w:themeColor="text1"/>
          <w:sz w:val="32"/>
          <w:szCs w:val="32"/>
        </w:rPr>
        <w:t>共同通信社</w:t>
      </w:r>
      <w:r w:rsidR="00B0333A" w:rsidRPr="00B0333A">
        <w:rPr>
          <w:rFonts w:ascii="微軟正黑體" w:eastAsia="微軟正黑體" w:hAnsi="微軟正黑體" w:cs="Gungsuh" w:hint="eastAsia"/>
          <w:bCs/>
          <w:color w:val="000000" w:themeColor="text1"/>
          <w:sz w:val="32"/>
          <w:szCs w:val="32"/>
        </w:rPr>
        <w:t>、</w:t>
      </w:r>
      <w:r w:rsidR="00B0333A" w:rsidRPr="00B0333A">
        <w:rPr>
          <w:rFonts w:ascii="微軟正黑體" w:eastAsia="微軟正黑體" w:hAnsi="微軟正黑體" w:cs="Gungsuh" w:hint="eastAsia"/>
          <w:bCs/>
          <w:color w:val="000000" w:themeColor="text1"/>
          <w:sz w:val="32"/>
          <w:szCs w:val="32"/>
        </w:rPr>
        <w:t>熊本</w:t>
      </w:r>
      <w:r w:rsidR="00B0333A" w:rsidRPr="00B0333A">
        <w:rPr>
          <w:rFonts w:ascii="微軟正黑體" w:eastAsia="微軟正黑體" w:hAnsi="微軟正黑體" w:cs="Gungsuh" w:hint="eastAsia"/>
          <w:bCs/>
          <w:color w:val="000000" w:themeColor="text1"/>
          <w:sz w:val="32"/>
          <w:szCs w:val="32"/>
        </w:rPr>
        <w:t>日日新聞、</w:t>
      </w:r>
      <w:r w:rsidR="0085746B">
        <w:rPr>
          <w:rFonts w:ascii="微軟正黑體" w:eastAsia="微軟正黑體" w:hAnsi="微軟正黑體" w:cs="Gungsuh" w:hint="eastAsia"/>
          <w:bCs/>
          <w:color w:val="000000" w:themeColor="text1"/>
          <w:sz w:val="32"/>
          <w:szCs w:val="32"/>
        </w:rPr>
        <w:t>T</w:t>
      </w:r>
      <w:r w:rsidR="0085746B">
        <w:rPr>
          <w:rFonts w:ascii="微軟正黑體" w:eastAsia="微軟正黑體" w:hAnsi="微軟正黑體" w:cs="Gungsuh"/>
          <w:bCs/>
          <w:color w:val="000000" w:themeColor="text1"/>
          <w:sz w:val="32"/>
          <w:szCs w:val="32"/>
        </w:rPr>
        <w:t xml:space="preserve">he </w:t>
      </w:r>
      <w:r w:rsidR="00B0333A" w:rsidRPr="00B0333A">
        <w:rPr>
          <w:rFonts w:ascii="微軟正黑體" w:eastAsia="微軟正黑體" w:hAnsi="微軟正黑體" w:cs="Gungsuh"/>
          <w:bCs/>
          <w:color w:val="000000" w:themeColor="text1"/>
          <w:sz w:val="32"/>
          <w:szCs w:val="32"/>
        </w:rPr>
        <w:t>Japan Times</w:t>
      </w:r>
      <w:r w:rsidR="00B0333A" w:rsidRPr="00B0333A">
        <w:rPr>
          <w:rFonts w:ascii="微軟正黑體" w:eastAsia="微軟正黑體" w:hAnsi="微軟正黑體" w:cs="Gungsuh" w:hint="eastAsia"/>
          <w:bCs/>
          <w:color w:val="000000" w:themeColor="text1"/>
          <w:sz w:val="32"/>
          <w:szCs w:val="32"/>
        </w:rPr>
        <w:t xml:space="preserve"> 4家媒體</w:t>
      </w:r>
      <w:r w:rsidR="00FD68A2">
        <w:rPr>
          <w:rFonts w:ascii="微軟正黑體" w:eastAsia="微軟正黑體" w:hAnsi="微軟正黑體" w:cs="Gungsuh" w:hint="eastAsia"/>
          <w:bCs/>
          <w:color w:val="000000" w:themeColor="text1"/>
          <w:sz w:val="32"/>
          <w:szCs w:val="32"/>
        </w:rPr>
        <w:t>個別</w:t>
      </w:r>
      <w:r w:rsidR="00B0333A" w:rsidRPr="00B0333A">
        <w:rPr>
          <w:rFonts w:ascii="微軟正黑體" w:eastAsia="微軟正黑體" w:hAnsi="微軟正黑體" w:cs="Gungsuh" w:hint="eastAsia"/>
          <w:bCs/>
          <w:color w:val="000000" w:themeColor="text1"/>
          <w:sz w:val="32"/>
          <w:szCs w:val="32"/>
        </w:rPr>
        <w:t>專訪。</w:t>
      </w:r>
    </w:p>
    <w:p w14:paraId="6B5638B2" w14:textId="1DE058F6" w:rsidR="004F362F" w:rsidRPr="0030768F" w:rsidRDefault="00C34BE3" w:rsidP="00AB45D0">
      <w:pPr>
        <w:widowControl/>
        <w:shd w:val="clear" w:color="auto" w:fill="FDFDFD"/>
        <w:spacing w:beforeLines="50" w:before="120" w:afterLines="50" w:after="120" w:line="460" w:lineRule="exact"/>
        <w:ind w:firstLine="707"/>
        <w:jc w:val="both"/>
        <w:rPr>
          <w:rFonts w:ascii="微軟正黑體" w:eastAsia="微軟正黑體" w:hAnsi="微軟正黑體" w:cs="Times New Roman"/>
          <w:bCs/>
          <w:sz w:val="32"/>
          <w:szCs w:val="32"/>
        </w:rPr>
      </w:pPr>
      <w:r w:rsidRPr="0030768F">
        <w:rPr>
          <w:rFonts w:ascii="微軟正黑體" w:eastAsia="微軟正黑體" w:hAnsi="微軟正黑體" w:cs="Gungsuh"/>
          <w:bCs/>
          <w:sz w:val="32"/>
          <w:szCs w:val="32"/>
        </w:rPr>
        <w:t>劉主委於記者會中</w:t>
      </w:r>
      <w:r w:rsidR="005E3FFB">
        <w:rPr>
          <w:rFonts w:ascii="微軟正黑體" w:eastAsia="微軟正黑體" w:hAnsi="微軟正黑體" w:cs="Gungsuh" w:hint="eastAsia"/>
          <w:bCs/>
          <w:sz w:val="32"/>
          <w:szCs w:val="32"/>
        </w:rPr>
        <w:t>向大家祝賀中秋佳節愉快，並</w:t>
      </w:r>
      <w:r w:rsidRPr="0030768F">
        <w:rPr>
          <w:rFonts w:ascii="微軟正黑體" w:eastAsia="微軟正黑體" w:hAnsi="微軟正黑體" w:cs="Gungsuh"/>
          <w:bCs/>
          <w:sz w:val="32"/>
          <w:szCs w:val="32"/>
        </w:rPr>
        <w:t>表示此次造訪日本主要係為強化兩國在創新科技及新創生態的實質合作，未來將由下列四大面向深化鏈結，包括:</w:t>
      </w:r>
    </w:p>
    <w:p w14:paraId="65CA07C9" w14:textId="31B39681" w:rsidR="004F362F" w:rsidRPr="0030768F" w:rsidRDefault="00C34BE3" w:rsidP="00AB45D0">
      <w:pPr>
        <w:widowControl/>
        <w:shd w:val="clear" w:color="auto" w:fill="FDFDFD"/>
        <w:spacing w:beforeLines="50" w:before="120" w:afterLines="50" w:after="120" w:line="460" w:lineRule="exact"/>
        <w:ind w:firstLine="707"/>
        <w:jc w:val="both"/>
        <w:rPr>
          <w:rFonts w:ascii="微軟正黑體" w:eastAsia="微軟正黑體" w:hAnsi="微軟正黑體" w:cs="Times New Roman"/>
          <w:bCs/>
          <w:sz w:val="32"/>
          <w:szCs w:val="32"/>
        </w:rPr>
      </w:pPr>
      <w:r w:rsidRPr="0030768F">
        <w:rPr>
          <w:rFonts w:ascii="微軟正黑體" w:eastAsia="微軟正黑體" w:hAnsi="微軟正黑體" w:cs="Gungsuh"/>
          <w:bCs/>
          <w:sz w:val="32"/>
          <w:szCs w:val="32"/>
        </w:rPr>
        <w:t>第一、鏈結國際市場：台灣已啟動全球橋梁(Bridge)計畫，並以日本作為首站，在東京設立實體基地(hub)，將為台灣與日本新創</w:t>
      </w:r>
      <w:r w:rsidR="005D6A3A">
        <w:rPr>
          <w:rFonts w:ascii="微軟正黑體" w:eastAsia="微軟正黑體" w:hAnsi="微軟正黑體" w:cs="Gungsuh" w:hint="eastAsia"/>
          <w:bCs/>
          <w:sz w:val="32"/>
          <w:szCs w:val="32"/>
        </w:rPr>
        <w:t>帶來</w:t>
      </w:r>
      <w:r w:rsidRPr="0030768F">
        <w:rPr>
          <w:rFonts w:ascii="微軟正黑體" w:eastAsia="微軟正黑體" w:hAnsi="微軟正黑體" w:cs="Gungsuh"/>
          <w:bCs/>
          <w:sz w:val="32"/>
          <w:szCs w:val="32"/>
        </w:rPr>
        <w:t>更多交流及合作，讓新創可以雙向落地，大家一起將市場做大。</w:t>
      </w:r>
    </w:p>
    <w:p w14:paraId="1299A56E" w14:textId="77777777" w:rsidR="004F362F" w:rsidRPr="0030768F" w:rsidRDefault="00C34BE3" w:rsidP="00AB45D0">
      <w:pPr>
        <w:widowControl/>
        <w:shd w:val="clear" w:color="auto" w:fill="FDFDFD"/>
        <w:spacing w:beforeLines="50" w:before="120" w:afterLines="50" w:after="120" w:line="460" w:lineRule="exact"/>
        <w:ind w:firstLine="707"/>
        <w:jc w:val="both"/>
        <w:rPr>
          <w:rFonts w:ascii="微軟正黑體" w:eastAsia="微軟正黑體" w:hAnsi="微軟正黑體" w:cs="Times New Roman"/>
          <w:bCs/>
          <w:sz w:val="32"/>
          <w:szCs w:val="32"/>
        </w:rPr>
      </w:pPr>
      <w:r w:rsidRPr="0030768F">
        <w:rPr>
          <w:rFonts w:ascii="微軟正黑體" w:eastAsia="微軟正黑體" w:hAnsi="微軟正黑體" w:cs="Gungsuh"/>
          <w:bCs/>
          <w:sz w:val="32"/>
          <w:szCs w:val="32"/>
        </w:rPr>
        <w:t>第二、鏈結全球資金：台灣與日本均是以創新經濟為主的國家，目前已建立跨境基金的合作模式，近期也與京都大學創新資本(iCAP)簽署合作MOU，未來將共同挖掘並投資具有潛力的新創。</w:t>
      </w:r>
    </w:p>
    <w:p w14:paraId="2B6C26A8" w14:textId="09E53FFD" w:rsidR="004F362F" w:rsidRPr="0030768F" w:rsidRDefault="00C34BE3" w:rsidP="00AB45D0">
      <w:pPr>
        <w:widowControl/>
        <w:shd w:val="clear" w:color="auto" w:fill="FDFDFD"/>
        <w:spacing w:beforeLines="50" w:before="120" w:afterLines="50" w:after="120" w:line="460" w:lineRule="exact"/>
        <w:ind w:firstLine="707"/>
        <w:jc w:val="both"/>
        <w:rPr>
          <w:rFonts w:ascii="微軟正黑體" w:eastAsia="微軟正黑體" w:hAnsi="微軟正黑體" w:cs="Times New Roman"/>
          <w:bCs/>
          <w:sz w:val="32"/>
          <w:szCs w:val="32"/>
        </w:rPr>
      </w:pPr>
      <w:r w:rsidRPr="0030768F">
        <w:rPr>
          <w:rFonts w:ascii="微軟正黑體" w:eastAsia="微軟正黑體" w:hAnsi="微軟正黑體" w:cs="Gungsuh"/>
          <w:bCs/>
          <w:sz w:val="32"/>
          <w:szCs w:val="32"/>
        </w:rPr>
        <w:lastRenderedPageBreak/>
        <w:t>第三、鏈結深科技(deep tech)技術合作：台日產業具深厚合作基礎，尤其半導體及AI更是台灣產業發展的雙核心，面對未來人口高齡化的問題，台日可共同研發在AI、機器人等Deep Tech的合作，創造雙贏。</w:t>
      </w:r>
    </w:p>
    <w:p w14:paraId="6F13CF9F" w14:textId="5DABCA47" w:rsidR="004F362F" w:rsidRPr="0030768F" w:rsidRDefault="00C34BE3" w:rsidP="00AB45D0">
      <w:pPr>
        <w:widowControl/>
        <w:shd w:val="clear" w:color="auto" w:fill="FDFDFD"/>
        <w:spacing w:beforeLines="50" w:before="120" w:afterLines="50" w:after="120" w:line="460" w:lineRule="exact"/>
        <w:ind w:firstLine="707"/>
        <w:jc w:val="both"/>
        <w:rPr>
          <w:rFonts w:ascii="微軟正黑體" w:eastAsia="微軟正黑體" w:hAnsi="微軟正黑體" w:cs="Times New Roman" w:hint="eastAsia"/>
          <w:bCs/>
          <w:sz w:val="32"/>
          <w:szCs w:val="32"/>
        </w:rPr>
      </w:pPr>
      <w:r w:rsidRPr="0030768F">
        <w:rPr>
          <w:rFonts w:ascii="微軟正黑體" w:eastAsia="微軟正黑體" w:hAnsi="微軟正黑體" w:cs="Gungsuh"/>
          <w:bCs/>
          <w:sz w:val="32"/>
          <w:szCs w:val="32"/>
        </w:rPr>
        <w:t>第四、鏈結先進技術及人才: 台灣目前與日本產業界、大學已有多項先進技術的合作，希望進一步擴大，也帶動兩國人才的交流</w:t>
      </w:r>
      <w:r w:rsidR="00F41E8D">
        <w:rPr>
          <w:rFonts w:ascii="微軟正黑體" w:eastAsia="微軟正黑體" w:hAnsi="微軟正黑體" w:cs="Gungsuh" w:hint="eastAsia"/>
          <w:bCs/>
          <w:sz w:val="32"/>
          <w:szCs w:val="32"/>
        </w:rPr>
        <w:t>。</w:t>
      </w:r>
    </w:p>
    <w:p w14:paraId="661109BC" w14:textId="4C178BE6" w:rsidR="004F362F" w:rsidRPr="0030768F" w:rsidRDefault="00C34BE3" w:rsidP="00AB45D0">
      <w:pPr>
        <w:widowControl/>
        <w:shd w:val="clear" w:color="auto" w:fill="FDFDFD"/>
        <w:spacing w:beforeLines="50" w:before="120" w:afterLines="50" w:after="120" w:line="460" w:lineRule="exact"/>
        <w:ind w:firstLine="707"/>
        <w:jc w:val="both"/>
        <w:rPr>
          <w:rFonts w:ascii="微軟正黑體" w:eastAsia="微軟正黑體" w:hAnsi="微軟正黑體" w:cs="Times New Roman"/>
          <w:bCs/>
          <w:sz w:val="32"/>
          <w:szCs w:val="32"/>
        </w:rPr>
      </w:pPr>
      <w:r w:rsidRPr="0030768F">
        <w:rPr>
          <w:rFonts w:ascii="微軟正黑體" w:eastAsia="微軟正黑體" w:hAnsi="微軟正黑體" w:cs="Gungsuh"/>
          <w:bCs/>
          <w:sz w:val="32"/>
          <w:szCs w:val="32"/>
        </w:rPr>
        <w:t>與會媒體對於台日雙方在投資及半導體產業競合的議題</w:t>
      </w:r>
      <w:r w:rsidR="00F71E24">
        <w:rPr>
          <w:rFonts w:ascii="微軟正黑體" w:eastAsia="微軟正黑體" w:hAnsi="微軟正黑體" w:cs="Gungsuh" w:hint="eastAsia"/>
          <w:bCs/>
          <w:sz w:val="32"/>
          <w:szCs w:val="32"/>
        </w:rPr>
        <w:t>亦</w:t>
      </w:r>
      <w:r w:rsidRPr="0030768F">
        <w:rPr>
          <w:rFonts w:ascii="微軟正黑體" w:eastAsia="微軟正黑體" w:hAnsi="微軟正黑體" w:cs="Gungsuh"/>
          <w:bCs/>
          <w:sz w:val="32"/>
          <w:szCs w:val="32"/>
        </w:rPr>
        <w:t>相當關注，劉主委表示，我國已進入大投資世代，今年民間投資預計可超過5兆台幣，政府也正推動保險業海外資金回台投資，並積極鼓勵民間資金投資新創，希望未來每年達50億美元的投資目標。此外，NVIDIA、AMD等國際大廠也來台設立研發中心，現在正是投資台灣最好的時機。尤其日本在半導體材料、設備方面擁有卓越的實力，與台灣在半導體製造與供應鏈上的領先地位形成互補，台灣政府將積極協助雙邊半導體供應鏈對接，在安全、信任及友好的前提下，強強聯手掌握更大的市場商機。</w:t>
      </w:r>
    </w:p>
    <w:p w14:paraId="36AF5E9E" w14:textId="220C456F" w:rsidR="004F362F" w:rsidRDefault="00C34BE3" w:rsidP="00AB45D0">
      <w:pPr>
        <w:widowControl/>
        <w:shd w:val="clear" w:color="auto" w:fill="FDFDFD"/>
        <w:spacing w:beforeLines="50" w:before="120" w:afterLines="50" w:after="120" w:line="460" w:lineRule="exact"/>
        <w:ind w:firstLine="707"/>
        <w:jc w:val="both"/>
        <w:rPr>
          <w:rFonts w:ascii="微軟正黑體" w:eastAsia="微軟正黑體" w:hAnsi="微軟正黑體" w:cs="Gungsuh"/>
          <w:bCs/>
          <w:sz w:val="32"/>
          <w:szCs w:val="32"/>
        </w:rPr>
      </w:pPr>
      <w:r w:rsidRPr="0030768F">
        <w:rPr>
          <w:rFonts w:ascii="微軟正黑體" w:eastAsia="微軟正黑體" w:hAnsi="微軟正黑體" w:cs="Gungsuh"/>
          <w:bCs/>
          <w:sz w:val="32"/>
          <w:szCs w:val="32"/>
        </w:rPr>
        <w:t>日本</w:t>
      </w:r>
      <w:r w:rsidR="00FD68A2">
        <w:rPr>
          <w:rFonts w:ascii="微軟正黑體" w:eastAsia="微軟正黑體" w:hAnsi="微軟正黑體" w:cs="Gungsuh" w:hint="eastAsia"/>
          <w:bCs/>
          <w:sz w:val="32"/>
          <w:szCs w:val="32"/>
        </w:rPr>
        <w:t>國家記者</w:t>
      </w:r>
      <w:r w:rsidRPr="0030768F">
        <w:rPr>
          <w:rFonts w:ascii="微軟正黑體" w:eastAsia="微軟正黑體" w:hAnsi="微軟正黑體" w:cs="Gungsuh"/>
          <w:bCs/>
          <w:sz w:val="32"/>
          <w:szCs w:val="32"/>
        </w:rPr>
        <w:t>俱樂部(Japan National Press Club, JNPC) 成立於1969年，是日本最具影響力的媒體組織之一，成員包括日本各大報紙、雜誌、電視台、廣播電台、通訊社等，旨在促進記者間的合作與專業發展，並定期舉辦記者會及論壇，成為各國領袖與日本媒體之間的良好平台。</w:t>
      </w:r>
    </w:p>
    <w:p w14:paraId="2CF46FAA" w14:textId="77777777" w:rsidR="00AB45D0" w:rsidRPr="0030768F" w:rsidRDefault="00AB45D0" w:rsidP="00AB45D0">
      <w:pPr>
        <w:widowControl/>
        <w:shd w:val="clear" w:color="auto" w:fill="FDFDFD"/>
        <w:spacing w:beforeLines="50" w:before="120" w:afterLines="50" w:after="120" w:line="460" w:lineRule="exact"/>
        <w:ind w:firstLine="707"/>
        <w:jc w:val="both"/>
        <w:rPr>
          <w:rFonts w:ascii="微軟正黑體" w:eastAsia="微軟正黑體" w:hAnsi="微軟正黑體" w:cs="Times New Roman" w:hint="eastAsia"/>
          <w:bCs/>
          <w:sz w:val="32"/>
          <w:szCs w:val="32"/>
        </w:rPr>
      </w:pPr>
    </w:p>
    <w:p w14:paraId="1E07029B" w14:textId="77777777" w:rsidR="00AB45D0" w:rsidRDefault="00C34BE3" w:rsidP="00AB45D0">
      <w:pPr>
        <w:spacing w:beforeLines="50" w:before="120" w:afterLines="50" w:after="120" w:line="460" w:lineRule="exact"/>
        <w:rPr>
          <w:rFonts w:ascii="微軟正黑體" w:eastAsia="微軟正黑體" w:hAnsi="微軟正黑體" w:cs="Gungsuh"/>
          <w:bCs/>
          <w:sz w:val="28"/>
          <w:szCs w:val="28"/>
        </w:rPr>
      </w:pPr>
      <w:r w:rsidRPr="0030768F">
        <w:rPr>
          <w:rFonts w:ascii="微軟正黑體" w:eastAsia="微軟正黑體" w:hAnsi="微軟正黑體" w:cs="Gungsuh"/>
          <w:bCs/>
          <w:sz w:val="28"/>
          <w:szCs w:val="28"/>
        </w:rPr>
        <w:t>聯絡人：產業發展處蕭振榮處長</w:t>
      </w:r>
    </w:p>
    <w:p w14:paraId="3732D82B" w14:textId="28B7F34E" w:rsidR="004F362F" w:rsidRPr="0030768F" w:rsidRDefault="00C34BE3" w:rsidP="00AB45D0">
      <w:pPr>
        <w:spacing w:beforeLines="50" w:before="120" w:afterLines="50" w:after="120" w:line="460" w:lineRule="exact"/>
        <w:rPr>
          <w:rFonts w:ascii="微軟正黑體" w:eastAsia="微軟正黑體" w:hAnsi="微軟正黑體" w:cs="Times New Roman"/>
          <w:bCs/>
          <w:sz w:val="28"/>
          <w:szCs w:val="28"/>
        </w:rPr>
      </w:pPr>
      <w:r w:rsidRPr="0030768F">
        <w:rPr>
          <w:rFonts w:ascii="微軟正黑體" w:eastAsia="微軟正黑體" w:hAnsi="微軟正黑體" w:cs="Gungsuh"/>
          <w:bCs/>
          <w:sz w:val="28"/>
          <w:szCs w:val="28"/>
        </w:rPr>
        <w:t>聯絡電話：(02) 2316-5872</w:t>
      </w:r>
    </w:p>
    <w:p w14:paraId="349BA9FC" w14:textId="791DAD10" w:rsidR="004F362F" w:rsidRPr="0030768F" w:rsidRDefault="004F362F" w:rsidP="0030768F">
      <w:pPr>
        <w:spacing w:beforeLines="50" w:before="120" w:afterLines="50" w:after="120" w:line="480" w:lineRule="exact"/>
        <w:rPr>
          <w:rFonts w:ascii="微軟正黑體" w:eastAsia="微軟正黑體" w:hAnsi="微軟正黑體" w:cs="Times New Roman"/>
          <w:bCs/>
          <w:sz w:val="28"/>
          <w:szCs w:val="28"/>
        </w:rPr>
      </w:pPr>
    </w:p>
    <w:p w14:paraId="52D50382" w14:textId="409CD8E4" w:rsidR="004F362F" w:rsidRDefault="00AB45D0" w:rsidP="0030768F">
      <w:pPr>
        <w:spacing w:beforeLines="50" w:before="120" w:afterLines="50" w:after="120" w:line="480" w:lineRule="exact"/>
        <w:rPr>
          <w:rFonts w:ascii="微軟正黑體" w:eastAsia="微軟正黑體" w:hAnsi="微軟正黑體" w:cs="Times New Roman"/>
          <w:bCs/>
          <w:sz w:val="28"/>
          <w:szCs w:val="28"/>
        </w:rPr>
      </w:pPr>
      <w:r>
        <w:rPr>
          <w:rFonts w:ascii="微軟正黑體" w:eastAsia="微軟正黑體" w:hAnsi="微軟正黑體" w:cs="Times New Roman"/>
          <w:bCs/>
          <w:noProof/>
          <w:sz w:val="28"/>
          <w:szCs w:val="28"/>
        </w:rPr>
        <w:lastRenderedPageBreak/>
        <w:drawing>
          <wp:anchor distT="0" distB="0" distL="114300" distR="114300" simplePos="0" relativeHeight="251661312" behindDoc="1" locked="0" layoutInCell="1" allowOverlap="1" wp14:anchorId="30D60C14" wp14:editId="1105A707">
            <wp:simplePos x="0" y="0"/>
            <wp:positionH relativeFrom="column">
              <wp:posOffset>0</wp:posOffset>
            </wp:positionH>
            <wp:positionV relativeFrom="paragraph">
              <wp:posOffset>169545</wp:posOffset>
            </wp:positionV>
            <wp:extent cx="4662170" cy="3332480"/>
            <wp:effectExtent l="0" t="0" r="5080" b="1270"/>
            <wp:wrapTight wrapText="bothSides">
              <wp:wrapPolygon edited="0">
                <wp:start x="0" y="0"/>
                <wp:lineTo x="0" y="21485"/>
                <wp:lineTo x="21535" y="21485"/>
                <wp:lineTo x="21535"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7">
                      <a:extLst>
                        <a:ext uri="{28A0092B-C50C-407E-A947-70E740481C1C}">
                          <a14:useLocalDpi xmlns:a14="http://schemas.microsoft.com/office/drawing/2010/main" val="0"/>
                        </a:ext>
                      </a:extLst>
                    </a:blip>
                    <a:stretch>
                      <a:fillRect/>
                    </a:stretch>
                  </pic:blipFill>
                  <pic:spPr>
                    <a:xfrm>
                      <a:off x="0" y="0"/>
                      <a:ext cx="4662170" cy="3332480"/>
                    </a:xfrm>
                    <a:prstGeom prst="rect">
                      <a:avLst/>
                    </a:prstGeom>
                  </pic:spPr>
                </pic:pic>
              </a:graphicData>
            </a:graphic>
            <wp14:sizeRelH relativeFrom="margin">
              <wp14:pctWidth>0</wp14:pctWidth>
            </wp14:sizeRelH>
            <wp14:sizeRelV relativeFrom="margin">
              <wp14:pctHeight>0</wp14:pctHeight>
            </wp14:sizeRelV>
          </wp:anchor>
        </w:drawing>
      </w:r>
    </w:p>
    <w:p w14:paraId="7C01ECDA" w14:textId="3CB01A18" w:rsidR="0030768F" w:rsidRDefault="0030768F" w:rsidP="0030768F">
      <w:pPr>
        <w:spacing w:beforeLines="50" w:before="120" w:afterLines="50" w:after="120" w:line="480" w:lineRule="exact"/>
        <w:rPr>
          <w:rFonts w:ascii="微軟正黑體" w:eastAsia="微軟正黑體" w:hAnsi="微軟正黑體" w:cs="Times New Roman"/>
          <w:bCs/>
          <w:sz w:val="28"/>
          <w:szCs w:val="28"/>
        </w:rPr>
      </w:pPr>
    </w:p>
    <w:p w14:paraId="17CADC7D" w14:textId="0983B416" w:rsidR="0030768F" w:rsidRDefault="0030768F" w:rsidP="0030768F">
      <w:pPr>
        <w:spacing w:beforeLines="50" w:before="120" w:afterLines="50" w:after="120" w:line="480" w:lineRule="exact"/>
        <w:rPr>
          <w:rFonts w:ascii="微軟正黑體" w:eastAsia="微軟正黑體" w:hAnsi="微軟正黑體" w:cs="Times New Roman"/>
          <w:bCs/>
          <w:sz w:val="28"/>
          <w:szCs w:val="28"/>
        </w:rPr>
      </w:pPr>
    </w:p>
    <w:p w14:paraId="35787575" w14:textId="693EE55D" w:rsidR="0030768F" w:rsidRDefault="0030768F" w:rsidP="0030768F">
      <w:pPr>
        <w:spacing w:beforeLines="50" w:before="120" w:afterLines="50" w:after="120" w:line="480" w:lineRule="exact"/>
        <w:rPr>
          <w:rFonts w:ascii="微軟正黑體" w:eastAsia="微軟正黑體" w:hAnsi="微軟正黑體" w:cs="Times New Roman"/>
          <w:bCs/>
          <w:sz w:val="28"/>
          <w:szCs w:val="28"/>
        </w:rPr>
      </w:pPr>
    </w:p>
    <w:p w14:paraId="2CF21526" w14:textId="7A16454D" w:rsidR="0030768F" w:rsidRDefault="0030768F" w:rsidP="0030768F">
      <w:pPr>
        <w:spacing w:beforeLines="50" w:before="120" w:afterLines="50" w:after="120" w:line="480" w:lineRule="exact"/>
        <w:rPr>
          <w:rFonts w:ascii="微軟正黑體" w:eastAsia="微軟正黑體" w:hAnsi="微軟正黑體" w:cs="Times New Roman"/>
          <w:bCs/>
          <w:sz w:val="28"/>
          <w:szCs w:val="28"/>
        </w:rPr>
      </w:pPr>
    </w:p>
    <w:p w14:paraId="6098E1CB" w14:textId="35998AB0" w:rsidR="0030768F" w:rsidRDefault="0030768F" w:rsidP="0030768F">
      <w:pPr>
        <w:spacing w:beforeLines="50" w:before="120" w:afterLines="50" w:after="120" w:line="480" w:lineRule="exact"/>
        <w:rPr>
          <w:rFonts w:ascii="微軟正黑體" w:eastAsia="微軟正黑體" w:hAnsi="微軟正黑體" w:cs="Times New Roman"/>
          <w:bCs/>
          <w:sz w:val="28"/>
          <w:szCs w:val="28"/>
        </w:rPr>
      </w:pPr>
    </w:p>
    <w:p w14:paraId="7C221BF2" w14:textId="1DEDE491" w:rsidR="0030768F" w:rsidRDefault="0030768F" w:rsidP="0030768F">
      <w:pPr>
        <w:spacing w:beforeLines="50" w:before="120" w:afterLines="50" w:after="120" w:line="480" w:lineRule="exact"/>
        <w:rPr>
          <w:rFonts w:ascii="微軟正黑體" w:eastAsia="微軟正黑體" w:hAnsi="微軟正黑體" w:cs="Times New Roman"/>
          <w:bCs/>
          <w:sz w:val="28"/>
          <w:szCs w:val="28"/>
        </w:rPr>
      </w:pPr>
    </w:p>
    <w:p w14:paraId="12E8388D" w14:textId="7A117AC6" w:rsidR="0030768F" w:rsidRDefault="0030768F" w:rsidP="0030768F">
      <w:pPr>
        <w:spacing w:beforeLines="50" w:before="120" w:afterLines="50" w:after="120" w:line="480" w:lineRule="exact"/>
        <w:rPr>
          <w:rFonts w:ascii="微軟正黑體" w:eastAsia="微軟正黑體" w:hAnsi="微軟正黑體" w:cs="Times New Roman"/>
          <w:bCs/>
          <w:sz w:val="28"/>
          <w:szCs w:val="28"/>
        </w:rPr>
      </w:pPr>
    </w:p>
    <w:p w14:paraId="0FC6277C" w14:textId="20E56E05" w:rsidR="0030768F" w:rsidRDefault="0030768F" w:rsidP="0030768F">
      <w:pPr>
        <w:spacing w:beforeLines="50" w:before="120" w:afterLines="50" w:after="120" w:line="480" w:lineRule="exact"/>
        <w:rPr>
          <w:rFonts w:ascii="微軟正黑體" w:eastAsia="微軟正黑體" w:hAnsi="微軟正黑體" w:cs="Times New Roman"/>
          <w:bCs/>
          <w:sz w:val="28"/>
          <w:szCs w:val="28"/>
        </w:rPr>
      </w:pPr>
    </w:p>
    <w:p w14:paraId="1CBA6B51" w14:textId="77777777" w:rsidR="00AB45D0" w:rsidRDefault="00AB45D0" w:rsidP="0030768F">
      <w:pPr>
        <w:spacing w:beforeLines="50" w:before="120" w:afterLines="50" w:after="120" w:line="480" w:lineRule="exact"/>
        <w:rPr>
          <w:rFonts w:ascii="微軟正黑體" w:eastAsia="微軟正黑體" w:hAnsi="微軟正黑體" w:cs="Times New Roman" w:hint="eastAsia"/>
          <w:bCs/>
          <w:sz w:val="28"/>
          <w:szCs w:val="28"/>
        </w:rPr>
      </w:pPr>
    </w:p>
    <w:p w14:paraId="50F47FB2" w14:textId="2160A6BF" w:rsidR="004F362F" w:rsidRDefault="00C34BE3" w:rsidP="0030768F">
      <w:pPr>
        <w:spacing w:beforeLines="50" w:before="120" w:afterLines="50" w:after="120" w:line="480" w:lineRule="exact"/>
        <w:rPr>
          <w:rFonts w:ascii="微軟正黑體" w:eastAsia="微軟正黑體" w:hAnsi="微軟正黑體" w:cs="Gungsuh"/>
          <w:bCs/>
          <w:sz w:val="28"/>
          <w:szCs w:val="28"/>
        </w:rPr>
      </w:pPr>
      <w:r w:rsidRPr="0030768F">
        <w:rPr>
          <w:rFonts w:ascii="微軟正黑體" w:eastAsia="微軟正黑體" w:hAnsi="微軟正黑體" w:cs="Gungsuh"/>
          <w:bCs/>
          <w:sz w:val="28"/>
          <w:szCs w:val="28"/>
        </w:rPr>
        <w:t>圖1.劉主委</w:t>
      </w:r>
      <w:r w:rsidR="0030768F">
        <w:rPr>
          <w:rFonts w:ascii="微軟正黑體" w:eastAsia="微軟正黑體" w:hAnsi="微軟正黑體" w:cs="Gungsuh" w:hint="eastAsia"/>
          <w:bCs/>
          <w:sz w:val="28"/>
          <w:szCs w:val="28"/>
        </w:rPr>
        <w:t>受邀參加</w:t>
      </w:r>
      <w:r w:rsidRPr="0030768F">
        <w:rPr>
          <w:rFonts w:ascii="微軟正黑體" w:eastAsia="微軟正黑體" w:hAnsi="微軟正黑體" w:cs="Gungsuh"/>
          <w:bCs/>
          <w:sz w:val="28"/>
          <w:szCs w:val="28"/>
        </w:rPr>
        <w:t>JNPC</w:t>
      </w:r>
      <w:r w:rsidR="0030768F">
        <w:rPr>
          <w:rFonts w:ascii="微軟正黑體" w:eastAsia="微軟正黑體" w:hAnsi="微軟正黑體" w:cs="Gungsuh" w:hint="eastAsia"/>
          <w:bCs/>
          <w:sz w:val="28"/>
          <w:szCs w:val="28"/>
        </w:rPr>
        <w:t>聯合</w:t>
      </w:r>
      <w:r w:rsidRPr="0030768F">
        <w:rPr>
          <w:rFonts w:ascii="微軟正黑體" w:eastAsia="微軟正黑體" w:hAnsi="微軟正黑體" w:cs="Gungsuh"/>
          <w:bCs/>
          <w:sz w:val="28"/>
          <w:szCs w:val="28"/>
        </w:rPr>
        <w:t>記者會</w:t>
      </w:r>
    </w:p>
    <w:p w14:paraId="4B8182CD" w14:textId="13E9A044" w:rsidR="0030768F" w:rsidRPr="0030768F" w:rsidRDefault="00AB45D0" w:rsidP="0030768F">
      <w:pPr>
        <w:spacing w:beforeLines="50" w:before="120" w:afterLines="50" w:after="120" w:line="480" w:lineRule="exact"/>
        <w:rPr>
          <w:rFonts w:ascii="微軟正黑體" w:eastAsia="微軟正黑體" w:hAnsi="微軟正黑體" w:cs="Times New Roman"/>
          <w:bCs/>
          <w:sz w:val="28"/>
          <w:szCs w:val="28"/>
        </w:rPr>
      </w:pPr>
      <w:r>
        <w:rPr>
          <w:rFonts w:ascii="微軟正黑體" w:eastAsia="微軟正黑體" w:hAnsi="微軟正黑體" w:cs="Times New Roman"/>
          <w:bCs/>
          <w:noProof/>
          <w:sz w:val="28"/>
          <w:szCs w:val="28"/>
        </w:rPr>
        <w:drawing>
          <wp:anchor distT="0" distB="0" distL="114300" distR="114300" simplePos="0" relativeHeight="251662336" behindDoc="1" locked="0" layoutInCell="1" allowOverlap="1" wp14:anchorId="3F60C826" wp14:editId="5D4FD722">
            <wp:simplePos x="0" y="0"/>
            <wp:positionH relativeFrom="column">
              <wp:posOffset>0</wp:posOffset>
            </wp:positionH>
            <wp:positionV relativeFrom="paragraph">
              <wp:posOffset>131445</wp:posOffset>
            </wp:positionV>
            <wp:extent cx="4662170" cy="3116580"/>
            <wp:effectExtent l="0" t="0" r="5080" b="7620"/>
            <wp:wrapTight wrapText="bothSides">
              <wp:wrapPolygon edited="0">
                <wp:start x="0" y="0"/>
                <wp:lineTo x="0" y="21521"/>
                <wp:lineTo x="21535" y="21521"/>
                <wp:lineTo x="21535"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2170" cy="3116580"/>
                    </a:xfrm>
                    <a:prstGeom prst="rect">
                      <a:avLst/>
                    </a:prstGeom>
                  </pic:spPr>
                </pic:pic>
              </a:graphicData>
            </a:graphic>
            <wp14:sizeRelH relativeFrom="margin">
              <wp14:pctWidth>0</wp14:pctWidth>
            </wp14:sizeRelH>
            <wp14:sizeRelV relativeFrom="margin">
              <wp14:pctHeight>0</wp14:pctHeight>
            </wp14:sizeRelV>
          </wp:anchor>
        </w:drawing>
      </w:r>
    </w:p>
    <w:p w14:paraId="4ED3B7F7" w14:textId="61A69D03" w:rsidR="004F362F" w:rsidRDefault="004F362F">
      <w:pPr>
        <w:spacing w:before="48" w:line="580" w:lineRule="auto"/>
        <w:ind w:firstLine="614"/>
        <w:jc w:val="both"/>
        <w:rPr>
          <w:rFonts w:ascii="Times New Roman" w:eastAsia="Times New Roman" w:hAnsi="Times New Roman" w:cs="Times New Roman"/>
          <w:sz w:val="32"/>
          <w:szCs w:val="32"/>
        </w:rPr>
      </w:pPr>
    </w:p>
    <w:p w14:paraId="4FE26D61" w14:textId="3C8B14A8" w:rsidR="0030768F" w:rsidRPr="0030768F" w:rsidRDefault="0030768F" w:rsidP="0030768F">
      <w:pPr>
        <w:rPr>
          <w:rFonts w:ascii="Times New Roman" w:eastAsia="Times New Roman" w:hAnsi="Times New Roman" w:cs="Times New Roman"/>
          <w:sz w:val="32"/>
          <w:szCs w:val="32"/>
        </w:rPr>
      </w:pPr>
    </w:p>
    <w:p w14:paraId="3EA43285" w14:textId="3C32E8B7" w:rsidR="0030768F" w:rsidRPr="0030768F" w:rsidRDefault="0030768F" w:rsidP="0030768F">
      <w:pPr>
        <w:rPr>
          <w:rFonts w:ascii="Times New Roman" w:eastAsia="Times New Roman" w:hAnsi="Times New Roman" w:cs="Times New Roman"/>
          <w:sz w:val="32"/>
          <w:szCs w:val="32"/>
        </w:rPr>
      </w:pPr>
    </w:p>
    <w:p w14:paraId="08168A80" w14:textId="63CC180E" w:rsidR="0030768F" w:rsidRPr="0030768F" w:rsidRDefault="0030768F" w:rsidP="0030768F">
      <w:pPr>
        <w:rPr>
          <w:rFonts w:ascii="Times New Roman" w:eastAsia="Times New Roman" w:hAnsi="Times New Roman" w:cs="Times New Roman"/>
          <w:sz w:val="32"/>
          <w:szCs w:val="32"/>
        </w:rPr>
      </w:pPr>
    </w:p>
    <w:p w14:paraId="27C3BCD6" w14:textId="1B3018DD" w:rsidR="0030768F" w:rsidRPr="0030768F" w:rsidRDefault="0030768F" w:rsidP="0030768F">
      <w:pPr>
        <w:rPr>
          <w:rFonts w:ascii="Times New Roman" w:eastAsia="Times New Roman" w:hAnsi="Times New Roman" w:cs="Times New Roman"/>
          <w:sz w:val="32"/>
          <w:szCs w:val="32"/>
        </w:rPr>
      </w:pPr>
    </w:p>
    <w:p w14:paraId="1F3695D4" w14:textId="0C1E9AB2" w:rsidR="0030768F" w:rsidRPr="0030768F" w:rsidRDefault="0030768F" w:rsidP="0030768F">
      <w:pPr>
        <w:rPr>
          <w:rFonts w:ascii="Times New Roman" w:eastAsia="Times New Roman" w:hAnsi="Times New Roman" w:cs="Times New Roman"/>
          <w:sz w:val="32"/>
          <w:szCs w:val="32"/>
        </w:rPr>
      </w:pPr>
    </w:p>
    <w:p w14:paraId="0D214661" w14:textId="5095B50E" w:rsidR="0030768F" w:rsidRPr="0030768F" w:rsidRDefault="0030768F" w:rsidP="0030768F">
      <w:pPr>
        <w:rPr>
          <w:rFonts w:ascii="Times New Roman" w:eastAsia="Times New Roman" w:hAnsi="Times New Roman" w:cs="Times New Roman"/>
          <w:sz w:val="32"/>
          <w:szCs w:val="32"/>
        </w:rPr>
      </w:pPr>
    </w:p>
    <w:p w14:paraId="1A4FAE4F" w14:textId="7DDEC677" w:rsidR="0030768F" w:rsidRPr="0030768F" w:rsidRDefault="0030768F" w:rsidP="0030768F">
      <w:pPr>
        <w:rPr>
          <w:rFonts w:ascii="Times New Roman" w:eastAsia="Times New Roman" w:hAnsi="Times New Roman" w:cs="Times New Roman"/>
          <w:sz w:val="32"/>
          <w:szCs w:val="32"/>
        </w:rPr>
      </w:pPr>
    </w:p>
    <w:p w14:paraId="6670C527" w14:textId="0F48682D" w:rsidR="0030768F" w:rsidRPr="0030768F" w:rsidRDefault="0030768F" w:rsidP="0030768F">
      <w:pPr>
        <w:rPr>
          <w:rFonts w:ascii="Times New Roman" w:eastAsia="Times New Roman" w:hAnsi="Times New Roman" w:cs="Times New Roman"/>
          <w:sz w:val="32"/>
          <w:szCs w:val="32"/>
        </w:rPr>
      </w:pPr>
    </w:p>
    <w:p w14:paraId="67D13540" w14:textId="5FF4CD36" w:rsidR="0030768F" w:rsidRPr="0030768F" w:rsidRDefault="0030768F" w:rsidP="0030768F">
      <w:pPr>
        <w:rPr>
          <w:rFonts w:ascii="Times New Roman" w:eastAsia="Times New Roman" w:hAnsi="Times New Roman" w:cs="Times New Roman"/>
          <w:sz w:val="32"/>
          <w:szCs w:val="32"/>
        </w:rPr>
      </w:pPr>
    </w:p>
    <w:p w14:paraId="4D717F36" w14:textId="162A185B" w:rsidR="0030768F" w:rsidRPr="0030768F" w:rsidRDefault="0030768F" w:rsidP="0030768F">
      <w:pPr>
        <w:rPr>
          <w:rFonts w:ascii="Times New Roman" w:eastAsia="Times New Roman" w:hAnsi="Times New Roman" w:cs="Times New Roman"/>
          <w:sz w:val="32"/>
          <w:szCs w:val="32"/>
        </w:rPr>
      </w:pPr>
    </w:p>
    <w:p w14:paraId="40B5D468" w14:textId="58D624E0" w:rsidR="0030768F" w:rsidRDefault="0030768F" w:rsidP="0030768F">
      <w:pPr>
        <w:spacing w:beforeLines="50" w:before="120" w:afterLines="50" w:after="120" w:line="480" w:lineRule="exact"/>
        <w:rPr>
          <w:rFonts w:ascii="微軟正黑體" w:eastAsia="微軟正黑體" w:hAnsi="微軟正黑體" w:cs="Gungsuh"/>
          <w:bCs/>
          <w:sz w:val="28"/>
          <w:szCs w:val="28"/>
        </w:rPr>
      </w:pPr>
      <w:r w:rsidRPr="0030768F">
        <w:rPr>
          <w:rFonts w:ascii="微軟正黑體" w:eastAsia="微軟正黑體" w:hAnsi="微軟正黑體" w:cs="Gungsuh"/>
          <w:bCs/>
          <w:sz w:val="28"/>
          <w:szCs w:val="28"/>
        </w:rPr>
        <w:t>圖</w:t>
      </w:r>
      <w:r>
        <w:rPr>
          <w:rFonts w:ascii="微軟正黑體" w:eastAsia="微軟正黑體" w:hAnsi="微軟正黑體" w:cs="Gungsuh"/>
          <w:bCs/>
          <w:sz w:val="28"/>
          <w:szCs w:val="28"/>
        </w:rPr>
        <w:t>2</w:t>
      </w:r>
      <w:r w:rsidRPr="0030768F">
        <w:rPr>
          <w:rFonts w:ascii="微軟正黑體" w:eastAsia="微軟正黑體" w:hAnsi="微軟正黑體" w:cs="Gungsuh"/>
          <w:bCs/>
          <w:sz w:val="28"/>
          <w:szCs w:val="28"/>
        </w:rPr>
        <w:t>.劉主委</w:t>
      </w:r>
      <w:r>
        <w:rPr>
          <w:rFonts w:ascii="微軟正黑體" w:eastAsia="微軟正黑體" w:hAnsi="微軟正黑體" w:cs="Gungsuh" w:hint="eastAsia"/>
          <w:bCs/>
          <w:sz w:val="28"/>
          <w:szCs w:val="28"/>
        </w:rPr>
        <w:t>接受</w:t>
      </w:r>
      <w:r w:rsidRPr="0030768F">
        <w:rPr>
          <w:rFonts w:ascii="微軟正黑體" w:eastAsia="微軟正黑體" w:hAnsi="微軟正黑體" w:cs="Gungsuh"/>
          <w:bCs/>
          <w:sz w:val="28"/>
          <w:szCs w:val="28"/>
        </w:rPr>
        <w:t>記者</w:t>
      </w:r>
      <w:r>
        <w:rPr>
          <w:rFonts w:ascii="微軟正黑體" w:eastAsia="微軟正黑體" w:hAnsi="微軟正黑體" w:cs="Gungsuh" w:hint="eastAsia"/>
          <w:bCs/>
          <w:sz w:val="28"/>
          <w:szCs w:val="28"/>
        </w:rPr>
        <w:t>提問</w:t>
      </w:r>
    </w:p>
    <w:p w14:paraId="28EA546E" w14:textId="77777777" w:rsidR="0030768F" w:rsidRPr="0030768F" w:rsidRDefault="0030768F" w:rsidP="0030768F">
      <w:pPr>
        <w:rPr>
          <w:rFonts w:ascii="Times New Roman" w:eastAsia="Times New Roman" w:hAnsi="Times New Roman" w:cs="Times New Roman"/>
          <w:sz w:val="32"/>
          <w:szCs w:val="32"/>
        </w:rPr>
      </w:pPr>
    </w:p>
    <w:sectPr w:rsidR="0030768F" w:rsidRPr="0030768F" w:rsidSect="00AB45D0">
      <w:footerReference w:type="default" r:id="rId9"/>
      <w:pgSz w:w="11906" w:h="16838"/>
      <w:pgMar w:top="1701" w:right="1416" w:bottom="1843" w:left="156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0E7E" w14:textId="77777777" w:rsidR="00507A9A" w:rsidRDefault="00507A9A">
      <w:r>
        <w:separator/>
      </w:r>
    </w:p>
  </w:endnote>
  <w:endnote w:type="continuationSeparator" w:id="0">
    <w:p w14:paraId="2C88C216" w14:textId="77777777" w:rsidR="00507A9A" w:rsidRDefault="0050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BB61" w14:textId="77777777" w:rsidR="004F362F" w:rsidRDefault="00C34BE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30768F">
      <w:rPr>
        <w:rFonts w:eastAsia="Calibri"/>
        <w:noProof/>
        <w:color w:val="000000"/>
        <w:sz w:val="20"/>
        <w:szCs w:val="20"/>
      </w:rPr>
      <w:t>1</w:t>
    </w:r>
    <w:r>
      <w:rPr>
        <w:color w:val="000000"/>
        <w:sz w:val="20"/>
        <w:szCs w:val="20"/>
      </w:rPr>
      <w:fldChar w:fldCharType="end"/>
    </w:r>
  </w:p>
  <w:p w14:paraId="7AC4778A" w14:textId="77777777" w:rsidR="004F362F" w:rsidRDefault="004F3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D222" w14:textId="77777777" w:rsidR="00507A9A" w:rsidRDefault="00507A9A">
      <w:r>
        <w:separator/>
      </w:r>
    </w:p>
  </w:footnote>
  <w:footnote w:type="continuationSeparator" w:id="0">
    <w:p w14:paraId="578E0B33" w14:textId="77777777" w:rsidR="00507A9A" w:rsidRDefault="00507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2F"/>
    <w:rsid w:val="001134B5"/>
    <w:rsid w:val="0030768F"/>
    <w:rsid w:val="004B41FF"/>
    <w:rsid w:val="004F362F"/>
    <w:rsid w:val="00507A9A"/>
    <w:rsid w:val="00544377"/>
    <w:rsid w:val="005D6A3A"/>
    <w:rsid w:val="005E3FFB"/>
    <w:rsid w:val="0085746B"/>
    <w:rsid w:val="00AB45D0"/>
    <w:rsid w:val="00B0333A"/>
    <w:rsid w:val="00C34BE3"/>
    <w:rsid w:val="00D13D1D"/>
    <w:rsid w:val="00F41E8D"/>
    <w:rsid w:val="00F50FDB"/>
    <w:rsid w:val="00F71E24"/>
    <w:rsid w:val="00FD6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8500"/>
  <w15:docId w15:val="{F689EEED-B6AB-4002-9B46-BC8AE4EE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580</Words>
  <Characters>638</Characters>
  <Application>Microsoft Office Word</Application>
  <DocSecurity>0</DocSecurity>
  <Lines>45</Lines>
  <Paragraphs>18</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魏麗勳</dc:creator>
  <cp:lastModifiedBy>魏麗勳</cp:lastModifiedBy>
  <cp:revision>27</cp:revision>
  <cp:lastPrinted>2024-09-17T07:33:00Z</cp:lastPrinted>
  <dcterms:created xsi:type="dcterms:W3CDTF">2024-09-17T07:13:00Z</dcterms:created>
  <dcterms:modified xsi:type="dcterms:W3CDTF">2024-09-17T08:02:00Z</dcterms:modified>
</cp:coreProperties>
</file>