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980A" w14:textId="2AE5AB12" w:rsidR="00025D4A" w:rsidRPr="00B138E0" w:rsidRDefault="00D855EF" w:rsidP="00025D4A">
      <w:pPr>
        <w:spacing w:line="520" w:lineRule="exact"/>
        <w:rPr>
          <w:rFonts w:ascii="微軟正黑體" w:eastAsia="微軟正黑體" w:hAnsi="微軟正黑體" w:cs="新細明體"/>
          <w:b/>
          <w:bCs/>
          <w:color w:val="000000" w:themeColor="text1"/>
          <w:sz w:val="32"/>
          <w:szCs w:val="32"/>
        </w:rPr>
      </w:pPr>
      <w:r w:rsidRPr="00B138E0">
        <w:rPr>
          <w:rFonts w:ascii="微軟正黑體" w:eastAsia="微軟正黑體" w:hAnsi="微軟正黑體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6D89D132" wp14:editId="1FADC1FE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22095" cy="301625"/>
            <wp:effectExtent l="0" t="0" r="1905" b="3175"/>
            <wp:wrapTight wrapText="bothSides">
              <wp:wrapPolygon edited="0">
                <wp:start x="721" y="0"/>
                <wp:lineTo x="0" y="9095"/>
                <wp:lineTo x="0" y="15461"/>
                <wp:lineTo x="541" y="20918"/>
                <wp:lineTo x="721" y="20918"/>
                <wp:lineTo x="3605" y="20918"/>
                <wp:lineTo x="21447" y="20008"/>
                <wp:lineTo x="21447" y="1819"/>
                <wp:lineTo x="18743" y="0"/>
                <wp:lineTo x="3965" y="0"/>
                <wp:lineTo x="721" y="0"/>
              </wp:wrapPolygon>
            </wp:wrapTight>
            <wp:docPr id="5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0BAC5" w14:textId="492EFE7C" w:rsidR="00A30DF6" w:rsidRPr="00B138E0" w:rsidRDefault="00A30DF6" w:rsidP="00D855EF">
      <w:pPr>
        <w:spacing w:afterLines="50" w:after="180" w:line="520" w:lineRule="exact"/>
        <w:jc w:val="center"/>
        <w:rPr>
          <w:rFonts w:ascii="微軟正黑體" w:eastAsia="微軟正黑體" w:hAnsi="微軟正黑體" w:cs="新細明體"/>
          <w:b/>
          <w:bCs/>
          <w:color w:val="000000" w:themeColor="text1"/>
          <w:sz w:val="32"/>
          <w:szCs w:val="32"/>
        </w:rPr>
      </w:pPr>
      <w:r w:rsidRPr="00B138E0">
        <w:rPr>
          <w:rFonts w:ascii="微軟正黑體" w:eastAsia="微軟正黑體" w:hAnsi="微軟正黑體" w:cs="新細明體" w:hint="eastAsia"/>
          <w:b/>
          <w:bCs/>
          <w:color w:val="000000" w:themeColor="text1"/>
          <w:sz w:val="32"/>
          <w:szCs w:val="32"/>
        </w:rPr>
        <w:t>國家發展委員會　新聞稿</w:t>
      </w:r>
    </w:p>
    <w:p w14:paraId="1ABC69BE" w14:textId="03B87168" w:rsidR="00875D2D" w:rsidRPr="00DB4B18" w:rsidRDefault="00DB4B18" w:rsidP="00D855EF">
      <w:pPr>
        <w:pStyle w:val="k02"/>
        <w:tabs>
          <w:tab w:val="clear" w:pos="960"/>
          <w:tab w:val="left" w:pos="680"/>
        </w:tabs>
        <w:spacing w:line="480" w:lineRule="exact"/>
        <w:ind w:firstLine="0"/>
        <w:jc w:val="center"/>
        <w:rPr>
          <w:rFonts w:ascii="微軟正黑體" w:eastAsia="微軟正黑體" w:hAnsi="微軟正黑體" w:cs="新細明體"/>
          <w:b/>
          <w:bCs/>
          <w:color w:val="000000" w:themeColor="text1"/>
          <w:kern w:val="2"/>
          <w:sz w:val="36"/>
          <w:szCs w:val="36"/>
        </w:rPr>
      </w:pPr>
      <w:r w:rsidRPr="00DB4B18">
        <w:rPr>
          <w:rFonts w:ascii="微軟正黑體" w:eastAsia="微軟正黑體" w:hAnsi="微軟正黑體" w:cs="新細明體" w:hint="eastAsia"/>
          <w:b/>
          <w:bCs/>
          <w:color w:val="000000" w:themeColor="text1"/>
          <w:kern w:val="2"/>
          <w:sz w:val="36"/>
          <w:szCs w:val="36"/>
        </w:rPr>
        <w:t>台</w:t>
      </w:r>
      <w:r w:rsidR="00875D2D" w:rsidRPr="00DB4B18">
        <w:rPr>
          <w:rFonts w:ascii="微軟正黑體" w:eastAsia="微軟正黑體" w:hAnsi="微軟正黑體" w:cs="新細明體" w:hint="eastAsia"/>
          <w:b/>
          <w:bCs/>
          <w:color w:val="000000" w:themeColor="text1"/>
          <w:kern w:val="2"/>
          <w:sz w:val="36"/>
          <w:szCs w:val="36"/>
        </w:rPr>
        <w:t>灣</w:t>
      </w:r>
      <w:r w:rsidR="00BC25D4" w:rsidRPr="00DB4B18">
        <w:rPr>
          <w:rFonts w:ascii="微軟正黑體" w:eastAsia="微軟正黑體" w:hAnsi="微軟正黑體" w:cs="新細明體" w:hint="eastAsia"/>
          <w:b/>
          <w:bCs/>
          <w:color w:val="000000" w:themeColor="text1"/>
          <w:kern w:val="2"/>
          <w:sz w:val="36"/>
          <w:szCs w:val="36"/>
        </w:rPr>
        <w:t>智慧城市</w:t>
      </w:r>
      <w:r w:rsidR="00875D2D" w:rsidRPr="00DB4B18">
        <w:rPr>
          <w:rFonts w:ascii="微軟正黑體" w:eastAsia="微軟正黑體" w:hAnsi="微軟正黑體" w:cs="新細明體" w:hint="eastAsia"/>
          <w:b/>
          <w:bCs/>
          <w:color w:val="000000" w:themeColor="text1"/>
          <w:kern w:val="2"/>
          <w:sz w:val="36"/>
          <w:szCs w:val="36"/>
        </w:rPr>
        <w:t>國際邁大步</w:t>
      </w:r>
    </w:p>
    <w:p w14:paraId="12A09BD9" w14:textId="5EF3E576" w:rsidR="00310F34" w:rsidRPr="00DB4B18" w:rsidRDefault="00DB4B18" w:rsidP="00DC64E9">
      <w:pPr>
        <w:pStyle w:val="k02"/>
        <w:tabs>
          <w:tab w:val="clear" w:pos="960"/>
          <w:tab w:val="left" w:pos="680"/>
        </w:tabs>
        <w:spacing w:line="480" w:lineRule="exact"/>
        <w:ind w:leftChars="200" w:left="480" w:firstLine="0"/>
        <w:jc w:val="center"/>
        <w:rPr>
          <w:rFonts w:ascii="微軟正黑體" w:eastAsia="微軟正黑體" w:hAnsi="微軟正黑體" w:cs="新細明體"/>
          <w:b/>
          <w:bCs/>
          <w:color w:val="000000" w:themeColor="text1"/>
          <w:kern w:val="2"/>
          <w:sz w:val="36"/>
          <w:szCs w:val="36"/>
        </w:rPr>
      </w:pPr>
      <w:r>
        <w:rPr>
          <w:rFonts w:ascii="微軟正黑體" w:eastAsia="微軟正黑體" w:hAnsi="微軟正黑體" w:cs="新細明體" w:hint="eastAsia"/>
          <w:b/>
          <w:bCs/>
          <w:color w:val="000000" w:themeColor="text1"/>
          <w:kern w:val="2"/>
          <w:sz w:val="36"/>
          <w:szCs w:val="36"/>
        </w:rPr>
        <w:t>台</w:t>
      </w:r>
      <w:r w:rsidR="00BC25D4" w:rsidRPr="00DB4B18">
        <w:rPr>
          <w:rFonts w:ascii="微軟正黑體" w:eastAsia="微軟正黑體" w:hAnsi="微軟正黑體" w:cs="新細明體" w:hint="eastAsia"/>
          <w:b/>
          <w:bCs/>
          <w:color w:val="000000" w:themeColor="text1"/>
          <w:kern w:val="2"/>
          <w:sz w:val="36"/>
          <w:szCs w:val="36"/>
        </w:rPr>
        <w:t>泰論壇</w:t>
      </w:r>
      <w:r w:rsidR="00875D2D" w:rsidRPr="00DB4B18">
        <w:rPr>
          <w:rFonts w:ascii="微軟正黑體" w:eastAsia="微軟正黑體" w:hAnsi="微軟正黑體" w:cs="新細明體" w:hint="eastAsia"/>
          <w:b/>
          <w:bCs/>
          <w:color w:val="000000" w:themeColor="text1"/>
          <w:kern w:val="2"/>
          <w:sz w:val="36"/>
          <w:szCs w:val="36"/>
        </w:rPr>
        <w:t>盛況空前</w:t>
      </w:r>
      <w:r w:rsidR="00BC25D4" w:rsidRPr="00DB4B18">
        <w:rPr>
          <w:rFonts w:ascii="微軟正黑體" w:eastAsia="微軟正黑體" w:hAnsi="微軟正黑體" w:cs="新細明體" w:hint="eastAsia"/>
          <w:b/>
          <w:bCs/>
          <w:color w:val="000000" w:themeColor="text1"/>
          <w:kern w:val="2"/>
          <w:sz w:val="36"/>
          <w:szCs w:val="36"/>
        </w:rPr>
        <w:t>，</w:t>
      </w:r>
      <w:r>
        <w:rPr>
          <w:rFonts w:ascii="微軟正黑體" w:eastAsia="微軟正黑體" w:hAnsi="微軟正黑體" w:cs="新細明體" w:hint="eastAsia"/>
          <w:b/>
          <w:bCs/>
          <w:color w:val="000000" w:themeColor="text1"/>
          <w:kern w:val="2"/>
          <w:sz w:val="36"/>
          <w:szCs w:val="36"/>
        </w:rPr>
        <w:t>台</w:t>
      </w:r>
      <w:r w:rsidR="00875D2D" w:rsidRPr="00DB4B18">
        <w:rPr>
          <w:rFonts w:ascii="微軟正黑體" w:eastAsia="微軟正黑體" w:hAnsi="微軟正黑體" w:cs="新細明體" w:hint="eastAsia"/>
          <w:b/>
          <w:bCs/>
          <w:color w:val="000000" w:themeColor="text1"/>
          <w:kern w:val="2"/>
          <w:sz w:val="36"/>
          <w:szCs w:val="36"/>
        </w:rPr>
        <w:t>星新創社群簽署MOU</w:t>
      </w:r>
    </w:p>
    <w:p w14:paraId="3F22973B" w14:textId="5D6801B6" w:rsidR="00A30DF6" w:rsidRPr="00B138E0" w:rsidRDefault="00A30DF6" w:rsidP="00B04479">
      <w:pPr>
        <w:pStyle w:val="k02"/>
        <w:tabs>
          <w:tab w:val="clear" w:pos="960"/>
          <w:tab w:val="left" w:pos="680"/>
        </w:tabs>
        <w:spacing w:beforeLines="50" w:before="180" w:line="480" w:lineRule="exact"/>
        <w:ind w:firstLine="0"/>
        <w:rPr>
          <w:rFonts w:ascii="微軟正黑體" w:eastAsia="微軟正黑體" w:hAnsi="微軟正黑體"/>
          <w:color w:val="000000" w:themeColor="text1"/>
          <w:szCs w:val="28"/>
        </w:rPr>
      </w:pPr>
      <w:r w:rsidRPr="00B138E0">
        <w:rPr>
          <w:rFonts w:ascii="微軟正黑體" w:eastAsia="微軟正黑體" w:hAnsi="微軟正黑體"/>
          <w:color w:val="000000" w:themeColor="text1"/>
          <w:szCs w:val="28"/>
        </w:rPr>
        <w:t>發布日期：</w:t>
      </w:r>
      <w:r w:rsidR="00D86A78">
        <w:rPr>
          <w:rFonts w:ascii="微軟正黑體" w:eastAsia="微軟正黑體" w:hAnsi="微軟正黑體" w:hint="eastAsia"/>
          <w:color w:val="000000" w:themeColor="text1"/>
          <w:szCs w:val="28"/>
        </w:rPr>
        <w:t>2024</w:t>
      </w:r>
      <w:r w:rsidRPr="00B138E0">
        <w:rPr>
          <w:rFonts w:ascii="微軟正黑體" w:eastAsia="微軟正黑體" w:hAnsi="微軟正黑體"/>
          <w:color w:val="000000" w:themeColor="text1"/>
          <w:szCs w:val="28"/>
        </w:rPr>
        <w:t>年</w:t>
      </w:r>
      <w:r w:rsidR="00C20EB8">
        <w:rPr>
          <w:rFonts w:ascii="微軟正黑體" w:eastAsia="微軟正黑體" w:hAnsi="微軟正黑體" w:hint="eastAsia"/>
          <w:color w:val="000000" w:themeColor="text1"/>
          <w:szCs w:val="28"/>
        </w:rPr>
        <w:t>3</w:t>
      </w:r>
      <w:r w:rsidRPr="00B138E0">
        <w:rPr>
          <w:rFonts w:ascii="微軟正黑體" w:eastAsia="微軟正黑體" w:hAnsi="微軟正黑體"/>
          <w:color w:val="000000" w:themeColor="text1"/>
          <w:szCs w:val="28"/>
        </w:rPr>
        <w:t>月</w:t>
      </w:r>
      <w:r w:rsidR="00C20EB8">
        <w:rPr>
          <w:rFonts w:ascii="微軟正黑體" w:eastAsia="微軟正黑體" w:hAnsi="微軟正黑體" w:hint="eastAsia"/>
          <w:color w:val="000000" w:themeColor="text1"/>
          <w:szCs w:val="28"/>
        </w:rPr>
        <w:t>20</w:t>
      </w:r>
      <w:r w:rsidRPr="00B138E0">
        <w:rPr>
          <w:rFonts w:ascii="微軟正黑體" w:eastAsia="微軟正黑體" w:hAnsi="微軟正黑體"/>
          <w:color w:val="000000" w:themeColor="text1"/>
          <w:szCs w:val="28"/>
        </w:rPr>
        <w:t>日</w:t>
      </w:r>
    </w:p>
    <w:p w14:paraId="7F55CEF9" w14:textId="4DB6D7AD" w:rsidR="00DE6E25" w:rsidRPr="00B138E0" w:rsidRDefault="00A30DF6" w:rsidP="00CD3FF0">
      <w:pPr>
        <w:pStyle w:val="k02"/>
        <w:tabs>
          <w:tab w:val="clear" w:pos="960"/>
          <w:tab w:val="left" w:pos="680"/>
        </w:tabs>
        <w:spacing w:line="480" w:lineRule="exact"/>
        <w:ind w:firstLine="0"/>
        <w:rPr>
          <w:rFonts w:ascii="微軟正黑體" w:eastAsia="微軟正黑體" w:hAnsi="微軟正黑體"/>
          <w:color w:val="000000" w:themeColor="text1"/>
          <w:szCs w:val="28"/>
        </w:rPr>
      </w:pPr>
      <w:r w:rsidRPr="00B138E0">
        <w:rPr>
          <w:rFonts w:ascii="微軟正黑體" w:eastAsia="微軟正黑體" w:hAnsi="微軟正黑體" w:hint="eastAsia"/>
          <w:color w:val="000000" w:themeColor="text1"/>
          <w:szCs w:val="28"/>
        </w:rPr>
        <w:t>發布單位：</w:t>
      </w:r>
      <w:r w:rsidR="0094224F" w:rsidRPr="00B138E0">
        <w:rPr>
          <w:rFonts w:ascii="微軟正黑體" w:eastAsia="微軟正黑體" w:hAnsi="微軟正黑體" w:hint="eastAsia"/>
          <w:color w:val="000000" w:themeColor="text1"/>
          <w:szCs w:val="28"/>
        </w:rPr>
        <w:t>產業發展處</w:t>
      </w:r>
    </w:p>
    <w:p w14:paraId="3D333B35" w14:textId="2FB457E5" w:rsidR="00FA0CD8" w:rsidRPr="00113251" w:rsidRDefault="00FA0CD8" w:rsidP="00DB4B18">
      <w:pPr>
        <w:pStyle w:val="k02"/>
        <w:tabs>
          <w:tab w:val="left" w:pos="680"/>
        </w:tabs>
        <w:spacing w:beforeLines="100" w:before="360" w:afterLines="50" w:after="180" w:line="48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為擴大我國智慧城市解決方</w:t>
      </w:r>
      <w:r w:rsidR="004B29C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案</w:t>
      </w:r>
      <w:r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國際輸出，國發會</w:t>
      </w:r>
      <w:r w:rsidR="00DB4B18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龔明鑫</w:t>
      </w:r>
      <w:r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主委今(20)日出席本會與數位發展部數位產業署</w:t>
      </w:r>
      <w:r w:rsidR="00DB4B18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、台</w:t>
      </w:r>
      <w:r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北市電腦公會共同主辦</w:t>
      </w:r>
      <w:r w:rsidR="006477C4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之</w:t>
      </w:r>
      <w:r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「</w:t>
      </w:r>
      <w:r w:rsidR="00DB4B18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台</w:t>
      </w:r>
      <w:r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泰智慧城市論壇」。龔主委強調，台灣推動智慧城市解決方案及系統輸出海外已達破百案，顯示台灣實力深受肯定。今日論壇共計有將近400位來自泰國政府和產業界的嘉賓蒞臨，其中包括20個泰國城市的市長或副市長率領的代表團與會，顯示泰方對發展智慧城市的重視以及與我國合作的期盼，</w:t>
      </w:r>
      <w:r w:rsidR="006477C4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論壇</w:t>
      </w:r>
      <w:r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現場盛況空前。</w:t>
      </w:r>
    </w:p>
    <w:p w14:paraId="4665211A" w14:textId="4ADBC430" w:rsidR="008C53F8" w:rsidRPr="00113251" w:rsidRDefault="00FA0CD8" w:rsidP="00DB4B18">
      <w:pPr>
        <w:pStyle w:val="k02"/>
        <w:tabs>
          <w:tab w:val="left" w:pos="680"/>
        </w:tabs>
        <w:spacing w:beforeLines="100" w:before="360" w:afterLines="50" w:after="180" w:line="48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龔主委致詞時表示，</w:t>
      </w:r>
      <w:r w:rsidR="00DB4B18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台</w:t>
      </w:r>
      <w:r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灣推動亞洲･矽谷計畫，積極在</w:t>
      </w:r>
      <w:r w:rsidR="00DB4B18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台</w:t>
      </w:r>
      <w:r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灣各地推動智慧城市，已推動281案智慧城市服務方案，並促成系統整合輸出海外107案，顯見</w:t>
      </w:r>
      <w:r w:rsidR="00DB4B18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台</w:t>
      </w:r>
      <w:r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灣推動智慧城市的實力，深受國際肯定。去(2023)年9月與總統府林佳龍秘書長出訪泰國後，看到</w:t>
      </w:r>
      <w:r w:rsidR="00DB4B18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台</w:t>
      </w:r>
      <w:r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泰有更多合作的商機， 隨即成立</w:t>
      </w:r>
      <w:r w:rsidR="00DB4B18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台</w:t>
      </w:r>
      <w:r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泰智慧城市產業聯盟。本次智慧城市展更提供了百項以上的創新解方，也為後續</w:t>
      </w:r>
      <w:r w:rsidR="00DB4B18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台</w:t>
      </w:r>
      <w:r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泰合作奠定堅實的基礎及發展空間，並期許今日的論壇能夠以更</w:t>
      </w:r>
      <w:r w:rsidR="006477C4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開放的態度</w:t>
      </w:r>
      <w:r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探討多元合作方向，更盼未來雙方的合作效益能夠擴散至東南亞市場。</w:t>
      </w:r>
    </w:p>
    <w:p w14:paraId="74FB497A" w14:textId="26678F11" w:rsidR="008C53F8" w:rsidRPr="00113251" w:rsidRDefault="008C53F8" w:rsidP="008C53F8">
      <w:pPr>
        <w:pStyle w:val="k02"/>
        <w:tabs>
          <w:tab w:val="left" w:pos="680"/>
        </w:tabs>
        <w:spacing w:beforeLines="100" w:before="360" w:afterLines="50" w:after="180" w:line="48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總統府林佳龍秘書長首先感謝泰國</w:t>
      </w:r>
      <w:r w:rsidR="00604496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貴賓</w:t>
      </w:r>
      <w:r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踴躍參與，是本次展覽中最大的訪團。</w:t>
      </w:r>
      <w:r w:rsidR="00604496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台</w:t>
      </w:r>
      <w:r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泰合作在智慧交通、智慧醫療上目前都已經有成功的案例，如遠通電收在曼谷高速公路導入「M Flow」ETC國道電子收費系統，成功改善曼谷M9高速公路的</w:t>
      </w:r>
      <w:r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lastRenderedPageBreak/>
        <w:t>交通問題。中華電信、慧誠智醫、彰化基督教醫院與泰國MD Health醫療集團合作，也在泰國吞武里醫院成功導入智慧醫療，大幅減輕護理人員工作負擔。林秘書長表示，期盼雙方未來能在</w:t>
      </w:r>
      <w:r w:rsidR="00604496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台</w:t>
      </w:r>
      <w:r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泰論壇的基礎上，開展更多無窮的潛力與商機。</w:t>
      </w:r>
    </w:p>
    <w:p w14:paraId="599B0998" w14:textId="4DC1DFB5" w:rsidR="00C20EB8" w:rsidRPr="00113251" w:rsidRDefault="004118BE" w:rsidP="008C53F8">
      <w:pPr>
        <w:pStyle w:val="k02"/>
        <w:tabs>
          <w:tab w:val="left" w:pos="680"/>
        </w:tabs>
        <w:spacing w:beforeLines="100" w:before="360" w:afterLines="50" w:after="180" w:line="48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中華電信</w:t>
      </w:r>
      <w:r w:rsidR="00C20EB8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郭水義</w:t>
      </w:r>
      <w:r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董事長</w:t>
      </w:r>
      <w:r w:rsidR="00AB270B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以</w:t>
      </w:r>
      <w:r w:rsidR="00604496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台</w:t>
      </w:r>
      <w:r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泰智慧城市產業聯盟會長</w:t>
      </w:r>
      <w:r w:rsidR="00AB270B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身分</w:t>
      </w:r>
      <w:r w:rsidR="00C20EB8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致詞表示</w:t>
      </w:r>
      <w:r w:rsidR="00AB270B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875D2D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未來將</w:t>
      </w:r>
      <w:r w:rsidR="00A3222F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透過聯盟與泰國共同</w:t>
      </w:r>
      <w:r w:rsidR="00875D2D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於</w:t>
      </w:r>
      <w:r w:rsidR="00A3222F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智慧交通、智慧醫療、智慧物流等多個項目</w:t>
      </w:r>
      <w:r w:rsidR="00875D2D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進行</w:t>
      </w:r>
      <w:r w:rsidR="00A3222F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合作</w:t>
      </w:r>
      <w:r w:rsidR="00875D2D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  <w:r w:rsidR="00A3222F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相信</w:t>
      </w:r>
      <w:r w:rsidR="00792E6C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今天論壇是</w:t>
      </w:r>
      <w:r w:rsidR="00A3222F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開始</w:t>
      </w:r>
      <w:r w:rsidR="005E2BAC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的契機</w:t>
      </w:r>
      <w:r w:rsidR="00A3222F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，未來</w:t>
      </w:r>
      <w:r w:rsidR="00604496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台</w:t>
      </w:r>
      <w:r w:rsidR="00A3222F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泰</w:t>
      </w:r>
      <w:r w:rsidR="005E2BAC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將會推出</w:t>
      </w:r>
      <w:r w:rsidR="00A3222F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更多發展的可能。</w:t>
      </w:r>
    </w:p>
    <w:p w14:paraId="611A43BF" w14:textId="11EFF790" w:rsidR="00D86A78" w:rsidRPr="00113251" w:rsidRDefault="00AB270B" w:rsidP="00900106">
      <w:pPr>
        <w:pStyle w:val="k02"/>
        <w:tabs>
          <w:tab w:val="left" w:pos="680"/>
        </w:tabs>
        <w:spacing w:beforeLines="100" w:before="360" w:afterLines="50" w:after="180" w:line="48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與會</w:t>
      </w:r>
      <w:r w:rsidR="00A3222F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的泰國貿易經濟辦事處文那隆</w:t>
      </w:r>
      <w:r w:rsidR="00114450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(</w:t>
      </w:r>
      <w:r w:rsidR="00114450" w:rsidRPr="00113251">
        <w:rPr>
          <w:rFonts w:ascii="微軟正黑體" w:eastAsia="微軟正黑體" w:hAnsi="微軟正黑體"/>
          <w:color w:val="000000" w:themeColor="text1"/>
          <w:sz w:val="32"/>
          <w:szCs w:val="32"/>
        </w:rPr>
        <w:t xml:space="preserve">Narong </w:t>
      </w:r>
      <w:proofErr w:type="spellStart"/>
      <w:r w:rsidR="00114450" w:rsidRPr="00113251">
        <w:rPr>
          <w:rFonts w:ascii="微軟正黑體" w:eastAsia="微軟正黑體" w:hAnsi="微軟正黑體"/>
          <w:color w:val="000000" w:themeColor="text1"/>
          <w:sz w:val="32"/>
          <w:szCs w:val="32"/>
        </w:rPr>
        <w:t>Boonsatheanwong</w:t>
      </w:r>
      <w:proofErr w:type="spellEnd"/>
      <w:r w:rsidR="00114450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)</w:t>
      </w:r>
      <w:r w:rsidR="00A3222F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代表表示，泰國政府</w:t>
      </w:r>
      <w:r w:rsidR="00BC25D4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致力推動智慧城市，</w:t>
      </w:r>
      <w:r w:rsidR="00A3222F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已提出2027年前至少要發展</w:t>
      </w:r>
      <w:r w:rsidR="00BC25D4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出</w:t>
      </w:r>
      <w:r w:rsidR="00A3222F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100個智慧城市</w:t>
      </w:r>
      <w:r w:rsidR="00BC25D4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的政策目標。</w:t>
      </w:r>
      <w:r w:rsidR="00604496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台</w:t>
      </w:r>
      <w:r w:rsidR="00A3222F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灣是泰國</w:t>
      </w:r>
      <w:r w:rsidR="00BC25D4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推動智慧城市的</w:t>
      </w:r>
      <w:r w:rsidR="00A3222F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重要夥伴</w:t>
      </w:r>
      <w:r w:rsidR="00BC25D4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，而泰國東部經濟走廊是推展智慧城市很好的示範點，期盼與</w:t>
      </w:r>
      <w:r w:rsidR="00604496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台</w:t>
      </w:r>
      <w:r w:rsidR="00BC25D4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灣就技術轉移、淨零轉型等開展更多的合作</w:t>
      </w:r>
      <w:r w:rsidR="00A43DA5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</w:p>
    <w:p w14:paraId="058A6247" w14:textId="2C0DDF8F" w:rsidR="00B53C3F" w:rsidRPr="00113251" w:rsidRDefault="00604496" w:rsidP="00B53C3F">
      <w:pPr>
        <w:pStyle w:val="k02"/>
        <w:tabs>
          <w:tab w:val="left" w:pos="680"/>
        </w:tabs>
        <w:spacing w:beforeLines="100" w:before="360" w:afterLines="50" w:after="180" w:line="48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台</w:t>
      </w:r>
      <w:r w:rsidR="005F6041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泰</w:t>
      </w:r>
      <w:r w:rsidR="00C20EB8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論壇除了</w:t>
      </w:r>
      <w:r w:rsidR="008C53F8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由</w:t>
      </w:r>
      <w:r w:rsidR="00B53C3F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數位</w:t>
      </w:r>
      <w:r w:rsidR="005F6041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發展</w:t>
      </w:r>
      <w:r w:rsidR="00B53C3F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部</w:t>
      </w:r>
      <w:r w:rsidR="00C20EB8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數位產業署</w:t>
      </w:r>
      <w:r w:rsidR="00B53C3F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呂正華署長介紹</w:t>
      </w:r>
      <w:r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台</w:t>
      </w:r>
      <w:r w:rsidR="00B53C3F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灣智慧城市發展藍圖外，也分別由佳研智聯公司進行</w:t>
      </w:r>
      <w:r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台</w:t>
      </w:r>
      <w:r w:rsidR="00B53C3F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灣智慧製造園區的經驗分享，以及佳泰國際投資公司進行</w:t>
      </w:r>
      <w:r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台</w:t>
      </w:r>
      <w:r w:rsidR="00B53C3F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泰智慧製造園區合作經驗的報告。</w:t>
      </w:r>
      <w:r w:rsidR="00C20EB8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泰方</w:t>
      </w:r>
      <w:r w:rsidR="00B53C3F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則由</w:t>
      </w:r>
      <w:r w:rsidR="00CA0A60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數位經濟促進局(Digital Economy Promotion Agency)分享泰國政府智慧城市發展願景，東部經濟走廊辦公室分享泰國商業機會與永續發展，並由安美德</w:t>
      </w:r>
      <w:r w:rsidR="00BC25D4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(</w:t>
      </w:r>
      <w:r w:rsidR="00BC25D4" w:rsidRPr="00113251">
        <w:rPr>
          <w:rFonts w:ascii="微軟正黑體" w:eastAsia="微軟正黑體" w:hAnsi="微軟正黑體"/>
          <w:color w:val="000000" w:themeColor="text1"/>
          <w:sz w:val="32"/>
          <w:szCs w:val="32"/>
        </w:rPr>
        <w:t>Amata</w:t>
      </w:r>
      <w:r w:rsidR="00BC25D4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)</w:t>
      </w:r>
      <w:r w:rsidR="00CA0A60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集團</w:t>
      </w:r>
      <w:r w:rsidR="006E3B9F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就成功的工業園區</w:t>
      </w:r>
      <w:r w:rsidR="005F6041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開發</w:t>
      </w:r>
      <w:r w:rsidR="006E3B9F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提供其經驗</w:t>
      </w:r>
      <w:r w:rsidR="00CA0A60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</w:p>
    <w:p w14:paraId="01F1B3B5" w14:textId="437F6EC2" w:rsidR="00CA0A60" w:rsidRPr="00113251" w:rsidRDefault="00BC25D4" w:rsidP="00113251">
      <w:pPr>
        <w:pStyle w:val="k02"/>
        <w:tabs>
          <w:tab w:val="left" w:pos="680"/>
        </w:tabs>
        <w:spacing w:beforeLines="100" w:before="360" w:afterLines="50" w:after="180" w:line="48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此外，為展現</w:t>
      </w:r>
      <w:r w:rsidR="00604496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台</w:t>
      </w:r>
      <w:r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灣對新南向市場的重視，本次智慧城市展除了</w:t>
      </w:r>
      <w:r w:rsidR="00604496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台</w:t>
      </w:r>
      <w:r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泰論壇外，也由國家新創品牌(Startup Island TAIWAN)與新加坡「創業行動社群(Action Community for Entrepreneurship, ACE)」，簽署合作備忘錄(MOU)。國發會高仙桂副主委表示，新加坡新創生態系排名全球前十大，是全球最活躍的投資地區之一，透過本次MOU的簽署，將強化新</w:t>
      </w:r>
      <w:r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lastRenderedPageBreak/>
        <w:t>加坡和</w:t>
      </w:r>
      <w:r w:rsidR="00604496"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台</w:t>
      </w:r>
      <w:r w:rsidRPr="00113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灣新創生態系的夥伴關係，並建立雙邊新創社群落地服務、商機媒合、在地合作等常態性交流互動，促成兩地新創實質的合作機會，邁向更成功的道路。</w:t>
      </w:r>
    </w:p>
    <w:p w14:paraId="56FB3678" w14:textId="77777777" w:rsidR="00604496" w:rsidRPr="00604496" w:rsidRDefault="00604496" w:rsidP="00B53C3F">
      <w:pPr>
        <w:pStyle w:val="k02"/>
        <w:tabs>
          <w:tab w:val="left" w:pos="680"/>
        </w:tabs>
        <w:spacing w:beforeLines="100" w:before="360" w:afterLines="50" w:after="180" w:line="480" w:lineRule="exact"/>
        <w:ind w:firstLineChars="200" w:firstLine="560"/>
        <w:rPr>
          <w:rFonts w:ascii="微軟正黑體" w:eastAsia="微軟正黑體" w:hAnsi="微軟正黑體"/>
          <w:color w:val="000000" w:themeColor="text1"/>
          <w:szCs w:val="28"/>
        </w:rPr>
      </w:pPr>
    </w:p>
    <w:p w14:paraId="1729D0BE" w14:textId="15AE13A1" w:rsidR="00FC7F5E" w:rsidRPr="00B138E0" w:rsidRDefault="00FC7F5E" w:rsidP="00B04479">
      <w:pPr>
        <w:pStyle w:val="k02"/>
        <w:tabs>
          <w:tab w:val="left" w:pos="680"/>
        </w:tabs>
        <w:spacing w:line="480" w:lineRule="exact"/>
        <w:ind w:firstLine="0"/>
        <w:rPr>
          <w:rFonts w:ascii="微軟正黑體" w:eastAsia="微軟正黑體" w:hAnsi="微軟正黑體"/>
          <w:color w:val="000000" w:themeColor="text1"/>
          <w:szCs w:val="28"/>
        </w:rPr>
      </w:pPr>
      <w:r w:rsidRPr="00B138E0">
        <w:rPr>
          <w:rFonts w:ascii="微軟正黑體" w:eastAsia="微軟正黑體" w:hAnsi="微軟正黑體" w:hint="eastAsia"/>
          <w:color w:val="000000" w:themeColor="text1"/>
          <w:szCs w:val="28"/>
        </w:rPr>
        <w:t>聯絡人：</w:t>
      </w:r>
      <w:r w:rsidR="00BD7A49" w:rsidRPr="00B138E0">
        <w:rPr>
          <w:rFonts w:ascii="微軟正黑體" w:eastAsia="微軟正黑體" w:hAnsi="微軟正黑體" w:hint="eastAsia"/>
          <w:color w:val="000000" w:themeColor="text1"/>
          <w:szCs w:val="28"/>
        </w:rPr>
        <w:t>產業</w:t>
      </w:r>
      <w:r w:rsidR="004F19BB" w:rsidRPr="00B138E0">
        <w:rPr>
          <w:rFonts w:ascii="微軟正黑體" w:eastAsia="微軟正黑體" w:hAnsi="微軟正黑體" w:hint="eastAsia"/>
          <w:color w:val="000000" w:themeColor="text1"/>
          <w:szCs w:val="28"/>
        </w:rPr>
        <w:t>發展</w:t>
      </w:r>
      <w:r w:rsidR="00BD7A49" w:rsidRPr="00B138E0">
        <w:rPr>
          <w:rFonts w:ascii="微軟正黑體" w:eastAsia="微軟正黑體" w:hAnsi="微軟正黑體" w:hint="eastAsia"/>
          <w:color w:val="000000" w:themeColor="text1"/>
          <w:szCs w:val="28"/>
        </w:rPr>
        <w:t>處詹方冠處長</w:t>
      </w:r>
    </w:p>
    <w:p w14:paraId="66777AEF" w14:textId="357BED09" w:rsidR="00E6660D" w:rsidRDefault="00FC7F5E" w:rsidP="00976519">
      <w:pPr>
        <w:pStyle w:val="k02"/>
        <w:tabs>
          <w:tab w:val="clear" w:pos="960"/>
          <w:tab w:val="left" w:pos="680"/>
        </w:tabs>
        <w:spacing w:line="480" w:lineRule="exact"/>
        <w:ind w:firstLine="0"/>
        <w:rPr>
          <w:rFonts w:ascii="微軟正黑體" w:eastAsia="微軟正黑體" w:hAnsi="微軟正黑體"/>
          <w:color w:val="000000" w:themeColor="text1"/>
          <w:szCs w:val="28"/>
        </w:rPr>
      </w:pPr>
      <w:r w:rsidRPr="00B138E0">
        <w:rPr>
          <w:rFonts w:ascii="微軟正黑體" w:eastAsia="微軟正黑體" w:hAnsi="微軟正黑體" w:hint="eastAsia"/>
          <w:color w:val="000000" w:themeColor="text1"/>
          <w:szCs w:val="28"/>
        </w:rPr>
        <w:t>辦公室電話：</w:t>
      </w:r>
      <w:r w:rsidR="0066746B" w:rsidRPr="00B138E0">
        <w:rPr>
          <w:rFonts w:ascii="微軟正黑體" w:eastAsia="微軟正黑體" w:hAnsi="微軟正黑體" w:hint="eastAsia"/>
          <w:color w:val="000000" w:themeColor="text1"/>
          <w:szCs w:val="28"/>
        </w:rPr>
        <w:t>（02）</w:t>
      </w:r>
      <w:r w:rsidR="00A353CD" w:rsidRPr="00B138E0">
        <w:rPr>
          <w:rFonts w:ascii="微軟正黑體" w:eastAsia="微軟正黑體" w:hAnsi="微軟正黑體" w:hint="eastAsia"/>
          <w:color w:val="000000" w:themeColor="text1"/>
          <w:szCs w:val="28"/>
        </w:rPr>
        <w:t>2316-</w:t>
      </w:r>
      <w:r w:rsidR="00BD7A49" w:rsidRPr="00B138E0">
        <w:rPr>
          <w:rFonts w:ascii="微軟正黑體" w:eastAsia="微軟正黑體" w:hAnsi="微軟正黑體" w:hint="eastAsia"/>
          <w:color w:val="000000" w:themeColor="text1"/>
          <w:szCs w:val="28"/>
        </w:rPr>
        <w:t>5850</w:t>
      </w:r>
    </w:p>
    <w:p w14:paraId="32BE1579" w14:textId="0FD74A7F" w:rsidR="00E06805" w:rsidRDefault="00E06805" w:rsidP="00976519">
      <w:pPr>
        <w:pStyle w:val="k02"/>
        <w:tabs>
          <w:tab w:val="clear" w:pos="960"/>
          <w:tab w:val="left" w:pos="680"/>
        </w:tabs>
        <w:spacing w:line="480" w:lineRule="exact"/>
        <w:ind w:firstLine="0"/>
        <w:rPr>
          <w:rFonts w:ascii="微軟正黑體" w:eastAsia="微軟正黑體" w:hAnsi="微軟正黑體"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D002F8" wp14:editId="445D3318">
            <wp:simplePos x="0" y="0"/>
            <wp:positionH relativeFrom="margin">
              <wp:align>center</wp:align>
            </wp:positionH>
            <wp:positionV relativeFrom="paragraph">
              <wp:posOffset>300841</wp:posOffset>
            </wp:positionV>
            <wp:extent cx="5400040" cy="352933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B7C87" w14:textId="2936CDE6" w:rsidR="00E06805" w:rsidRDefault="00E06805" w:rsidP="00976519">
      <w:pPr>
        <w:pStyle w:val="k02"/>
        <w:tabs>
          <w:tab w:val="clear" w:pos="960"/>
          <w:tab w:val="left" w:pos="680"/>
        </w:tabs>
        <w:spacing w:line="480" w:lineRule="exact"/>
        <w:ind w:firstLine="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 xml:space="preserve">圖1 </w:t>
      </w:r>
      <w:r w:rsidR="00604496">
        <w:rPr>
          <w:rFonts w:ascii="微軟正黑體" w:eastAsia="微軟正黑體" w:hAnsi="微軟正黑體" w:hint="eastAsia"/>
          <w:color w:val="000000" w:themeColor="text1"/>
        </w:rPr>
        <w:t>台</w:t>
      </w:r>
      <w:r>
        <w:rPr>
          <w:rFonts w:ascii="微軟正黑體" w:eastAsia="微軟正黑體" w:hAnsi="微軟正黑體" w:hint="eastAsia"/>
          <w:color w:val="000000" w:themeColor="text1"/>
        </w:rPr>
        <w:t>泰智慧城市交流論壇大合照</w:t>
      </w:r>
    </w:p>
    <w:p w14:paraId="074701AD" w14:textId="0BAC63FE" w:rsidR="00E06805" w:rsidRDefault="00E06805" w:rsidP="00976519">
      <w:pPr>
        <w:pStyle w:val="k02"/>
        <w:tabs>
          <w:tab w:val="clear" w:pos="960"/>
          <w:tab w:val="left" w:pos="680"/>
        </w:tabs>
        <w:spacing w:line="480" w:lineRule="exact"/>
        <w:ind w:firstLine="0"/>
        <w:rPr>
          <w:rFonts w:ascii="微軟正黑體" w:eastAsia="微軟正黑體" w:hAnsi="微軟正黑體"/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1429038" wp14:editId="6F84C323">
            <wp:simplePos x="0" y="0"/>
            <wp:positionH relativeFrom="margin">
              <wp:align>right</wp:align>
            </wp:positionH>
            <wp:positionV relativeFrom="paragraph">
              <wp:posOffset>283144</wp:posOffset>
            </wp:positionV>
            <wp:extent cx="5400040" cy="297434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0AC1" w14:textId="0D5A8D34" w:rsidR="00E06805" w:rsidRPr="00B138E0" w:rsidRDefault="00E06805" w:rsidP="00976519">
      <w:pPr>
        <w:pStyle w:val="k02"/>
        <w:tabs>
          <w:tab w:val="clear" w:pos="960"/>
          <w:tab w:val="left" w:pos="680"/>
        </w:tabs>
        <w:spacing w:line="480" w:lineRule="exact"/>
        <w:ind w:firstLine="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 xml:space="preserve">圖2 </w:t>
      </w:r>
      <w:r w:rsidR="00113251" w:rsidRPr="00113251">
        <w:rPr>
          <w:rFonts w:ascii="微軟正黑體" w:eastAsia="微軟正黑體" w:hAnsi="微軟正黑體" w:hint="eastAsia"/>
          <w:color w:val="000000" w:themeColor="text1"/>
        </w:rPr>
        <w:t>台灣及新加坡新創社</w:t>
      </w:r>
      <w:r w:rsidR="00113251">
        <w:rPr>
          <w:rFonts w:ascii="微軟正黑體" w:eastAsia="微軟正黑體" w:hAnsi="微軟正黑體" w:hint="eastAsia"/>
          <w:color w:val="000000" w:themeColor="text1"/>
        </w:rPr>
        <w:t>群</w:t>
      </w:r>
      <w:r w:rsidR="00113251" w:rsidRPr="00113251">
        <w:rPr>
          <w:rFonts w:ascii="微軟正黑體" w:eastAsia="微軟正黑體" w:hAnsi="微軟正黑體" w:hint="eastAsia"/>
          <w:color w:val="000000" w:themeColor="text1"/>
        </w:rPr>
        <w:t>簽署MOU</w:t>
      </w:r>
      <w:r>
        <w:rPr>
          <w:rFonts w:ascii="微軟正黑體" w:eastAsia="微軟正黑體" w:hAnsi="微軟正黑體" w:hint="eastAsia"/>
          <w:color w:val="000000" w:themeColor="text1"/>
        </w:rPr>
        <w:t>大合照</w:t>
      </w:r>
    </w:p>
    <w:sectPr w:rsidR="00E06805" w:rsidRPr="00B138E0" w:rsidSect="00E564FB">
      <w:footerReference w:type="default" r:id="rId11"/>
      <w:pgSz w:w="11906" w:h="16838"/>
      <w:pgMar w:top="1134" w:right="1701" w:bottom="851" w:left="1701" w:header="851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0830" w14:textId="77777777" w:rsidR="00E564FB" w:rsidRDefault="00E564FB" w:rsidP="00D82EDD">
      <w:r>
        <w:separator/>
      </w:r>
    </w:p>
  </w:endnote>
  <w:endnote w:type="continuationSeparator" w:id="0">
    <w:p w14:paraId="6B651476" w14:textId="77777777" w:rsidR="00E564FB" w:rsidRDefault="00E564FB" w:rsidP="00D8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741048"/>
      <w:docPartObj>
        <w:docPartGallery w:val="Page Numbers (Bottom of Page)"/>
        <w:docPartUnique/>
      </w:docPartObj>
    </w:sdtPr>
    <w:sdtContent>
      <w:p w14:paraId="36C053FA" w14:textId="5B75C17D" w:rsidR="002A0432" w:rsidRDefault="002A04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70F" w:rsidRPr="00DB770F">
          <w:rPr>
            <w:noProof/>
            <w:lang w:val="zh-TW"/>
          </w:rPr>
          <w:t>2</w:t>
        </w:r>
        <w:r>
          <w:fldChar w:fldCharType="end"/>
        </w:r>
      </w:p>
    </w:sdtContent>
  </w:sdt>
  <w:p w14:paraId="62CA860D" w14:textId="77777777" w:rsidR="002A0432" w:rsidRDefault="002A0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51B7" w14:textId="77777777" w:rsidR="00E564FB" w:rsidRDefault="00E564FB" w:rsidP="00D82EDD">
      <w:r>
        <w:separator/>
      </w:r>
    </w:p>
  </w:footnote>
  <w:footnote w:type="continuationSeparator" w:id="0">
    <w:p w14:paraId="73C7797A" w14:textId="77777777" w:rsidR="00E564FB" w:rsidRDefault="00E564FB" w:rsidP="00D8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F5ACE"/>
    <w:multiLevelType w:val="hybridMultilevel"/>
    <w:tmpl w:val="FD100DCA"/>
    <w:lvl w:ilvl="0" w:tplc="8500BFC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1562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25"/>
    <w:rsid w:val="00025D4A"/>
    <w:rsid w:val="00035567"/>
    <w:rsid w:val="00036072"/>
    <w:rsid w:val="00053758"/>
    <w:rsid w:val="000E5344"/>
    <w:rsid w:val="000F4710"/>
    <w:rsid w:val="00113251"/>
    <w:rsid w:val="00114450"/>
    <w:rsid w:val="00120F95"/>
    <w:rsid w:val="0012169F"/>
    <w:rsid w:val="0012259B"/>
    <w:rsid w:val="0013210F"/>
    <w:rsid w:val="00144E0B"/>
    <w:rsid w:val="001528E1"/>
    <w:rsid w:val="00171DB7"/>
    <w:rsid w:val="00181DFC"/>
    <w:rsid w:val="00196E99"/>
    <w:rsid w:val="001C05F2"/>
    <w:rsid w:val="001C49BF"/>
    <w:rsid w:val="001E3629"/>
    <w:rsid w:val="00201E6C"/>
    <w:rsid w:val="002028B2"/>
    <w:rsid w:val="00204C93"/>
    <w:rsid w:val="00231963"/>
    <w:rsid w:val="002719BD"/>
    <w:rsid w:val="00293B43"/>
    <w:rsid w:val="002A0432"/>
    <w:rsid w:val="002B1CE6"/>
    <w:rsid w:val="002D2FFE"/>
    <w:rsid w:val="002E409F"/>
    <w:rsid w:val="0030229B"/>
    <w:rsid w:val="00310F34"/>
    <w:rsid w:val="00313174"/>
    <w:rsid w:val="00323E3E"/>
    <w:rsid w:val="003332F0"/>
    <w:rsid w:val="00336C06"/>
    <w:rsid w:val="00356FC9"/>
    <w:rsid w:val="00360F52"/>
    <w:rsid w:val="00390186"/>
    <w:rsid w:val="00392F66"/>
    <w:rsid w:val="003E1258"/>
    <w:rsid w:val="003F1D01"/>
    <w:rsid w:val="003F58E7"/>
    <w:rsid w:val="003F6E48"/>
    <w:rsid w:val="0040065E"/>
    <w:rsid w:val="00403052"/>
    <w:rsid w:val="004118BE"/>
    <w:rsid w:val="004163E9"/>
    <w:rsid w:val="00432803"/>
    <w:rsid w:val="00435A9C"/>
    <w:rsid w:val="00453F7B"/>
    <w:rsid w:val="004A599A"/>
    <w:rsid w:val="004B29C6"/>
    <w:rsid w:val="004D5A1F"/>
    <w:rsid w:val="004E14FE"/>
    <w:rsid w:val="004F19BB"/>
    <w:rsid w:val="005003E8"/>
    <w:rsid w:val="00503CC8"/>
    <w:rsid w:val="005163E5"/>
    <w:rsid w:val="005454CE"/>
    <w:rsid w:val="00547216"/>
    <w:rsid w:val="0057062C"/>
    <w:rsid w:val="00572991"/>
    <w:rsid w:val="0057546F"/>
    <w:rsid w:val="005B5992"/>
    <w:rsid w:val="005E2BAC"/>
    <w:rsid w:val="005F1804"/>
    <w:rsid w:val="005F6041"/>
    <w:rsid w:val="00604496"/>
    <w:rsid w:val="00604D0B"/>
    <w:rsid w:val="00612338"/>
    <w:rsid w:val="0062102C"/>
    <w:rsid w:val="00641AA6"/>
    <w:rsid w:val="006477C4"/>
    <w:rsid w:val="0066746B"/>
    <w:rsid w:val="006A1553"/>
    <w:rsid w:val="006A19BD"/>
    <w:rsid w:val="006A3614"/>
    <w:rsid w:val="006B6BF4"/>
    <w:rsid w:val="006C35B6"/>
    <w:rsid w:val="006E3B9F"/>
    <w:rsid w:val="006E5D85"/>
    <w:rsid w:val="0070147E"/>
    <w:rsid w:val="0071707E"/>
    <w:rsid w:val="00722E21"/>
    <w:rsid w:val="0074671C"/>
    <w:rsid w:val="0074762C"/>
    <w:rsid w:val="007508BE"/>
    <w:rsid w:val="00756679"/>
    <w:rsid w:val="007816E5"/>
    <w:rsid w:val="00782DBE"/>
    <w:rsid w:val="00782FEA"/>
    <w:rsid w:val="00786C53"/>
    <w:rsid w:val="00792E6C"/>
    <w:rsid w:val="00797E7E"/>
    <w:rsid w:val="007A68A1"/>
    <w:rsid w:val="007B218D"/>
    <w:rsid w:val="007B3EFA"/>
    <w:rsid w:val="007B6075"/>
    <w:rsid w:val="007D35E2"/>
    <w:rsid w:val="007D5E36"/>
    <w:rsid w:val="00800BB3"/>
    <w:rsid w:val="00800C97"/>
    <w:rsid w:val="00835E42"/>
    <w:rsid w:val="00864078"/>
    <w:rsid w:val="00873B3C"/>
    <w:rsid w:val="00875D2D"/>
    <w:rsid w:val="008C19D4"/>
    <w:rsid w:val="008C367E"/>
    <w:rsid w:val="008C53F8"/>
    <w:rsid w:val="008E4430"/>
    <w:rsid w:val="008F5F7A"/>
    <w:rsid w:val="00900106"/>
    <w:rsid w:val="00905043"/>
    <w:rsid w:val="00920E88"/>
    <w:rsid w:val="00925032"/>
    <w:rsid w:val="0094224F"/>
    <w:rsid w:val="0097043D"/>
    <w:rsid w:val="0097516C"/>
    <w:rsid w:val="00976519"/>
    <w:rsid w:val="009767A6"/>
    <w:rsid w:val="00990245"/>
    <w:rsid w:val="00991511"/>
    <w:rsid w:val="009C31AB"/>
    <w:rsid w:val="009E30CF"/>
    <w:rsid w:val="009E3234"/>
    <w:rsid w:val="009E5A88"/>
    <w:rsid w:val="009E6E7D"/>
    <w:rsid w:val="00A30CAF"/>
    <w:rsid w:val="00A30DF6"/>
    <w:rsid w:val="00A3222F"/>
    <w:rsid w:val="00A353CD"/>
    <w:rsid w:val="00A43DA5"/>
    <w:rsid w:val="00A454AB"/>
    <w:rsid w:val="00A630ED"/>
    <w:rsid w:val="00A6734C"/>
    <w:rsid w:val="00A71B2E"/>
    <w:rsid w:val="00A8424E"/>
    <w:rsid w:val="00A95210"/>
    <w:rsid w:val="00AB1612"/>
    <w:rsid w:val="00AB1D3D"/>
    <w:rsid w:val="00AB270B"/>
    <w:rsid w:val="00AB7F72"/>
    <w:rsid w:val="00AE222A"/>
    <w:rsid w:val="00AE4F7A"/>
    <w:rsid w:val="00B04479"/>
    <w:rsid w:val="00B138E0"/>
    <w:rsid w:val="00B26FB1"/>
    <w:rsid w:val="00B316FB"/>
    <w:rsid w:val="00B32337"/>
    <w:rsid w:val="00B53C3F"/>
    <w:rsid w:val="00B53FBE"/>
    <w:rsid w:val="00B764E0"/>
    <w:rsid w:val="00BA6743"/>
    <w:rsid w:val="00BC25D4"/>
    <w:rsid w:val="00BD2756"/>
    <w:rsid w:val="00BD7A49"/>
    <w:rsid w:val="00BE2E45"/>
    <w:rsid w:val="00BE3EB9"/>
    <w:rsid w:val="00BE48C0"/>
    <w:rsid w:val="00BE5343"/>
    <w:rsid w:val="00C20EB8"/>
    <w:rsid w:val="00C51D9C"/>
    <w:rsid w:val="00C56537"/>
    <w:rsid w:val="00C6025F"/>
    <w:rsid w:val="00C660EC"/>
    <w:rsid w:val="00C67CA2"/>
    <w:rsid w:val="00C73B35"/>
    <w:rsid w:val="00C77373"/>
    <w:rsid w:val="00C814F0"/>
    <w:rsid w:val="00CA0A60"/>
    <w:rsid w:val="00CA28B9"/>
    <w:rsid w:val="00CB0D4C"/>
    <w:rsid w:val="00CB1DE6"/>
    <w:rsid w:val="00CB3173"/>
    <w:rsid w:val="00CC7968"/>
    <w:rsid w:val="00CD3FF0"/>
    <w:rsid w:val="00CE12D9"/>
    <w:rsid w:val="00D06F8A"/>
    <w:rsid w:val="00D11141"/>
    <w:rsid w:val="00D143E7"/>
    <w:rsid w:val="00D15990"/>
    <w:rsid w:val="00D3584F"/>
    <w:rsid w:val="00D448DC"/>
    <w:rsid w:val="00D45994"/>
    <w:rsid w:val="00D521CE"/>
    <w:rsid w:val="00D778D6"/>
    <w:rsid w:val="00D82EDD"/>
    <w:rsid w:val="00D855EF"/>
    <w:rsid w:val="00D86A78"/>
    <w:rsid w:val="00DA3E5F"/>
    <w:rsid w:val="00DB255C"/>
    <w:rsid w:val="00DB4B18"/>
    <w:rsid w:val="00DB770F"/>
    <w:rsid w:val="00DC461B"/>
    <w:rsid w:val="00DC64E9"/>
    <w:rsid w:val="00DD54D0"/>
    <w:rsid w:val="00DE6E25"/>
    <w:rsid w:val="00E06805"/>
    <w:rsid w:val="00E10057"/>
    <w:rsid w:val="00E3532E"/>
    <w:rsid w:val="00E55405"/>
    <w:rsid w:val="00E55A95"/>
    <w:rsid w:val="00E564FB"/>
    <w:rsid w:val="00E6660D"/>
    <w:rsid w:val="00E66D11"/>
    <w:rsid w:val="00E9035B"/>
    <w:rsid w:val="00EA540A"/>
    <w:rsid w:val="00EC5445"/>
    <w:rsid w:val="00ED12EC"/>
    <w:rsid w:val="00ED7941"/>
    <w:rsid w:val="00EE1162"/>
    <w:rsid w:val="00EF33FA"/>
    <w:rsid w:val="00F302F7"/>
    <w:rsid w:val="00F814A6"/>
    <w:rsid w:val="00FA0CD8"/>
    <w:rsid w:val="00FC7E4B"/>
    <w:rsid w:val="00FC7F5E"/>
    <w:rsid w:val="00FE6DF8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EC8BC"/>
  <w15:docId w15:val="{F54298D1-0D45-4E21-A75F-3E89AD38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2">
    <w:name w:val="k02"/>
    <w:basedOn w:val="a"/>
    <w:rsid w:val="00A30DF6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4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59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2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2E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2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2E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72C38-B9E5-40DD-B6ED-9C843C34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227</Words>
  <Characters>1297</Characters>
  <Application>Microsoft Office Word</Application>
  <DocSecurity>0</DocSecurity>
  <Lines>10</Lines>
  <Paragraphs>3</Paragraphs>
  <ScaleCrop>false</ScaleCrop>
  <Company>weiboxuan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weiboxuan</dc:creator>
  <cp:lastModifiedBy>Microsoft Office User</cp:lastModifiedBy>
  <cp:revision>4</cp:revision>
  <cp:lastPrinted>2024-03-20T10:38:00Z</cp:lastPrinted>
  <dcterms:created xsi:type="dcterms:W3CDTF">2024-03-20T11:07:00Z</dcterms:created>
  <dcterms:modified xsi:type="dcterms:W3CDTF">2024-03-20T11:33:00Z</dcterms:modified>
</cp:coreProperties>
</file>