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18" w:rsidRDefault="004E5218" w:rsidP="004E5218">
      <w:pPr>
        <w:widowControl/>
        <w:spacing w:line="500" w:lineRule="exact"/>
        <w:textAlignment w:val="top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235164DA" wp14:editId="0496C422">
            <wp:extent cx="1132609" cy="226097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B98" w:rsidRPr="00AF5B98" w:rsidRDefault="00AF5B98" w:rsidP="004E5218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AF5B98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12393" wp14:editId="282EA73B">
                <wp:simplePos x="0" y="0"/>
                <wp:positionH relativeFrom="margin">
                  <wp:align>right</wp:align>
                </wp:positionH>
                <wp:positionV relativeFrom="paragraph">
                  <wp:posOffset>-354563</wp:posOffset>
                </wp:positionV>
                <wp:extent cx="91440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B98" w:rsidRPr="007366E9" w:rsidRDefault="00AF5B98" w:rsidP="00AF5B9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0.8pt;margin-top:-27.9pt;width:1in;height:2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m3gQIAABY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" stroked="f">
                <v:textbox>
                  <w:txbxContent>
                    <w:p w:rsidR="00AF5B98" w:rsidRPr="007366E9" w:rsidRDefault="00AF5B98" w:rsidP="00AF5B9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5B98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 回應稿</w:t>
      </w:r>
    </w:p>
    <w:p w:rsidR="00AF5B98" w:rsidRPr="00AF5B98" w:rsidRDefault="00AF5B98" w:rsidP="00AF5B98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color w:val="000000"/>
          <w:sz w:val="40"/>
          <w:szCs w:val="40"/>
        </w:rPr>
      </w:pPr>
    </w:p>
    <w:p w:rsidR="00AF5B98" w:rsidRPr="00AF5B98" w:rsidRDefault="00AF5B98" w:rsidP="00AF5B98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color w:val="000000"/>
          <w:sz w:val="40"/>
          <w:szCs w:val="40"/>
        </w:rPr>
      </w:pPr>
    </w:p>
    <w:p w:rsidR="00AF5B98" w:rsidRPr="00AF5B98" w:rsidRDefault="004E5218" w:rsidP="00AF5B98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政府推動各項建設，</w:t>
      </w:r>
      <w:r w:rsidR="006A3E83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仍</w:t>
      </w: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應以明確計畫規劃內容、確實落實財務規劃為原則</w:t>
      </w:r>
    </w:p>
    <w:p w:rsidR="00AF5B98" w:rsidRPr="00AF5B98" w:rsidRDefault="004E5218" w:rsidP="00AF5B98">
      <w:pPr>
        <w:snapToGrid w:val="0"/>
        <w:spacing w:line="500" w:lineRule="exact"/>
        <w:jc w:val="center"/>
        <w:rPr>
          <w:rFonts w:ascii="Calibri" w:eastAsia="標楷體" w:hAnsi="標楷體" w:cs="Times New Roman"/>
          <w:bCs/>
          <w:color w:val="000000"/>
          <w:sz w:val="28"/>
          <w:szCs w:val="28"/>
        </w:rPr>
      </w:pPr>
      <w:r w:rsidRPr="00AF5B98">
        <w:rPr>
          <w:rFonts w:ascii="Calibri" w:eastAsia="標楷體" w:hAnsi="標楷體" w:cs="Times New Roman"/>
          <w:bCs/>
          <w:color w:val="000000"/>
          <w:sz w:val="28"/>
          <w:szCs w:val="28"/>
        </w:rPr>
        <w:t xml:space="preserve"> </w:t>
      </w:r>
      <w:r w:rsidR="00AF5B98" w:rsidRPr="00AF5B98">
        <w:rPr>
          <w:rFonts w:ascii="Calibri" w:eastAsia="標楷體" w:hAnsi="標楷體" w:cs="Times New Roman"/>
          <w:bCs/>
          <w:color w:val="000000"/>
          <w:sz w:val="28"/>
          <w:szCs w:val="28"/>
        </w:rPr>
        <w:t>[</w:t>
      </w:r>
      <w:proofErr w:type="gramStart"/>
      <w:r w:rsidR="00E078AA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郭翡</w:t>
      </w:r>
      <w:proofErr w:type="gramEnd"/>
      <w:r w:rsidR="00E078AA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玉</w:t>
      </w:r>
      <w:r w:rsidR="00AF5B98" w:rsidRPr="00AF5B98">
        <w:rPr>
          <w:rFonts w:ascii="Calibri" w:eastAsia="標楷體" w:hAnsi="標楷體" w:cs="Times New Roman"/>
          <w:bCs/>
          <w:color w:val="000000"/>
          <w:sz w:val="28"/>
          <w:szCs w:val="28"/>
        </w:rPr>
        <w:t>/</w:t>
      </w:r>
      <w:r w:rsidR="00AF5B98" w:rsidRPr="00AF5B9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國家發展委員會</w:t>
      </w:r>
      <w:r w:rsidR="00E078AA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國土區離島發展處</w:t>
      </w:r>
      <w:r w:rsidR="00AF5B98" w:rsidRPr="00AF5B9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處長，電話：</w:t>
      </w:r>
      <w:r w:rsidR="00E078AA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23165351</w:t>
      </w:r>
      <w:r w:rsidR="00AF5B98" w:rsidRPr="00AF5B98">
        <w:rPr>
          <w:rFonts w:ascii="Calibri" w:eastAsia="標楷體" w:hAnsi="標楷體" w:cs="Times New Roman"/>
          <w:bCs/>
          <w:color w:val="000000"/>
          <w:sz w:val="28"/>
          <w:szCs w:val="28"/>
        </w:rPr>
        <w:t>]</w:t>
      </w:r>
    </w:p>
    <w:p w:rsidR="00AF5B98" w:rsidRPr="00AF5B98" w:rsidRDefault="00AF5B98" w:rsidP="00AF5B98">
      <w:pPr>
        <w:wordWrap w:val="0"/>
        <w:snapToGrid w:val="0"/>
        <w:spacing w:line="500" w:lineRule="exact"/>
        <w:jc w:val="right"/>
        <w:rPr>
          <w:rFonts w:ascii="Calibri" w:eastAsia="標楷體" w:hAnsi="Calibri" w:cs="Times New Roman"/>
          <w:bCs/>
          <w:color w:val="000000"/>
          <w:sz w:val="28"/>
          <w:szCs w:val="28"/>
        </w:rPr>
      </w:pPr>
      <w:r w:rsidRPr="00AF5B98">
        <w:rPr>
          <w:rFonts w:ascii="Calibri" w:eastAsia="標楷體" w:hAnsi="標楷體" w:cs="Times New Roman"/>
          <w:bCs/>
          <w:color w:val="000000"/>
          <w:sz w:val="28"/>
          <w:szCs w:val="28"/>
        </w:rPr>
        <w:t>10</w:t>
      </w:r>
      <w:r w:rsidR="004E521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6</w:t>
      </w:r>
      <w:r w:rsidRPr="00AF5B9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年</w:t>
      </w:r>
      <w:r w:rsidR="004E521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2</w:t>
      </w:r>
      <w:r w:rsidRPr="00AF5B9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月</w:t>
      </w:r>
      <w:r w:rsidR="00C14A70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9</w:t>
      </w:r>
      <w:bookmarkStart w:id="0" w:name="_GoBack"/>
      <w:bookmarkEnd w:id="0"/>
      <w:r w:rsidRPr="00AF5B9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AF5B98" w:rsidRPr="00AF5B98" w:rsidRDefault="004E5218" w:rsidP="00AF5B98">
      <w:pPr>
        <w:widowControl/>
        <w:spacing w:line="440" w:lineRule="exact"/>
        <w:ind w:firstLine="709"/>
        <w:jc w:val="both"/>
        <w:textAlignment w:val="top"/>
        <w:rPr>
          <w:rFonts w:ascii="Calibri" w:eastAsia="標楷體" w:hAnsi="Calibri" w:cs="Times New Roman"/>
          <w:color w:val="000000"/>
          <w:sz w:val="32"/>
          <w:szCs w:val="32"/>
        </w:rPr>
      </w:pPr>
      <w:r>
        <w:rPr>
          <w:rFonts w:ascii="Calibri" w:eastAsia="標楷體" w:hAnsi="Calibri" w:cs="Times New Roman" w:hint="eastAsia"/>
          <w:color w:val="000000"/>
          <w:sz w:val="32"/>
          <w:szCs w:val="32"/>
        </w:rPr>
        <w:t>有關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2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月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9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日報</w:t>
      </w:r>
      <w:r w:rsidR="003C08C2">
        <w:rPr>
          <w:rFonts w:ascii="Calibri" w:eastAsia="標楷體" w:hAnsi="Calibri" w:cs="Times New Roman" w:hint="eastAsia"/>
          <w:color w:val="000000"/>
          <w:sz w:val="32"/>
          <w:szCs w:val="32"/>
        </w:rPr>
        <w:t>載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對於</w:t>
      </w:r>
      <w:r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「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論政府兆元擴大內需的危機與因應之道</w:t>
      </w:r>
      <w:r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」</w:t>
      </w:r>
      <w:r w:rsidR="00CC137E" w:rsidRPr="00CC137E">
        <w:rPr>
          <w:rFonts w:ascii="標楷體" w:eastAsia="標楷體" w:hAnsi="標楷體" w:cs="Times New Roman" w:hint="eastAsia"/>
          <w:color w:val="000000"/>
          <w:sz w:val="32"/>
          <w:szCs w:val="32"/>
        </w:rPr>
        <w:t>一文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，</w:t>
      </w:r>
      <w:r w:rsidR="00CC137E">
        <w:rPr>
          <w:rFonts w:ascii="Calibri" w:eastAsia="標楷體" w:hAnsi="Calibri" w:cs="Times New Roman" w:hint="eastAsia"/>
          <w:color w:val="000000"/>
          <w:sz w:val="32"/>
          <w:szCs w:val="32"/>
        </w:rPr>
        <w:t>茲就為兼顧財政安定及避免浮濫支出下，</w:t>
      </w:r>
      <w:r>
        <w:rPr>
          <w:rFonts w:ascii="Calibri" w:eastAsia="標楷體" w:hAnsi="Calibri" w:cs="Times New Roman" w:hint="eastAsia"/>
          <w:color w:val="000000"/>
          <w:sz w:val="32"/>
          <w:szCs w:val="32"/>
        </w:rPr>
        <w:t>應速</w:t>
      </w:r>
      <w:proofErr w:type="gramStart"/>
      <w:r>
        <w:rPr>
          <w:rFonts w:ascii="Calibri" w:eastAsia="標楷體" w:hAnsi="Calibri" w:cs="Times New Roman" w:hint="eastAsia"/>
          <w:color w:val="000000"/>
          <w:sz w:val="32"/>
          <w:szCs w:val="32"/>
        </w:rPr>
        <w:t>速</w:t>
      </w:r>
      <w:proofErr w:type="gramEnd"/>
      <w:r>
        <w:rPr>
          <w:rFonts w:ascii="Calibri" w:eastAsia="標楷體" w:hAnsi="Calibri" w:cs="Times New Roman" w:hint="eastAsia"/>
          <w:color w:val="000000"/>
          <w:sz w:val="32"/>
          <w:szCs w:val="32"/>
        </w:rPr>
        <w:t>恢復</w:t>
      </w:r>
      <w:r w:rsidR="00CC137E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「</w:t>
      </w:r>
      <w:proofErr w:type="gramStart"/>
      <w:r>
        <w:rPr>
          <w:rFonts w:ascii="Calibri" w:eastAsia="標楷體" w:hAnsi="Calibri" w:cs="Times New Roman" w:hint="eastAsia"/>
          <w:color w:val="000000"/>
          <w:sz w:val="32"/>
          <w:szCs w:val="32"/>
        </w:rPr>
        <w:t>跨域加</w:t>
      </w:r>
      <w:proofErr w:type="gramEnd"/>
      <w:r>
        <w:rPr>
          <w:rFonts w:ascii="Calibri" w:eastAsia="標楷體" w:hAnsi="Calibri" w:cs="Times New Roman" w:hint="eastAsia"/>
          <w:color w:val="000000"/>
          <w:sz w:val="32"/>
          <w:szCs w:val="32"/>
        </w:rPr>
        <w:t>值公共建設財務規劃方案</w:t>
      </w:r>
      <w:r w:rsidR="00CC137E">
        <w:rPr>
          <w:rFonts w:ascii="新細明體" w:eastAsia="新細明體" w:hAnsi="新細明體" w:cs="Times New Roman" w:hint="eastAsia"/>
          <w:color w:val="000000"/>
          <w:sz w:val="32"/>
          <w:szCs w:val="32"/>
        </w:rPr>
        <w:t>」</w:t>
      </w:r>
      <w:r w:rsidR="00CC137E">
        <w:rPr>
          <w:rFonts w:ascii="Calibri" w:eastAsia="標楷體" w:hAnsi="Calibri" w:cs="Times New Roman" w:hint="eastAsia"/>
          <w:color w:val="000000"/>
          <w:sz w:val="32"/>
          <w:szCs w:val="32"/>
        </w:rPr>
        <w:t>之預算審查制度，國家發展委員會</w:t>
      </w:r>
      <w:r w:rsidR="00CC137E">
        <w:rPr>
          <w:rFonts w:ascii="Calibri" w:eastAsia="標楷體" w:hAnsi="Calibri" w:cs="Times New Roman" w:hint="eastAsia"/>
          <w:color w:val="000000"/>
          <w:sz w:val="32"/>
          <w:szCs w:val="32"/>
        </w:rPr>
        <w:t>(</w:t>
      </w:r>
      <w:r w:rsidR="00CC137E">
        <w:rPr>
          <w:rFonts w:ascii="Calibri" w:eastAsia="標楷體" w:hAnsi="Calibri" w:cs="Times New Roman" w:hint="eastAsia"/>
          <w:color w:val="000000"/>
          <w:sz w:val="32"/>
          <w:szCs w:val="32"/>
        </w:rPr>
        <w:t>以下簡稱國發會</w:t>
      </w:r>
      <w:r w:rsidR="00CC137E">
        <w:rPr>
          <w:rFonts w:ascii="Calibri" w:eastAsia="標楷體" w:hAnsi="Calibri" w:cs="Times New Roman" w:hint="eastAsia"/>
          <w:color w:val="000000"/>
          <w:sz w:val="32"/>
          <w:szCs w:val="32"/>
        </w:rPr>
        <w:t>)</w:t>
      </w:r>
      <w:r w:rsidR="00CC137E">
        <w:rPr>
          <w:rFonts w:ascii="Calibri" w:eastAsia="標楷體" w:hAnsi="Calibri" w:cs="Times New Roman" w:hint="eastAsia"/>
          <w:color w:val="000000"/>
          <w:sz w:val="32"/>
          <w:szCs w:val="32"/>
        </w:rPr>
        <w:t>回應如下：</w:t>
      </w:r>
    </w:p>
    <w:p w:rsidR="00CC137E" w:rsidRDefault="00CC137E" w:rsidP="00CC137E">
      <w:pPr>
        <w:widowControl/>
        <w:spacing w:line="440" w:lineRule="exact"/>
        <w:ind w:firstLine="505"/>
        <w:jc w:val="both"/>
        <w:textAlignment w:val="top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當初推動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跨域加</w:t>
      </w:r>
      <w:proofErr w:type="gramEnd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值公共建設財務規劃方案」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之構想，係為強化各部會對於</w:t>
      </w:r>
      <w:r w:rsidR="006A3E83">
        <w:rPr>
          <w:rFonts w:ascii="Times New Roman" w:eastAsia="標楷體" w:hAnsi="Times New Roman" w:cs="Times New Roman" w:hint="eastAsia"/>
          <w:sz w:val="32"/>
          <w:szCs w:val="32"/>
        </w:rPr>
        <w:t>建設</w:t>
      </w:r>
      <w:r>
        <w:rPr>
          <w:rFonts w:ascii="Times New Roman" w:eastAsia="標楷體" w:hAnsi="Times New Roman" w:cs="Times New Roman" w:hint="eastAsia"/>
          <w:sz w:val="32"/>
          <w:szCs w:val="32"/>
        </w:rPr>
        <w:t>主體與周邊之整合規劃，</w:t>
      </w:r>
      <w:r w:rsidR="00150FB8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150FB8" w:rsidRPr="006A3E83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="00150FB8">
        <w:rPr>
          <w:rFonts w:ascii="Times New Roman" w:eastAsia="標楷體" w:hAnsi="Times New Roman" w:cs="Times New Roman" w:hint="eastAsia"/>
          <w:sz w:val="32"/>
          <w:szCs w:val="32"/>
        </w:rPr>
        <w:t>跨域整合</w:t>
      </w:r>
      <w:proofErr w:type="gramEnd"/>
      <w:r w:rsidR="00150FB8" w:rsidRPr="006A3E83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150FB8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150FB8">
        <w:rPr>
          <w:rFonts w:ascii="新細明體" w:eastAsia="新細明體" w:hAnsi="新細明體" w:cs="Times New Roman" w:hint="eastAsia"/>
          <w:sz w:val="32"/>
          <w:szCs w:val="32"/>
        </w:rPr>
        <w:t>「</w:t>
      </w:r>
      <w:r w:rsidR="00150FB8">
        <w:rPr>
          <w:rFonts w:ascii="Times New Roman" w:eastAsia="標楷體" w:hAnsi="Times New Roman" w:cs="Times New Roman" w:hint="eastAsia"/>
          <w:sz w:val="32"/>
          <w:szCs w:val="32"/>
        </w:rPr>
        <w:t>外部效益</w:t>
      </w:r>
      <w:proofErr w:type="gramStart"/>
      <w:r w:rsidR="00150FB8">
        <w:rPr>
          <w:rFonts w:ascii="Times New Roman" w:eastAsia="標楷體" w:hAnsi="Times New Roman" w:cs="Times New Roman" w:hint="eastAsia"/>
          <w:sz w:val="32"/>
          <w:szCs w:val="32"/>
        </w:rPr>
        <w:t>內部化</w:t>
      </w:r>
      <w:proofErr w:type="gramEnd"/>
      <w:r w:rsidR="00150FB8">
        <w:rPr>
          <w:rFonts w:ascii="新細明體" w:eastAsia="新細明體" w:hAnsi="新細明體" w:cs="Times New Roman" w:hint="eastAsia"/>
          <w:sz w:val="32"/>
          <w:szCs w:val="32"/>
        </w:rPr>
        <w:t>」</w:t>
      </w:r>
      <w:r w:rsidR="00150FB8">
        <w:rPr>
          <w:rFonts w:ascii="Times New Roman" w:eastAsia="標楷體" w:hAnsi="Times New Roman" w:cs="Times New Roman" w:hint="eastAsia"/>
          <w:sz w:val="32"/>
          <w:szCs w:val="32"/>
        </w:rPr>
        <w:t>之概念，強調在政府</w:t>
      </w:r>
      <w:r>
        <w:rPr>
          <w:rFonts w:ascii="Times New Roman" w:eastAsia="標楷體" w:hAnsi="Times New Roman" w:cs="Times New Roman" w:hint="eastAsia"/>
          <w:sz w:val="32"/>
          <w:szCs w:val="32"/>
        </w:rPr>
        <w:t>財源有限下政府建設經費應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撙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節</w:t>
      </w:r>
      <w:r w:rsidR="006A3E83">
        <w:rPr>
          <w:rFonts w:ascii="Times New Roman" w:eastAsia="標楷體" w:hAnsi="Times New Roman" w:cs="Times New Roman" w:hint="eastAsia"/>
          <w:sz w:val="32"/>
          <w:szCs w:val="32"/>
        </w:rPr>
        <w:t>支出</w:t>
      </w:r>
      <w:r>
        <w:rPr>
          <w:rFonts w:ascii="Times New Roman" w:eastAsia="標楷體" w:hAnsi="Times New Roman" w:cs="Times New Roman" w:hint="eastAsia"/>
          <w:sz w:val="32"/>
          <w:szCs w:val="32"/>
        </w:rPr>
        <w:t>與開源之必要性。</w:t>
      </w:r>
    </w:p>
    <w:p w:rsidR="00CC137E" w:rsidRPr="006A3E83" w:rsidRDefault="00CC137E" w:rsidP="006A3E83">
      <w:pPr>
        <w:widowControl/>
        <w:spacing w:line="440" w:lineRule="exact"/>
        <w:ind w:firstLine="505"/>
        <w:jc w:val="both"/>
        <w:textAlignment w:val="top"/>
        <w:rPr>
          <w:rFonts w:ascii="Times New Roman" w:eastAsia="標楷體" w:hAnsi="Times New Roman" w:cs="Times New Roman"/>
          <w:sz w:val="32"/>
          <w:szCs w:val="32"/>
        </w:rPr>
      </w:pP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跨域加</w:t>
      </w:r>
      <w:proofErr w:type="gramEnd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值公共建設財務規劃方案」</w:t>
      </w:r>
      <w:r w:rsidR="003C08C2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行政院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101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日核定後，推動已逾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年，方案之推動已促成各部會至少完成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項創新性及制度性作法，並由交通部、經濟部、農委會、國軍退除役官兵輔導委員會、</w:t>
      </w:r>
      <w:proofErr w:type="gramStart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文化部等陸續</w:t>
      </w:r>
      <w:proofErr w:type="gramEnd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項部會內部審查作業要點並公告實施，成為部會內部作業規範</w:t>
      </w:r>
      <w:r w:rsidR="00046FF3">
        <w:rPr>
          <w:rFonts w:ascii="Times New Roman" w:eastAsia="標楷體" w:hAnsi="Times New Roman" w:cs="Times New Roman" w:hint="eastAsia"/>
          <w:sz w:val="32"/>
          <w:szCs w:val="32"/>
        </w:rPr>
        <w:t>。</w:t>
      </w:r>
      <w:proofErr w:type="gramStart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未完成訂定</w:t>
      </w:r>
      <w:proofErr w:type="gramEnd"/>
      <w:r w:rsidRPr="00CC137E">
        <w:rPr>
          <w:rFonts w:ascii="Times New Roman" w:eastAsia="標楷體" w:hAnsi="Times New Roman" w:cs="Times New Roman" w:hint="eastAsia"/>
          <w:sz w:val="32"/>
          <w:szCs w:val="32"/>
        </w:rPr>
        <w:t>之部會則依據本會訂頒之「公共建設計畫及周邊整合規劃申請與審查作業要點」作為通案性之規範</w:t>
      </w:r>
      <w:r w:rsidR="00150FB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150FB8">
        <w:rPr>
          <w:rFonts w:ascii="Times New Roman" w:eastAsia="標楷體" w:hAnsi="Times New Roman" w:cs="Times New Roman" w:hint="eastAsia"/>
          <w:sz w:val="32"/>
          <w:szCs w:val="32"/>
        </w:rPr>
        <w:t>爰跨域加</w:t>
      </w:r>
      <w:proofErr w:type="gramEnd"/>
      <w:r w:rsidR="00150FB8">
        <w:rPr>
          <w:rFonts w:ascii="Times New Roman" w:eastAsia="標楷體" w:hAnsi="Times New Roman" w:cs="Times New Roman" w:hint="eastAsia"/>
          <w:sz w:val="32"/>
          <w:szCs w:val="32"/>
        </w:rPr>
        <w:t>值之作法與精神</w:t>
      </w:r>
      <w:r w:rsidR="00046FF3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="00150FB8">
        <w:rPr>
          <w:rFonts w:ascii="Times New Roman" w:eastAsia="標楷體" w:hAnsi="Times New Roman" w:cs="Times New Roman" w:hint="eastAsia"/>
          <w:sz w:val="32"/>
          <w:szCs w:val="32"/>
        </w:rPr>
        <w:t>落實各單位之審查作業規範中，</w:t>
      </w:r>
      <w:r w:rsidRPr="00CC137E">
        <w:rPr>
          <w:rFonts w:ascii="Times New Roman" w:eastAsia="標楷體" w:hAnsi="Times New Roman" w:cs="Times New Roman" w:hint="eastAsia"/>
          <w:sz w:val="32"/>
          <w:szCs w:val="32"/>
        </w:rPr>
        <w:t>達成階段性目標</w:t>
      </w:r>
      <w:r w:rsidR="00046FF3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1E3DD5">
        <w:rPr>
          <w:rFonts w:ascii="Times New Roman" w:eastAsia="標楷體" w:hAnsi="Times New Roman" w:cs="Times New Roman" w:hint="eastAsia"/>
          <w:sz w:val="32"/>
          <w:szCs w:val="32"/>
        </w:rPr>
        <w:t>後續</w:t>
      </w:r>
      <w:r w:rsidRPr="006A3E83">
        <w:rPr>
          <w:rFonts w:ascii="Times New Roman" w:eastAsia="標楷體" w:hAnsi="Times New Roman" w:cs="Times New Roman" w:hint="eastAsia"/>
          <w:sz w:val="32"/>
          <w:szCs w:val="32"/>
        </w:rPr>
        <w:t>公共建設之審議</w:t>
      </w:r>
      <w:r w:rsidR="00046FF3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Pr="006A3E83">
        <w:rPr>
          <w:rFonts w:ascii="Times New Roman" w:eastAsia="標楷體" w:hAnsi="Times New Roman" w:cs="Times New Roman" w:hint="eastAsia"/>
          <w:sz w:val="32"/>
          <w:szCs w:val="32"/>
        </w:rPr>
        <w:t>回歸預算法及各部會現行法規</w:t>
      </w:r>
      <w:r w:rsidR="00046FF3">
        <w:rPr>
          <w:rFonts w:ascii="Times New Roman" w:eastAsia="標楷體" w:hAnsi="Times New Roman" w:cs="Times New Roman" w:hint="eastAsia"/>
          <w:sz w:val="32"/>
          <w:szCs w:val="32"/>
        </w:rPr>
        <w:t>所有計畫之</w:t>
      </w:r>
      <w:r w:rsidR="006A3E83">
        <w:rPr>
          <w:rFonts w:ascii="Times New Roman" w:eastAsia="標楷體" w:hAnsi="Times New Roman" w:cs="Times New Roman" w:hint="eastAsia"/>
          <w:sz w:val="32"/>
          <w:szCs w:val="32"/>
        </w:rPr>
        <w:t>財務規劃</w:t>
      </w:r>
      <w:r w:rsidR="00046FF3">
        <w:rPr>
          <w:rFonts w:ascii="Times New Roman" w:eastAsia="標楷體" w:hAnsi="Times New Roman" w:cs="Times New Roman" w:hint="eastAsia"/>
          <w:sz w:val="32"/>
          <w:szCs w:val="32"/>
        </w:rPr>
        <w:t>均包括</w:t>
      </w:r>
      <w:r w:rsidR="006A3E83">
        <w:rPr>
          <w:rFonts w:ascii="Times New Roman" w:eastAsia="標楷體" w:hAnsi="Times New Roman" w:cs="Times New Roman" w:hint="eastAsia"/>
          <w:sz w:val="32"/>
          <w:szCs w:val="32"/>
        </w:rPr>
        <w:t>自償率計畫。</w:t>
      </w:r>
    </w:p>
    <w:p w:rsidR="00AF5B98" w:rsidRDefault="00AF5B98">
      <w:pPr>
        <w:widowControl/>
      </w:pPr>
    </w:p>
    <w:sectPr w:rsidR="00AF5B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D7" w:rsidRDefault="00A33BD7" w:rsidP="00AD17CF">
      <w:r>
        <w:separator/>
      </w:r>
    </w:p>
  </w:endnote>
  <w:endnote w:type="continuationSeparator" w:id="0">
    <w:p w:rsidR="00A33BD7" w:rsidRDefault="00A33BD7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D7" w:rsidRDefault="00A33BD7" w:rsidP="00AD17CF">
      <w:r>
        <w:separator/>
      </w:r>
    </w:p>
  </w:footnote>
  <w:footnote w:type="continuationSeparator" w:id="0">
    <w:p w:rsidR="00A33BD7" w:rsidRDefault="00A33BD7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46FF3"/>
    <w:rsid w:val="00150FB8"/>
    <w:rsid w:val="001E3DD5"/>
    <w:rsid w:val="00231CFF"/>
    <w:rsid w:val="002A1849"/>
    <w:rsid w:val="003349EB"/>
    <w:rsid w:val="003C08C2"/>
    <w:rsid w:val="003F3254"/>
    <w:rsid w:val="004547B8"/>
    <w:rsid w:val="004E5218"/>
    <w:rsid w:val="005C6813"/>
    <w:rsid w:val="00660713"/>
    <w:rsid w:val="006A0992"/>
    <w:rsid w:val="006A3E83"/>
    <w:rsid w:val="00740FC1"/>
    <w:rsid w:val="007918F4"/>
    <w:rsid w:val="00826C9D"/>
    <w:rsid w:val="00865949"/>
    <w:rsid w:val="00954A13"/>
    <w:rsid w:val="00A33BD7"/>
    <w:rsid w:val="00AD17CF"/>
    <w:rsid w:val="00AF5B98"/>
    <w:rsid w:val="00B13BEC"/>
    <w:rsid w:val="00C14A70"/>
    <w:rsid w:val="00C31899"/>
    <w:rsid w:val="00CC137E"/>
    <w:rsid w:val="00CF037C"/>
    <w:rsid w:val="00D3711E"/>
    <w:rsid w:val="00E078AA"/>
    <w:rsid w:val="00E60EA5"/>
    <w:rsid w:val="00EE7F4E"/>
    <w:rsid w:val="00F73F26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王濟蕙</cp:lastModifiedBy>
  <cp:revision>4</cp:revision>
  <cp:lastPrinted>2017-02-09T06:47:00Z</cp:lastPrinted>
  <dcterms:created xsi:type="dcterms:W3CDTF">2017-02-09T09:05:00Z</dcterms:created>
  <dcterms:modified xsi:type="dcterms:W3CDTF">2017-02-09T09:16:00Z</dcterms:modified>
</cp:coreProperties>
</file>