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FC7FB6" w:rsidRDefault="00D3711E" w:rsidP="004547B8">
      <w:pPr>
        <w:rPr>
          <w:rFonts w:ascii="微軟正黑體" w:eastAsia="微軟正黑體" w:hAnsi="微軟正黑體" w:cs="Times New Roman"/>
          <w:b/>
          <w:sz w:val="27"/>
        </w:rPr>
      </w:pPr>
      <w:r w:rsidRPr="00FC7FB6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2910F833" wp14:editId="0B0E8FDA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F3" w:rsidRPr="00FC7FB6" w:rsidRDefault="004147F3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FC7FB6">
        <w:rPr>
          <w:rFonts w:ascii="微軟正黑體" w:eastAsia="微軟正黑體" w:hAnsi="微軟正黑體" w:cs="Times New Roman"/>
          <w:b/>
          <w:sz w:val="32"/>
          <w:szCs w:val="32"/>
        </w:rPr>
        <w:t xml:space="preserve">國家發展委員會 </w:t>
      </w:r>
      <w:r w:rsidRPr="00FC7FB6">
        <w:rPr>
          <w:rFonts w:ascii="微軟正黑體" w:eastAsia="微軟正黑體" w:hAnsi="微軟正黑體" w:cs="Times New Roman" w:hint="eastAsia"/>
          <w:b/>
          <w:sz w:val="32"/>
          <w:szCs w:val="32"/>
        </w:rPr>
        <w:t>新聞</w:t>
      </w:r>
      <w:r w:rsidRPr="00FC7FB6">
        <w:rPr>
          <w:rFonts w:ascii="微軟正黑體" w:eastAsia="微軟正黑體" w:hAnsi="微軟正黑體" w:cs="Times New Roman"/>
          <w:b/>
          <w:sz w:val="32"/>
          <w:szCs w:val="32"/>
        </w:rPr>
        <w:t>稿</w:t>
      </w:r>
    </w:p>
    <w:p w:rsidR="004147F3" w:rsidRPr="00FC7FB6" w:rsidRDefault="00090F68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0" w:name="_GoBack"/>
      <w:proofErr w:type="gramStart"/>
      <w:r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２</w:t>
      </w:r>
      <w:proofErr w:type="gramEnd"/>
      <w:r w:rsidR="004147F3" w:rsidRPr="00FC7FB6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月物價情勢說明</w:t>
      </w:r>
    </w:p>
    <w:bookmarkEnd w:id="0"/>
    <w:p w:rsidR="004147F3" w:rsidRPr="00FC7FB6" w:rsidRDefault="004147F3" w:rsidP="003D514B">
      <w:pPr>
        <w:spacing w:beforeLines="50" w:before="180" w:line="460" w:lineRule="exact"/>
        <w:jc w:val="center"/>
        <w:rPr>
          <w:rFonts w:ascii="微軟正黑體" w:eastAsia="微軟正黑體" w:hAnsi="微軟正黑體" w:cs="Times New Roman"/>
          <w:szCs w:val="24"/>
        </w:rPr>
      </w:pPr>
      <w:r w:rsidRPr="00FC7FB6">
        <w:rPr>
          <w:rFonts w:ascii="微軟正黑體" w:eastAsia="微軟正黑體" w:hAnsi="微軟正黑體" w:cs="Times New Roman"/>
          <w:szCs w:val="24"/>
        </w:rPr>
        <w:t>[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吳明蕙</w:t>
      </w:r>
      <w:r w:rsidRPr="00FC7FB6">
        <w:rPr>
          <w:rFonts w:ascii="微軟正黑體" w:eastAsia="微軟正黑體" w:hAnsi="微軟正黑體" w:cs="Times New Roman"/>
          <w:szCs w:val="24"/>
        </w:rPr>
        <w:t>/國家發展委員會</w:t>
      </w:r>
      <w:r w:rsidRPr="00FC7FB6">
        <w:rPr>
          <w:rFonts w:ascii="微軟正黑體" w:eastAsia="微軟正黑體" w:hAnsi="微軟正黑體" w:cs="Times New Roman" w:hint="eastAsia"/>
          <w:szCs w:val="24"/>
        </w:rPr>
        <w:t>經濟發展</w:t>
      </w:r>
      <w:r w:rsidRPr="00FC7FB6">
        <w:rPr>
          <w:rFonts w:ascii="微軟正黑體" w:eastAsia="微軟正黑體" w:hAnsi="微軟正黑體" w:cs="Times New Roman"/>
          <w:szCs w:val="24"/>
        </w:rPr>
        <w:t>處處長，電話：02-2316-585</w:t>
      </w:r>
      <w:r w:rsidR="00B50D62" w:rsidRPr="00FC7FB6">
        <w:rPr>
          <w:rFonts w:ascii="微軟正黑體" w:eastAsia="微軟正黑體" w:hAnsi="微軟正黑體" w:cs="Times New Roman" w:hint="eastAsia"/>
          <w:szCs w:val="24"/>
        </w:rPr>
        <w:t>1</w:t>
      </w:r>
      <w:r w:rsidRPr="00FC7FB6">
        <w:rPr>
          <w:rFonts w:ascii="微軟正黑體" w:eastAsia="微軟正黑體" w:hAnsi="微軟正黑體" w:cs="Times New Roman"/>
          <w:szCs w:val="24"/>
        </w:rPr>
        <w:t>]</w:t>
      </w:r>
    </w:p>
    <w:p w:rsidR="004147F3" w:rsidRPr="00FC7FB6" w:rsidRDefault="004147F3" w:rsidP="00BE2EEF">
      <w:pPr>
        <w:spacing w:line="460" w:lineRule="exact"/>
        <w:jc w:val="right"/>
        <w:rPr>
          <w:rFonts w:ascii="微軟正黑體" w:eastAsia="微軟正黑體" w:hAnsi="微軟正黑體" w:cs="Times New Roman"/>
          <w:szCs w:val="24"/>
        </w:rPr>
      </w:pPr>
      <w:r w:rsidRPr="00FC7FB6">
        <w:rPr>
          <w:rFonts w:ascii="微軟正黑體" w:eastAsia="微軟正黑體" w:hAnsi="微軟正黑體" w:cs="Times New Roman"/>
          <w:szCs w:val="24"/>
        </w:rPr>
        <w:t>10</w:t>
      </w:r>
      <w:r w:rsidR="0048596D">
        <w:rPr>
          <w:rFonts w:ascii="微軟正黑體" w:eastAsia="微軟正黑體" w:hAnsi="微軟正黑體" w:cs="Times New Roman" w:hint="eastAsia"/>
          <w:szCs w:val="24"/>
        </w:rPr>
        <w:t>4</w:t>
      </w:r>
      <w:r w:rsidRPr="00FC7FB6">
        <w:rPr>
          <w:rFonts w:ascii="微軟正黑體" w:eastAsia="微軟正黑體" w:hAnsi="微軟正黑體" w:cs="Times New Roman"/>
          <w:szCs w:val="24"/>
        </w:rPr>
        <w:t>年</w:t>
      </w:r>
      <w:r w:rsidR="002804BB">
        <w:rPr>
          <w:rFonts w:ascii="微軟正黑體" w:eastAsia="微軟正黑體" w:hAnsi="微軟正黑體" w:cs="Times New Roman" w:hint="eastAsia"/>
          <w:szCs w:val="24"/>
        </w:rPr>
        <w:t>3</w:t>
      </w:r>
      <w:r w:rsidRPr="00FC7FB6">
        <w:rPr>
          <w:rFonts w:ascii="微軟正黑體" w:eastAsia="微軟正黑體" w:hAnsi="微軟正黑體" w:cs="Times New Roman"/>
          <w:szCs w:val="24"/>
        </w:rPr>
        <w:t>月</w:t>
      </w:r>
      <w:r w:rsidR="002804BB">
        <w:rPr>
          <w:rFonts w:ascii="微軟正黑體" w:eastAsia="微軟正黑體" w:hAnsi="微軟正黑體" w:cs="Times New Roman" w:hint="eastAsia"/>
          <w:szCs w:val="24"/>
        </w:rPr>
        <w:t>9</w:t>
      </w:r>
      <w:r w:rsidRPr="00FC7FB6">
        <w:rPr>
          <w:rFonts w:ascii="微軟正黑體" w:eastAsia="微軟正黑體" w:hAnsi="微軟正黑體" w:cs="Times New Roman"/>
          <w:szCs w:val="24"/>
        </w:rPr>
        <w:t>日</w:t>
      </w:r>
    </w:p>
    <w:p w:rsidR="00CD36B0" w:rsidRPr="00044103" w:rsidRDefault="0048596D" w:rsidP="00312018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color w:val="F79646" w:themeColor="accent6"/>
          <w:kern w:val="0"/>
          <w:sz w:val="30"/>
          <w:szCs w:val="30"/>
        </w:rPr>
      </w:pPr>
      <w:r w:rsidRPr="00421BC8">
        <w:rPr>
          <w:rFonts w:ascii="微軟正黑體" w:eastAsia="微軟正黑體" w:hAnsi="微軟正黑體" w:cs="Times New Roman" w:hint="eastAsia"/>
          <w:bCs/>
          <w:sz w:val="30"/>
          <w:szCs w:val="30"/>
        </w:rPr>
        <w:t>今</w:t>
      </w:r>
      <w:r w:rsidR="00CC16F2" w:rsidRPr="00421BC8">
        <w:rPr>
          <w:rFonts w:ascii="微軟正黑體" w:eastAsia="微軟正黑體" w:hAnsi="微軟正黑體" w:cs="Times New Roman"/>
          <w:bCs/>
          <w:sz w:val="30"/>
          <w:szCs w:val="30"/>
        </w:rPr>
        <w:t>（</w:t>
      </w:r>
      <w:r w:rsidRPr="00421BC8">
        <w:rPr>
          <w:rFonts w:ascii="微軟正黑體" w:eastAsia="微軟正黑體" w:hAnsi="微軟正黑體" w:cs="Times New Roman"/>
          <w:bCs/>
          <w:sz w:val="30"/>
          <w:szCs w:val="30"/>
        </w:rPr>
        <w:t>10</w:t>
      </w:r>
      <w:r w:rsidRPr="00421BC8">
        <w:rPr>
          <w:rFonts w:ascii="微軟正黑體" w:eastAsia="微軟正黑體" w:hAnsi="微軟正黑體" w:cs="Times New Roman" w:hint="eastAsia"/>
          <w:bCs/>
          <w:sz w:val="30"/>
          <w:szCs w:val="30"/>
        </w:rPr>
        <w:t>4</w:t>
      </w:r>
      <w:r w:rsidR="00CC16F2" w:rsidRPr="00421BC8">
        <w:rPr>
          <w:rFonts w:ascii="微軟正黑體" w:eastAsia="微軟正黑體" w:hAnsi="微軟正黑體" w:cs="Times New Roman"/>
          <w:bCs/>
          <w:sz w:val="30"/>
          <w:szCs w:val="30"/>
        </w:rPr>
        <w:t>）</w:t>
      </w:r>
      <w:r w:rsidR="00CC16F2" w:rsidRPr="00421BC8">
        <w:rPr>
          <w:rFonts w:ascii="微軟正黑體" w:eastAsia="微軟正黑體" w:hAnsi="微軟正黑體" w:cs="Times New Roman" w:hint="eastAsia"/>
          <w:bCs/>
          <w:sz w:val="30"/>
          <w:szCs w:val="30"/>
        </w:rPr>
        <w:t>年</w:t>
      </w:r>
      <w:r w:rsidR="002804BB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</w:t>
      </w:r>
      <w:r w:rsidR="00CC16F2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CC16F2" w:rsidRPr="00421BC8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消費者物價指數</w:t>
      </w:r>
      <w:r w:rsidR="00CC16F2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（</w:t>
      </w:r>
      <w:r w:rsidR="00CC16F2" w:rsidRPr="00421BC8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CPI</w:t>
      </w:r>
      <w:r w:rsidR="007F7680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）較</w:t>
      </w:r>
      <w:r w:rsidR="00EA20C9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去</w:t>
      </w:r>
      <w:r w:rsidR="007F7680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年同月下跌</w:t>
      </w:r>
      <w:r w:rsidR="00436D64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0.19</w:t>
      </w:r>
      <w:r w:rsidR="00CC16F2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%；</w:t>
      </w:r>
      <w:r w:rsidR="00EA20C9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較</w:t>
      </w:r>
      <w:r w:rsidR="002804BB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上</w:t>
      </w:r>
      <w:r w:rsidR="00CC16F2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436D64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則上漲0.36</w:t>
      </w:r>
      <w:r w:rsidR="00CC16F2" w:rsidRPr="00421BC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%。</w:t>
      </w:r>
      <w:r w:rsidR="00EA20C9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其中，</w:t>
      </w:r>
      <w:proofErr w:type="gramStart"/>
      <w:r w:rsidR="00EA20C9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權重較大</w:t>
      </w:r>
      <w:proofErr w:type="gramEnd"/>
      <w:r w:rsidR="00EA20C9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的水果價格及油料費</w:t>
      </w:r>
      <w:r w:rsidR="00467CD0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較去年同</w:t>
      </w:r>
      <w:proofErr w:type="gramStart"/>
      <w:r w:rsidR="00467CD0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EA20C9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均呈下跌</w:t>
      </w:r>
      <w:proofErr w:type="gramEnd"/>
      <w:r w:rsidR="00EA20C9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；</w:t>
      </w:r>
      <w:proofErr w:type="gramStart"/>
      <w:r w:rsidR="0098356A" w:rsidRPr="0004056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惟</w:t>
      </w:r>
      <w:r w:rsid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受禽</w:t>
      </w:r>
      <w:r w:rsidR="00160A8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肉</w:t>
      </w:r>
      <w:proofErr w:type="gramEnd"/>
      <w:r w:rsid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消費替代效應</w:t>
      </w:r>
      <w:r w:rsidR="00FA52DD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、</w:t>
      </w:r>
      <w:r w:rsid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農曆春節</w:t>
      </w:r>
      <w:r w:rsidR="00FA52DD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需求增加，致</w:t>
      </w:r>
      <w:r w:rsidR="00FA52DD" w:rsidRPr="00467CD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肉類及蛋類價格漲幅較大。</w:t>
      </w:r>
      <w:r w:rsidR="00CD36B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行政院「穩定物價小組」持續密切掌握各類農畜產品</w:t>
      </w:r>
      <w:r w:rsidR="00CD36B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</w:t>
      </w:r>
      <w:r w:rsidR="00CD36B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重要民生</w:t>
      </w:r>
      <w:r w:rsidR="00CD36B0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物資</w:t>
      </w:r>
      <w:r w:rsidR="00CD36B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市場行情</w:t>
      </w:r>
      <w:r w:rsidR="00CD36B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CD36B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並</w:t>
      </w:r>
      <w:r w:rsidR="00CD36B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加強執行各項調配措施</w:t>
      </w:r>
      <w:r w:rsidR="00CD36B0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，確保充</w:t>
      </w:r>
      <w:r w:rsidR="00CD36B0" w:rsidRPr="006D3E14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裕</w:t>
      </w:r>
      <w:r w:rsidR="00CD36B0" w:rsidRPr="006D3E14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國人消費需求</w:t>
      </w:r>
      <w:r w:rsid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，提供多元選擇</w:t>
      </w:r>
      <w:r w:rsidR="00044103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。</w:t>
      </w:r>
    </w:p>
    <w:p w:rsidR="004547B8" w:rsidRPr="004B5455" w:rsidRDefault="00665FBD" w:rsidP="003D514B">
      <w:pPr>
        <w:adjustRightInd w:val="0"/>
        <w:snapToGrid w:val="0"/>
        <w:spacing w:beforeLines="100" w:before="360" w:afterLines="50" w:after="180" w:line="48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一</w:t>
      </w:r>
      <w:r w:rsidR="00D35B53" w:rsidRPr="006D3E1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、</w:t>
      </w:r>
      <w:r w:rsidR="001F408D" w:rsidRPr="004B5455">
        <w:rPr>
          <w:rFonts w:ascii="微軟正黑體" w:eastAsia="微軟正黑體" w:hAnsi="微軟正黑體" w:cs="Times New Roman" w:hint="eastAsia"/>
          <w:b/>
          <w:bCs/>
          <w:kern w:val="0"/>
          <w:sz w:val="30"/>
          <w:szCs w:val="30"/>
        </w:rPr>
        <w:t>積極穩定農產品供需</w:t>
      </w:r>
      <w:r w:rsidR="004B5455" w:rsidRPr="004B5455">
        <w:rPr>
          <w:rFonts w:ascii="微軟正黑體" w:eastAsia="微軟正黑體" w:hAnsi="微軟正黑體" w:cs="Times New Roman" w:hint="eastAsia"/>
          <w:b/>
          <w:bCs/>
          <w:kern w:val="0"/>
          <w:sz w:val="30"/>
          <w:szCs w:val="30"/>
        </w:rPr>
        <w:t>，保障消費者權益</w:t>
      </w:r>
    </w:p>
    <w:p w:rsidR="00FC66F0" w:rsidRPr="002B48C9" w:rsidRDefault="00BF011D" w:rsidP="00312018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color w:val="FF0000"/>
          <w:kern w:val="0"/>
          <w:sz w:val="30"/>
          <w:szCs w:val="30"/>
        </w:rPr>
      </w:pPr>
      <w:r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今</w:t>
      </w:r>
      <w:r w:rsidR="00524A82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年</w:t>
      </w:r>
      <w:r w:rsidR="00421BC8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2</w:t>
      </w:r>
      <w:r w:rsidR="00524A82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月肉類及蛋</w:t>
      </w:r>
      <w:r w:rsidR="00524A82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類價</w:t>
      </w:r>
      <w:r w:rsidR="00524A82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格較</w:t>
      </w:r>
      <w:r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去</w:t>
      </w:r>
      <w:r w:rsidR="00524A82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年同月漲幅較高，致使食物類價格上漲</w:t>
      </w:r>
      <w:r w:rsidR="00421BC8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3.12</w:t>
      </w:r>
      <w:r w:rsidR="00524A82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%，並帶</w:t>
      </w:r>
      <w:r w:rsidR="00524A82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動</w:t>
      </w:r>
      <w:proofErr w:type="gramStart"/>
      <w:r w:rsidR="00524A82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外食費及</w:t>
      </w:r>
      <w:proofErr w:type="gramEnd"/>
      <w:r w:rsidR="00524A82" w:rsidRPr="00E405C6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17</w:t>
      </w:r>
      <w:r w:rsidR="00524A82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項重要民生物資價格</w:t>
      </w:r>
      <w:r w:rsidR="00421BC8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皆</w:t>
      </w:r>
      <w:r w:rsidR="00524A82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上漲</w:t>
      </w:r>
      <w:r w:rsidR="003E14D8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3</w:t>
      </w:r>
      <w:r w:rsidR="00421BC8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.76</w:t>
      </w:r>
      <w:r w:rsidR="00524A82" w:rsidRPr="00E405C6">
        <w:rPr>
          <w:rFonts w:ascii="微軟正黑體" w:eastAsia="微軟正黑體" w:hAnsi="微軟正黑體" w:cs="Times New Roman"/>
          <w:bCs/>
          <w:sz w:val="30"/>
          <w:szCs w:val="30"/>
        </w:rPr>
        <w:t>%</w:t>
      </w:r>
      <w:r w:rsidR="00E405C6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；但</w:t>
      </w:r>
      <w:r w:rsidR="00156F25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食物類價格較</w:t>
      </w:r>
      <w:r w:rsidR="00156F25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1月已跌</w:t>
      </w:r>
      <w:r w:rsidR="00421BC8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1.32</w:t>
      </w:r>
      <w:r w:rsidR="00156F25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E405C6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，主</w:t>
      </w:r>
      <w:r w:rsidR="00E405C6" w:rsidRPr="00E405C6">
        <w:rPr>
          <w:rFonts w:ascii="微軟正黑體" w:eastAsia="微軟正黑體" w:hAnsi="微軟正黑體" w:cs="Times New Roman" w:hint="eastAsia"/>
          <w:bCs/>
          <w:sz w:val="30"/>
          <w:szCs w:val="30"/>
        </w:rPr>
        <w:t>因蔬菜供量充裕</w:t>
      </w:r>
      <w:r w:rsidR="00524A82" w:rsidRPr="00E405C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700F4E" w:rsidRDefault="008D50C4" w:rsidP="00312018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2月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毛豬價格</w:t>
      </w:r>
      <w:proofErr w:type="gramStart"/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雖</w:t>
      </w:r>
      <w:r w:rsidR="00EF09F8" w:rsidRPr="00F74F2B">
        <w:rPr>
          <w:rFonts w:ascii="微軟正黑體" w:eastAsia="微軟正黑體" w:hAnsi="微軟正黑體" w:cs="Times New Roman" w:hint="eastAsia"/>
          <w:bCs/>
          <w:sz w:val="30"/>
          <w:szCs w:val="30"/>
        </w:rPr>
        <w:t>受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禽流</w:t>
      </w:r>
      <w:proofErr w:type="gramEnd"/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感移轉豬肉消費及</w:t>
      </w:r>
      <w:r w:rsidR="00F74F2B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適逢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農曆春節</w:t>
      </w:r>
      <w:r w:rsidR="00F74F2B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需求量增</w:t>
      </w:r>
      <w:r w:rsidR="00700F4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價格漲幅較大</w:t>
      </w:r>
      <w:r w:rsidR="0097468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致肉類價格漲幅明顯，</w:t>
      </w:r>
      <w:r w:rsidR="00974685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惟</w:t>
      </w:r>
      <w:r w:rsidR="0097468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在</w:t>
      </w:r>
      <w:r w:rsidR="00974685" w:rsidRPr="00974685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農委會持續監控批發市場行情變動及落實調配供應</w:t>
      </w:r>
      <w:r w:rsidR="0097468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下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，自春節後，</w:t>
      </w:r>
      <w:r w:rsidR="00720590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3月上旬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批發價格已由</w:t>
      </w:r>
      <w:r w:rsidR="00E769F3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2月2日的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每公斤8</w:t>
      </w:r>
      <w:r w:rsidR="00E769F3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3.6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元</w:t>
      </w:r>
      <w:r w:rsidR="00720590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回落至每公斤</w:t>
      </w:r>
      <w:r w:rsidR="00720590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約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72元，價格</w:t>
      </w:r>
      <w:proofErr w:type="gramStart"/>
      <w:r w:rsidR="00AB056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已趨</w:t>
      </w:r>
      <w:r w:rsidR="00EF09F8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回穩</w:t>
      </w:r>
      <w:proofErr w:type="gramEnd"/>
      <w:r w:rsidR="00700F4E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EA4D75" w:rsidRDefault="008D50C4" w:rsidP="00BA43E1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2月</w:t>
      </w:r>
      <w:r w:rsidR="00BF29B4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散裝雞蛋產地價格</w:t>
      </w:r>
      <w:r w:rsidR="003C12F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平均約</w:t>
      </w:r>
      <w:r w:rsidR="00BF29B4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每台斤31.6元，</w:t>
      </w:r>
      <w:r w:rsidR="003C12F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較</w:t>
      </w:r>
      <w:proofErr w:type="gramStart"/>
      <w:r w:rsidR="003C12F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１</w:t>
      </w:r>
      <w:proofErr w:type="gramEnd"/>
      <w:r w:rsidR="003C12F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月的32.8</w:t>
      </w:r>
      <w:r w:rsidR="003C12FB" w:rsidRPr="0002029A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元</w:t>
      </w:r>
      <w:r w:rsidR="003C12F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回穩</w:t>
      </w:r>
      <w:r w:rsidR="00BF29B4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7D3AA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惟</w:t>
      </w:r>
      <w:r w:rsidR="00BB360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因</w:t>
      </w:r>
      <w:r w:rsidR="00BF29B4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適逢農曆春節，餐飲及糕餅業者需求增加，致</w:t>
      </w:r>
      <w:r w:rsidR="007D3AA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雞蛋</w:t>
      </w:r>
      <w:r w:rsidR="00BF29B4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零售端價格</w:t>
      </w:r>
      <w:r w:rsidR="007D3AA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較</w:t>
      </w:r>
      <w:r w:rsidR="00BB360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去</w:t>
      </w:r>
      <w:r w:rsidR="007D3AA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年同月上漲13.</w:t>
      </w:r>
      <w:r w:rsidR="000C5EA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5</w:t>
      </w:r>
      <w:r w:rsidR="007D3AA6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BF29B4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E5750E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為保障消費者權益，農委會與相關單位持續監控</w:t>
      </w:r>
      <w:r w:rsidR="008E7182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產銷</w:t>
      </w:r>
      <w:r w:rsidR="00E5750E" w:rsidRPr="00F74F2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，如有異常，將依法查處。</w:t>
      </w:r>
    </w:p>
    <w:p w:rsidR="003D514B" w:rsidRPr="00F74F2B" w:rsidRDefault="003D514B" w:rsidP="00312018">
      <w:pPr>
        <w:adjustRightInd w:val="0"/>
        <w:snapToGrid w:val="0"/>
        <w:spacing w:beforeLines="50" w:before="180" w:afterLines="25" w:after="90" w:line="42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</w:p>
    <w:p w:rsidR="006C5301" w:rsidRPr="00AB775B" w:rsidRDefault="00FE4E0F" w:rsidP="003D514B">
      <w:pPr>
        <w:adjustRightInd w:val="0"/>
        <w:snapToGrid w:val="0"/>
        <w:spacing w:beforeLines="100" w:before="360" w:afterLines="50" w:after="180" w:line="480" w:lineRule="exact"/>
        <w:ind w:leftChars="-99" w:left="-238" w:firstLine="193"/>
        <w:jc w:val="both"/>
        <w:rPr>
          <w:rFonts w:ascii="微軟正黑體" w:eastAsia="微軟正黑體" w:hAnsi="微軟正黑體" w:cs="Times New Roman"/>
          <w:b/>
          <w:bCs/>
          <w:sz w:val="30"/>
          <w:szCs w:val="30"/>
        </w:rPr>
      </w:pPr>
      <w:r w:rsidRPr="00AB775B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lastRenderedPageBreak/>
        <w:t>二、</w:t>
      </w:r>
      <w:r w:rsidR="004B5455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因應</w:t>
      </w:r>
      <w:r w:rsidR="00335C95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國際油價</w:t>
      </w:r>
      <w:r w:rsidR="004B5455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波動</w:t>
      </w:r>
      <w:r w:rsidR="007B665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，</w:t>
      </w:r>
      <w:r w:rsidR="004B5455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適時反映</w:t>
      </w:r>
      <w:r w:rsidR="005E45AE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國內</w:t>
      </w:r>
      <w:r w:rsidR="007B6654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交通運輸價格</w:t>
      </w:r>
    </w:p>
    <w:p w:rsidR="006D24F8" w:rsidRPr="004B5455" w:rsidRDefault="00AD0129" w:rsidP="00312018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4B5455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為因應國際油價</w:t>
      </w:r>
      <w:r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波動，</w:t>
      </w:r>
      <w:r w:rsidR="00335C95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油價下跌效益反映於國內交通費用</w:t>
      </w:r>
      <w:r w:rsidR="006D24F8" w:rsidRPr="004B5455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，</w:t>
      </w:r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公路客運</w:t>
      </w:r>
      <w:proofErr w:type="gramStart"/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（</w:t>
      </w:r>
      <w:proofErr w:type="gramEnd"/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含國道客運業)及貨運業已於今</w:t>
      </w:r>
      <w:proofErr w:type="gramStart"/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（</w:t>
      </w:r>
      <w:proofErr w:type="gramEnd"/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104</w:t>
      </w:r>
      <w:proofErr w:type="gramStart"/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）</w:t>
      </w:r>
      <w:proofErr w:type="gramEnd"/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年1月28日、2月14日二次調降票價</w:t>
      </w:r>
      <w:r w:rsidR="007A051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交通部仍</w:t>
      </w:r>
      <w:r w:rsidR="00BA43E1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將</w:t>
      </w:r>
      <w:r w:rsidR="001F408D"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持續觀察後續油價波動情形，作為後續運價檢討之參考。</w:t>
      </w:r>
    </w:p>
    <w:p w:rsidR="00AB775B" w:rsidRPr="007A0515" w:rsidRDefault="007A0515" w:rsidP="00312018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國際航線</w:t>
      </w:r>
      <w:proofErr w:type="gramStart"/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已依燃油</w:t>
      </w:r>
      <w:proofErr w:type="gramEnd"/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附加費調整機制分別於103年4月10日、11月12日、104年1月11日及104年2月8日4度調降燃油附加費，</w:t>
      </w:r>
      <w:r w:rsidR="00BB360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其中，</w:t>
      </w:r>
      <w:r w:rsidR="00BB3609" w:rsidRPr="00BB360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短程</w:t>
      </w:r>
      <w:r w:rsidR="00BB3609" w:rsidRPr="00BB360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及長程航線分別調降約465元及1,209元；</w:t>
      </w:r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惟因國際油價回升，</w:t>
      </w:r>
      <w:proofErr w:type="gramStart"/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爰</w:t>
      </w:r>
      <w:proofErr w:type="gramEnd"/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於104年3月8日調漲</w:t>
      </w:r>
      <w:r w:rsidR="00BB360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燃油附加費，</w:t>
      </w:r>
      <w:r w:rsidR="00BB3609" w:rsidRPr="00BB360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短程</w:t>
      </w:r>
      <w:r w:rsidR="00BB3609" w:rsidRPr="00BB360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及長程航線分別調漲約97.5元及210.5元</w:t>
      </w:r>
      <w:r w:rsidRPr="00304EB9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；國內航線前已先行協調航空公司提供優惠措施，並於104年3月3日起調降大部分國內航線全額票價</w:t>
      </w:r>
      <w:r w:rsidRPr="004B5455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，回應民眾期待</w:t>
      </w:r>
      <w:r w:rsidRPr="004B5455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。</w:t>
      </w:r>
    </w:p>
    <w:p w:rsidR="00AB775B" w:rsidRDefault="00AB775B" w:rsidP="00BB3609">
      <w:pPr>
        <w:adjustRightInd w:val="0"/>
        <w:snapToGrid w:val="0"/>
        <w:spacing w:beforeLines="50" w:before="180" w:afterLines="25" w:after="90" w:line="48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</w:p>
    <w:sectPr w:rsidR="00AB775B" w:rsidSect="00B86DC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74" w:rsidRDefault="006B5174" w:rsidP="00AD17CF">
      <w:r>
        <w:separator/>
      </w:r>
    </w:p>
  </w:endnote>
  <w:endnote w:type="continuationSeparator" w:id="0">
    <w:p w:rsidR="006B5174" w:rsidRDefault="006B5174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BE4DEC" w:rsidRDefault="00F209E2">
        <w:pPr>
          <w:pStyle w:val="a7"/>
          <w:jc w:val="center"/>
        </w:pPr>
        <w:r>
          <w:fldChar w:fldCharType="begin"/>
        </w:r>
        <w:r w:rsidR="00BE4DEC">
          <w:instrText>PAGE   \* MERGEFORMAT</w:instrText>
        </w:r>
        <w:r>
          <w:fldChar w:fldCharType="separate"/>
        </w:r>
        <w:r w:rsidR="00342F26" w:rsidRPr="00342F26">
          <w:rPr>
            <w:noProof/>
            <w:lang w:val="zh-TW"/>
          </w:rPr>
          <w:t>1</w:t>
        </w:r>
        <w:r>
          <w:fldChar w:fldCharType="end"/>
        </w:r>
      </w:p>
    </w:sdtContent>
  </w:sdt>
  <w:p w:rsidR="00BE4DEC" w:rsidRDefault="00BE4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74" w:rsidRDefault="006B5174" w:rsidP="00AD17CF">
      <w:r>
        <w:separator/>
      </w:r>
    </w:p>
  </w:footnote>
  <w:footnote w:type="continuationSeparator" w:id="0">
    <w:p w:rsidR="006B5174" w:rsidRDefault="006B5174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0C9A"/>
    <w:rsid w:val="0001191F"/>
    <w:rsid w:val="00013DC6"/>
    <w:rsid w:val="000176EA"/>
    <w:rsid w:val="0002029A"/>
    <w:rsid w:val="00021237"/>
    <w:rsid w:val="000216ED"/>
    <w:rsid w:val="000233F1"/>
    <w:rsid w:val="00026EED"/>
    <w:rsid w:val="00040569"/>
    <w:rsid w:val="00044103"/>
    <w:rsid w:val="00046A61"/>
    <w:rsid w:val="00050FA9"/>
    <w:rsid w:val="0005285E"/>
    <w:rsid w:val="00057C10"/>
    <w:rsid w:val="00065A18"/>
    <w:rsid w:val="00066E83"/>
    <w:rsid w:val="00067084"/>
    <w:rsid w:val="00080004"/>
    <w:rsid w:val="00084994"/>
    <w:rsid w:val="00090F68"/>
    <w:rsid w:val="00091A46"/>
    <w:rsid w:val="00091CA7"/>
    <w:rsid w:val="0009272E"/>
    <w:rsid w:val="00097610"/>
    <w:rsid w:val="00097FB4"/>
    <w:rsid w:val="000A06F0"/>
    <w:rsid w:val="000B6783"/>
    <w:rsid w:val="000C5EAC"/>
    <w:rsid w:val="000C72E9"/>
    <w:rsid w:val="000D1717"/>
    <w:rsid w:val="000D7358"/>
    <w:rsid w:val="000E3783"/>
    <w:rsid w:val="000F12FA"/>
    <w:rsid w:val="000F3E52"/>
    <w:rsid w:val="000F4BDF"/>
    <w:rsid w:val="000F4ECE"/>
    <w:rsid w:val="000F5F2F"/>
    <w:rsid w:val="000F6356"/>
    <w:rsid w:val="00102A67"/>
    <w:rsid w:val="00103B1B"/>
    <w:rsid w:val="00106448"/>
    <w:rsid w:val="001070D1"/>
    <w:rsid w:val="001104DC"/>
    <w:rsid w:val="00114DD0"/>
    <w:rsid w:val="00114F3C"/>
    <w:rsid w:val="00117A85"/>
    <w:rsid w:val="001219EB"/>
    <w:rsid w:val="0012338E"/>
    <w:rsid w:val="0012660D"/>
    <w:rsid w:val="00133736"/>
    <w:rsid w:val="00133C62"/>
    <w:rsid w:val="0013412A"/>
    <w:rsid w:val="00137D41"/>
    <w:rsid w:val="00140E39"/>
    <w:rsid w:val="00142E06"/>
    <w:rsid w:val="00143BE1"/>
    <w:rsid w:val="00144C45"/>
    <w:rsid w:val="00145BD7"/>
    <w:rsid w:val="00151C63"/>
    <w:rsid w:val="00156F25"/>
    <w:rsid w:val="00157062"/>
    <w:rsid w:val="00160A89"/>
    <w:rsid w:val="00160BA3"/>
    <w:rsid w:val="001630EF"/>
    <w:rsid w:val="0016312F"/>
    <w:rsid w:val="00173B12"/>
    <w:rsid w:val="00175050"/>
    <w:rsid w:val="00176886"/>
    <w:rsid w:val="00176DC2"/>
    <w:rsid w:val="001854C9"/>
    <w:rsid w:val="00185739"/>
    <w:rsid w:val="00185AE5"/>
    <w:rsid w:val="00192B85"/>
    <w:rsid w:val="0019764D"/>
    <w:rsid w:val="001A00BF"/>
    <w:rsid w:val="001A0B0A"/>
    <w:rsid w:val="001A1B5C"/>
    <w:rsid w:val="001A3345"/>
    <w:rsid w:val="001A618A"/>
    <w:rsid w:val="001B0A35"/>
    <w:rsid w:val="001B0AF2"/>
    <w:rsid w:val="001B230D"/>
    <w:rsid w:val="001B7721"/>
    <w:rsid w:val="001C3103"/>
    <w:rsid w:val="001D4405"/>
    <w:rsid w:val="001D4E5B"/>
    <w:rsid w:val="001E1AF5"/>
    <w:rsid w:val="001E1F00"/>
    <w:rsid w:val="001E23F6"/>
    <w:rsid w:val="001E368B"/>
    <w:rsid w:val="001E3742"/>
    <w:rsid w:val="001E7E8D"/>
    <w:rsid w:val="001F408D"/>
    <w:rsid w:val="0020470E"/>
    <w:rsid w:val="0020588C"/>
    <w:rsid w:val="00207131"/>
    <w:rsid w:val="00213D80"/>
    <w:rsid w:val="002160C0"/>
    <w:rsid w:val="00216C90"/>
    <w:rsid w:val="0022332A"/>
    <w:rsid w:val="00226964"/>
    <w:rsid w:val="00227B6A"/>
    <w:rsid w:val="0023261C"/>
    <w:rsid w:val="0023440C"/>
    <w:rsid w:val="0023445B"/>
    <w:rsid w:val="00242AAD"/>
    <w:rsid w:val="00246CB2"/>
    <w:rsid w:val="00250D18"/>
    <w:rsid w:val="00255C1E"/>
    <w:rsid w:val="00262B4A"/>
    <w:rsid w:val="002638D6"/>
    <w:rsid w:val="002655D3"/>
    <w:rsid w:val="00266938"/>
    <w:rsid w:val="00266DDC"/>
    <w:rsid w:val="00266EA4"/>
    <w:rsid w:val="00271EAE"/>
    <w:rsid w:val="00274C09"/>
    <w:rsid w:val="002804BB"/>
    <w:rsid w:val="00283C46"/>
    <w:rsid w:val="002853D3"/>
    <w:rsid w:val="00285623"/>
    <w:rsid w:val="002903CD"/>
    <w:rsid w:val="00290B4E"/>
    <w:rsid w:val="002927AE"/>
    <w:rsid w:val="00292833"/>
    <w:rsid w:val="00294578"/>
    <w:rsid w:val="00294737"/>
    <w:rsid w:val="002A3A7B"/>
    <w:rsid w:val="002A3A7E"/>
    <w:rsid w:val="002B34B4"/>
    <w:rsid w:val="002B48C9"/>
    <w:rsid w:val="002C59CA"/>
    <w:rsid w:val="002C7600"/>
    <w:rsid w:val="002D68FB"/>
    <w:rsid w:val="002E2A6E"/>
    <w:rsid w:val="002E4262"/>
    <w:rsid w:val="002F2B7D"/>
    <w:rsid w:val="002F3464"/>
    <w:rsid w:val="002F48C4"/>
    <w:rsid w:val="002F7290"/>
    <w:rsid w:val="003002D1"/>
    <w:rsid w:val="00304EB9"/>
    <w:rsid w:val="0030554B"/>
    <w:rsid w:val="00306D09"/>
    <w:rsid w:val="00312018"/>
    <w:rsid w:val="00315329"/>
    <w:rsid w:val="00321C5C"/>
    <w:rsid w:val="00323FCE"/>
    <w:rsid w:val="00325E9F"/>
    <w:rsid w:val="00330EB6"/>
    <w:rsid w:val="00331036"/>
    <w:rsid w:val="0033397F"/>
    <w:rsid w:val="00333A34"/>
    <w:rsid w:val="00335C95"/>
    <w:rsid w:val="00337245"/>
    <w:rsid w:val="00337854"/>
    <w:rsid w:val="003420CA"/>
    <w:rsid w:val="00342F26"/>
    <w:rsid w:val="00343622"/>
    <w:rsid w:val="00347A3E"/>
    <w:rsid w:val="00350E14"/>
    <w:rsid w:val="00354533"/>
    <w:rsid w:val="003551F0"/>
    <w:rsid w:val="00355F86"/>
    <w:rsid w:val="0036189D"/>
    <w:rsid w:val="003700B4"/>
    <w:rsid w:val="00372BFE"/>
    <w:rsid w:val="003745EF"/>
    <w:rsid w:val="00384EA2"/>
    <w:rsid w:val="00387275"/>
    <w:rsid w:val="00393096"/>
    <w:rsid w:val="00394EED"/>
    <w:rsid w:val="003A0B1A"/>
    <w:rsid w:val="003A61CF"/>
    <w:rsid w:val="003B0080"/>
    <w:rsid w:val="003B032A"/>
    <w:rsid w:val="003B38D1"/>
    <w:rsid w:val="003C12FB"/>
    <w:rsid w:val="003D3286"/>
    <w:rsid w:val="003D514B"/>
    <w:rsid w:val="003D6D9D"/>
    <w:rsid w:val="003E1264"/>
    <w:rsid w:val="003E14D8"/>
    <w:rsid w:val="003E20FB"/>
    <w:rsid w:val="003E23B1"/>
    <w:rsid w:val="003E2D49"/>
    <w:rsid w:val="003F1C5B"/>
    <w:rsid w:val="003F206F"/>
    <w:rsid w:val="003F3254"/>
    <w:rsid w:val="0040016B"/>
    <w:rsid w:val="004039D2"/>
    <w:rsid w:val="00406F69"/>
    <w:rsid w:val="00412FE8"/>
    <w:rsid w:val="004136C7"/>
    <w:rsid w:val="0041386E"/>
    <w:rsid w:val="004147F3"/>
    <w:rsid w:val="00416EE9"/>
    <w:rsid w:val="00421811"/>
    <w:rsid w:val="00421BC8"/>
    <w:rsid w:val="004231D4"/>
    <w:rsid w:val="0042482E"/>
    <w:rsid w:val="00431204"/>
    <w:rsid w:val="00431610"/>
    <w:rsid w:val="0043322E"/>
    <w:rsid w:val="00436D64"/>
    <w:rsid w:val="004406B6"/>
    <w:rsid w:val="004428A3"/>
    <w:rsid w:val="00444875"/>
    <w:rsid w:val="004511B2"/>
    <w:rsid w:val="0045336E"/>
    <w:rsid w:val="004535D2"/>
    <w:rsid w:val="004547B8"/>
    <w:rsid w:val="00454D73"/>
    <w:rsid w:val="004556AA"/>
    <w:rsid w:val="004571D5"/>
    <w:rsid w:val="00464693"/>
    <w:rsid w:val="004653B9"/>
    <w:rsid w:val="00466B94"/>
    <w:rsid w:val="00467CD0"/>
    <w:rsid w:val="00473AC4"/>
    <w:rsid w:val="00482911"/>
    <w:rsid w:val="0048454E"/>
    <w:rsid w:val="0048596D"/>
    <w:rsid w:val="004926DF"/>
    <w:rsid w:val="004944FA"/>
    <w:rsid w:val="004A0A7C"/>
    <w:rsid w:val="004A6553"/>
    <w:rsid w:val="004B2272"/>
    <w:rsid w:val="004B5455"/>
    <w:rsid w:val="004B606C"/>
    <w:rsid w:val="004B6901"/>
    <w:rsid w:val="004B7EEF"/>
    <w:rsid w:val="004C210E"/>
    <w:rsid w:val="004C43F3"/>
    <w:rsid w:val="004D011A"/>
    <w:rsid w:val="004D4E31"/>
    <w:rsid w:val="004E1D13"/>
    <w:rsid w:val="004E2CCE"/>
    <w:rsid w:val="004E6F26"/>
    <w:rsid w:val="004F2469"/>
    <w:rsid w:val="004F3588"/>
    <w:rsid w:val="004F666C"/>
    <w:rsid w:val="00502CE7"/>
    <w:rsid w:val="00502DE8"/>
    <w:rsid w:val="00503E4A"/>
    <w:rsid w:val="00506BE8"/>
    <w:rsid w:val="00515D8D"/>
    <w:rsid w:val="00515DC7"/>
    <w:rsid w:val="0051746A"/>
    <w:rsid w:val="00520397"/>
    <w:rsid w:val="00520EFF"/>
    <w:rsid w:val="00524A82"/>
    <w:rsid w:val="00526B47"/>
    <w:rsid w:val="00534077"/>
    <w:rsid w:val="005342E2"/>
    <w:rsid w:val="0053495A"/>
    <w:rsid w:val="00535B96"/>
    <w:rsid w:val="005409E4"/>
    <w:rsid w:val="00540DD4"/>
    <w:rsid w:val="005417BD"/>
    <w:rsid w:val="0054458D"/>
    <w:rsid w:val="00546BB2"/>
    <w:rsid w:val="00551F9B"/>
    <w:rsid w:val="005561BF"/>
    <w:rsid w:val="00562C35"/>
    <w:rsid w:val="005654A0"/>
    <w:rsid w:val="00565635"/>
    <w:rsid w:val="00571CF8"/>
    <w:rsid w:val="0057214B"/>
    <w:rsid w:val="00574738"/>
    <w:rsid w:val="00575F0E"/>
    <w:rsid w:val="00576133"/>
    <w:rsid w:val="00581F12"/>
    <w:rsid w:val="0058430C"/>
    <w:rsid w:val="00591FAE"/>
    <w:rsid w:val="0059310E"/>
    <w:rsid w:val="00593964"/>
    <w:rsid w:val="005939DD"/>
    <w:rsid w:val="0059643D"/>
    <w:rsid w:val="005968D5"/>
    <w:rsid w:val="005A2A18"/>
    <w:rsid w:val="005A703E"/>
    <w:rsid w:val="005A7C9C"/>
    <w:rsid w:val="005B66E8"/>
    <w:rsid w:val="005C27C9"/>
    <w:rsid w:val="005C6813"/>
    <w:rsid w:val="005C6FC6"/>
    <w:rsid w:val="005D2FAA"/>
    <w:rsid w:val="005D6328"/>
    <w:rsid w:val="005E0460"/>
    <w:rsid w:val="005E45AE"/>
    <w:rsid w:val="005E5835"/>
    <w:rsid w:val="005F5986"/>
    <w:rsid w:val="00610527"/>
    <w:rsid w:val="00611933"/>
    <w:rsid w:val="00611CAD"/>
    <w:rsid w:val="006171E1"/>
    <w:rsid w:val="00617391"/>
    <w:rsid w:val="006236CD"/>
    <w:rsid w:val="0062465D"/>
    <w:rsid w:val="006353B9"/>
    <w:rsid w:val="006402D1"/>
    <w:rsid w:val="00641AEA"/>
    <w:rsid w:val="006443CB"/>
    <w:rsid w:val="00645A63"/>
    <w:rsid w:val="00647CCC"/>
    <w:rsid w:val="00651B50"/>
    <w:rsid w:val="006535B8"/>
    <w:rsid w:val="0065453B"/>
    <w:rsid w:val="00660713"/>
    <w:rsid w:val="00663E94"/>
    <w:rsid w:val="0066429C"/>
    <w:rsid w:val="00665FBD"/>
    <w:rsid w:val="0066644A"/>
    <w:rsid w:val="006671A3"/>
    <w:rsid w:val="00672FAB"/>
    <w:rsid w:val="00674F36"/>
    <w:rsid w:val="00675C46"/>
    <w:rsid w:val="0069185B"/>
    <w:rsid w:val="006944BA"/>
    <w:rsid w:val="00694EAA"/>
    <w:rsid w:val="006A0259"/>
    <w:rsid w:val="006A76D6"/>
    <w:rsid w:val="006B32E3"/>
    <w:rsid w:val="006B49EB"/>
    <w:rsid w:val="006B5174"/>
    <w:rsid w:val="006B6A3E"/>
    <w:rsid w:val="006C0064"/>
    <w:rsid w:val="006C3EAD"/>
    <w:rsid w:val="006C46EC"/>
    <w:rsid w:val="006C5301"/>
    <w:rsid w:val="006D1422"/>
    <w:rsid w:val="006D24F8"/>
    <w:rsid w:val="006D339C"/>
    <w:rsid w:val="006D3E14"/>
    <w:rsid w:val="006E28AC"/>
    <w:rsid w:val="006E4F7D"/>
    <w:rsid w:val="006E63EA"/>
    <w:rsid w:val="006F380D"/>
    <w:rsid w:val="006F3F23"/>
    <w:rsid w:val="006F6162"/>
    <w:rsid w:val="006F63D8"/>
    <w:rsid w:val="006F75F4"/>
    <w:rsid w:val="00700F4E"/>
    <w:rsid w:val="0070796C"/>
    <w:rsid w:val="00711EA9"/>
    <w:rsid w:val="00712FC5"/>
    <w:rsid w:val="0071462F"/>
    <w:rsid w:val="00715BFB"/>
    <w:rsid w:val="00716993"/>
    <w:rsid w:val="0072049C"/>
    <w:rsid w:val="00720590"/>
    <w:rsid w:val="007216F7"/>
    <w:rsid w:val="00723307"/>
    <w:rsid w:val="00723A03"/>
    <w:rsid w:val="00726072"/>
    <w:rsid w:val="00733EDE"/>
    <w:rsid w:val="00735BC5"/>
    <w:rsid w:val="007408DC"/>
    <w:rsid w:val="00740FC1"/>
    <w:rsid w:val="0074600A"/>
    <w:rsid w:val="00747605"/>
    <w:rsid w:val="007533FD"/>
    <w:rsid w:val="00754926"/>
    <w:rsid w:val="007606A5"/>
    <w:rsid w:val="00760730"/>
    <w:rsid w:val="007646B1"/>
    <w:rsid w:val="00764714"/>
    <w:rsid w:val="00777EE6"/>
    <w:rsid w:val="0078027E"/>
    <w:rsid w:val="0078092A"/>
    <w:rsid w:val="00781BB8"/>
    <w:rsid w:val="00781F82"/>
    <w:rsid w:val="007823BB"/>
    <w:rsid w:val="007833B1"/>
    <w:rsid w:val="00787446"/>
    <w:rsid w:val="00794B11"/>
    <w:rsid w:val="00797BBC"/>
    <w:rsid w:val="007A0040"/>
    <w:rsid w:val="007A0515"/>
    <w:rsid w:val="007A1CC9"/>
    <w:rsid w:val="007A37BC"/>
    <w:rsid w:val="007A5EA6"/>
    <w:rsid w:val="007A6037"/>
    <w:rsid w:val="007B14F9"/>
    <w:rsid w:val="007B3162"/>
    <w:rsid w:val="007B5124"/>
    <w:rsid w:val="007B6654"/>
    <w:rsid w:val="007C3282"/>
    <w:rsid w:val="007C32EC"/>
    <w:rsid w:val="007C4A21"/>
    <w:rsid w:val="007D16DE"/>
    <w:rsid w:val="007D3AA6"/>
    <w:rsid w:val="007D3BB0"/>
    <w:rsid w:val="007E619B"/>
    <w:rsid w:val="007E6D68"/>
    <w:rsid w:val="007F7680"/>
    <w:rsid w:val="007F78D8"/>
    <w:rsid w:val="008030C3"/>
    <w:rsid w:val="00804C35"/>
    <w:rsid w:val="008145FB"/>
    <w:rsid w:val="0081659E"/>
    <w:rsid w:val="008233FB"/>
    <w:rsid w:val="00823596"/>
    <w:rsid w:val="00823E12"/>
    <w:rsid w:val="00826863"/>
    <w:rsid w:val="00826C9D"/>
    <w:rsid w:val="00830DE8"/>
    <w:rsid w:val="008325A3"/>
    <w:rsid w:val="00837428"/>
    <w:rsid w:val="00841418"/>
    <w:rsid w:val="00841D89"/>
    <w:rsid w:val="00842D23"/>
    <w:rsid w:val="00846F2F"/>
    <w:rsid w:val="00861BBD"/>
    <w:rsid w:val="00863AAD"/>
    <w:rsid w:val="00864052"/>
    <w:rsid w:val="00865949"/>
    <w:rsid w:val="00866F1D"/>
    <w:rsid w:val="008674B0"/>
    <w:rsid w:val="0087106F"/>
    <w:rsid w:val="00871C05"/>
    <w:rsid w:val="00871C13"/>
    <w:rsid w:val="008746E9"/>
    <w:rsid w:val="0087565A"/>
    <w:rsid w:val="00880257"/>
    <w:rsid w:val="00881826"/>
    <w:rsid w:val="00891522"/>
    <w:rsid w:val="008944B3"/>
    <w:rsid w:val="00894EE3"/>
    <w:rsid w:val="008963B6"/>
    <w:rsid w:val="008A3A36"/>
    <w:rsid w:val="008A40DA"/>
    <w:rsid w:val="008A60DA"/>
    <w:rsid w:val="008A6F95"/>
    <w:rsid w:val="008B0471"/>
    <w:rsid w:val="008B11FB"/>
    <w:rsid w:val="008B2F45"/>
    <w:rsid w:val="008B7768"/>
    <w:rsid w:val="008C0C42"/>
    <w:rsid w:val="008C0E72"/>
    <w:rsid w:val="008C17B2"/>
    <w:rsid w:val="008C2C62"/>
    <w:rsid w:val="008C3576"/>
    <w:rsid w:val="008C6B43"/>
    <w:rsid w:val="008D50C4"/>
    <w:rsid w:val="008E044D"/>
    <w:rsid w:val="008E04BE"/>
    <w:rsid w:val="008E7182"/>
    <w:rsid w:val="008F0311"/>
    <w:rsid w:val="008F1F54"/>
    <w:rsid w:val="008F403E"/>
    <w:rsid w:val="008F733A"/>
    <w:rsid w:val="0090177D"/>
    <w:rsid w:val="009019E3"/>
    <w:rsid w:val="0090276E"/>
    <w:rsid w:val="00904849"/>
    <w:rsid w:val="009053E3"/>
    <w:rsid w:val="00905529"/>
    <w:rsid w:val="00907887"/>
    <w:rsid w:val="009115DA"/>
    <w:rsid w:val="00921880"/>
    <w:rsid w:val="00931BD5"/>
    <w:rsid w:val="0093304E"/>
    <w:rsid w:val="009339B6"/>
    <w:rsid w:val="0093560E"/>
    <w:rsid w:val="00936E38"/>
    <w:rsid w:val="00937AAF"/>
    <w:rsid w:val="009422D0"/>
    <w:rsid w:val="00946BF4"/>
    <w:rsid w:val="00950B8E"/>
    <w:rsid w:val="00951EF7"/>
    <w:rsid w:val="00954A13"/>
    <w:rsid w:val="00954D10"/>
    <w:rsid w:val="00955522"/>
    <w:rsid w:val="009576C4"/>
    <w:rsid w:val="00971AD9"/>
    <w:rsid w:val="00974156"/>
    <w:rsid w:val="00974685"/>
    <w:rsid w:val="009774D1"/>
    <w:rsid w:val="0098356A"/>
    <w:rsid w:val="0098356E"/>
    <w:rsid w:val="00991AB7"/>
    <w:rsid w:val="009A2C90"/>
    <w:rsid w:val="009A5587"/>
    <w:rsid w:val="009A5FC9"/>
    <w:rsid w:val="009B39A8"/>
    <w:rsid w:val="009B418B"/>
    <w:rsid w:val="009B49A9"/>
    <w:rsid w:val="009B5760"/>
    <w:rsid w:val="009B578A"/>
    <w:rsid w:val="009C00D8"/>
    <w:rsid w:val="009C2780"/>
    <w:rsid w:val="009C3427"/>
    <w:rsid w:val="009D08EF"/>
    <w:rsid w:val="009D3A19"/>
    <w:rsid w:val="009D73D3"/>
    <w:rsid w:val="009D79A9"/>
    <w:rsid w:val="009E1FCA"/>
    <w:rsid w:val="009E3898"/>
    <w:rsid w:val="009F4A2B"/>
    <w:rsid w:val="009F62FE"/>
    <w:rsid w:val="009F6AB5"/>
    <w:rsid w:val="00A01628"/>
    <w:rsid w:val="00A02EA3"/>
    <w:rsid w:val="00A06F94"/>
    <w:rsid w:val="00A13A11"/>
    <w:rsid w:val="00A2308A"/>
    <w:rsid w:val="00A320D9"/>
    <w:rsid w:val="00A32E8A"/>
    <w:rsid w:val="00A36D46"/>
    <w:rsid w:val="00A401BA"/>
    <w:rsid w:val="00A41766"/>
    <w:rsid w:val="00A42C6F"/>
    <w:rsid w:val="00A42EE1"/>
    <w:rsid w:val="00A4452C"/>
    <w:rsid w:val="00A47661"/>
    <w:rsid w:val="00A50BD7"/>
    <w:rsid w:val="00A52C10"/>
    <w:rsid w:val="00A54097"/>
    <w:rsid w:val="00A651EE"/>
    <w:rsid w:val="00A667F8"/>
    <w:rsid w:val="00A679F8"/>
    <w:rsid w:val="00A70487"/>
    <w:rsid w:val="00A75977"/>
    <w:rsid w:val="00A76D45"/>
    <w:rsid w:val="00A80010"/>
    <w:rsid w:val="00A85AC9"/>
    <w:rsid w:val="00A9043A"/>
    <w:rsid w:val="00A92AA1"/>
    <w:rsid w:val="00A964C5"/>
    <w:rsid w:val="00AA4251"/>
    <w:rsid w:val="00AA49F4"/>
    <w:rsid w:val="00AA5AB1"/>
    <w:rsid w:val="00AA5E65"/>
    <w:rsid w:val="00AA6987"/>
    <w:rsid w:val="00AB056E"/>
    <w:rsid w:val="00AB3388"/>
    <w:rsid w:val="00AB379B"/>
    <w:rsid w:val="00AB53B1"/>
    <w:rsid w:val="00AB775B"/>
    <w:rsid w:val="00AC439C"/>
    <w:rsid w:val="00AC539A"/>
    <w:rsid w:val="00AC77B7"/>
    <w:rsid w:val="00AD0129"/>
    <w:rsid w:val="00AD029F"/>
    <w:rsid w:val="00AD0422"/>
    <w:rsid w:val="00AD17CF"/>
    <w:rsid w:val="00AD19AA"/>
    <w:rsid w:val="00AD2F49"/>
    <w:rsid w:val="00AD6F43"/>
    <w:rsid w:val="00AD7B1E"/>
    <w:rsid w:val="00AD7F30"/>
    <w:rsid w:val="00AE19B4"/>
    <w:rsid w:val="00AE3CC6"/>
    <w:rsid w:val="00AE7779"/>
    <w:rsid w:val="00AF08EA"/>
    <w:rsid w:val="00AF5B98"/>
    <w:rsid w:val="00B00D4D"/>
    <w:rsid w:val="00B00E10"/>
    <w:rsid w:val="00B01FED"/>
    <w:rsid w:val="00B058F8"/>
    <w:rsid w:val="00B06024"/>
    <w:rsid w:val="00B06779"/>
    <w:rsid w:val="00B10676"/>
    <w:rsid w:val="00B119BF"/>
    <w:rsid w:val="00B13BEC"/>
    <w:rsid w:val="00B2075F"/>
    <w:rsid w:val="00B24B69"/>
    <w:rsid w:val="00B25A7F"/>
    <w:rsid w:val="00B3718F"/>
    <w:rsid w:val="00B37ED6"/>
    <w:rsid w:val="00B41CEF"/>
    <w:rsid w:val="00B45E91"/>
    <w:rsid w:val="00B50D62"/>
    <w:rsid w:val="00B54102"/>
    <w:rsid w:val="00B553B2"/>
    <w:rsid w:val="00B558CE"/>
    <w:rsid w:val="00B639E5"/>
    <w:rsid w:val="00B66A39"/>
    <w:rsid w:val="00B86DC9"/>
    <w:rsid w:val="00BA0D31"/>
    <w:rsid w:val="00BA179A"/>
    <w:rsid w:val="00BA398D"/>
    <w:rsid w:val="00BA43E1"/>
    <w:rsid w:val="00BA6433"/>
    <w:rsid w:val="00BA7240"/>
    <w:rsid w:val="00BB34A4"/>
    <w:rsid w:val="00BB3609"/>
    <w:rsid w:val="00BC22C5"/>
    <w:rsid w:val="00BC46BA"/>
    <w:rsid w:val="00BD0409"/>
    <w:rsid w:val="00BD0DB7"/>
    <w:rsid w:val="00BD2F68"/>
    <w:rsid w:val="00BD6239"/>
    <w:rsid w:val="00BE2EEF"/>
    <w:rsid w:val="00BE4495"/>
    <w:rsid w:val="00BE4DEC"/>
    <w:rsid w:val="00BF011D"/>
    <w:rsid w:val="00BF29B4"/>
    <w:rsid w:val="00BF33B4"/>
    <w:rsid w:val="00BF4893"/>
    <w:rsid w:val="00C014E2"/>
    <w:rsid w:val="00C01E99"/>
    <w:rsid w:val="00C01EE6"/>
    <w:rsid w:val="00C14DBD"/>
    <w:rsid w:val="00C16748"/>
    <w:rsid w:val="00C240DB"/>
    <w:rsid w:val="00C26F86"/>
    <w:rsid w:val="00C276AE"/>
    <w:rsid w:val="00C27AD5"/>
    <w:rsid w:val="00C312EE"/>
    <w:rsid w:val="00C31535"/>
    <w:rsid w:val="00C43633"/>
    <w:rsid w:val="00C43913"/>
    <w:rsid w:val="00C44EE8"/>
    <w:rsid w:val="00C451EB"/>
    <w:rsid w:val="00C45AF8"/>
    <w:rsid w:val="00C510DB"/>
    <w:rsid w:val="00C56CBC"/>
    <w:rsid w:val="00C574B6"/>
    <w:rsid w:val="00C60BDE"/>
    <w:rsid w:val="00C60E1B"/>
    <w:rsid w:val="00C62913"/>
    <w:rsid w:val="00C635ED"/>
    <w:rsid w:val="00C64608"/>
    <w:rsid w:val="00C64E61"/>
    <w:rsid w:val="00C675EB"/>
    <w:rsid w:val="00C72F33"/>
    <w:rsid w:val="00C730A9"/>
    <w:rsid w:val="00C7514D"/>
    <w:rsid w:val="00C76AFB"/>
    <w:rsid w:val="00C817F8"/>
    <w:rsid w:val="00C81C64"/>
    <w:rsid w:val="00C9248C"/>
    <w:rsid w:val="00C96478"/>
    <w:rsid w:val="00C9700D"/>
    <w:rsid w:val="00C97881"/>
    <w:rsid w:val="00C97CC6"/>
    <w:rsid w:val="00C97D82"/>
    <w:rsid w:val="00CA3F9F"/>
    <w:rsid w:val="00CA4CFB"/>
    <w:rsid w:val="00CA6B5E"/>
    <w:rsid w:val="00CA6F9E"/>
    <w:rsid w:val="00CB7E0C"/>
    <w:rsid w:val="00CC0FC8"/>
    <w:rsid w:val="00CC16F2"/>
    <w:rsid w:val="00CC2258"/>
    <w:rsid w:val="00CD0C91"/>
    <w:rsid w:val="00CD2639"/>
    <w:rsid w:val="00CD3566"/>
    <w:rsid w:val="00CD36B0"/>
    <w:rsid w:val="00CD3E4D"/>
    <w:rsid w:val="00CE5BBB"/>
    <w:rsid w:val="00CE7509"/>
    <w:rsid w:val="00CF0210"/>
    <w:rsid w:val="00CF037C"/>
    <w:rsid w:val="00CF1446"/>
    <w:rsid w:val="00CF3FFF"/>
    <w:rsid w:val="00CF4635"/>
    <w:rsid w:val="00CF654D"/>
    <w:rsid w:val="00CF7D85"/>
    <w:rsid w:val="00D006B6"/>
    <w:rsid w:val="00D011AD"/>
    <w:rsid w:val="00D030A0"/>
    <w:rsid w:val="00D056CE"/>
    <w:rsid w:val="00D05C71"/>
    <w:rsid w:val="00D05D2D"/>
    <w:rsid w:val="00D06F46"/>
    <w:rsid w:val="00D17451"/>
    <w:rsid w:val="00D17CC4"/>
    <w:rsid w:val="00D2014A"/>
    <w:rsid w:val="00D338FE"/>
    <w:rsid w:val="00D35B53"/>
    <w:rsid w:val="00D3711E"/>
    <w:rsid w:val="00D41CCC"/>
    <w:rsid w:val="00D42A8B"/>
    <w:rsid w:val="00D52CF0"/>
    <w:rsid w:val="00D5370B"/>
    <w:rsid w:val="00D54550"/>
    <w:rsid w:val="00D55FB4"/>
    <w:rsid w:val="00D64033"/>
    <w:rsid w:val="00D6418A"/>
    <w:rsid w:val="00D70551"/>
    <w:rsid w:val="00D70E7E"/>
    <w:rsid w:val="00D807D9"/>
    <w:rsid w:val="00D810C2"/>
    <w:rsid w:val="00D810F8"/>
    <w:rsid w:val="00D8234D"/>
    <w:rsid w:val="00D83DEC"/>
    <w:rsid w:val="00D908D2"/>
    <w:rsid w:val="00D91D9D"/>
    <w:rsid w:val="00D924EB"/>
    <w:rsid w:val="00D9318A"/>
    <w:rsid w:val="00D93E3B"/>
    <w:rsid w:val="00DA06C4"/>
    <w:rsid w:val="00DB27E6"/>
    <w:rsid w:val="00DB441B"/>
    <w:rsid w:val="00DB4568"/>
    <w:rsid w:val="00DB54DA"/>
    <w:rsid w:val="00DB5A2B"/>
    <w:rsid w:val="00DC153C"/>
    <w:rsid w:val="00DC38A8"/>
    <w:rsid w:val="00DC504F"/>
    <w:rsid w:val="00DD01E3"/>
    <w:rsid w:val="00DD05AB"/>
    <w:rsid w:val="00DD0EE1"/>
    <w:rsid w:val="00DD1C90"/>
    <w:rsid w:val="00DD295A"/>
    <w:rsid w:val="00DE12A6"/>
    <w:rsid w:val="00DE721F"/>
    <w:rsid w:val="00DF1242"/>
    <w:rsid w:val="00DF1517"/>
    <w:rsid w:val="00DF51AB"/>
    <w:rsid w:val="00E05A29"/>
    <w:rsid w:val="00E1323B"/>
    <w:rsid w:val="00E1347F"/>
    <w:rsid w:val="00E215CB"/>
    <w:rsid w:val="00E21827"/>
    <w:rsid w:val="00E25D6F"/>
    <w:rsid w:val="00E27957"/>
    <w:rsid w:val="00E27D71"/>
    <w:rsid w:val="00E31D49"/>
    <w:rsid w:val="00E354B0"/>
    <w:rsid w:val="00E36E7E"/>
    <w:rsid w:val="00E3752C"/>
    <w:rsid w:val="00E37B17"/>
    <w:rsid w:val="00E405C6"/>
    <w:rsid w:val="00E40C7F"/>
    <w:rsid w:val="00E41DD0"/>
    <w:rsid w:val="00E43B49"/>
    <w:rsid w:val="00E44DAF"/>
    <w:rsid w:val="00E50CD7"/>
    <w:rsid w:val="00E5497E"/>
    <w:rsid w:val="00E570E8"/>
    <w:rsid w:val="00E5750E"/>
    <w:rsid w:val="00E575EC"/>
    <w:rsid w:val="00E60EA5"/>
    <w:rsid w:val="00E65054"/>
    <w:rsid w:val="00E70D7F"/>
    <w:rsid w:val="00E7385A"/>
    <w:rsid w:val="00E73DFC"/>
    <w:rsid w:val="00E74459"/>
    <w:rsid w:val="00E769F3"/>
    <w:rsid w:val="00E815B9"/>
    <w:rsid w:val="00E8293C"/>
    <w:rsid w:val="00E855F9"/>
    <w:rsid w:val="00E87484"/>
    <w:rsid w:val="00E934EF"/>
    <w:rsid w:val="00E97E8A"/>
    <w:rsid w:val="00EA1AB9"/>
    <w:rsid w:val="00EA20C9"/>
    <w:rsid w:val="00EA3E40"/>
    <w:rsid w:val="00EA4D75"/>
    <w:rsid w:val="00EA55A4"/>
    <w:rsid w:val="00EB0FFC"/>
    <w:rsid w:val="00EB5022"/>
    <w:rsid w:val="00EC154E"/>
    <w:rsid w:val="00EC1BE9"/>
    <w:rsid w:val="00EC3ACA"/>
    <w:rsid w:val="00EC4CA2"/>
    <w:rsid w:val="00EC4DF6"/>
    <w:rsid w:val="00EC75D3"/>
    <w:rsid w:val="00ED006E"/>
    <w:rsid w:val="00ED2B8D"/>
    <w:rsid w:val="00ED4E8D"/>
    <w:rsid w:val="00EE6434"/>
    <w:rsid w:val="00EE7F4E"/>
    <w:rsid w:val="00EF09F8"/>
    <w:rsid w:val="00EF2D5C"/>
    <w:rsid w:val="00F01057"/>
    <w:rsid w:val="00F10018"/>
    <w:rsid w:val="00F1784A"/>
    <w:rsid w:val="00F209E2"/>
    <w:rsid w:val="00F229CE"/>
    <w:rsid w:val="00F25240"/>
    <w:rsid w:val="00F331BE"/>
    <w:rsid w:val="00F339C1"/>
    <w:rsid w:val="00F35926"/>
    <w:rsid w:val="00F37D3E"/>
    <w:rsid w:val="00F408BD"/>
    <w:rsid w:val="00F52091"/>
    <w:rsid w:val="00F56178"/>
    <w:rsid w:val="00F56D40"/>
    <w:rsid w:val="00F57932"/>
    <w:rsid w:val="00F6067D"/>
    <w:rsid w:val="00F6442D"/>
    <w:rsid w:val="00F675A5"/>
    <w:rsid w:val="00F71FCB"/>
    <w:rsid w:val="00F7223A"/>
    <w:rsid w:val="00F7430B"/>
    <w:rsid w:val="00F74F2B"/>
    <w:rsid w:val="00F755DE"/>
    <w:rsid w:val="00F81DD8"/>
    <w:rsid w:val="00F835A3"/>
    <w:rsid w:val="00F848E6"/>
    <w:rsid w:val="00F8625F"/>
    <w:rsid w:val="00F92CF0"/>
    <w:rsid w:val="00FA4E39"/>
    <w:rsid w:val="00FA52DD"/>
    <w:rsid w:val="00FA73EE"/>
    <w:rsid w:val="00FB0BB5"/>
    <w:rsid w:val="00FB219C"/>
    <w:rsid w:val="00FB5B8C"/>
    <w:rsid w:val="00FC66F0"/>
    <w:rsid w:val="00FC686F"/>
    <w:rsid w:val="00FC6F53"/>
    <w:rsid w:val="00FC7FB6"/>
    <w:rsid w:val="00FD26F3"/>
    <w:rsid w:val="00FD7A8D"/>
    <w:rsid w:val="00FE4E0F"/>
    <w:rsid w:val="00FE62AD"/>
    <w:rsid w:val="00FF3C1B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60E4-F6A8-455C-A685-F8088D8B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2015-02-04T10:47:00Z</cp:lastPrinted>
  <dcterms:created xsi:type="dcterms:W3CDTF">2015-03-09T09:54:00Z</dcterms:created>
  <dcterms:modified xsi:type="dcterms:W3CDTF">2015-03-09T09:54:00Z</dcterms:modified>
</cp:coreProperties>
</file>